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41298" w:rsidRDefault="00341298" w:rsidP="00341298">
      <w:pPr>
        <w:tabs>
          <w:tab w:val="center" w:pos="1714"/>
          <w:tab w:val="center" w:pos="3574"/>
        </w:tabs>
        <w:spacing w:line="249" w:lineRule="auto"/>
        <w:ind w:left="0" w:firstLine="0"/>
      </w:pPr>
      <w:r>
        <w:rPr>
          <w:b/>
        </w:rPr>
        <w:t xml:space="preserve">MODULE CODE: </w:t>
      </w:r>
      <w:r>
        <w:rPr>
          <w:b/>
        </w:rPr>
        <w:tab/>
        <w:t xml:space="preserve">AHAC5017 </w:t>
      </w:r>
    </w:p>
    <w:p w:rsidR="00341298" w:rsidRDefault="00341298" w:rsidP="00341298">
      <w:pPr>
        <w:tabs>
          <w:tab w:val="center" w:pos="1194"/>
          <w:tab w:val="center" w:pos="2292"/>
          <w:tab w:val="center" w:pos="4223"/>
        </w:tabs>
        <w:ind w:left="0" w:firstLine="0"/>
      </w:pPr>
      <w:r>
        <w:rPr>
          <w:rFonts w:ascii="Calibri" w:eastAsia="Calibri" w:hAnsi="Calibri" w:cs="Calibri"/>
        </w:rPr>
        <w:tab/>
      </w:r>
      <w:r>
        <w:rPr>
          <w:b/>
        </w:rPr>
        <w:t xml:space="preserve">TITLE:  </w:t>
      </w:r>
      <w:r>
        <w:rPr>
          <w:b/>
        </w:rPr>
        <w:tab/>
        <w:t xml:space="preserve"> </w:t>
      </w:r>
      <w:r>
        <w:rPr>
          <w:b/>
        </w:rPr>
        <w:tab/>
      </w:r>
      <w:r>
        <w:t>Mediterranean Seafaring</w:t>
      </w:r>
      <w:r>
        <w:rPr>
          <w:b/>
        </w:rPr>
        <w:t xml:space="preserve"> </w:t>
      </w:r>
    </w:p>
    <w:p w:rsidR="00341298" w:rsidRDefault="00341298" w:rsidP="00341298">
      <w:pPr>
        <w:tabs>
          <w:tab w:val="center" w:pos="1267"/>
          <w:tab w:val="center" w:pos="2292"/>
          <w:tab w:val="center" w:pos="3593"/>
        </w:tabs>
        <w:ind w:left="0" w:firstLine="0"/>
      </w:pPr>
      <w:r>
        <w:rPr>
          <w:rFonts w:ascii="Calibri" w:eastAsia="Calibri" w:hAnsi="Calibri" w:cs="Calibri"/>
        </w:rPr>
        <w:tab/>
      </w:r>
      <w:r>
        <w:rPr>
          <w:b/>
        </w:rPr>
        <w:t xml:space="preserve">DATED: </w:t>
      </w:r>
      <w:r>
        <w:rPr>
          <w:b/>
        </w:rPr>
        <w:tab/>
        <w:t xml:space="preserve"> </w:t>
      </w:r>
      <w:r>
        <w:rPr>
          <w:b/>
        </w:rPr>
        <w:tab/>
      </w:r>
      <w:r>
        <w:t xml:space="preserve">March 2014 </w:t>
      </w:r>
    </w:p>
    <w:p w:rsidR="00341298" w:rsidRDefault="00341298" w:rsidP="00341298">
      <w:pPr>
        <w:spacing w:after="0" w:line="259" w:lineRule="auto"/>
        <w:ind w:left="852" w:firstLine="0"/>
      </w:pPr>
      <w:r>
        <w:rPr>
          <w:b/>
        </w:rPr>
        <w:t xml:space="preserve"> </w:t>
      </w:r>
    </w:p>
    <w:p w:rsidR="00341298" w:rsidRDefault="00341298" w:rsidP="00341298">
      <w:pPr>
        <w:tabs>
          <w:tab w:val="center" w:pos="1244"/>
          <w:tab w:val="center" w:pos="2292"/>
          <w:tab w:val="center" w:pos="3074"/>
        </w:tabs>
        <w:spacing w:line="249" w:lineRule="auto"/>
        <w:ind w:left="0" w:firstLine="0"/>
      </w:pPr>
      <w:r>
        <w:rPr>
          <w:rFonts w:ascii="Calibri" w:eastAsia="Calibri" w:hAnsi="Calibri" w:cs="Calibri"/>
        </w:rPr>
        <w:tab/>
      </w:r>
      <w:r>
        <w:rPr>
          <w:b/>
        </w:rPr>
        <w:t xml:space="preserve">LEVEL:   </w:t>
      </w:r>
      <w:r>
        <w:rPr>
          <w:b/>
        </w:rPr>
        <w:tab/>
        <w:t xml:space="preserve"> </w:t>
      </w:r>
      <w:r>
        <w:rPr>
          <w:b/>
        </w:rPr>
        <w:tab/>
      </w:r>
      <w:r>
        <w:t xml:space="preserve">5 </w:t>
      </w:r>
    </w:p>
    <w:p w:rsidR="00341298" w:rsidRDefault="00341298" w:rsidP="00341298">
      <w:pPr>
        <w:tabs>
          <w:tab w:val="center" w:pos="1370"/>
          <w:tab w:val="center" w:pos="2292"/>
          <w:tab w:val="center" w:pos="3135"/>
        </w:tabs>
        <w:spacing w:line="249" w:lineRule="auto"/>
        <w:ind w:left="0" w:firstLine="0"/>
      </w:pPr>
      <w:r>
        <w:rPr>
          <w:rFonts w:ascii="Calibri" w:eastAsia="Calibri" w:hAnsi="Calibri" w:cs="Calibri"/>
        </w:rPr>
        <w:tab/>
      </w:r>
      <w:r>
        <w:rPr>
          <w:b/>
        </w:rPr>
        <w:t xml:space="preserve">CREDITS: </w:t>
      </w:r>
      <w:r>
        <w:rPr>
          <w:b/>
        </w:rPr>
        <w:tab/>
        <w:t xml:space="preserve"> </w:t>
      </w:r>
      <w:r>
        <w:rPr>
          <w:b/>
        </w:rPr>
        <w:tab/>
      </w:r>
      <w:r>
        <w:t xml:space="preserve">20 </w:t>
      </w:r>
    </w:p>
    <w:p w:rsidR="00341298" w:rsidRDefault="00341298" w:rsidP="00341298">
      <w:pPr>
        <w:spacing w:after="0" w:line="259" w:lineRule="auto"/>
        <w:ind w:left="852" w:firstLine="0"/>
      </w:pPr>
      <w:r>
        <w:t xml:space="preserve"> </w:t>
      </w:r>
    </w:p>
    <w:p w:rsidR="00341298" w:rsidRDefault="00341298" w:rsidP="00341298">
      <w:pPr>
        <w:tabs>
          <w:tab w:val="center" w:pos="1531"/>
          <w:tab w:val="center" w:pos="3269"/>
        </w:tabs>
        <w:spacing w:line="249" w:lineRule="auto"/>
        <w:ind w:left="0" w:firstLine="0"/>
      </w:pPr>
      <w:r>
        <w:rPr>
          <w:rFonts w:ascii="Calibri" w:eastAsia="Calibri" w:hAnsi="Calibri" w:cs="Calibri"/>
        </w:rPr>
        <w:tab/>
      </w:r>
      <w:r>
        <w:rPr>
          <w:b/>
        </w:rPr>
        <w:t xml:space="preserve">JACS CODE:  </w:t>
      </w:r>
      <w:r>
        <w:rPr>
          <w:b/>
        </w:rPr>
        <w:tab/>
      </w:r>
      <w:r>
        <w:t>V400</w:t>
      </w:r>
      <w:r>
        <w:rPr>
          <w:b/>
        </w:rPr>
        <w:t xml:space="preserve">  </w:t>
      </w:r>
    </w:p>
    <w:p w:rsidR="00341298" w:rsidRDefault="00341298" w:rsidP="00341298">
      <w:pPr>
        <w:spacing w:after="0" w:line="259" w:lineRule="auto"/>
        <w:ind w:left="852" w:firstLine="0"/>
      </w:pPr>
      <w:r>
        <w:t xml:space="preserve"> </w:t>
      </w:r>
    </w:p>
    <w:p w:rsidR="00341298" w:rsidRDefault="00341298" w:rsidP="00341298">
      <w:pPr>
        <w:spacing w:after="2" w:line="259" w:lineRule="auto"/>
        <w:ind w:left="824" w:firstLine="0"/>
      </w:pPr>
      <w:r>
        <w:rPr>
          <w:rFonts w:ascii="Calibri" w:eastAsia="Calibri" w:hAnsi="Calibri" w:cs="Calibri"/>
          <w:noProof/>
        </w:rPr>
        <mc:AlternateContent>
          <mc:Choice Requires="wpg">
            <w:drawing>
              <wp:inline distT="0" distB="0" distL="0" distR="0" wp14:anchorId="06C172B0" wp14:editId="46597DA3">
                <wp:extent cx="5312029" cy="9144"/>
                <wp:effectExtent l="0" t="0" r="0" b="0"/>
                <wp:docPr id="288532" name="Group 288532"/>
                <wp:cNvGraphicFramePr/>
                <a:graphic xmlns:a="http://schemas.openxmlformats.org/drawingml/2006/main">
                  <a:graphicData uri="http://schemas.microsoft.com/office/word/2010/wordprocessingGroup">
                    <wpg:wgp>
                      <wpg:cNvGrpSpPr/>
                      <wpg:grpSpPr>
                        <a:xfrm>
                          <a:off x="0" y="0"/>
                          <a:ext cx="5312029" cy="9144"/>
                          <a:chOff x="0" y="0"/>
                          <a:chExt cx="5312029" cy="9144"/>
                        </a:xfrm>
                      </wpg:grpSpPr>
                      <wps:wsp>
                        <wps:cNvPr id="422066" name="Shape 422066"/>
                        <wps:cNvSpPr/>
                        <wps:spPr>
                          <a:xfrm>
                            <a:off x="0" y="0"/>
                            <a:ext cx="5312029" cy="9144"/>
                          </a:xfrm>
                          <a:custGeom>
                            <a:avLst/>
                            <a:gdLst/>
                            <a:ahLst/>
                            <a:cxnLst/>
                            <a:rect l="0" t="0" r="0" b="0"/>
                            <a:pathLst>
                              <a:path w="5312029" h="9144">
                                <a:moveTo>
                                  <a:pt x="0" y="0"/>
                                </a:moveTo>
                                <a:lnTo>
                                  <a:pt x="5312029" y="0"/>
                                </a:lnTo>
                                <a:lnTo>
                                  <a:pt x="531202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1516FCC0" id="Group 288532" o:spid="_x0000_s1026" style="width:418.25pt;height:.7pt;mso-position-horizontal-relative:char;mso-position-vertical-relative:line" coordsize="53120,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">
                <v:shape id="Shape 422066" o:spid="_x0000_s1027" style="position:absolute;width:53120;height:91;visibility:visible;mso-wrap-style:square;v-text-anchor:top" coordsize="5312029,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SrUS8UA&#10;AADfAAAADwAAAGRycy9kb3ducmV2LnhtbESPQWvCQBSE74L/YXlCb2bTIIumrlIEoceaFFpvj+wz&#10;Cc2+DdmtRn+9Kwg9DjPzDbPejrYTZxp861jDa5KCIK6cabnW8FXu50sQPiAb7ByThit52G6mkzXm&#10;xl34QOci1CJC2OeooQmhz6X0VUMWfeJ64uid3GAxRDnU0gx4iXDbySxNlbTYclxosKddQ9Vv8Wc1&#10;qNOqvNnPBVU/S6sKVR7Nd9dr/TIb399ABBrDf/jZ/jAaFlmWKgWPP/ELyM0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hKtRLxQAAAN8AAAAPAAAAAAAAAAAAAAAAAJgCAABkcnMv&#10;ZG93bnJldi54bWxQSwUGAAAAAAQABAD1AAAAigMAAAAA&#10;" path="m,l5312029,r,9144l,9144,,e" fillcolor="black" stroked="f" strokeweight="0">
                  <v:stroke miterlimit="83231f" joinstyle="miter"/>
                  <v:path arrowok="t" textboxrect="0,0,5312029,9144"/>
                </v:shape>
                <w10:anchorlock/>
              </v:group>
            </w:pict>
          </mc:Fallback>
        </mc:AlternateContent>
      </w:r>
    </w:p>
    <w:p w:rsidR="00341298" w:rsidRDefault="00341298" w:rsidP="00341298">
      <w:pPr>
        <w:spacing w:after="0" w:line="259" w:lineRule="auto"/>
        <w:ind w:left="852" w:firstLine="0"/>
      </w:pPr>
      <w:r>
        <w:rPr>
          <w:b/>
        </w:rPr>
        <w:t xml:space="preserve"> </w:t>
      </w:r>
    </w:p>
    <w:p w:rsidR="00341298" w:rsidRDefault="00341298" w:rsidP="00341298">
      <w:pPr>
        <w:spacing w:line="249" w:lineRule="auto"/>
        <w:ind w:left="847" w:right="510"/>
      </w:pPr>
      <w:r>
        <w:rPr>
          <w:b/>
        </w:rPr>
        <w:t xml:space="preserve">AIM(S) </w:t>
      </w:r>
    </w:p>
    <w:p w:rsidR="00341298" w:rsidRDefault="00341298" w:rsidP="00341298">
      <w:pPr>
        <w:spacing w:after="0" w:line="259" w:lineRule="auto"/>
        <w:ind w:left="852" w:firstLine="0"/>
      </w:pPr>
      <w:r>
        <w:rPr>
          <w:b/>
        </w:rPr>
        <w:t xml:space="preserve"> </w:t>
      </w:r>
    </w:p>
    <w:p w:rsidR="00341298" w:rsidRDefault="00341298" w:rsidP="00341298">
      <w:pPr>
        <w:numPr>
          <w:ilvl w:val="0"/>
          <w:numId w:val="1"/>
        </w:numPr>
        <w:ind w:right="596" w:hanging="569"/>
      </w:pPr>
      <w:r>
        <w:t>To enable students to explore the various techniques developed to identify, record and analyse the archaeological remains of ships and boats.</w:t>
      </w:r>
      <w:r>
        <w:rPr>
          <w:b/>
        </w:rPr>
        <w:t xml:space="preserve"> </w:t>
      </w:r>
    </w:p>
    <w:p w:rsidR="00341298" w:rsidRDefault="00341298" w:rsidP="00341298">
      <w:pPr>
        <w:spacing w:after="0" w:line="259" w:lineRule="auto"/>
        <w:ind w:left="1704" w:firstLine="0"/>
      </w:pPr>
      <w:r>
        <w:rPr>
          <w:b/>
        </w:rPr>
        <w:t xml:space="preserve"> </w:t>
      </w:r>
    </w:p>
    <w:p w:rsidR="00341298" w:rsidRDefault="00341298" w:rsidP="00341298">
      <w:pPr>
        <w:numPr>
          <w:ilvl w:val="0"/>
          <w:numId w:val="1"/>
        </w:numPr>
        <w:spacing w:line="242" w:lineRule="auto"/>
        <w:ind w:right="596" w:hanging="569"/>
      </w:pPr>
      <w:r>
        <w:t xml:space="preserve">To explore the development of boat and ship building traditions in the Mediterranean from the Pre-dynastic Egyptian period to the late </w:t>
      </w:r>
      <w:proofErr w:type="gramStart"/>
      <w:r>
        <w:t>Medieval</w:t>
      </w:r>
      <w:proofErr w:type="gramEnd"/>
      <w:r>
        <w:t xml:space="preserve"> period.</w:t>
      </w:r>
      <w:r>
        <w:rPr>
          <w:b/>
        </w:rPr>
        <w:t xml:space="preserve"> </w:t>
      </w:r>
    </w:p>
    <w:p w:rsidR="00341298" w:rsidRDefault="00341298" w:rsidP="00341298">
      <w:pPr>
        <w:spacing w:after="0" w:line="259" w:lineRule="auto"/>
        <w:ind w:left="852" w:firstLine="0"/>
      </w:pPr>
      <w:r>
        <w:rPr>
          <w:b/>
        </w:rPr>
        <w:t xml:space="preserve"> </w:t>
      </w:r>
    </w:p>
    <w:p w:rsidR="00341298" w:rsidRDefault="00341298" w:rsidP="00341298">
      <w:pPr>
        <w:spacing w:after="0" w:line="259" w:lineRule="auto"/>
        <w:ind w:left="852" w:firstLine="0"/>
      </w:pPr>
      <w:r>
        <w:rPr>
          <w:b/>
        </w:rPr>
        <w:t xml:space="preserve"> </w:t>
      </w:r>
    </w:p>
    <w:p w:rsidR="00341298" w:rsidRDefault="00341298" w:rsidP="00341298">
      <w:pPr>
        <w:spacing w:line="249" w:lineRule="auto"/>
        <w:ind w:left="847" w:right="510"/>
      </w:pPr>
      <w:r>
        <w:rPr>
          <w:b/>
        </w:rPr>
        <w:t xml:space="preserve">LEARNING OUTCOMES </w:t>
      </w:r>
    </w:p>
    <w:p w:rsidR="00341298" w:rsidRDefault="00341298" w:rsidP="00341298">
      <w:pPr>
        <w:spacing w:after="0" w:line="259" w:lineRule="auto"/>
        <w:ind w:left="852" w:firstLine="0"/>
      </w:pPr>
      <w:r>
        <w:rPr>
          <w:b/>
        </w:rPr>
        <w:t xml:space="preserve"> </w:t>
      </w:r>
    </w:p>
    <w:p w:rsidR="00341298" w:rsidRDefault="00341298" w:rsidP="00341298">
      <w:pPr>
        <w:ind w:left="847" w:right="596"/>
      </w:pPr>
      <w:r>
        <w:t xml:space="preserve">Upon the successful completion of this module, the student should be able to demonstrate: </w:t>
      </w:r>
    </w:p>
    <w:p w:rsidR="00341298" w:rsidRDefault="00341298" w:rsidP="00341298">
      <w:pPr>
        <w:spacing w:after="31" w:line="259" w:lineRule="auto"/>
        <w:ind w:left="1572" w:firstLine="0"/>
      </w:pPr>
      <w:r>
        <w:t xml:space="preserve"> </w:t>
      </w:r>
    </w:p>
    <w:p w:rsidR="00341298" w:rsidRDefault="00341298" w:rsidP="00341298">
      <w:pPr>
        <w:numPr>
          <w:ilvl w:val="0"/>
          <w:numId w:val="1"/>
        </w:numPr>
        <w:ind w:right="596" w:hanging="569"/>
      </w:pPr>
      <w:r>
        <w:t xml:space="preserve">an in-depth knowledge of developments in shipbuilding traditions in the Mediterranean from Pre-dynastic to late Medieval periods; </w:t>
      </w:r>
    </w:p>
    <w:p w:rsidR="00341298" w:rsidRDefault="00341298" w:rsidP="00341298">
      <w:pPr>
        <w:spacing w:after="31" w:line="259" w:lineRule="auto"/>
        <w:ind w:left="1136" w:firstLine="0"/>
      </w:pPr>
      <w:r>
        <w:t xml:space="preserve"> </w:t>
      </w:r>
    </w:p>
    <w:p w:rsidR="00341298" w:rsidRDefault="00341298" w:rsidP="00341298">
      <w:pPr>
        <w:numPr>
          <w:ilvl w:val="0"/>
          <w:numId w:val="1"/>
        </w:numPr>
        <w:ind w:right="596" w:hanging="569"/>
      </w:pPr>
      <w:r>
        <w:t xml:space="preserve">a detailed knowledge of techniques employed in the prospection, excavation and documentation of remains of ships and boats located in and around the Mediterranean; </w:t>
      </w:r>
    </w:p>
    <w:p w:rsidR="00341298" w:rsidRDefault="00341298" w:rsidP="00341298">
      <w:pPr>
        <w:spacing w:after="31" w:line="259" w:lineRule="auto"/>
        <w:ind w:left="1136" w:firstLine="0"/>
      </w:pPr>
      <w:r>
        <w:t xml:space="preserve"> </w:t>
      </w:r>
    </w:p>
    <w:p w:rsidR="00341298" w:rsidRDefault="00341298" w:rsidP="00341298">
      <w:pPr>
        <w:numPr>
          <w:ilvl w:val="0"/>
          <w:numId w:val="1"/>
        </w:numPr>
        <w:ind w:right="596" w:hanging="569"/>
      </w:pPr>
      <w:r>
        <w:t xml:space="preserve">the ability to contextualise major ship and boat finds within their cultural and landscape contexts; </w:t>
      </w:r>
    </w:p>
    <w:p w:rsidR="00341298" w:rsidRDefault="00341298" w:rsidP="00341298">
      <w:pPr>
        <w:spacing w:after="31" w:line="259" w:lineRule="auto"/>
        <w:ind w:left="1572" w:firstLine="0"/>
      </w:pPr>
      <w:r>
        <w:t xml:space="preserve"> </w:t>
      </w:r>
    </w:p>
    <w:p w:rsidR="00341298" w:rsidRDefault="00341298" w:rsidP="00341298">
      <w:pPr>
        <w:numPr>
          <w:ilvl w:val="0"/>
          <w:numId w:val="1"/>
        </w:numPr>
        <w:ind w:right="596" w:hanging="569"/>
      </w:pPr>
      <w:proofErr w:type="gramStart"/>
      <w:r>
        <w:t>the</w:t>
      </w:r>
      <w:proofErr w:type="gramEnd"/>
      <w:r>
        <w:t xml:space="preserve"> ability to critically evaluate the archaeological remains of boats and ships through reference to previous nautical discoveries. </w:t>
      </w:r>
    </w:p>
    <w:p w:rsidR="00341298" w:rsidRDefault="00341298" w:rsidP="00341298">
      <w:pPr>
        <w:spacing w:after="0" w:line="259" w:lineRule="auto"/>
        <w:ind w:left="852" w:firstLine="0"/>
      </w:pPr>
      <w:r>
        <w:t xml:space="preserve"> </w:t>
      </w:r>
    </w:p>
    <w:p w:rsidR="00341298" w:rsidRDefault="00341298" w:rsidP="00341298">
      <w:pPr>
        <w:spacing w:after="0" w:line="259" w:lineRule="auto"/>
        <w:ind w:left="852" w:firstLine="0"/>
      </w:pPr>
      <w:r>
        <w:t xml:space="preserve"> </w:t>
      </w:r>
    </w:p>
    <w:p w:rsidR="00341298" w:rsidRDefault="00341298" w:rsidP="00341298">
      <w:pPr>
        <w:spacing w:line="249" w:lineRule="auto"/>
        <w:ind w:left="847" w:right="510"/>
      </w:pPr>
      <w:r>
        <w:rPr>
          <w:b/>
        </w:rPr>
        <w:t xml:space="preserve">INDICATIVE CONTENT </w:t>
      </w:r>
    </w:p>
    <w:p w:rsidR="00341298" w:rsidRDefault="00341298" w:rsidP="00341298">
      <w:pPr>
        <w:spacing w:after="0" w:line="259" w:lineRule="auto"/>
        <w:ind w:left="852" w:firstLine="0"/>
      </w:pPr>
      <w:r>
        <w:rPr>
          <w:b/>
        </w:rPr>
        <w:t xml:space="preserve"> </w:t>
      </w:r>
    </w:p>
    <w:p w:rsidR="00341298" w:rsidRDefault="00341298" w:rsidP="00341298">
      <w:pPr>
        <w:ind w:left="847" w:right="596"/>
      </w:pPr>
      <w:r>
        <w:t xml:space="preserve">Through a series of lectures, students will be introduced to the development of boats, ships, seafaring and maritime trade in the Mediterranean world. Topics covered include the following broad themes: </w:t>
      </w:r>
    </w:p>
    <w:p w:rsidR="00341298" w:rsidRDefault="00341298" w:rsidP="00341298">
      <w:pPr>
        <w:spacing w:after="0" w:line="259" w:lineRule="auto"/>
        <w:ind w:left="852" w:firstLine="0"/>
      </w:pPr>
      <w:r>
        <w:t xml:space="preserve"> </w:t>
      </w:r>
    </w:p>
    <w:p w:rsidR="00341298" w:rsidRDefault="00341298" w:rsidP="00341298">
      <w:pPr>
        <w:ind w:left="847" w:right="596"/>
      </w:pPr>
      <w:r>
        <w:t xml:space="preserve">Ships and Seafaring in the Bronze Age Mediterranean </w:t>
      </w:r>
    </w:p>
    <w:p w:rsidR="00341298" w:rsidRDefault="00341298" w:rsidP="00341298">
      <w:pPr>
        <w:ind w:left="847" w:right="596"/>
      </w:pPr>
      <w:r>
        <w:t xml:space="preserve">Ships and Seafaring in the Archaic and Classical Periods </w:t>
      </w:r>
    </w:p>
    <w:p w:rsidR="00341298" w:rsidRDefault="00341298" w:rsidP="00341298">
      <w:pPr>
        <w:ind w:left="847" w:right="596"/>
      </w:pPr>
      <w:r>
        <w:t xml:space="preserve">Roman Ships and Seafaring </w:t>
      </w:r>
    </w:p>
    <w:p w:rsidR="00341298" w:rsidRDefault="00341298" w:rsidP="00341298">
      <w:pPr>
        <w:ind w:left="847" w:right="596"/>
      </w:pPr>
      <w:r>
        <w:t xml:space="preserve">Early Medieval Ships and Seafaring in the Byzantine Mediterranean </w:t>
      </w:r>
    </w:p>
    <w:p w:rsidR="00341298" w:rsidRDefault="00341298" w:rsidP="00341298">
      <w:pPr>
        <w:ind w:left="847" w:right="596"/>
      </w:pPr>
      <w:r>
        <w:lastRenderedPageBreak/>
        <w:t xml:space="preserve">Lectures will focus on key sites and topics like </w:t>
      </w:r>
      <w:proofErr w:type="spellStart"/>
      <w:r>
        <w:t>Predynastic</w:t>
      </w:r>
      <w:proofErr w:type="spellEnd"/>
      <w:r>
        <w:t xml:space="preserve"> and Dynastic Egyptian Ships and Seafaring, Khufu’s Boat and the </w:t>
      </w:r>
      <w:proofErr w:type="spellStart"/>
      <w:r>
        <w:t>Dashur</w:t>
      </w:r>
      <w:proofErr w:type="spellEnd"/>
      <w:r>
        <w:t xml:space="preserve"> Boats, Bronze Age Shipwrecks/Cape </w:t>
      </w:r>
      <w:proofErr w:type="spellStart"/>
      <w:r>
        <w:t>Gelidonya</w:t>
      </w:r>
      <w:proofErr w:type="spellEnd"/>
      <w:r>
        <w:t xml:space="preserve"> Shipwreck, the </w:t>
      </w:r>
      <w:proofErr w:type="spellStart"/>
      <w:r>
        <w:t>Uluburun</w:t>
      </w:r>
      <w:proofErr w:type="spellEnd"/>
      <w:r>
        <w:t xml:space="preserve"> Shipwreck, the Bon Porte, </w:t>
      </w:r>
      <w:proofErr w:type="spellStart"/>
      <w:r>
        <w:t>Giglio</w:t>
      </w:r>
      <w:proofErr w:type="spellEnd"/>
      <w:r>
        <w:t xml:space="preserve">, </w:t>
      </w:r>
      <w:proofErr w:type="spellStart"/>
      <w:r>
        <w:t>Ma’agan</w:t>
      </w:r>
      <w:proofErr w:type="spellEnd"/>
      <w:r>
        <w:t xml:space="preserve"> Michael, </w:t>
      </w:r>
      <w:proofErr w:type="spellStart"/>
      <w:r>
        <w:t>Porticello</w:t>
      </w:r>
      <w:proofErr w:type="spellEnd"/>
      <w:r>
        <w:t xml:space="preserve">, </w:t>
      </w:r>
      <w:proofErr w:type="spellStart"/>
      <w:r>
        <w:t>Tektas</w:t>
      </w:r>
      <w:proofErr w:type="spellEnd"/>
      <w:r>
        <w:t xml:space="preserve"> shipwrecks, the </w:t>
      </w:r>
      <w:proofErr w:type="spellStart"/>
      <w:r>
        <w:t>Kyrenia</w:t>
      </w:r>
      <w:proofErr w:type="spellEnd"/>
      <w:r>
        <w:t xml:space="preserve"> Shipwreck, Early Mediterranean Warships, Roman Merchantmen/</w:t>
      </w:r>
      <w:proofErr w:type="spellStart"/>
      <w:r>
        <w:t>Madrague</w:t>
      </w:r>
      <w:proofErr w:type="spellEnd"/>
      <w:r>
        <w:t xml:space="preserve"> de </w:t>
      </w:r>
      <w:proofErr w:type="spellStart"/>
      <w:r>
        <w:t>Giens</w:t>
      </w:r>
      <w:proofErr w:type="spellEnd"/>
      <w:r>
        <w:t xml:space="preserve"> Shipwreck, Anchors and Roman Harbours, Maritime Trade and Transport (</w:t>
      </w:r>
      <w:proofErr w:type="spellStart"/>
      <w:r>
        <w:t>Amphoras</w:t>
      </w:r>
      <w:proofErr w:type="spellEnd"/>
      <w:r>
        <w:t xml:space="preserve">), Byzantine Seafaring, the </w:t>
      </w:r>
      <w:proofErr w:type="spellStart"/>
      <w:r>
        <w:t>Yassiada</w:t>
      </w:r>
      <w:proofErr w:type="spellEnd"/>
      <w:r>
        <w:t xml:space="preserve"> Shipwrecks, and the </w:t>
      </w:r>
      <w:proofErr w:type="spellStart"/>
      <w:r>
        <w:t>Serce</w:t>
      </w:r>
      <w:proofErr w:type="spellEnd"/>
      <w:r>
        <w:t xml:space="preserve"> </w:t>
      </w:r>
      <w:proofErr w:type="spellStart"/>
      <w:r>
        <w:t>Limani</w:t>
      </w:r>
      <w:proofErr w:type="spellEnd"/>
      <w:r>
        <w:t xml:space="preserve"> shipwreck. Students will be encouraged to consider these discoveries within the context of archaeological study of contemporary society rather than as a separate discipline. Ethical and management issues will be explored through seminars addressing topical debates within the sphere of nautical archaeology  </w:t>
      </w:r>
    </w:p>
    <w:p w:rsidR="00341298" w:rsidRDefault="00341298" w:rsidP="00341298">
      <w:pPr>
        <w:spacing w:after="0" w:line="259" w:lineRule="auto"/>
        <w:ind w:left="852" w:firstLine="0"/>
      </w:pPr>
      <w:r>
        <w:t xml:space="preserve"> </w:t>
      </w:r>
    </w:p>
    <w:p w:rsidR="00341298" w:rsidRDefault="00341298" w:rsidP="00341298">
      <w:pPr>
        <w:spacing w:line="249" w:lineRule="auto"/>
        <w:ind w:left="847" w:right="510"/>
      </w:pPr>
      <w:r>
        <w:rPr>
          <w:b/>
        </w:rPr>
        <w:t xml:space="preserve">LEARNING AND TEACHING STRATEGY </w:t>
      </w:r>
    </w:p>
    <w:p w:rsidR="00341298" w:rsidRDefault="00341298" w:rsidP="00341298">
      <w:pPr>
        <w:spacing w:after="0" w:line="259" w:lineRule="auto"/>
        <w:ind w:left="852" w:firstLine="0"/>
      </w:pPr>
      <w:r>
        <w:rPr>
          <w:b/>
        </w:rPr>
        <w:t xml:space="preserve"> </w:t>
      </w:r>
    </w:p>
    <w:p w:rsidR="00341298" w:rsidRDefault="00341298" w:rsidP="00341298">
      <w:pPr>
        <w:ind w:left="847" w:right="596"/>
      </w:pPr>
      <w:r>
        <w:rPr>
          <w:b/>
        </w:rPr>
        <w:t>Lectures</w:t>
      </w:r>
      <w:r>
        <w:t xml:space="preserve"> will introduce the students to the concepts, principles, and practices of the topics studied for the module. Case studies may be used to provide examples and will be used to develop further understanding of what has been learned. </w:t>
      </w:r>
    </w:p>
    <w:p w:rsidR="00341298" w:rsidRDefault="00341298" w:rsidP="00341298">
      <w:pPr>
        <w:spacing w:after="0" w:line="259" w:lineRule="auto"/>
        <w:ind w:left="852" w:firstLine="0"/>
      </w:pPr>
      <w:r>
        <w:t xml:space="preserve"> </w:t>
      </w:r>
    </w:p>
    <w:p w:rsidR="00341298" w:rsidRDefault="00341298" w:rsidP="00341298">
      <w:pPr>
        <w:ind w:left="847" w:right="596"/>
      </w:pPr>
      <w:r>
        <w:rPr>
          <w:b/>
        </w:rPr>
        <w:t>Tutorials</w:t>
      </w:r>
      <w:r>
        <w:t xml:space="preserve"> and </w:t>
      </w:r>
      <w:r>
        <w:rPr>
          <w:b/>
        </w:rPr>
        <w:t>seminars</w:t>
      </w:r>
      <w:r>
        <w:t xml:space="preserve"> are used to support the discussion and critical evaluation of what has been learned, normally in a smaller group size than a lecture.  </w:t>
      </w:r>
    </w:p>
    <w:p w:rsidR="00341298" w:rsidRDefault="00341298" w:rsidP="00341298">
      <w:pPr>
        <w:spacing w:after="0" w:line="259" w:lineRule="auto"/>
        <w:ind w:left="852" w:firstLine="0"/>
      </w:pPr>
      <w:r>
        <w:t xml:space="preserve"> </w:t>
      </w:r>
    </w:p>
    <w:p w:rsidR="00341298" w:rsidRDefault="00341298" w:rsidP="00341298">
      <w:pPr>
        <w:ind w:left="847" w:right="596"/>
      </w:pPr>
      <w:r>
        <w:rPr>
          <w:b/>
        </w:rPr>
        <w:t xml:space="preserve">Guided independent study </w:t>
      </w:r>
      <w:r>
        <w:t xml:space="preserve">allows students to further their independent learning skills with appropriate support provided by the module tutor(s) (e.g. preparation for lectures and seminars, follow-up work, background reading, revision, completion of assessment tasks). </w:t>
      </w:r>
    </w:p>
    <w:p w:rsidR="00341298" w:rsidRDefault="00341298" w:rsidP="00341298">
      <w:pPr>
        <w:spacing w:after="0" w:line="259" w:lineRule="auto"/>
        <w:ind w:left="852" w:firstLine="0"/>
      </w:pPr>
      <w:r>
        <w:t xml:space="preserve"> </w:t>
      </w:r>
    </w:p>
    <w:p w:rsidR="00341298" w:rsidRDefault="00341298" w:rsidP="00341298">
      <w:pPr>
        <w:ind w:left="847" w:right="596"/>
      </w:pPr>
      <w:r>
        <w:t xml:space="preserve">The allocation of teaching to deliver the module is: </w:t>
      </w:r>
    </w:p>
    <w:p w:rsidR="00341298" w:rsidRDefault="00341298" w:rsidP="00341298">
      <w:pPr>
        <w:spacing w:after="0" w:line="259" w:lineRule="auto"/>
        <w:ind w:left="852" w:firstLine="0"/>
      </w:pPr>
      <w:r>
        <w:t xml:space="preserve"> </w:t>
      </w:r>
    </w:p>
    <w:tbl>
      <w:tblPr>
        <w:tblStyle w:val="TableGrid"/>
        <w:tblW w:w="7516" w:type="dxa"/>
        <w:tblInd w:w="965" w:type="dxa"/>
        <w:tblCellMar>
          <w:top w:w="7" w:type="dxa"/>
          <w:left w:w="108" w:type="dxa"/>
          <w:right w:w="115" w:type="dxa"/>
        </w:tblCellMar>
        <w:tblLook w:val="04A0" w:firstRow="1" w:lastRow="0" w:firstColumn="1" w:lastColumn="0" w:noHBand="0" w:noVBand="1"/>
      </w:tblPr>
      <w:tblGrid>
        <w:gridCol w:w="3970"/>
        <w:gridCol w:w="1702"/>
        <w:gridCol w:w="1844"/>
      </w:tblGrid>
      <w:tr w:rsidR="00341298" w:rsidTr="002804CF">
        <w:trPr>
          <w:trHeight w:val="264"/>
        </w:trPr>
        <w:tc>
          <w:tcPr>
            <w:tcW w:w="3970"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0" w:firstLine="0"/>
            </w:pPr>
            <w:r>
              <w:rPr>
                <w:b/>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7" w:firstLine="0"/>
              <w:jc w:val="center"/>
            </w:pPr>
            <w:r>
              <w:rPr>
                <w:b/>
              </w:rPr>
              <w:t xml:space="preserve">Hours </w:t>
            </w:r>
          </w:p>
        </w:tc>
        <w:tc>
          <w:tcPr>
            <w:tcW w:w="1844"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9" w:firstLine="0"/>
              <w:jc w:val="center"/>
            </w:pPr>
            <w:r>
              <w:rPr>
                <w:b/>
              </w:rPr>
              <w:t xml:space="preserve">Percentage </w:t>
            </w:r>
          </w:p>
        </w:tc>
      </w:tr>
      <w:tr w:rsidR="00341298" w:rsidTr="002804CF">
        <w:trPr>
          <w:trHeight w:val="264"/>
        </w:trPr>
        <w:tc>
          <w:tcPr>
            <w:tcW w:w="3970"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0" w:firstLine="0"/>
            </w:pPr>
            <w: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5" w:firstLine="0"/>
              <w:jc w:val="center"/>
            </w:pPr>
            <w:r>
              <w:t xml:space="preserve">30 </w:t>
            </w:r>
          </w:p>
        </w:tc>
        <w:tc>
          <w:tcPr>
            <w:tcW w:w="1844"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6" w:firstLine="0"/>
              <w:jc w:val="center"/>
            </w:pPr>
            <w:r>
              <w:t xml:space="preserve">15% </w:t>
            </w:r>
          </w:p>
        </w:tc>
      </w:tr>
      <w:tr w:rsidR="00341298" w:rsidTr="002804CF">
        <w:trPr>
          <w:trHeight w:val="262"/>
        </w:trPr>
        <w:tc>
          <w:tcPr>
            <w:tcW w:w="3970"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0" w:firstLine="0"/>
            </w:pPr>
            <w: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7" w:firstLine="0"/>
              <w:jc w:val="center"/>
            </w:pPr>
            <w:r>
              <w:t xml:space="preserve">170 </w:t>
            </w:r>
          </w:p>
        </w:tc>
        <w:tc>
          <w:tcPr>
            <w:tcW w:w="1844"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6" w:firstLine="0"/>
              <w:jc w:val="center"/>
            </w:pPr>
            <w:r>
              <w:t xml:space="preserve">85% </w:t>
            </w:r>
          </w:p>
        </w:tc>
      </w:tr>
      <w:tr w:rsidR="00341298" w:rsidTr="002804CF">
        <w:trPr>
          <w:trHeight w:val="264"/>
        </w:trPr>
        <w:tc>
          <w:tcPr>
            <w:tcW w:w="3970"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0" w:firstLine="0"/>
            </w:pPr>
            <w: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67" w:firstLine="0"/>
              <w:jc w:val="center"/>
            </w:pPr>
            <w:r>
              <w:t xml:space="preserve"> </w:t>
            </w:r>
          </w:p>
        </w:tc>
        <w:tc>
          <w:tcPr>
            <w:tcW w:w="1844"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68" w:firstLine="0"/>
              <w:jc w:val="center"/>
            </w:pPr>
            <w:r>
              <w:t xml:space="preserve"> </w:t>
            </w:r>
          </w:p>
        </w:tc>
      </w:tr>
      <w:tr w:rsidR="00341298" w:rsidTr="002804CF">
        <w:trPr>
          <w:trHeight w:val="262"/>
        </w:trPr>
        <w:tc>
          <w:tcPr>
            <w:tcW w:w="3970"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0" w:firstLine="0"/>
            </w:pPr>
            <w:r>
              <w:rPr>
                <w:b/>
              </w:rPr>
              <w:t>TOTAL</w:t>
            </w:r>
            <w:r>
              <w:t xml:space="preserve"> </w:t>
            </w:r>
          </w:p>
        </w:tc>
        <w:tc>
          <w:tcPr>
            <w:tcW w:w="1702"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7" w:firstLine="0"/>
              <w:jc w:val="center"/>
            </w:pPr>
            <w:r>
              <w:rPr>
                <w:b/>
              </w:rPr>
              <w:t xml:space="preserve">200 </w:t>
            </w:r>
          </w:p>
        </w:tc>
        <w:tc>
          <w:tcPr>
            <w:tcW w:w="1844"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9" w:firstLine="0"/>
              <w:jc w:val="center"/>
            </w:pPr>
            <w:r>
              <w:rPr>
                <w:b/>
              </w:rPr>
              <w:t xml:space="preserve">100% </w:t>
            </w:r>
          </w:p>
        </w:tc>
      </w:tr>
    </w:tbl>
    <w:p w:rsidR="00341298" w:rsidRDefault="00341298" w:rsidP="00341298">
      <w:pPr>
        <w:spacing w:after="0" w:line="259" w:lineRule="auto"/>
        <w:ind w:left="852" w:firstLine="0"/>
      </w:pPr>
      <w:r>
        <w:rPr>
          <w:i/>
        </w:rPr>
        <w:t xml:space="preserve"> </w:t>
      </w:r>
    </w:p>
    <w:p w:rsidR="00341298" w:rsidRDefault="00341298" w:rsidP="00341298">
      <w:pPr>
        <w:spacing w:line="249" w:lineRule="auto"/>
        <w:ind w:left="847" w:right="510"/>
      </w:pPr>
      <w:r>
        <w:rPr>
          <w:b/>
        </w:rPr>
        <w:t xml:space="preserve">ASSESSMENT </w:t>
      </w:r>
    </w:p>
    <w:p w:rsidR="00341298" w:rsidRDefault="00341298" w:rsidP="00341298">
      <w:pPr>
        <w:spacing w:after="0" w:line="259" w:lineRule="auto"/>
        <w:ind w:left="852" w:firstLine="0"/>
      </w:pPr>
      <w:r>
        <w:rPr>
          <w:b/>
        </w:rPr>
        <w:t xml:space="preserve"> </w:t>
      </w:r>
    </w:p>
    <w:p w:rsidR="00341298" w:rsidRDefault="00341298" w:rsidP="00341298">
      <w:pPr>
        <w:spacing w:line="249" w:lineRule="auto"/>
        <w:ind w:left="847" w:right="510"/>
      </w:pPr>
      <w:r>
        <w:rPr>
          <w:b/>
        </w:rPr>
        <w:t xml:space="preserve">Assessment Component 1 – </w:t>
      </w:r>
      <w:r>
        <w:t>50</w:t>
      </w:r>
      <w:r>
        <w:rPr>
          <w:b/>
        </w:rPr>
        <w:t xml:space="preserve">% </w:t>
      </w:r>
    </w:p>
    <w:p w:rsidR="00341298" w:rsidRDefault="00341298" w:rsidP="00341298">
      <w:pPr>
        <w:spacing w:after="0" w:line="259" w:lineRule="auto"/>
        <w:ind w:left="852" w:firstLine="0"/>
      </w:pPr>
      <w:r>
        <w:rPr>
          <w:b/>
        </w:rPr>
        <w:t xml:space="preserve"> </w:t>
      </w:r>
    </w:p>
    <w:p w:rsidR="00341298" w:rsidRDefault="00341298" w:rsidP="00341298">
      <w:pPr>
        <w:ind w:left="847" w:right="596"/>
      </w:pPr>
      <w:r>
        <w:t xml:space="preserve">2500 word assignment </w:t>
      </w:r>
    </w:p>
    <w:p w:rsidR="00341298" w:rsidRDefault="00341298" w:rsidP="00341298">
      <w:pPr>
        <w:spacing w:after="0" w:line="259" w:lineRule="auto"/>
        <w:ind w:left="852" w:firstLine="0"/>
      </w:pPr>
      <w:r>
        <w:rPr>
          <w:b/>
        </w:rPr>
        <w:t xml:space="preserve"> </w:t>
      </w:r>
    </w:p>
    <w:p w:rsidR="00341298" w:rsidRDefault="00341298" w:rsidP="00341298">
      <w:pPr>
        <w:spacing w:line="249" w:lineRule="auto"/>
        <w:ind w:left="847" w:right="510"/>
      </w:pPr>
      <w:r>
        <w:rPr>
          <w:b/>
        </w:rPr>
        <w:t xml:space="preserve">Assessment Component 2 – </w:t>
      </w:r>
      <w:r>
        <w:t>50</w:t>
      </w:r>
      <w:r>
        <w:rPr>
          <w:b/>
        </w:rPr>
        <w:t xml:space="preserve">% </w:t>
      </w:r>
    </w:p>
    <w:p w:rsidR="00341298" w:rsidRDefault="00341298" w:rsidP="00341298">
      <w:pPr>
        <w:spacing w:after="0" w:line="259" w:lineRule="auto"/>
        <w:ind w:left="852" w:firstLine="0"/>
      </w:pPr>
      <w:r>
        <w:rPr>
          <w:b/>
        </w:rPr>
        <w:t xml:space="preserve"> </w:t>
      </w:r>
    </w:p>
    <w:p w:rsidR="00341298" w:rsidRDefault="00341298" w:rsidP="00341298">
      <w:pPr>
        <w:ind w:left="847" w:right="596"/>
      </w:pPr>
      <w:r>
        <w:t xml:space="preserve">Two hour examination </w:t>
      </w:r>
    </w:p>
    <w:p w:rsidR="00341298" w:rsidRDefault="00341298" w:rsidP="00341298">
      <w:pPr>
        <w:spacing w:after="0" w:line="259" w:lineRule="auto"/>
        <w:ind w:left="852" w:firstLine="0"/>
      </w:pPr>
      <w:r>
        <w:rPr>
          <w:b/>
        </w:rPr>
        <w:t xml:space="preserve"> </w:t>
      </w:r>
    </w:p>
    <w:p w:rsidR="00341298" w:rsidRDefault="00341298" w:rsidP="00341298">
      <w:pPr>
        <w:ind w:left="847" w:right="596"/>
      </w:pPr>
      <w:r>
        <w:t xml:space="preserve">Exemplar: Consider the role of model building and replica testing in our understanding of the function of the </w:t>
      </w:r>
      <w:proofErr w:type="spellStart"/>
      <w:r>
        <w:t>Kyrenia</w:t>
      </w:r>
      <w:proofErr w:type="spellEnd"/>
      <w:r>
        <w:t xml:space="preserve"> ship. </w:t>
      </w:r>
    </w:p>
    <w:p w:rsidR="00341298" w:rsidRDefault="00341298" w:rsidP="00341298">
      <w:pPr>
        <w:spacing w:after="0" w:line="259" w:lineRule="auto"/>
        <w:ind w:left="852" w:firstLine="0"/>
      </w:pPr>
      <w:r>
        <w:t xml:space="preserve"> </w:t>
      </w:r>
    </w:p>
    <w:p w:rsidR="00341298" w:rsidRDefault="00341298" w:rsidP="00341298">
      <w:pPr>
        <w:spacing w:line="249" w:lineRule="auto"/>
        <w:ind w:left="847" w:right="510"/>
      </w:pPr>
      <w:r>
        <w:rPr>
          <w:b/>
        </w:rPr>
        <w:t xml:space="preserve">Assessment Summary </w:t>
      </w:r>
    </w:p>
    <w:tbl>
      <w:tblPr>
        <w:tblStyle w:val="TableGrid"/>
        <w:tblW w:w="5103" w:type="dxa"/>
        <w:tblInd w:w="965" w:type="dxa"/>
        <w:tblCellMar>
          <w:top w:w="7" w:type="dxa"/>
          <w:left w:w="108" w:type="dxa"/>
          <w:right w:w="115" w:type="dxa"/>
        </w:tblCellMar>
        <w:tblLook w:val="04A0" w:firstRow="1" w:lastRow="0" w:firstColumn="1" w:lastColumn="0" w:noHBand="0" w:noVBand="1"/>
      </w:tblPr>
      <w:tblGrid>
        <w:gridCol w:w="3262"/>
        <w:gridCol w:w="1841"/>
      </w:tblGrid>
      <w:tr w:rsidR="00341298" w:rsidTr="002804CF">
        <w:trPr>
          <w:trHeight w:val="264"/>
        </w:trPr>
        <w:tc>
          <w:tcPr>
            <w:tcW w:w="3262"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0" w:firstLine="0"/>
            </w:pPr>
            <w:r>
              <w:rPr>
                <w:b/>
              </w:rPr>
              <w:lastRenderedPageBreak/>
              <w:t xml:space="preserve">Activity type </w:t>
            </w:r>
          </w:p>
        </w:tc>
        <w:tc>
          <w:tcPr>
            <w:tcW w:w="1841"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7" w:firstLine="0"/>
              <w:jc w:val="center"/>
            </w:pPr>
            <w:r>
              <w:rPr>
                <w:b/>
              </w:rPr>
              <w:t xml:space="preserve">Percentage </w:t>
            </w:r>
          </w:p>
        </w:tc>
      </w:tr>
      <w:tr w:rsidR="00341298" w:rsidTr="002804CF">
        <w:trPr>
          <w:trHeight w:val="262"/>
        </w:trPr>
        <w:tc>
          <w:tcPr>
            <w:tcW w:w="3262"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0" w:firstLine="0"/>
            </w:pPr>
            <w:r>
              <w:t xml:space="preserve">Written exam </w:t>
            </w:r>
          </w:p>
        </w:tc>
        <w:tc>
          <w:tcPr>
            <w:tcW w:w="1841"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4" w:firstLine="0"/>
              <w:jc w:val="center"/>
            </w:pPr>
            <w:r>
              <w:t xml:space="preserve">50% </w:t>
            </w:r>
          </w:p>
        </w:tc>
      </w:tr>
      <w:tr w:rsidR="00341298" w:rsidTr="002804CF">
        <w:trPr>
          <w:trHeight w:val="264"/>
        </w:trPr>
        <w:tc>
          <w:tcPr>
            <w:tcW w:w="3262"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0" w:firstLine="0"/>
            </w:pPr>
            <w:r>
              <w:t xml:space="preserve">Coursework </w:t>
            </w:r>
          </w:p>
        </w:tc>
        <w:tc>
          <w:tcPr>
            <w:tcW w:w="1841"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4" w:firstLine="0"/>
              <w:jc w:val="center"/>
            </w:pPr>
            <w:r>
              <w:t xml:space="preserve">50% </w:t>
            </w:r>
          </w:p>
        </w:tc>
      </w:tr>
      <w:tr w:rsidR="00341298" w:rsidTr="002804CF">
        <w:trPr>
          <w:trHeight w:val="262"/>
        </w:trPr>
        <w:tc>
          <w:tcPr>
            <w:tcW w:w="3262"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0" w:firstLine="0"/>
            </w:pPr>
            <w:r>
              <w:t xml:space="preserve">Practical </w:t>
            </w:r>
          </w:p>
        </w:tc>
        <w:tc>
          <w:tcPr>
            <w:tcW w:w="1841"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66" w:firstLine="0"/>
              <w:jc w:val="center"/>
            </w:pPr>
            <w:r>
              <w:t xml:space="preserve"> </w:t>
            </w:r>
          </w:p>
        </w:tc>
      </w:tr>
      <w:tr w:rsidR="00341298" w:rsidTr="002804CF">
        <w:trPr>
          <w:trHeight w:val="264"/>
        </w:trPr>
        <w:tc>
          <w:tcPr>
            <w:tcW w:w="3262"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0" w:firstLine="0"/>
            </w:pPr>
            <w:r>
              <w:rPr>
                <w:b/>
              </w:rPr>
              <w:t>TOTAL</w:t>
            </w:r>
            <w:r>
              <w:t xml:space="preserve"> </w:t>
            </w:r>
          </w:p>
        </w:tc>
        <w:tc>
          <w:tcPr>
            <w:tcW w:w="1841"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6" w:firstLine="0"/>
              <w:jc w:val="center"/>
            </w:pPr>
            <w:r>
              <w:rPr>
                <w:b/>
              </w:rPr>
              <w:t xml:space="preserve">100% </w:t>
            </w:r>
          </w:p>
        </w:tc>
      </w:tr>
    </w:tbl>
    <w:p w:rsidR="00341298" w:rsidRDefault="00341298" w:rsidP="00341298">
      <w:pPr>
        <w:spacing w:after="0" w:line="259" w:lineRule="auto"/>
        <w:ind w:left="852" w:firstLine="0"/>
      </w:pPr>
      <w:r>
        <w:rPr>
          <w:b/>
        </w:rPr>
        <w:t xml:space="preserve"> </w:t>
      </w:r>
    </w:p>
    <w:p w:rsidR="00341298" w:rsidRDefault="00341298" w:rsidP="00341298">
      <w:pPr>
        <w:spacing w:line="249" w:lineRule="auto"/>
        <w:ind w:left="847" w:right="510"/>
      </w:pPr>
      <w:r>
        <w:rPr>
          <w:b/>
        </w:rPr>
        <w:t xml:space="preserve">EDUCATION FOR SUSTAINABLE DEVELOPMENT (ESD) </w:t>
      </w:r>
    </w:p>
    <w:p w:rsidR="00341298" w:rsidRDefault="00341298" w:rsidP="00341298">
      <w:pPr>
        <w:spacing w:after="0" w:line="259" w:lineRule="auto"/>
        <w:ind w:left="852" w:firstLine="0"/>
      </w:pPr>
      <w:r>
        <w:t xml:space="preserve"> </w:t>
      </w:r>
    </w:p>
    <w:tbl>
      <w:tblPr>
        <w:tblStyle w:val="TableGrid"/>
        <w:tblW w:w="8298" w:type="dxa"/>
        <w:tblInd w:w="857" w:type="dxa"/>
        <w:tblCellMar>
          <w:top w:w="9" w:type="dxa"/>
          <w:left w:w="108" w:type="dxa"/>
          <w:right w:w="115" w:type="dxa"/>
        </w:tblCellMar>
        <w:tblLook w:val="04A0" w:firstRow="1" w:lastRow="0" w:firstColumn="1" w:lastColumn="0" w:noHBand="0" w:noVBand="1"/>
      </w:tblPr>
      <w:tblGrid>
        <w:gridCol w:w="4189"/>
        <w:gridCol w:w="4109"/>
      </w:tblGrid>
      <w:tr w:rsidR="00341298" w:rsidTr="002804CF">
        <w:trPr>
          <w:trHeight w:val="264"/>
        </w:trPr>
        <w:tc>
          <w:tcPr>
            <w:tcW w:w="4189" w:type="dxa"/>
            <w:vMerge w:val="restart"/>
            <w:tcBorders>
              <w:top w:val="single" w:sz="4" w:space="0" w:color="000000"/>
              <w:left w:val="single" w:sz="4" w:space="0" w:color="000000"/>
              <w:bottom w:val="single" w:sz="4" w:space="0" w:color="000000"/>
              <w:right w:val="single" w:sz="4" w:space="0" w:color="000000"/>
            </w:tcBorders>
            <w:vAlign w:val="center"/>
          </w:tcPr>
          <w:p w:rsidR="00341298" w:rsidRDefault="00341298" w:rsidP="002804CF">
            <w:pPr>
              <w:spacing w:after="0" w:line="259" w:lineRule="auto"/>
              <w:ind w:left="0" w:firstLine="0"/>
            </w:pPr>
            <w:r>
              <w:t xml:space="preserve">Does the module contribute to ESD? </w:t>
            </w:r>
          </w:p>
        </w:tc>
        <w:tc>
          <w:tcPr>
            <w:tcW w:w="4110"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0" w:firstLine="0"/>
            </w:pPr>
            <w:r>
              <w:t xml:space="preserve">Yes </w:t>
            </w:r>
          </w:p>
        </w:tc>
      </w:tr>
      <w:tr w:rsidR="00341298" w:rsidTr="002804CF">
        <w:trPr>
          <w:trHeight w:val="264"/>
        </w:trPr>
        <w:tc>
          <w:tcPr>
            <w:tcW w:w="0" w:type="auto"/>
            <w:vMerge/>
            <w:tcBorders>
              <w:top w:val="nil"/>
              <w:left w:val="single" w:sz="4" w:space="0" w:color="000000"/>
              <w:bottom w:val="single" w:sz="4" w:space="0" w:color="000000"/>
              <w:right w:val="single" w:sz="4" w:space="0" w:color="000000"/>
            </w:tcBorders>
          </w:tcPr>
          <w:p w:rsidR="00341298" w:rsidRDefault="00341298" w:rsidP="002804CF">
            <w:pPr>
              <w:spacing w:after="160" w:line="259" w:lineRule="auto"/>
              <w:ind w:left="0" w:firstLine="0"/>
            </w:pPr>
          </w:p>
        </w:tc>
        <w:tc>
          <w:tcPr>
            <w:tcW w:w="4110" w:type="dxa"/>
            <w:tcBorders>
              <w:top w:val="single" w:sz="4" w:space="0" w:color="000000"/>
              <w:left w:val="single" w:sz="4" w:space="0" w:color="000000"/>
              <w:bottom w:val="single" w:sz="4" w:space="0" w:color="000000"/>
              <w:right w:val="single" w:sz="4" w:space="0" w:color="000000"/>
            </w:tcBorders>
          </w:tcPr>
          <w:p w:rsidR="00341298" w:rsidRDefault="00341298" w:rsidP="002804CF">
            <w:pPr>
              <w:spacing w:after="0" w:line="259" w:lineRule="auto"/>
              <w:ind w:left="0" w:firstLine="0"/>
            </w:pPr>
            <w:r>
              <w:t xml:space="preserve"> </w:t>
            </w:r>
          </w:p>
        </w:tc>
      </w:tr>
    </w:tbl>
    <w:p w:rsidR="00341298" w:rsidRDefault="00341298" w:rsidP="00341298">
      <w:pPr>
        <w:pBdr>
          <w:top w:val="single" w:sz="4" w:space="0" w:color="000000"/>
          <w:left w:val="single" w:sz="4" w:space="0" w:color="000000"/>
          <w:bottom w:val="single" w:sz="4" w:space="0" w:color="000000"/>
          <w:right w:val="single" w:sz="4" w:space="0" w:color="000000"/>
        </w:pBdr>
        <w:spacing w:line="249" w:lineRule="auto"/>
        <w:ind w:left="975" w:right="702"/>
      </w:pPr>
      <w:r>
        <w:t xml:space="preserve">If yes please provide brief details (no more than 100 words): </w:t>
      </w:r>
    </w:p>
    <w:p w:rsidR="00341298" w:rsidRDefault="00341298" w:rsidP="00341298">
      <w:pPr>
        <w:pBdr>
          <w:top w:val="single" w:sz="4" w:space="0" w:color="000000"/>
          <w:left w:val="single" w:sz="4" w:space="0" w:color="000000"/>
          <w:bottom w:val="single" w:sz="4" w:space="0" w:color="000000"/>
          <w:right w:val="single" w:sz="4" w:space="0" w:color="000000"/>
        </w:pBdr>
        <w:spacing w:after="0" w:line="259" w:lineRule="auto"/>
        <w:ind w:left="965" w:right="702" w:firstLine="0"/>
      </w:pPr>
      <w:r>
        <w:t xml:space="preserve"> </w:t>
      </w:r>
    </w:p>
    <w:p w:rsidR="00341298" w:rsidRDefault="00341298" w:rsidP="00341298">
      <w:pPr>
        <w:pBdr>
          <w:top w:val="single" w:sz="4" w:space="0" w:color="000000"/>
          <w:left w:val="single" w:sz="4" w:space="0" w:color="000000"/>
          <w:bottom w:val="single" w:sz="4" w:space="0" w:color="000000"/>
          <w:right w:val="single" w:sz="4" w:space="0" w:color="000000"/>
        </w:pBdr>
        <w:spacing w:after="31" w:line="249" w:lineRule="auto"/>
        <w:ind w:left="975" w:right="702"/>
      </w:pPr>
      <w:r>
        <w:t xml:space="preserve">This module is designed in line with 2 of the 5 pedagogic approaches to sustainable development identified by UNESCO: </w:t>
      </w:r>
    </w:p>
    <w:p w:rsidR="00341298" w:rsidRDefault="00341298" w:rsidP="00341298">
      <w:pPr>
        <w:numPr>
          <w:ilvl w:val="0"/>
          <w:numId w:val="2"/>
        </w:numPr>
        <w:pBdr>
          <w:top w:val="single" w:sz="4" w:space="0" w:color="000000"/>
          <w:left w:val="single" w:sz="4" w:space="0" w:color="000000"/>
          <w:bottom w:val="single" w:sz="4" w:space="0" w:color="000000"/>
          <w:right w:val="single" w:sz="4" w:space="0" w:color="000000"/>
        </w:pBdr>
        <w:spacing w:line="249" w:lineRule="auto"/>
        <w:ind w:right="702" w:hanging="873"/>
      </w:pPr>
      <w:r>
        <w:t xml:space="preserve">Critical and Creative thinking  </w:t>
      </w:r>
    </w:p>
    <w:p w:rsidR="00341298" w:rsidRDefault="00341298" w:rsidP="00341298">
      <w:pPr>
        <w:numPr>
          <w:ilvl w:val="0"/>
          <w:numId w:val="2"/>
        </w:numPr>
        <w:pBdr>
          <w:top w:val="single" w:sz="4" w:space="0" w:color="000000"/>
          <w:left w:val="single" w:sz="4" w:space="0" w:color="000000"/>
          <w:bottom w:val="single" w:sz="4" w:space="0" w:color="000000"/>
          <w:right w:val="single" w:sz="4" w:space="0" w:color="000000"/>
        </w:pBdr>
        <w:spacing w:line="249" w:lineRule="auto"/>
        <w:ind w:right="702" w:hanging="873"/>
      </w:pPr>
      <w:r>
        <w:t xml:space="preserve">Systemic thinking </w:t>
      </w:r>
    </w:p>
    <w:p w:rsidR="00341298" w:rsidRDefault="00341298" w:rsidP="00341298">
      <w:pPr>
        <w:pBdr>
          <w:top w:val="single" w:sz="4" w:space="0" w:color="000000"/>
          <w:left w:val="single" w:sz="4" w:space="0" w:color="000000"/>
          <w:bottom w:val="single" w:sz="4" w:space="0" w:color="000000"/>
          <w:right w:val="single" w:sz="4" w:space="0" w:color="000000"/>
        </w:pBdr>
        <w:spacing w:after="0" w:line="259" w:lineRule="auto"/>
        <w:ind w:left="965" w:right="702" w:firstLine="0"/>
      </w:pPr>
      <w:r>
        <w:t xml:space="preserve">  </w:t>
      </w:r>
    </w:p>
    <w:p w:rsidR="00341298" w:rsidRDefault="00341298" w:rsidP="00341298">
      <w:pPr>
        <w:pBdr>
          <w:top w:val="single" w:sz="4" w:space="0" w:color="000000"/>
          <w:left w:val="single" w:sz="4" w:space="0" w:color="000000"/>
          <w:bottom w:val="single" w:sz="4" w:space="0" w:color="000000"/>
          <w:right w:val="single" w:sz="4" w:space="0" w:color="000000"/>
        </w:pBdr>
        <w:spacing w:line="249" w:lineRule="auto"/>
        <w:ind w:left="975" w:right="702"/>
      </w:pPr>
      <w:r>
        <w:t xml:space="preserve">The module seeks to helps the student develop the fundamental skills of research and visual inquiry. This forms part of the sustainable assessment/sustainable teaching agenda which sees the assessment process as developing skills that can be used beyond the end of the programme of study and also the skills the individuals need to know in terms of working, learning and thriving in a future which is as yet unknown.  </w:t>
      </w:r>
    </w:p>
    <w:p w:rsidR="00341298" w:rsidRDefault="00341298" w:rsidP="00341298">
      <w:pPr>
        <w:pBdr>
          <w:top w:val="single" w:sz="4" w:space="0" w:color="000000"/>
          <w:left w:val="single" w:sz="4" w:space="0" w:color="000000"/>
          <w:bottom w:val="single" w:sz="4" w:space="0" w:color="000000"/>
          <w:right w:val="single" w:sz="4" w:space="0" w:color="000000"/>
        </w:pBdr>
        <w:spacing w:after="0" w:line="259" w:lineRule="auto"/>
        <w:ind w:left="965" w:right="702" w:firstLine="0"/>
      </w:pPr>
      <w:r>
        <w:t xml:space="preserve">  </w:t>
      </w:r>
    </w:p>
    <w:p w:rsidR="00341298" w:rsidRDefault="00341298" w:rsidP="00341298">
      <w:pPr>
        <w:pBdr>
          <w:top w:val="single" w:sz="4" w:space="0" w:color="000000"/>
          <w:left w:val="single" w:sz="4" w:space="0" w:color="000000"/>
          <w:bottom w:val="single" w:sz="4" w:space="0" w:color="000000"/>
          <w:right w:val="single" w:sz="4" w:space="0" w:color="000000"/>
        </w:pBdr>
        <w:spacing w:line="249" w:lineRule="auto"/>
        <w:ind w:left="975" w:right="702"/>
      </w:pPr>
      <w:r>
        <w:t xml:space="preserve">The module reflects upon broadly defined issues of sustainability, with historical study exploring social, ethical, cultural and economic issues. </w:t>
      </w:r>
    </w:p>
    <w:p w:rsidR="00341298" w:rsidRDefault="00341298" w:rsidP="00341298">
      <w:pPr>
        <w:pBdr>
          <w:top w:val="single" w:sz="4" w:space="0" w:color="000000"/>
          <w:left w:val="single" w:sz="4" w:space="0" w:color="000000"/>
          <w:bottom w:val="single" w:sz="4" w:space="0" w:color="000000"/>
          <w:right w:val="single" w:sz="4" w:space="0" w:color="000000"/>
        </w:pBdr>
        <w:spacing w:after="0" w:line="259" w:lineRule="auto"/>
        <w:ind w:left="965" w:right="702" w:firstLine="0"/>
      </w:pPr>
      <w:r>
        <w:t xml:space="preserve"> </w:t>
      </w:r>
    </w:p>
    <w:p w:rsidR="00341298" w:rsidRDefault="00341298" w:rsidP="00341298">
      <w:pPr>
        <w:spacing w:after="0" w:line="259" w:lineRule="auto"/>
        <w:ind w:left="852" w:firstLine="0"/>
      </w:pPr>
      <w:r>
        <w:t xml:space="preserve"> </w:t>
      </w:r>
    </w:p>
    <w:p w:rsidR="00341298" w:rsidRDefault="00341298" w:rsidP="00341298">
      <w:pPr>
        <w:spacing w:line="249" w:lineRule="auto"/>
        <w:ind w:left="847" w:right="510"/>
      </w:pPr>
      <w:r>
        <w:rPr>
          <w:b/>
        </w:rPr>
        <w:t xml:space="preserve">BIBLIOGRAPHY </w:t>
      </w:r>
    </w:p>
    <w:p w:rsidR="00341298" w:rsidRDefault="00341298" w:rsidP="00341298">
      <w:pPr>
        <w:spacing w:after="0" w:line="259" w:lineRule="auto"/>
        <w:ind w:left="852" w:firstLine="0"/>
      </w:pPr>
      <w:r>
        <w:rPr>
          <w:b/>
        </w:rPr>
        <w:t xml:space="preserve"> </w:t>
      </w:r>
    </w:p>
    <w:p w:rsidR="00341298" w:rsidRDefault="00341298" w:rsidP="00341298">
      <w:pPr>
        <w:spacing w:line="249" w:lineRule="auto"/>
        <w:ind w:left="847" w:right="510"/>
      </w:pPr>
      <w:r>
        <w:rPr>
          <w:b/>
        </w:rPr>
        <w:t xml:space="preserve">Essential </w:t>
      </w:r>
    </w:p>
    <w:p w:rsidR="00341298" w:rsidRDefault="00341298" w:rsidP="00341298">
      <w:pPr>
        <w:spacing w:after="0" w:line="259" w:lineRule="auto"/>
        <w:ind w:left="852" w:firstLine="0"/>
      </w:pPr>
      <w:r>
        <w:rPr>
          <w:b/>
        </w:rPr>
        <w:t xml:space="preserve"> </w:t>
      </w:r>
    </w:p>
    <w:p w:rsidR="00341298" w:rsidRDefault="00341298" w:rsidP="00341298">
      <w:pPr>
        <w:ind w:left="847" w:right="596"/>
      </w:pPr>
      <w:r>
        <w:t xml:space="preserve">Bowens, A., &amp; Nautical Archaeology Society. 2009. </w:t>
      </w:r>
      <w:r>
        <w:rPr>
          <w:i/>
        </w:rPr>
        <w:t>Underwater archaeology: The NAS guide to principles and practice</w:t>
      </w:r>
      <w:r>
        <w:t xml:space="preserve">. Malden, MA: Blackwell Pub.  </w:t>
      </w:r>
    </w:p>
    <w:p w:rsidR="00341298" w:rsidRDefault="00341298" w:rsidP="00341298">
      <w:pPr>
        <w:ind w:left="847" w:right="596"/>
      </w:pPr>
      <w:r>
        <w:t xml:space="preserve">Casson, L. 1995. </w:t>
      </w:r>
      <w:bookmarkStart w:id="0" w:name="_GoBack"/>
      <w:r>
        <w:rPr>
          <w:i/>
        </w:rPr>
        <w:t>Ships and Seamanship in the Ancient World</w:t>
      </w:r>
      <w:bookmarkEnd w:id="0"/>
      <w:r>
        <w:t xml:space="preserve">. The Johns Hopkins University Press </w:t>
      </w:r>
    </w:p>
    <w:p w:rsidR="00341298" w:rsidRDefault="00341298" w:rsidP="00341298">
      <w:pPr>
        <w:ind w:left="847" w:right="596"/>
      </w:pPr>
      <w:proofErr w:type="spellStart"/>
      <w:r>
        <w:t>Catsambis</w:t>
      </w:r>
      <w:proofErr w:type="spellEnd"/>
      <w:r>
        <w:t xml:space="preserve">, A., Ford, B., &amp; Hamilton, D. L. 2011. </w:t>
      </w:r>
      <w:r>
        <w:rPr>
          <w:i/>
        </w:rPr>
        <w:t>The Oxford handbook of maritime archaeology</w:t>
      </w:r>
      <w:r>
        <w:t xml:space="preserve">. Oxford: Oxford University Press.  </w:t>
      </w:r>
    </w:p>
    <w:p w:rsidR="00341298" w:rsidRDefault="00341298" w:rsidP="00341298">
      <w:pPr>
        <w:ind w:left="847" w:right="596"/>
      </w:pPr>
      <w:r>
        <w:t xml:space="preserve">Morrison, J., and Coates, J. </w:t>
      </w:r>
      <w:r>
        <w:rPr>
          <w:i/>
        </w:rPr>
        <w:t xml:space="preserve"> </w:t>
      </w:r>
      <w:r>
        <w:t xml:space="preserve">1996. </w:t>
      </w:r>
      <w:r>
        <w:rPr>
          <w:i/>
        </w:rPr>
        <w:t>Greek and Roman Oared Warships.</w:t>
      </w:r>
      <w:r>
        <w:t xml:space="preserve"> Oxford: Oxbow Books </w:t>
      </w:r>
    </w:p>
    <w:p w:rsidR="00341298" w:rsidRDefault="00341298" w:rsidP="00341298">
      <w:pPr>
        <w:spacing w:after="6" w:line="248" w:lineRule="auto"/>
        <w:ind w:left="847" w:right="581"/>
      </w:pPr>
      <w:proofErr w:type="spellStart"/>
      <w:r>
        <w:t>Steffy</w:t>
      </w:r>
      <w:proofErr w:type="spellEnd"/>
      <w:r>
        <w:t>, J. R., 1994.</w:t>
      </w:r>
      <w:r>
        <w:rPr>
          <w:i/>
        </w:rPr>
        <w:t xml:space="preserve"> Wooden Ship Building and the Interpretation of Shipwrecks. </w:t>
      </w:r>
    </w:p>
    <w:p w:rsidR="00341298" w:rsidRDefault="00341298" w:rsidP="00341298">
      <w:pPr>
        <w:ind w:left="847" w:right="596"/>
      </w:pPr>
      <w:r>
        <w:t xml:space="preserve">College Station: Texas A&amp;M University Press </w:t>
      </w:r>
    </w:p>
    <w:p w:rsidR="00341298" w:rsidRDefault="00341298" w:rsidP="00341298">
      <w:pPr>
        <w:spacing w:after="0" w:line="259" w:lineRule="auto"/>
        <w:ind w:left="852" w:firstLine="0"/>
      </w:pPr>
      <w:r>
        <w:t xml:space="preserve"> </w:t>
      </w:r>
    </w:p>
    <w:p w:rsidR="00341298" w:rsidRDefault="00341298" w:rsidP="00341298">
      <w:pPr>
        <w:spacing w:line="249" w:lineRule="auto"/>
        <w:ind w:left="847" w:right="510"/>
      </w:pPr>
      <w:r>
        <w:rPr>
          <w:b/>
        </w:rPr>
        <w:t xml:space="preserve">Journals </w:t>
      </w:r>
    </w:p>
    <w:p w:rsidR="00341298" w:rsidRDefault="00341298" w:rsidP="00341298">
      <w:pPr>
        <w:spacing w:after="0" w:line="259" w:lineRule="auto"/>
        <w:ind w:left="852" w:firstLine="0"/>
      </w:pPr>
      <w:r>
        <w:rPr>
          <w:b/>
        </w:rPr>
        <w:t xml:space="preserve"> </w:t>
      </w:r>
    </w:p>
    <w:p w:rsidR="00341298" w:rsidRDefault="00341298" w:rsidP="00341298">
      <w:pPr>
        <w:spacing w:after="6" w:line="248" w:lineRule="auto"/>
        <w:ind w:left="847" w:right="581"/>
      </w:pPr>
      <w:r>
        <w:rPr>
          <w:i/>
        </w:rPr>
        <w:t xml:space="preserve">International Journal of Nautical Archaeology </w:t>
      </w:r>
    </w:p>
    <w:p w:rsidR="00341298" w:rsidRDefault="00341298" w:rsidP="00341298">
      <w:pPr>
        <w:spacing w:after="6" w:line="248" w:lineRule="auto"/>
        <w:ind w:left="847" w:right="581"/>
      </w:pPr>
      <w:r>
        <w:rPr>
          <w:i/>
        </w:rPr>
        <w:t xml:space="preserve">Journal of Maritime Archaeology </w:t>
      </w:r>
    </w:p>
    <w:p w:rsidR="00341298" w:rsidRDefault="00341298" w:rsidP="00341298">
      <w:pPr>
        <w:spacing w:after="0" w:line="259" w:lineRule="auto"/>
        <w:ind w:left="852" w:firstLine="0"/>
      </w:pPr>
      <w:r>
        <w:t xml:space="preserve"> </w:t>
      </w:r>
      <w:r>
        <w:tab/>
        <w:t xml:space="preserve"> </w:t>
      </w:r>
    </w:p>
    <w:p w:rsidR="00341298" w:rsidRDefault="00341298" w:rsidP="00341298">
      <w:pPr>
        <w:spacing w:line="249" w:lineRule="auto"/>
        <w:ind w:left="847" w:right="510"/>
      </w:pPr>
      <w:r>
        <w:rPr>
          <w:b/>
        </w:rPr>
        <w:t xml:space="preserve">Recommended </w:t>
      </w:r>
    </w:p>
    <w:p w:rsidR="00341298" w:rsidRDefault="00341298" w:rsidP="00341298">
      <w:pPr>
        <w:spacing w:after="0" w:line="259" w:lineRule="auto"/>
        <w:ind w:left="852" w:firstLine="0"/>
      </w:pPr>
      <w:r>
        <w:rPr>
          <w:b/>
        </w:rPr>
        <w:t xml:space="preserve"> </w:t>
      </w:r>
    </w:p>
    <w:p w:rsidR="00341298" w:rsidRDefault="00341298" w:rsidP="00341298">
      <w:pPr>
        <w:spacing w:after="6" w:line="248" w:lineRule="auto"/>
        <w:ind w:left="847" w:right="581"/>
      </w:pPr>
      <w:r>
        <w:lastRenderedPageBreak/>
        <w:t xml:space="preserve">Delgado, J.P. (ed.) 2001 </w:t>
      </w:r>
      <w:r>
        <w:rPr>
          <w:i/>
        </w:rPr>
        <w:t>British Museum Encyclopaedia of Underwater and Maritime Archaeology</w:t>
      </w:r>
      <w:r>
        <w:t xml:space="preserve">, London: British Museum Press.  </w:t>
      </w:r>
    </w:p>
    <w:p w:rsidR="00341298" w:rsidRDefault="00341298" w:rsidP="00341298">
      <w:pPr>
        <w:spacing w:after="6" w:line="248" w:lineRule="auto"/>
        <w:ind w:left="847" w:right="581"/>
      </w:pPr>
      <w:r>
        <w:t xml:space="preserve">Green, J. N. 2004. </w:t>
      </w:r>
      <w:r>
        <w:rPr>
          <w:i/>
        </w:rPr>
        <w:t>Maritime archaeology: A technical handbook</w:t>
      </w:r>
      <w:r>
        <w:t xml:space="preserve">. Amsterdam: </w:t>
      </w:r>
    </w:p>
    <w:p w:rsidR="00341298" w:rsidRDefault="00341298" w:rsidP="00341298">
      <w:pPr>
        <w:ind w:left="847" w:right="596"/>
      </w:pPr>
      <w:r>
        <w:t xml:space="preserve">Elsevier/Academic Press.  </w:t>
      </w:r>
    </w:p>
    <w:p w:rsidR="00341298" w:rsidRDefault="00341298" w:rsidP="00341298">
      <w:pPr>
        <w:ind w:left="847" w:right="596"/>
      </w:pPr>
      <w:proofErr w:type="spellStart"/>
      <w:r>
        <w:t>Muckelroy</w:t>
      </w:r>
      <w:proofErr w:type="spellEnd"/>
      <w:r>
        <w:t xml:space="preserve">, K. 1978 </w:t>
      </w:r>
      <w:r>
        <w:rPr>
          <w:i/>
        </w:rPr>
        <w:t>Maritime Archaeology</w:t>
      </w:r>
      <w:r>
        <w:t xml:space="preserve">, Cambridge University </w:t>
      </w:r>
    </w:p>
    <w:p w:rsidR="00341298" w:rsidRDefault="00341298" w:rsidP="00341298">
      <w:pPr>
        <w:spacing w:after="0" w:line="259" w:lineRule="auto"/>
        <w:ind w:left="852" w:firstLine="0"/>
      </w:pPr>
      <w:r>
        <w:t xml:space="preserve"> </w:t>
      </w:r>
    </w:p>
    <w:p w:rsidR="008B1C53" w:rsidRDefault="008B1C53"/>
    <w:sectPr w:rsidR="008B1C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3357C2"/>
    <w:multiLevelType w:val="hybridMultilevel"/>
    <w:tmpl w:val="D940FE08"/>
    <w:lvl w:ilvl="0" w:tplc="05862DFA">
      <w:start w:val="1"/>
      <w:numFmt w:val="bullet"/>
      <w:lvlText w:val="•"/>
      <w:lvlJc w:val="left"/>
      <w:pPr>
        <w:ind w:left="17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EB64D3C">
      <w:start w:val="1"/>
      <w:numFmt w:val="bullet"/>
      <w:lvlText w:val="o"/>
      <w:lvlJc w:val="left"/>
      <w:pPr>
        <w:ind w:left="14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A269954">
      <w:start w:val="1"/>
      <w:numFmt w:val="bullet"/>
      <w:lvlText w:val="▪"/>
      <w:lvlJc w:val="left"/>
      <w:pPr>
        <w:ind w:left="21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A9848A8">
      <w:start w:val="1"/>
      <w:numFmt w:val="bullet"/>
      <w:lvlText w:val="•"/>
      <w:lvlJc w:val="left"/>
      <w:pPr>
        <w:ind w:left="285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E7AD6FE">
      <w:start w:val="1"/>
      <w:numFmt w:val="bullet"/>
      <w:lvlText w:val="o"/>
      <w:lvlJc w:val="left"/>
      <w:pPr>
        <w:ind w:left="35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22CE070">
      <w:start w:val="1"/>
      <w:numFmt w:val="bullet"/>
      <w:lvlText w:val="▪"/>
      <w:lvlJc w:val="left"/>
      <w:pPr>
        <w:ind w:left="42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E6E230CA">
      <w:start w:val="1"/>
      <w:numFmt w:val="bullet"/>
      <w:lvlText w:val="•"/>
      <w:lvlJc w:val="left"/>
      <w:pPr>
        <w:ind w:left="501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3BE50C0">
      <w:start w:val="1"/>
      <w:numFmt w:val="bullet"/>
      <w:lvlText w:val="o"/>
      <w:lvlJc w:val="left"/>
      <w:pPr>
        <w:ind w:left="57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E4A82C2">
      <w:start w:val="1"/>
      <w:numFmt w:val="bullet"/>
      <w:lvlText w:val="▪"/>
      <w:lvlJc w:val="left"/>
      <w:pPr>
        <w:ind w:left="64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nsid w:val="767F32D4"/>
    <w:multiLevelType w:val="hybridMultilevel"/>
    <w:tmpl w:val="684EF334"/>
    <w:lvl w:ilvl="0" w:tplc="A3766656">
      <w:start w:val="1"/>
      <w:numFmt w:val="bullet"/>
      <w:lvlText w:val="•"/>
      <w:lvlJc w:val="left"/>
      <w:pPr>
        <w:ind w:left="18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FE2D7C2">
      <w:start w:val="1"/>
      <w:numFmt w:val="bullet"/>
      <w:lvlText w:val="o"/>
      <w:lvlJc w:val="left"/>
      <w:pPr>
        <w:ind w:left="119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B0DEB588">
      <w:start w:val="1"/>
      <w:numFmt w:val="bullet"/>
      <w:lvlText w:val="▪"/>
      <w:lvlJc w:val="left"/>
      <w:pPr>
        <w:ind w:left="191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BB0A24C8">
      <w:start w:val="1"/>
      <w:numFmt w:val="bullet"/>
      <w:lvlText w:val="•"/>
      <w:lvlJc w:val="left"/>
      <w:pPr>
        <w:ind w:left="263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12048C4">
      <w:start w:val="1"/>
      <w:numFmt w:val="bullet"/>
      <w:lvlText w:val="o"/>
      <w:lvlJc w:val="left"/>
      <w:pPr>
        <w:ind w:left="335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DBFCFBFA">
      <w:start w:val="1"/>
      <w:numFmt w:val="bullet"/>
      <w:lvlText w:val="▪"/>
      <w:lvlJc w:val="left"/>
      <w:pPr>
        <w:ind w:left="407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B40445E">
      <w:start w:val="1"/>
      <w:numFmt w:val="bullet"/>
      <w:lvlText w:val="•"/>
      <w:lvlJc w:val="left"/>
      <w:pPr>
        <w:ind w:left="479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0425DEA">
      <w:start w:val="1"/>
      <w:numFmt w:val="bullet"/>
      <w:lvlText w:val="o"/>
      <w:lvlJc w:val="left"/>
      <w:pPr>
        <w:ind w:left="551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BB6D1A2">
      <w:start w:val="1"/>
      <w:numFmt w:val="bullet"/>
      <w:lvlText w:val="▪"/>
      <w:lvlJc w:val="left"/>
      <w:pPr>
        <w:ind w:left="623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1298"/>
    <w:rsid w:val="00035A33"/>
    <w:rsid w:val="002D2C8F"/>
    <w:rsid w:val="00341298"/>
    <w:rsid w:val="00417891"/>
    <w:rsid w:val="00627EBD"/>
    <w:rsid w:val="008B1C53"/>
    <w:rsid w:val="00983A90"/>
    <w:rsid w:val="00AD63A6"/>
    <w:rsid w:val="00D92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E6B524D-6F3B-4975-99F2-7CA45F8D3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1298"/>
    <w:pPr>
      <w:spacing w:after="5" w:line="250" w:lineRule="auto"/>
      <w:ind w:left="10" w:hanging="10"/>
    </w:pPr>
    <w:rPr>
      <w:rFonts w:ascii="Arial" w:eastAsia="Arial" w:hAnsi="Arial" w:cs="Arial"/>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341298"/>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832</Words>
  <Characters>4747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 Nayling</dc:creator>
  <cp:keywords/>
  <dc:description/>
  <cp:lastModifiedBy>Nigel Nayling</cp:lastModifiedBy>
  <cp:revision>2</cp:revision>
  <dcterms:created xsi:type="dcterms:W3CDTF">2017-01-30T10:05:00Z</dcterms:created>
  <dcterms:modified xsi:type="dcterms:W3CDTF">2017-01-30T10:05:00Z</dcterms:modified>
</cp:coreProperties>
</file>