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webextensions/webextension4.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064DEF" w14:textId="77777777" w:rsidR="0092161D" w:rsidRPr="001D330E" w:rsidRDefault="0092161D" w:rsidP="0092161D">
      <w:pPr>
        <w:rPr>
          <w:rFonts w:ascii="Arial" w:eastAsia="Times New Roman" w:hAnsi="Arial" w:cs="Arial"/>
          <w:b/>
          <w:bCs/>
          <w:kern w:val="0"/>
          <w:sz w:val="32"/>
          <w:szCs w:val="32"/>
          <w:lang w:eastAsia="en-GB"/>
          <w14:ligatures w14:val="none"/>
        </w:rPr>
      </w:pPr>
      <w:r w:rsidRPr="001D330E">
        <w:rPr>
          <w:rFonts w:ascii="Arial" w:eastAsia="Times New Roman" w:hAnsi="Arial" w:cs="Arial"/>
          <w:b/>
          <w:bCs/>
          <w:kern w:val="0"/>
          <w:sz w:val="32"/>
          <w:szCs w:val="32"/>
          <w:lang w:eastAsia="en-GB"/>
          <w14:ligatures w14:val="none"/>
        </w:rPr>
        <w:t>Research Proposal</w:t>
      </w:r>
    </w:p>
    <w:p w14:paraId="25E8BC3E" w14:textId="653DAF9C" w:rsidR="0092161D" w:rsidRPr="001D330E" w:rsidRDefault="0092161D" w:rsidP="0092161D">
      <w:pPr>
        <w:rPr>
          <w:rFonts w:ascii="Arial" w:eastAsia="Times New Roman" w:hAnsi="Arial" w:cs="Arial"/>
          <w:kern w:val="0"/>
          <w:sz w:val="28"/>
          <w:szCs w:val="28"/>
          <w:lang w:eastAsia="en-GB"/>
          <w14:ligatures w14:val="none"/>
        </w:rPr>
      </w:pPr>
      <w:r w:rsidRPr="001D330E">
        <w:rPr>
          <w:rFonts w:ascii="Arial" w:eastAsia="Times New Roman" w:hAnsi="Arial" w:cs="Arial"/>
          <w:b/>
          <w:bCs/>
          <w:kern w:val="0"/>
          <w:sz w:val="28"/>
          <w:szCs w:val="28"/>
          <w:lang w:eastAsia="en-GB"/>
          <w14:ligatures w14:val="none"/>
        </w:rPr>
        <w:t>Title:</w:t>
      </w:r>
      <w:r w:rsidRPr="001D330E">
        <w:rPr>
          <w:rFonts w:ascii="Arial" w:eastAsia="Times New Roman" w:hAnsi="Arial" w:cs="Arial"/>
          <w:kern w:val="0"/>
          <w:sz w:val="28"/>
          <w:szCs w:val="28"/>
          <w:lang w:eastAsia="en-GB"/>
          <w14:ligatures w14:val="none"/>
        </w:rPr>
        <w:t xml:space="preserve"> </w:t>
      </w:r>
      <w:r w:rsidRPr="00C96866">
        <w:rPr>
          <w:rFonts w:ascii="Arial" w:eastAsiaTheme="majorEastAsia" w:hAnsi="Arial" w:cs="Arial"/>
          <w:spacing w:val="-10"/>
          <w:kern w:val="28"/>
          <w:sz w:val="28"/>
          <w:szCs w:val="28"/>
        </w:rPr>
        <w:t xml:space="preserve">The Green </w:t>
      </w:r>
      <w:r w:rsidR="00FC0AC2" w:rsidRPr="00C96866">
        <w:rPr>
          <w:rFonts w:ascii="Arial" w:eastAsiaTheme="majorEastAsia" w:hAnsi="Arial" w:cs="Arial"/>
          <w:spacing w:val="-10"/>
          <w:kern w:val="28"/>
          <w:sz w:val="28"/>
          <w:szCs w:val="28"/>
        </w:rPr>
        <w:t>Pivot</w:t>
      </w:r>
      <w:r w:rsidR="00FC0AC2">
        <w:rPr>
          <w:rFonts w:ascii="Arial" w:eastAsiaTheme="majorEastAsia" w:hAnsi="Arial" w:cs="Arial"/>
          <w:spacing w:val="-10"/>
          <w:kern w:val="28"/>
          <w:sz w:val="28"/>
          <w:szCs w:val="28"/>
        </w:rPr>
        <w:t>:</w:t>
      </w:r>
      <w:r>
        <w:rPr>
          <w:rFonts w:ascii="Arial" w:eastAsiaTheme="majorEastAsia" w:hAnsi="Arial" w:cs="Arial"/>
          <w:spacing w:val="-10"/>
          <w:kern w:val="28"/>
          <w:sz w:val="28"/>
          <w:szCs w:val="28"/>
        </w:rPr>
        <w:t xml:space="preserve"> </w:t>
      </w:r>
      <w:r w:rsidRPr="00C96866">
        <w:rPr>
          <w:rFonts w:ascii="Arial" w:eastAsiaTheme="majorEastAsia" w:hAnsi="Arial" w:cs="Arial"/>
          <w:spacing w:val="-10"/>
          <w:kern w:val="28"/>
          <w:sz w:val="28"/>
          <w:szCs w:val="28"/>
        </w:rPr>
        <w:t>A Comparative Analysis of Unilever’s Shift from Conventional Marketing to Digital Sustainability-Oriented Strategies in the UK and India</w:t>
      </w:r>
    </w:p>
    <w:p w14:paraId="12621B5D" w14:textId="2DBC93C9" w:rsidR="0092161D" w:rsidRPr="001D330E" w:rsidRDefault="0092161D" w:rsidP="0092161D">
      <w:pPr>
        <w:rPr>
          <w:rFonts w:ascii="Arial" w:eastAsia="Times New Roman" w:hAnsi="Arial" w:cs="Arial"/>
          <w:kern w:val="0"/>
          <w:sz w:val="28"/>
          <w:szCs w:val="28"/>
          <w:lang w:eastAsia="en-GB"/>
          <w14:ligatures w14:val="none"/>
        </w:rPr>
      </w:pPr>
      <w:r w:rsidRPr="001D330E">
        <w:rPr>
          <w:rFonts w:ascii="Arial" w:eastAsia="Times New Roman" w:hAnsi="Arial" w:cs="Arial"/>
          <w:b/>
          <w:bCs/>
          <w:kern w:val="0"/>
          <w:sz w:val="28"/>
          <w:szCs w:val="28"/>
          <w:lang w:eastAsia="en-GB"/>
          <w14:ligatures w14:val="none"/>
        </w:rPr>
        <w:t>Student Name:</w:t>
      </w:r>
      <w:r w:rsidRPr="001D330E">
        <w:rPr>
          <w:rFonts w:ascii="Arial" w:eastAsia="Times New Roman" w:hAnsi="Arial" w:cs="Arial"/>
          <w:kern w:val="0"/>
          <w:sz w:val="28"/>
          <w:szCs w:val="28"/>
          <w:lang w:eastAsia="en-GB"/>
          <w14:ligatures w14:val="none"/>
        </w:rPr>
        <w:t xml:space="preserve"> </w:t>
      </w:r>
      <w:r>
        <w:rPr>
          <w:rFonts w:ascii="Arial" w:eastAsia="Times New Roman" w:hAnsi="Arial" w:cs="Arial"/>
          <w:kern w:val="0"/>
          <w:sz w:val="28"/>
          <w:szCs w:val="28"/>
          <w:lang w:eastAsia="en-GB"/>
          <w14:ligatures w14:val="none"/>
        </w:rPr>
        <w:t>[Manish Verma</w:t>
      </w:r>
      <w:r w:rsidRPr="001D330E">
        <w:rPr>
          <w:rFonts w:ascii="Arial" w:eastAsia="Times New Roman" w:hAnsi="Arial" w:cs="Arial"/>
          <w:kern w:val="0"/>
          <w:sz w:val="28"/>
          <w:szCs w:val="28"/>
          <w:lang w:eastAsia="en-GB"/>
          <w14:ligatures w14:val="none"/>
        </w:rPr>
        <w:t>]</w:t>
      </w:r>
    </w:p>
    <w:p w14:paraId="0E349F04" w14:textId="340238D9" w:rsidR="00B77D26" w:rsidRPr="00B77D26" w:rsidRDefault="00B77D26" w:rsidP="00B77D26">
      <w:pPr>
        <w:rPr>
          <w:rFonts w:ascii="Arial" w:eastAsia="Times New Roman" w:hAnsi="Arial" w:cs="Arial"/>
          <w:b/>
          <w:bCs/>
          <w:kern w:val="0"/>
          <w:sz w:val="28"/>
          <w:szCs w:val="28"/>
          <w:lang w:eastAsia="en-GB"/>
          <w14:ligatures w14:val="none"/>
        </w:rPr>
      </w:pPr>
      <w:r w:rsidRPr="00B77D26">
        <w:rPr>
          <w:rFonts w:ascii="Arial" w:eastAsia="Times New Roman" w:hAnsi="Arial" w:cs="Arial"/>
          <w:b/>
          <w:bCs/>
          <w:kern w:val="0"/>
          <w:sz w:val="28"/>
          <w:szCs w:val="28"/>
          <w:lang w:eastAsia="en-GB"/>
          <w14:ligatures w14:val="none"/>
        </w:rPr>
        <w:t>Student ID: 243</w:t>
      </w:r>
      <w:r>
        <w:rPr>
          <w:rFonts w:ascii="Arial" w:eastAsia="Times New Roman" w:hAnsi="Arial" w:cs="Arial"/>
          <w:b/>
          <w:bCs/>
          <w:kern w:val="0"/>
          <w:sz w:val="28"/>
          <w:szCs w:val="28"/>
          <w:lang w:eastAsia="en-GB"/>
          <w14:ligatures w14:val="none"/>
        </w:rPr>
        <w:t>3117</w:t>
      </w:r>
    </w:p>
    <w:p w14:paraId="13C5280F" w14:textId="1AB6940D" w:rsidR="00B77D26" w:rsidRPr="00B77D26" w:rsidRDefault="00B77D26" w:rsidP="00B77D26">
      <w:pPr>
        <w:rPr>
          <w:rFonts w:ascii="Arial" w:eastAsia="Times New Roman" w:hAnsi="Arial" w:cs="Arial"/>
          <w:b/>
          <w:bCs/>
          <w:kern w:val="0"/>
          <w:sz w:val="28"/>
          <w:szCs w:val="28"/>
          <w:lang w:eastAsia="en-GB"/>
          <w14:ligatures w14:val="none"/>
        </w:rPr>
      </w:pPr>
      <w:r w:rsidRPr="00B77D26">
        <w:rPr>
          <w:rFonts w:ascii="Arial" w:eastAsia="Times New Roman" w:hAnsi="Arial" w:cs="Arial"/>
          <w:b/>
          <w:bCs/>
          <w:kern w:val="0"/>
          <w:sz w:val="28"/>
          <w:szCs w:val="28"/>
          <w:lang w:eastAsia="en-GB"/>
          <w14:ligatures w14:val="none"/>
        </w:rPr>
        <w:t xml:space="preserve">Supervisor: </w:t>
      </w:r>
      <w:r>
        <w:rPr>
          <w:rFonts w:ascii="Arial" w:eastAsia="Times New Roman" w:hAnsi="Arial" w:cs="Arial"/>
          <w:b/>
          <w:bCs/>
          <w:kern w:val="0"/>
          <w:sz w:val="28"/>
          <w:szCs w:val="28"/>
          <w:lang w:eastAsia="en-GB"/>
          <w14:ligatures w14:val="none"/>
        </w:rPr>
        <w:t>Jia Miao</w:t>
      </w:r>
    </w:p>
    <w:p w14:paraId="0D9E857E" w14:textId="77777777" w:rsidR="00B77D26" w:rsidRPr="00B77D26" w:rsidRDefault="00B77D26" w:rsidP="00B77D26">
      <w:pPr>
        <w:rPr>
          <w:rFonts w:ascii="Arial" w:eastAsia="Times New Roman" w:hAnsi="Arial" w:cs="Arial"/>
          <w:b/>
          <w:bCs/>
          <w:kern w:val="0"/>
          <w:sz w:val="28"/>
          <w:szCs w:val="28"/>
          <w:lang w:eastAsia="en-GB"/>
          <w14:ligatures w14:val="none"/>
        </w:rPr>
      </w:pPr>
      <w:r w:rsidRPr="00B77D26">
        <w:rPr>
          <w:rFonts w:ascii="Arial" w:eastAsia="Times New Roman" w:hAnsi="Arial" w:cs="Arial"/>
          <w:b/>
          <w:bCs/>
          <w:kern w:val="0"/>
          <w:sz w:val="28"/>
          <w:szCs w:val="28"/>
          <w:lang w:eastAsia="en-GB"/>
          <w14:ligatures w14:val="none"/>
        </w:rPr>
        <w:t>Program Manager: Hoang Dang Nguyen</w:t>
      </w:r>
    </w:p>
    <w:p w14:paraId="1573F58A" w14:textId="77777777" w:rsidR="00B77D26" w:rsidRPr="00B77D26" w:rsidRDefault="00B77D26" w:rsidP="00B77D26">
      <w:pPr>
        <w:rPr>
          <w:rFonts w:ascii="Arial" w:eastAsia="Times New Roman" w:hAnsi="Arial" w:cs="Arial"/>
          <w:b/>
          <w:bCs/>
          <w:kern w:val="0"/>
          <w:sz w:val="28"/>
          <w:szCs w:val="28"/>
          <w:lang w:eastAsia="en-GB"/>
          <w14:ligatures w14:val="none"/>
        </w:rPr>
      </w:pPr>
      <w:r w:rsidRPr="00B77D26">
        <w:rPr>
          <w:rFonts w:ascii="Arial" w:eastAsia="Times New Roman" w:hAnsi="Arial" w:cs="Arial"/>
          <w:b/>
          <w:bCs/>
          <w:kern w:val="0"/>
          <w:sz w:val="28"/>
          <w:szCs w:val="28"/>
          <w:lang w:eastAsia="en-GB"/>
          <w14:ligatures w14:val="none"/>
        </w:rPr>
        <w:t>Programme: MBA International Business</w:t>
      </w:r>
    </w:p>
    <w:p w14:paraId="68C15376" w14:textId="77777777" w:rsidR="0092161D" w:rsidRDefault="0092161D" w:rsidP="0092161D"/>
    <w:p w14:paraId="5BABB5D9" w14:textId="77777777" w:rsidR="0092161D" w:rsidRDefault="0092161D" w:rsidP="0092161D"/>
    <w:p w14:paraId="656C39D2" w14:textId="77777777" w:rsidR="0092161D" w:rsidRDefault="0092161D" w:rsidP="0092161D"/>
    <w:p w14:paraId="03F30E07" w14:textId="77777777" w:rsidR="0092161D" w:rsidRDefault="0092161D" w:rsidP="0092161D"/>
    <w:p w14:paraId="1E6DC2C4" w14:textId="77777777" w:rsidR="0092161D" w:rsidRDefault="0092161D" w:rsidP="0092161D"/>
    <w:p w14:paraId="73D590B9" w14:textId="77777777" w:rsidR="0092161D" w:rsidRDefault="0092161D" w:rsidP="0092161D"/>
    <w:p w14:paraId="631DF9E6" w14:textId="77777777" w:rsidR="0092161D" w:rsidRDefault="0092161D" w:rsidP="0092161D"/>
    <w:p w14:paraId="1008CD97" w14:textId="77777777" w:rsidR="0092161D" w:rsidRDefault="0092161D" w:rsidP="0092161D"/>
    <w:p w14:paraId="3CC3D5F3" w14:textId="77777777" w:rsidR="0092161D" w:rsidRDefault="0092161D" w:rsidP="0092161D"/>
    <w:p w14:paraId="3FF398AE" w14:textId="77777777" w:rsidR="0092161D" w:rsidRDefault="0092161D" w:rsidP="0092161D"/>
    <w:p w14:paraId="7F351709" w14:textId="77777777" w:rsidR="0092161D" w:rsidRDefault="0092161D" w:rsidP="0092161D"/>
    <w:p w14:paraId="32C1AD94" w14:textId="77777777" w:rsidR="0092161D" w:rsidRDefault="0092161D" w:rsidP="0092161D"/>
    <w:p w14:paraId="4B2CE39A" w14:textId="77777777" w:rsidR="0092161D" w:rsidRDefault="0092161D" w:rsidP="0092161D"/>
    <w:p w14:paraId="142466CF" w14:textId="77777777" w:rsidR="0092161D" w:rsidRDefault="0092161D" w:rsidP="0092161D"/>
    <w:p w14:paraId="5388E133" w14:textId="77777777" w:rsidR="0092161D" w:rsidRDefault="0092161D" w:rsidP="0092161D"/>
    <w:p w14:paraId="45343EBD" w14:textId="77777777" w:rsidR="0092161D" w:rsidRDefault="0092161D" w:rsidP="0092161D"/>
    <w:p w14:paraId="0057B101" w14:textId="77777777" w:rsidR="0092161D" w:rsidRDefault="0092161D" w:rsidP="0092161D"/>
    <w:p w14:paraId="3F2E2CC2" w14:textId="77777777" w:rsidR="0092161D" w:rsidRDefault="0092161D" w:rsidP="0092161D"/>
    <w:p w14:paraId="6977ED8F" w14:textId="77777777" w:rsidR="0092161D" w:rsidRDefault="0092161D" w:rsidP="0092161D"/>
    <w:p w14:paraId="38E1826F" w14:textId="77777777" w:rsidR="0092161D" w:rsidRDefault="0092161D" w:rsidP="0092161D"/>
    <w:p w14:paraId="3E559CFD" w14:textId="77777777" w:rsidR="0092161D" w:rsidRDefault="0092161D" w:rsidP="0092161D"/>
    <w:p w14:paraId="353133D7" w14:textId="3F74FCD1" w:rsidR="0092161D" w:rsidRPr="00D46DE1" w:rsidRDefault="0092161D" w:rsidP="00D46DE1">
      <w:pPr>
        <w:pStyle w:val="NormalWeb"/>
        <w:spacing w:line="300" w:lineRule="atLeast"/>
        <w:rPr>
          <w:rFonts w:ascii="Arial" w:hAnsi="Arial" w:cs="Arial"/>
          <w:sz w:val="32"/>
          <w:szCs w:val="32"/>
        </w:rPr>
      </w:pPr>
      <w:r w:rsidRPr="00DC2067">
        <w:rPr>
          <w:b/>
          <w:bCs/>
          <w:sz w:val="32"/>
          <w:szCs w:val="32"/>
        </w:rPr>
        <w:t>1. Introduction</w:t>
      </w:r>
    </w:p>
    <w:p w14:paraId="3B9E9580" w14:textId="77777777" w:rsidR="0092161D" w:rsidRPr="00DC2067" w:rsidRDefault="0092161D" w:rsidP="0092161D">
      <w:pPr>
        <w:spacing w:after="100" w:afterAutospacing="1" w:line="240" w:lineRule="auto"/>
        <w:outlineLvl w:val="1"/>
        <w:rPr>
          <w:rFonts w:ascii="Arial" w:eastAsia="Times New Roman" w:hAnsi="Arial" w:cs="Arial"/>
          <w:b/>
          <w:bCs/>
          <w:kern w:val="0"/>
          <w:sz w:val="28"/>
          <w:szCs w:val="28"/>
          <w:lang w:eastAsia="en-GB"/>
          <w14:ligatures w14:val="none"/>
        </w:rPr>
      </w:pPr>
      <w:r w:rsidRPr="00DC2067">
        <w:rPr>
          <w:rFonts w:ascii="Arial" w:eastAsia="Times New Roman" w:hAnsi="Arial" w:cs="Arial"/>
          <w:b/>
          <w:bCs/>
          <w:kern w:val="0"/>
          <w:sz w:val="28"/>
          <w:szCs w:val="28"/>
          <w:lang w:eastAsia="en-GB"/>
          <w14:ligatures w14:val="none"/>
        </w:rPr>
        <w:t>1.1 The Industry and Unilever's Strategic Pivot</w:t>
      </w:r>
    </w:p>
    <w:p w14:paraId="50D3429E" w14:textId="77777777" w:rsidR="00A74567" w:rsidRDefault="00A74567" w:rsidP="00A74567">
      <w:pPr>
        <w:spacing w:after="100" w:afterAutospacing="1" w:line="240" w:lineRule="auto"/>
        <w:rPr>
          <w:rFonts w:ascii="Arial" w:eastAsia="Times New Roman" w:hAnsi="Arial" w:cs="Arial"/>
          <w:kern w:val="0"/>
          <w:lang w:eastAsia="en-GB"/>
          <w14:ligatures w14:val="none"/>
        </w:rPr>
      </w:pPr>
      <w:r w:rsidRPr="00A74567">
        <w:rPr>
          <w:rFonts w:ascii="Arial" w:eastAsia="Times New Roman" w:hAnsi="Arial" w:cs="Arial"/>
          <w:kern w:val="0"/>
          <w:lang w:eastAsia="en-GB"/>
          <w14:ligatures w14:val="none"/>
        </w:rPr>
        <w:t>According to Strategic Brand Management experts, the fast-moving consumer goods (FMCG) sector is encapsulated by a “double transition” as brands move to digital first ecosystems and consumers demand environmental sustainability.  Traditionally, FMCG companies use mass-broadcast marketing. This involves standardized television and print campaigns designed for undifferentiated media reach.</w:t>
      </w:r>
      <w:r>
        <w:rPr>
          <w:rFonts w:ascii="Arial" w:eastAsia="Times New Roman" w:hAnsi="Arial" w:cs="Arial"/>
          <w:kern w:val="0"/>
          <w:lang w:eastAsia="en-GB"/>
          <w14:ligatures w14:val="none"/>
        </w:rPr>
        <w:t xml:space="preserve"> </w:t>
      </w:r>
      <w:r w:rsidRPr="00A74567">
        <w:rPr>
          <w:rFonts w:ascii="Arial" w:eastAsia="Times New Roman" w:hAnsi="Arial" w:cs="Arial"/>
          <w:kern w:val="0"/>
          <w:lang w:eastAsia="en-GB"/>
          <w14:ligatures w14:val="none"/>
        </w:rPr>
        <w:t>Nonetheless, Unilever PLC is completely redesigning its marketing architecture to disentangle itself from the legacy model.</w:t>
      </w:r>
      <w:r>
        <w:rPr>
          <w:rFonts w:ascii="Arial" w:eastAsia="Times New Roman" w:hAnsi="Arial" w:cs="Arial"/>
          <w:kern w:val="0"/>
          <w:lang w:eastAsia="en-GB"/>
          <w14:ligatures w14:val="none"/>
        </w:rPr>
        <w:t xml:space="preserve"> </w:t>
      </w:r>
    </w:p>
    <w:p w14:paraId="2FBB8FA4" w14:textId="77777777" w:rsidR="00A74567" w:rsidRDefault="00A74567" w:rsidP="00A74567">
      <w:pPr>
        <w:spacing w:after="100" w:afterAutospacing="1" w:line="240" w:lineRule="auto"/>
        <w:rPr>
          <w:rFonts w:ascii="Arial" w:eastAsia="Times New Roman" w:hAnsi="Arial" w:cs="Arial"/>
          <w:kern w:val="0"/>
          <w:lang w:eastAsia="en-GB"/>
          <w14:ligatures w14:val="none"/>
        </w:rPr>
      </w:pPr>
      <w:r w:rsidRPr="00A74567">
        <w:rPr>
          <w:rFonts w:ascii="Arial" w:eastAsia="Times New Roman" w:hAnsi="Arial" w:cs="Arial"/>
          <w:kern w:val="0"/>
          <w:lang w:eastAsia="en-GB"/>
          <w14:ligatures w14:val="none"/>
        </w:rPr>
        <w:t>Unilever Compass is switching to "Desire at Scale” paradigm, which would be in place by 2026. This marks a seeping difference from the way brand purpose was being communicated so far.</w:t>
      </w:r>
    </w:p>
    <w:p w14:paraId="3782DF00" w14:textId="5B6E40DF" w:rsidR="0092161D" w:rsidRPr="00DC2067" w:rsidRDefault="0092161D" w:rsidP="0092161D">
      <w:pPr>
        <w:numPr>
          <w:ilvl w:val="0"/>
          <w:numId w:val="4"/>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AI-Driven Personalization:</w:t>
      </w:r>
      <w:r w:rsidRPr="00DC2067">
        <w:rPr>
          <w:rFonts w:ascii="Arial" w:eastAsia="Times New Roman" w:hAnsi="Arial" w:cs="Arial"/>
          <w:kern w:val="0"/>
          <w:lang w:eastAsia="en-GB"/>
          <w14:ligatures w14:val="none"/>
        </w:rPr>
        <w:t xml:space="preserve"> Unilever is moving toward hyper-targeted content, using AI to tailor sustainability messages to individual consumer profiles rather than broad demographics.</w:t>
      </w:r>
    </w:p>
    <w:p w14:paraId="32B1D74C" w14:textId="77777777" w:rsidR="0092161D" w:rsidRPr="00DC2067" w:rsidRDefault="0092161D" w:rsidP="0092161D">
      <w:pPr>
        <w:numPr>
          <w:ilvl w:val="0"/>
          <w:numId w:val="4"/>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Influencer-Led Narratives:</w:t>
      </w:r>
      <w:r w:rsidRPr="00DC2067">
        <w:rPr>
          <w:rFonts w:ascii="Arial" w:eastAsia="Times New Roman" w:hAnsi="Arial" w:cs="Arial"/>
          <w:kern w:val="0"/>
          <w:lang w:eastAsia="en-GB"/>
          <w14:ligatures w14:val="none"/>
        </w:rPr>
        <w:t xml:space="preserve"> Content creation is being decentralized, moving from corporate boardrooms to influencer networks and digital production hubs like "Sketch Pro" studios.</w:t>
      </w:r>
    </w:p>
    <w:p w14:paraId="6B9D3F58" w14:textId="77777777" w:rsidR="0092161D" w:rsidRPr="00DC2067" w:rsidRDefault="0092161D" w:rsidP="0092161D">
      <w:pPr>
        <w:numPr>
          <w:ilvl w:val="0"/>
          <w:numId w:val="4"/>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Algorithmic Engagement:</w:t>
      </w:r>
      <w:r w:rsidRPr="00DC2067">
        <w:rPr>
          <w:rFonts w:ascii="Arial" w:eastAsia="Times New Roman" w:hAnsi="Arial" w:cs="Arial"/>
          <w:kern w:val="0"/>
          <w:lang w:eastAsia="en-GB"/>
          <w14:ligatures w14:val="none"/>
        </w:rPr>
        <w:t xml:space="preserve"> The company is prioritizing fragmented, algorithm-driven platforms—such as Instagram, TikTok, and WhatsApp—to foster direct-to-consumer (D2C) relationships.</w:t>
      </w:r>
    </w:p>
    <w:p w14:paraId="6D5454DE" w14:textId="7DA5432A" w:rsidR="0092161D" w:rsidRPr="00DC2067" w:rsidRDefault="00A74567" w:rsidP="0092161D">
      <w:pPr>
        <w:spacing w:after="100" w:afterAutospacing="1" w:line="240" w:lineRule="auto"/>
        <w:rPr>
          <w:rFonts w:ascii="Arial" w:eastAsia="Times New Roman" w:hAnsi="Arial" w:cs="Arial"/>
          <w:kern w:val="0"/>
          <w:lang w:eastAsia="en-GB"/>
          <w14:ligatures w14:val="none"/>
        </w:rPr>
      </w:pPr>
      <w:r w:rsidRPr="00A74567">
        <w:rPr>
          <w:rFonts w:ascii="Arial" w:eastAsia="Times New Roman" w:hAnsi="Arial" w:cs="Arial"/>
          <w:kern w:val="0"/>
          <w:lang w:eastAsia="en-GB"/>
          <w14:ligatures w14:val="none"/>
        </w:rPr>
        <w:t xml:space="preserve">The shift to digital allows for incredible targeting accuracy, but it poses a huge problem for brand “realness.” Shoppers use digital leverage to defeat ‘greenwashing’ that increase the </w:t>
      </w:r>
      <w:proofErr w:type="spellStart"/>
      <w:r w:rsidRPr="00A74567">
        <w:rPr>
          <w:rFonts w:ascii="Arial" w:eastAsia="Times New Roman" w:hAnsi="Arial" w:cs="Arial"/>
          <w:kern w:val="0"/>
          <w:lang w:eastAsia="en-GB"/>
          <w14:ligatures w14:val="none"/>
        </w:rPr>
        <w:t>skepticism</w:t>
      </w:r>
      <w:proofErr w:type="spellEnd"/>
      <w:r w:rsidRPr="00A74567">
        <w:rPr>
          <w:rFonts w:ascii="Arial" w:eastAsia="Times New Roman" w:hAnsi="Arial" w:cs="Arial"/>
          <w:kern w:val="0"/>
          <w:lang w:eastAsia="en-GB"/>
          <w14:ligatures w14:val="none"/>
        </w:rPr>
        <w:t xml:space="preserve"> against sustainability signals in the digital world. Consequently, it results in a “Trust-Digital Paradox”. As brands deploy increasingly sophisticated AI to “personalise” a sustainability signal, the more likely the consumer to discount that signal.</w:t>
      </w:r>
      <w:r w:rsidRPr="00DC2067">
        <w:rPr>
          <w:rFonts w:ascii="Arial" w:eastAsia="Times New Roman" w:hAnsi="Arial" w:cs="Arial"/>
          <w:kern w:val="0"/>
          <w:lang w:eastAsia="en-GB"/>
          <w14:ligatures w14:val="none"/>
        </w:rPr>
        <w:t xml:space="preserve"> Furthermore</w:t>
      </w:r>
      <w:r w:rsidR="0092161D" w:rsidRPr="00DC2067">
        <w:rPr>
          <w:rFonts w:ascii="Arial" w:eastAsia="Times New Roman" w:hAnsi="Arial" w:cs="Arial"/>
          <w:kern w:val="0"/>
          <w:lang w:eastAsia="en-GB"/>
          <w14:ligatures w14:val="none"/>
        </w:rPr>
        <w:t>, this pivot must be executed across vast cultural divides. For a global entity like Unilever, a "one-size-fits-all" digital strategy is no longer viable.</w:t>
      </w:r>
    </w:p>
    <w:p w14:paraId="5748B9CA" w14:textId="77777777" w:rsidR="0092161D" w:rsidRPr="00DC2067" w:rsidRDefault="0092161D" w:rsidP="0092161D">
      <w:pPr>
        <w:numPr>
          <w:ilvl w:val="0"/>
          <w:numId w:val="5"/>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In the UK:</w:t>
      </w:r>
      <w:r w:rsidRPr="00DC2067">
        <w:rPr>
          <w:rFonts w:ascii="Arial" w:eastAsia="Times New Roman" w:hAnsi="Arial" w:cs="Arial"/>
          <w:kern w:val="0"/>
          <w:lang w:eastAsia="en-GB"/>
          <w14:ligatures w14:val="none"/>
        </w:rPr>
        <w:t xml:space="preserve"> The background is shaped by high regulatory scrutiny and a consumer base deeply concerned with Net Zero commitments and the ethical use of AI data.</w:t>
      </w:r>
    </w:p>
    <w:p w14:paraId="1C0C5F04" w14:textId="77777777" w:rsidR="0092161D" w:rsidRPr="00DC2067" w:rsidRDefault="0092161D" w:rsidP="0092161D">
      <w:pPr>
        <w:numPr>
          <w:ilvl w:val="0"/>
          <w:numId w:val="5"/>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In India:</w:t>
      </w:r>
      <w:r w:rsidRPr="00DC2067">
        <w:rPr>
          <w:rFonts w:ascii="Arial" w:eastAsia="Times New Roman" w:hAnsi="Arial" w:cs="Arial"/>
          <w:kern w:val="0"/>
          <w:lang w:eastAsia="en-GB"/>
          <w14:ligatures w14:val="none"/>
        </w:rPr>
        <w:t xml:space="preserve"> The market environment is driven by a desire for social mobility, where sustainability is viewed through the lens of empowerment, hygiene, and community-level social fairness.</w:t>
      </w:r>
    </w:p>
    <w:p w14:paraId="21A5CDC2" w14:textId="77777777" w:rsidR="0092161D" w:rsidRPr="00DC2067" w:rsidRDefault="0092161D" w:rsidP="0092161D">
      <w:p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kern w:val="0"/>
          <w:lang w:eastAsia="en-GB"/>
          <w14:ligatures w14:val="none"/>
        </w:rPr>
        <w:t xml:space="preserve">This research background establishes that Unilever's "Green Pivot" is not merely a change in advertising media, but a total reimagining of corporate </w:t>
      </w:r>
      <w:proofErr w:type="spellStart"/>
      <w:r w:rsidRPr="00DC2067">
        <w:rPr>
          <w:rFonts w:ascii="Arial" w:eastAsia="Times New Roman" w:hAnsi="Arial" w:cs="Arial"/>
          <w:kern w:val="0"/>
          <w:lang w:eastAsia="en-GB"/>
          <w14:ligatures w14:val="none"/>
        </w:rPr>
        <w:t>signaling</w:t>
      </w:r>
      <w:proofErr w:type="spellEnd"/>
      <w:r w:rsidRPr="00DC2067">
        <w:rPr>
          <w:rFonts w:ascii="Arial" w:eastAsia="Times New Roman" w:hAnsi="Arial" w:cs="Arial"/>
          <w:kern w:val="0"/>
          <w:lang w:eastAsia="en-GB"/>
          <w14:ligatures w14:val="none"/>
        </w:rPr>
        <w:t xml:space="preserve"> in a </w:t>
      </w:r>
      <w:proofErr w:type="spellStart"/>
      <w:r w:rsidRPr="00DC2067">
        <w:rPr>
          <w:rFonts w:ascii="Arial" w:eastAsia="Times New Roman" w:hAnsi="Arial" w:cs="Arial"/>
          <w:kern w:val="0"/>
          <w:lang w:eastAsia="en-GB"/>
          <w14:ligatures w14:val="none"/>
        </w:rPr>
        <w:t>skeptical</w:t>
      </w:r>
      <w:proofErr w:type="spellEnd"/>
      <w:r w:rsidRPr="00DC2067">
        <w:rPr>
          <w:rFonts w:ascii="Arial" w:eastAsia="Times New Roman" w:hAnsi="Arial" w:cs="Arial"/>
          <w:kern w:val="0"/>
          <w:lang w:eastAsia="en-GB"/>
          <w14:ligatures w14:val="none"/>
        </w:rPr>
        <w:t>, digital-first world.</w:t>
      </w:r>
    </w:p>
    <w:p w14:paraId="70D352E1" w14:textId="77777777" w:rsidR="0092161D" w:rsidRPr="00DC2067" w:rsidRDefault="0092161D" w:rsidP="0092161D">
      <w:pPr>
        <w:rPr>
          <w:b/>
          <w:bCs/>
          <w:sz w:val="28"/>
          <w:szCs w:val="28"/>
        </w:rPr>
      </w:pPr>
      <w:r w:rsidRPr="00DC2067">
        <w:rPr>
          <w:b/>
          <w:bCs/>
          <w:sz w:val="28"/>
          <w:szCs w:val="28"/>
        </w:rPr>
        <w:t>1.2 Statement of the Problem: The Trust-Digital Paradox</w:t>
      </w:r>
    </w:p>
    <w:p w14:paraId="3A238517" w14:textId="77777777" w:rsidR="00A74567" w:rsidRDefault="00A74567" w:rsidP="0092161D">
      <w:pPr>
        <w:rPr>
          <w:rFonts w:ascii="Arial" w:hAnsi="Arial" w:cs="Arial"/>
        </w:rPr>
      </w:pPr>
      <w:r w:rsidRPr="00A74567">
        <w:rPr>
          <w:rFonts w:ascii="Arial" w:hAnsi="Arial" w:cs="Arial"/>
        </w:rPr>
        <w:t>The core issue, which I refer to as the 'Trust-Digital Paradox', is that as Unilever moves away from Communications, which is heavily regulated; and more or less uniform, to more fragmented, and complex, algorithm mediated digital, the problem of greenwashing rises. In addition, there are massive cultural differences: in the UK it is Net Zero and AI ethics, whereas in India (a major developing economy) social fairness and hygiene are the biggest driver of brand trust. At present, the academic literature reveals a substantial gap regarding how transnational companies adapt these digital signals while ensuring authenticity across borders.</w:t>
      </w:r>
    </w:p>
    <w:p w14:paraId="3261255F" w14:textId="6A362482" w:rsidR="0092161D" w:rsidRPr="00DC2067" w:rsidRDefault="0092161D" w:rsidP="0092161D">
      <w:pPr>
        <w:rPr>
          <w:b/>
          <w:bCs/>
          <w:sz w:val="28"/>
          <w:szCs w:val="28"/>
        </w:rPr>
      </w:pPr>
      <w:r w:rsidRPr="00DC2067">
        <w:rPr>
          <w:b/>
          <w:bCs/>
          <w:sz w:val="28"/>
          <w:szCs w:val="28"/>
        </w:rPr>
        <w:t>1.3 Research Aim and Objectives</w:t>
      </w:r>
    </w:p>
    <w:p w14:paraId="53E36C60" w14:textId="77777777" w:rsidR="0092161D" w:rsidRPr="00DC2067" w:rsidRDefault="0092161D" w:rsidP="0092161D">
      <w:pPr>
        <w:rPr>
          <w:rFonts w:ascii="Arial" w:hAnsi="Arial" w:cs="Arial"/>
        </w:rPr>
      </w:pPr>
      <w:r w:rsidRPr="00DC2067">
        <w:rPr>
          <w:rFonts w:ascii="Arial" w:hAnsi="Arial" w:cs="Arial"/>
        </w:rPr>
        <w:t xml:space="preserve">The primary aim is to </w:t>
      </w:r>
      <w:proofErr w:type="spellStart"/>
      <w:r w:rsidRPr="00DC2067">
        <w:rPr>
          <w:rFonts w:ascii="Arial" w:hAnsi="Arial" w:cs="Arial"/>
        </w:rPr>
        <w:t>analyze</w:t>
      </w:r>
      <w:proofErr w:type="spellEnd"/>
      <w:r w:rsidRPr="00DC2067">
        <w:rPr>
          <w:rFonts w:ascii="Arial" w:hAnsi="Arial" w:cs="Arial"/>
        </w:rPr>
        <w:t xml:space="preserve"> how Unilever’s shift to digital marketing modifies its sustainability narrative to meet the unique cultural and technological demands of both developed and emerging economies.</w:t>
      </w:r>
    </w:p>
    <w:p w14:paraId="56C187EC" w14:textId="77777777" w:rsidR="0092161D" w:rsidRPr="00DC2067" w:rsidRDefault="0092161D" w:rsidP="0092161D">
      <w:pPr>
        <w:numPr>
          <w:ilvl w:val="0"/>
          <w:numId w:val="1"/>
        </w:numPr>
        <w:rPr>
          <w:rFonts w:ascii="Arial" w:hAnsi="Arial" w:cs="Arial"/>
        </w:rPr>
      </w:pPr>
      <w:r w:rsidRPr="00DC2067">
        <w:rPr>
          <w:rFonts w:ascii="Arial" w:hAnsi="Arial" w:cs="Arial"/>
          <w:b/>
          <w:bCs/>
        </w:rPr>
        <w:t>Objective 1:</w:t>
      </w:r>
      <w:r w:rsidRPr="00DC2067">
        <w:rPr>
          <w:rFonts w:ascii="Arial" w:hAnsi="Arial" w:cs="Arial"/>
        </w:rPr>
        <w:t xml:space="preserve"> To evaluate Unilever’s strategic transition in resource allocation from conventional media to digital-first platforms using public financial disclosures.</w:t>
      </w:r>
    </w:p>
    <w:p w14:paraId="59885BE6" w14:textId="77777777" w:rsidR="0092161D" w:rsidRPr="00DC2067" w:rsidRDefault="0092161D" w:rsidP="0092161D">
      <w:pPr>
        <w:numPr>
          <w:ilvl w:val="0"/>
          <w:numId w:val="1"/>
        </w:numPr>
        <w:rPr>
          <w:rFonts w:ascii="Arial" w:hAnsi="Arial" w:cs="Arial"/>
        </w:rPr>
      </w:pPr>
      <w:r w:rsidRPr="00DC2067">
        <w:rPr>
          <w:rFonts w:ascii="Arial" w:hAnsi="Arial" w:cs="Arial"/>
          <w:b/>
          <w:bCs/>
        </w:rPr>
        <w:t>Objective 2:</w:t>
      </w:r>
      <w:r w:rsidRPr="00DC2067">
        <w:rPr>
          <w:rFonts w:ascii="Arial" w:hAnsi="Arial" w:cs="Arial"/>
        </w:rPr>
        <w:t xml:space="preserve"> To compare Dove’s digital "Sustainability Narrative" in the UK (focusing on digital well-being) versus India (focusing on social equality).</w:t>
      </w:r>
    </w:p>
    <w:p w14:paraId="5F3A675C" w14:textId="77777777" w:rsidR="0092161D" w:rsidRPr="00DC2067" w:rsidRDefault="0092161D" w:rsidP="0092161D">
      <w:pPr>
        <w:numPr>
          <w:ilvl w:val="0"/>
          <w:numId w:val="1"/>
        </w:numPr>
        <w:rPr>
          <w:rFonts w:ascii="Arial" w:hAnsi="Arial" w:cs="Arial"/>
        </w:rPr>
      </w:pPr>
      <w:r w:rsidRPr="00DC2067">
        <w:rPr>
          <w:rFonts w:ascii="Arial" w:hAnsi="Arial" w:cs="Arial"/>
          <w:b/>
          <w:bCs/>
        </w:rPr>
        <w:t>Objective 3:</w:t>
      </w:r>
      <w:r w:rsidRPr="00DC2067">
        <w:rPr>
          <w:rFonts w:ascii="Arial" w:hAnsi="Arial" w:cs="Arial"/>
        </w:rPr>
        <w:t xml:space="preserve"> To </w:t>
      </w:r>
      <w:proofErr w:type="spellStart"/>
      <w:r w:rsidRPr="00DC2067">
        <w:rPr>
          <w:rFonts w:ascii="Arial" w:hAnsi="Arial" w:cs="Arial"/>
        </w:rPr>
        <w:t>analyze</w:t>
      </w:r>
      <w:proofErr w:type="spellEnd"/>
      <w:r w:rsidRPr="00DC2067">
        <w:rPr>
          <w:rFonts w:ascii="Arial" w:hAnsi="Arial" w:cs="Arial"/>
        </w:rPr>
        <w:t xml:space="preserve"> how AI-driven personalization and digital production hubs (like Sketch Pro) are used to maintain cultural relevance.</w:t>
      </w:r>
    </w:p>
    <w:p w14:paraId="5E9C2856" w14:textId="77777777" w:rsidR="0092161D" w:rsidRPr="00DC2067" w:rsidRDefault="0092161D" w:rsidP="0092161D">
      <w:pPr>
        <w:numPr>
          <w:ilvl w:val="0"/>
          <w:numId w:val="1"/>
        </w:numPr>
        <w:rPr>
          <w:rFonts w:ascii="Arial" w:hAnsi="Arial" w:cs="Arial"/>
        </w:rPr>
      </w:pPr>
      <w:r w:rsidRPr="00DC2067">
        <w:rPr>
          <w:rFonts w:ascii="Arial" w:hAnsi="Arial" w:cs="Arial"/>
          <w:b/>
          <w:bCs/>
        </w:rPr>
        <w:t>Objective 4:</w:t>
      </w:r>
      <w:r w:rsidRPr="00DC2067">
        <w:rPr>
          <w:rFonts w:ascii="Arial" w:hAnsi="Arial" w:cs="Arial"/>
        </w:rPr>
        <w:t xml:space="preserve"> To assess Unilever’s initiatives for mitigating consumer </w:t>
      </w:r>
      <w:proofErr w:type="spellStart"/>
      <w:r w:rsidRPr="00DC2067">
        <w:rPr>
          <w:rFonts w:ascii="Arial" w:hAnsi="Arial" w:cs="Arial"/>
        </w:rPr>
        <w:t>skepticism</w:t>
      </w:r>
      <w:proofErr w:type="spellEnd"/>
      <w:r w:rsidRPr="00DC2067">
        <w:rPr>
          <w:rFonts w:ascii="Arial" w:hAnsi="Arial" w:cs="Arial"/>
        </w:rPr>
        <w:t xml:space="preserve"> and "greenwashing" risks in the 2026 marketing landscape.</w:t>
      </w:r>
    </w:p>
    <w:p w14:paraId="27C44502" w14:textId="77777777" w:rsidR="0092161D" w:rsidRPr="00DC2067" w:rsidRDefault="0092161D" w:rsidP="0092161D">
      <w:pPr>
        <w:spacing w:after="100" w:afterAutospacing="1" w:line="240" w:lineRule="auto"/>
        <w:outlineLvl w:val="1"/>
        <w:rPr>
          <w:rFonts w:ascii="Arial" w:eastAsia="Times New Roman" w:hAnsi="Arial" w:cs="Arial"/>
          <w:b/>
          <w:bCs/>
          <w:kern w:val="0"/>
          <w:sz w:val="32"/>
          <w:szCs w:val="32"/>
          <w:lang w:eastAsia="en-GB"/>
          <w14:ligatures w14:val="none"/>
        </w:rPr>
      </w:pPr>
      <w:r w:rsidRPr="00DC2067">
        <w:rPr>
          <w:rFonts w:ascii="Arial" w:eastAsia="Times New Roman" w:hAnsi="Arial" w:cs="Arial"/>
          <w:b/>
          <w:bCs/>
          <w:kern w:val="0"/>
          <w:sz w:val="32"/>
          <w:szCs w:val="32"/>
          <w:lang w:eastAsia="en-GB"/>
          <w14:ligatures w14:val="none"/>
        </w:rPr>
        <w:t>2. Literature Review</w:t>
      </w:r>
    </w:p>
    <w:p w14:paraId="2F98286E" w14:textId="77777777" w:rsidR="0092161D" w:rsidRPr="00DC2067" w:rsidRDefault="0092161D" w:rsidP="0092161D">
      <w:pPr>
        <w:spacing w:after="100" w:afterAutospacing="1" w:line="240" w:lineRule="auto"/>
        <w:outlineLvl w:val="1"/>
        <w:rPr>
          <w:rFonts w:ascii="Arial" w:eastAsia="Times New Roman" w:hAnsi="Arial" w:cs="Arial"/>
          <w:b/>
          <w:bCs/>
          <w:kern w:val="0"/>
          <w:sz w:val="28"/>
          <w:szCs w:val="28"/>
          <w:lang w:eastAsia="en-GB"/>
          <w14:ligatures w14:val="none"/>
        </w:rPr>
      </w:pPr>
      <w:r w:rsidRPr="00DC2067">
        <w:rPr>
          <w:rFonts w:ascii="Arial" w:eastAsia="Times New Roman" w:hAnsi="Arial" w:cs="Arial"/>
          <w:b/>
          <w:bCs/>
          <w:kern w:val="0"/>
          <w:sz w:val="28"/>
          <w:szCs w:val="28"/>
          <w:lang w:eastAsia="en-GB"/>
          <w14:ligatures w14:val="none"/>
        </w:rPr>
        <w:t>2.1 The Evolution of Purpose: From "Broadcasting" to "Belonging"</w:t>
      </w:r>
    </w:p>
    <w:p w14:paraId="7B53E178" w14:textId="77777777" w:rsidR="0092161D" w:rsidRPr="00DC2067" w:rsidRDefault="0092161D" w:rsidP="0092161D">
      <w:p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kern w:val="0"/>
          <w:lang w:eastAsia="en-GB"/>
          <w14:ligatures w14:val="none"/>
        </w:rPr>
        <w:t xml:space="preserve">The shift in global marketing is defined by a transition from a "one-to-many" broadcast model to a "many-to-many" ecosystem where many people communicate many messages to many others. This evolution is encapsulated in the </w:t>
      </w:r>
      <w:r w:rsidRPr="00DC2067">
        <w:rPr>
          <w:rFonts w:ascii="Arial" w:eastAsia="Times New Roman" w:hAnsi="Arial" w:cs="Arial"/>
          <w:b/>
          <w:bCs/>
          <w:kern w:val="0"/>
          <w:lang w:eastAsia="en-GB"/>
          <w14:ligatures w14:val="none"/>
        </w:rPr>
        <w:t>SASSY framework</w:t>
      </w:r>
      <w:r w:rsidRPr="00DC2067">
        <w:rPr>
          <w:rFonts w:ascii="Arial" w:eastAsia="Times New Roman" w:hAnsi="Arial" w:cs="Arial"/>
          <w:kern w:val="0"/>
          <w:lang w:eastAsia="en-GB"/>
          <w14:ligatures w14:val="none"/>
        </w:rPr>
        <w:t xml:space="preserve"> (Superior Science, Aesthetics, </w:t>
      </w:r>
      <w:proofErr w:type="spellStart"/>
      <w:r w:rsidRPr="00DC2067">
        <w:rPr>
          <w:rFonts w:ascii="Arial" w:eastAsia="Times New Roman" w:hAnsi="Arial" w:cs="Arial"/>
          <w:kern w:val="0"/>
          <w:lang w:eastAsia="en-GB"/>
          <w14:ligatures w14:val="none"/>
        </w:rPr>
        <w:t>Sensorials</w:t>
      </w:r>
      <w:proofErr w:type="spellEnd"/>
      <w:r w:rsidRPr="00DC2067">
        <w:rPr>
          <w:rFonts w:ascii="Arial" w:eastAsia="Times New Roman" w:hAnsi="Arial" w:cs="Arial"/>
          <w:kern w:val="0"/>
          <w:lang w:eastAsia="en-GB"/>
          <w14:ligatures w14:val="none"/>
        </w:rPr>
        <w:t>, Said by others, and Young-spirited).</w:t>
      </w:r>
    </w:p>
    <w:p w14:paraId="5BFDACCE" w14:textId="77777777" w:rsidR="0092161D" w:rsidRPr="00DC2067" w:rsidRDefault="0092161D" w:rsidP="0092161D">
      <w:pPr>
        <w:numPr>
          <w:ilvl w:val="0"/>
          <w:numId w:val="6"/>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Superior Science as Trust:</w:t>
      </w:r>
      <w:r w:rsidRPr="00DC2067">
        <w:rPr>
          <w:rFonts w:ascii="Arial" w:eastAsia="Times New Roman" w:hAnsi="Arial" w:cs="Arial"/>
          <w:kern w:val="0"/>
          <w:lang w:eastAsia="en-GB"/>
          <w14:ligatures w14:val="none"/>
        </w:rPr>
        <w:t xml:space="preserve"> Indisputable product innovation is now a primary driver of consumer desire and trust in an era of </w:t>
      </w:r>
      <w:proofErr w:type="spellStart"/>
      <w:r w:rsidRPr="00DC2067">
        <w:rPr>
          <w:rFonts w:ascii="Arial" w:eastAsia="Times New Roman" w:hAnsi="Arial" w:cs="Arial"/>
          <w:kern w:val="0"/>
          <w:lang w:eastAsia="en-GB"/>
          <w14:ligatures w14:val="none"/>
        </w:rPr>
        <w:t>skepticism</w:t>
      </w:r>
      <w:proofErr w:type="spellEnd"/>
      <w:r w:rsidRPr="00DC2067">
        <w:rPr>
          <w:rFonts w:ascii="Arial" w:eastAsia="Times New Roman" w:hAnsi="Arial" w:cs="Arial"/>
          <w:kern w:val="0"/>
          <w:lang w:eastAsia="en-GB"/>
          <w14:ligatures w14:val="none"/>
        </w:rPr>
        <w:t>.</w:t>
      </w:r>
    </w:p>
    <w:p w14:paraId="2DDB508D" w14:textId="77777777" w:rsidR="0092161D" w:rsidRPr="00DC2067" w:rsidRDefault="0092161D" w:rsidP="0092161D">
      <w:pPr>
        <w:numPr>
          <w:ilvl w:val="0"/>
          <w:numId w:val="6"/>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"Said by Others":</w:t>
      </w:r>
      <w:r w:rsidRPr="00DC2067">
        <w:rPr>
          <w:rFonts w:ascii="Arial" w:eastAsia="Times New Roman" w:hAnsi="Arial" w:cs="Arial"/>
          <w:kern w:val="0"/>
          <w:lang w:eastAsia="en-GB"/>
          <w14:ligatures w14:val="none"/>
        </w:rPr>
        <w:t xml:space="preserve"> In the digital age, trust is increasingly decentralized; brands must leverage a content ecosystem amplified by creators and communities to maintain authenticity.</w:t>
      </w:r>
    </w:p>
    <w:p w14:paraId="51ADF269" w14:textId="77777777" w:rsidR="0092161D" w:rsidRPr="00DC2067" w:rsidRDefault="0092161D" w:rsidP="0092161D">
      <w:pPr>
        <w:numPr>
          <w:ilvl w:val="0"/>
          <w:numId w:val="6"/>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Young-Spiritedness:</w:t>
      </w:r>
      <w:r w:rsidRPr="00DC2067">
        <w:rPr>
          <w:rFonts w:ascii="Arial" w:eastAsia="Times New Roman" w:hAnsi="Arial" w:cs="Arial"/>
          <w:kern w:val="0"/>
          <w:lang w:eastAsia="en-GB"/>
          <w14:ligatures w14:val="none"/>
        </w:rPr>
        <w:t xml:space="preserve"> Sustainability narratives must remain culturally relevant to Gen Z and Millennials, who demand that brands "keep up" with rapid content cycles.</w:t>
      </w:r>
    </w:p>
    <w:p w14:paraId="19398109" w14:textId="77777777" w:rsidR="0092161D" w:rsidRPr="00DC2067" w:rsidRDefault="0092161D" w:rsidP="0092161D">
      <w:pPr>
        <w:spacing w:after="100" w:afterAutospacing="1" w:line="240" w:lineRule="auto"/>
        <w:outlineLvl w:val="1"/>
        <w:rPr>
          <w:rFonts w:ascii="Arial" w:eastAsia="Times New Roman" w:hAnsi="Arial" w:cs="Arial"/>
          <w:b/>
          <w:bCs/>
          <w:kern w:val="0"/>
          <w:sz w:val="28"/>
          <w:szCs w:val="28"/>
          <w:lang w:eastAsia="en-GB"/>
          <w14:ligatures w14:val="none"/>
        </w:rPr>
      </w:pPr>
      <w:r w:rsidRPr="00DC2067">
        <w:rPr>
          <w:rFonts w:ascii="Arial" w:eastAsia="Times New Roman" w:hAnsi="Arial" w:cs="Arial"/>
          <w:b/>
          <w:bCs/>
          <w:kern w:val="0"/>
          <w:sz w:val="28"/>
          <w:szCs w:val="28"/>
          <w:lang w:eastAsia="en-GB"/>
          <w14:ligatures w14:val="none"/>
        </w:rPr>
        <w:t>2.2 Signalling Theory and the Trust-Digital Paradox</w:t>
      </w:r>
    </w:p>
    <w:p w14:paraId="4E17F668" w14:textId="77777777" w:rsidR="0092161D" w:rsidRPr="00DC2067" w:rsidRDefault="0092161D" w:rsidP="0092161D">
      <w:p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kern w:val="0"/>
          <w:lang w:eastAsia="en-GB"/>
          <w14:ligatures w14:val="none"/>
        </w:rPr>
        <w:t xml:space="preserve">The "Trust-Digital Paradox" arises when companies utilize AI-driven personalization to spread sustainability messages. Under </w:t>
      </w:r>
      <w:r w:rsidRPr="00DC2067">
        <w:rPr>
          <w:rFonts w:ascii="Arial" w:eastAsia="Times New Roman" w:hAnsi="Arial" w:cs="Arial"/>
          <w:b/>
          <w:bCs/>
          <w:kern w:val="0"/>
          <w:lang w:eastAsia="en-GB"/>
          <w14:ligatures w14:val="none"/>
        </w:rPr>
        <w:t>Signalling Theory</w:t>
      </w:r>
      <w:r w:rsidRPr="00DC2067">
        <w:rPr>
          <w:rFonts w:ascii="Arial" w:eastAsia="Times New Roman" w:hAnsi="Arial" w:cs="Arial"/>
          <w:kern w:val="0"/>
          <w:lang w:eastAsia="en-GB"/>
          <w14:ligatures w14:val="none"/>
        </w:rPr>
        <w:t>, consumers look for "high-cost" signals to verify a brand’s environmental claims.</w:t>
      </w:r>
    </w:p>
    <w:p w14:paraId="0854E035" w14:textId="77777777" w:rsidR="0092161D" w:rsidRPr="00DC2067" w:rsidRDefault="0092161D" w:rsidP="0092161D">
      <w:pPr>
        <w:numPr>
          <w:ilvl w:val="0"/>
          <w:numId w:val="7"/>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Digital Deception:</w:t>
      </w:r>
      <w:r w:rsidRPr="00DC2067">
        <w:rPr>
          <w:rFonts w:ascii="Arial" w:eastAsia="Times New Roman" w:hAnsi="Arial" w:cs="Arial"/>
          <w:kern w:val="0"/>
          <w:lang w:eastAsia="en-GB"/>
          <w14:ligatures w14:val="none"/>
        </w:rPr>
        <w:t xml:space="preserve"> Approximately 40% of online green claims are currently estimated to be misleading, leading to a "legitimacy crisis".</w:t>
      </w:r>
    </w:p>
    <w:p w14:paraId="3B29FE5D" w14:textId="77777777" w:rsidR="0092161D" w:rsidRPr="00DC2067" w:rsidRDefault="0092161D" w:rsidP="0092161D">
      <w:pPr>
        <w:numPr>
          <w:ilvl w:val="0"/>
          <w:numId w:val="7"/>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The Role of AI:</w:t>
      </w:r>
      <w:r w:rsidRPr="00DC2067">
        <w:rPr>
          <w:rFonts w:ascii="Arial" w:eastAsia="Times New Roman" w:hAnsi="Arial" w:cs="Arial"/>
          <w:kern w:val="0"/>
          <w:lang w:eastAsia="en-GB"/>
          <w14:ligatures w14:val="none"/>
        </w:rPr>
        <w:t xml:space="preserve"> While AI can help brands monitor supply chains and automate transparent reporting, it also increases the risk of perceived greenwashing if the personalization feels inauthentic or lacks "Science".</w:t>
      </w:r>
    </w:p>
    <w:p w14:paraId="550FF699" w14:textId="77777777" w:rsidR="0092161D" w:rsidRPr="00DC2067" w:rsidRDefault="0092161D" w:rsidP="0092161D">
      <w:pPr>
        <w:numPr>
          <w:ilvl w:val="0"/>
          <w:numId w:val="7"/>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Proactive Signalling:</w:t>
      </w:r>
      <w:r w:rsidRPr="00DC2067">
        <w:rPr>
          <w:rFonts w:ascii="Arial" w:eastAsia="Times New Roman" w:hAnsi="Arial" w:cs="Arial"/>
          <w:kern w:val="0"/>
          <w:lang w:eastAsia="en-GB"/>
          <w14:ligatures w14:val="none"/>
        </w:rPr>
        <w:t xml:space="preserve"> Research suggests that a proactive response to greenwashing allegations is significantly more effective at preserving corporate image than defensive or silent strategies.</w:t>
      </w:r>
    </w:p>
    <w:p w14:paraId="607429FD" w14:textId="77777777" w:rsidR="0092161D" w:rsidRPr="00DC2067" w:rsidRDefault="0092161D" w:rsidP="0092161D">
      <w:pPr>
        <w:spacing w:after="100" w:afterAutospacing="1" w:line="240" w:lineRule="auto"/>
        <w:outlineLvl w:val="1"/>
        <w:rPr>
          <w:rFonts w:ascii="Arial" w:eastAsia="Times New Roman" w:hAnsi="Arial" w:cs="Arial"/>
          <w:b/>
          <w:bCs/>
          <w:kern w:val="0"/>
          <w:sz w:val="28"/>
          <w:szCs w:val="28"/>
          <w:lang w:eastAsia="en-GB"/>
          <w14:ligatures w14:val="none"/>
        </w:rPr>
      </w:pPr>
      <w:r w:rsidRPr="00DC2067">
        <w:rPr>
          <w:rFonts w:ascii="Arial" w:eastAsia="Times New Roman" w:hAnsi="Arial" w:cs="Arial"/>
          <w:b/>
          <w:bCs/>
          <w:kern w:val="0"/>
          <w:sz w:val="28"/>
          <w:szCs w:val="28"/>
          <w:lang w:eastAsia="en-GB"/>
          <w14:ligatures w14:val="none"/>
        </w:rPr>
        <w:t xml:space="preserve">2.3 AI-Driven Personalization and Consumer </w:t>
      </w:r>
      <w:proofErr w:type="spellStart"/>
      <w:r w:rsidRPr="00DC2067">
        <w:rPr>
          <w:rFonts w:ascii="Arial" w:eastAsia="Times New Roman" w:hAnsi="Arial" w:cs="Arial"/>
          <w:b/>
          <w:bCs/>
          <w:kern w:val="0"/>
          <w:sz w:val="28"/>
          <w:szCs w:val="28"/>
          <w:lang w:eastAsia="en-GB"/>
          <w14:ligatures w14:val="none"/>
        </w:rPr>
        <w:t>Behavior</w:t>
      </w:r>
      <w:proofErr w:type="spellEnd"/>
    </w:p>
    <w:p w14:paraId="637BCA04" w14:textId="77777777" w:rsidR="0092161D" w:rsidRPr="00DC2067" w:rsidRDefault="0092161D" w:rsidP="0092161D">
      <w:p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kern w:val="0"/>
          <w:lang w:eastAsia="en-GB"/>
          <w14:ligatures w14:val="none"/>
        </w:rPr>
        <w:t>AI is no longer just a backend tool; it is a "consumer's trusted guide" that reshapes perceptions of value.</w:t>
      </w:r>
    </w:p>
    <w:p w14:paraId="1F01E601" w14:textId="77777777" w:rsidR="0092161D" w:rsidRPr="00DC2067" w:rsidRDefault="0092161D" w:rsidP="0092161D">
      <w:pPr>
        <w:numPr>
          <w:ilvl w:val="0"/>
          <w:numId w:val="8"/>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Emotional Alignment:</w:t>
      </w:r>
      <w:r w:rsidRPr="00DC2067">
        <w:rPr>
          <w:rFonts w:ascii="Arial" w:eastAsia="Times New Roman" w:hAnsi="Arial" w:cs="Arial"/>
          <w:kern w:val="0"/>
          <w:lang w:eastAsia="en-GB"/>
          <w14:ligatures w14:val="none"/>
        </w:rPr>
        <w:t xml:space="preserve"> AI-driven sentiment analysis allows brands to interpret consumer emotional states through social media and feedback loops, creating "human-like" and empathetic interactions that strengthen trust.</w:t>
      </w:r>
    </w:p>
    <w:p w14:paraId="26E17315" w14:textId="77777777" w:rsidR="0092161D" w:rsidRPr="00DC2067" w:rsidRDefault="0092161D" w:rsidP="0092161D">
      <w:pPr>
        <w:numPr>
          <w:ilvl w:val="0"/>
          <w:numId w:val="8"/>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The Transparency Mandate:</w:t>
      </w:r>
      <w:r w:rsidRPr="00DC2067">
        <w:rPr>
          <w:rFonts w:ascii="Arial" w:eastAsia="Times New Roman" w:hAnsi="Arial" w:cs="Arial"/>
          <w:kern w:val="0"/>
          <w:lang w:eastAsia="en-GB"/>
          <w14:ligatures w14:val="none"/>
        </w:rPr>
        <w:t xml:space="preserve"> 76% of consumers now demand clear rules for AI-driven brand actions, and 71% express concern over how their data is used to generate personalized content.</w:t>
      </w:r>
    </w:p>
    <w:p w14:paraId="3208A161" w14:textId="77777777" w:rsidR="0092161D" w:rsidRPr="00DC2067" w:rsidRDefault="0092161D" w:rsidP="0092161D">
      <w:pPr>
        <w:numPr>
          <w:ilvl w:val="0"/>
          <w:numId w:val="8"/>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Cultural Specificity:</w:t>
      </w:r>
      <w:r w:rsidRPr="00DC2067">
        <w:rPr>
          <w:rFonts w:ascii="Arial" w:eastAsia="Times New Roman" w:hAnsi="Arial" w:cs="Arial"/>
          <w:kern w:val="0"/>
          <w:lang w:eastAsia="en-GB"/>
          <w14:ligatures w14:val="none"/>
        </w:rPr>
        <w:t xml:space="preserve"> In markets like </w:t>
      </w:r>
      <w:r w:rsidRPr="00DC2067">
        <w:rPr>
          <w:rFonts w:ascii="Arial" w:eastAsia="Times New Roman" w:hAnsi="Arial" w:cs="Arial"/>
          <w:b/>
          <w:bCs/>
          <w:kern w:val="0"/>
          <w:lang w:eastAsia="en-GB"/>
          <w14:ligatures w14:val="none"/>
        </w:rPr>
        <w:t>India</w:t>
      </w:r>
      <w:r w:rsidRPr="00DC2067">
        <w:rPr>
          <w:rFonts w:ascii="Arial" w:eastAsia="Times New Roman" w:hAnsi="Arial" w:cs="Arial"/>
          <w:kern w:val="0"/>
          <w:lang w:eastAsia="en-GB"/>
          <w14:ligatures w14:val="none"/>
        </w:rPr>
        <w:t>, consumers are revolutionizing wellness by demanding science-backed solutions and greater transparency on ingredients.</w:t>
      </w:r>
    </w:p>
    <w:p w14:paraId="1023DB49" w14:textId="77777777" w:rsidR="0092161D" w:rsidRPr="00DC2067" w:rsidRDefault="0092161D" w:rsidP="0092161D">
      <w:pPr>
        <w:spacing w:after="100" w:afterAutospacing="1" w:line="240" w:lineRule="auto"/>
        <w:outlineLvl w:val="1"/>
        <w:rPr>
          <w:rFonts w:ascii="Arial" w:eastAsia="Times New Roman" w:hAnsi="Arial" w:cs="Arial"/>
          <w:b/>
          <w:bCs/>
          <w:kern w:val="0"/>
          <w:sz w:val="28"/>
          <w:szCs w:val="28"/>
          <w:lang w:eastAsia="en-GB"/>
          <w14:ligatures w14:val="none"/>
        </w:rPr>
      </w:pPr>
      <w:r w:rsidRPr="00DC2067">
        <w:rPr>
          <w:rFonts w:ascii="Arial" w:eastAsia="Times New Roman" w:hAnsi="Arial" w:cs="Arial"/>
          <w:b/>
          <w:bCs/>
          <w:kern w:val="0"/>
          <w:sz w:val="28"/>
          <w:szCs w:val="28"/>
          <w:lang w:eastAsia="en-GB"/>
          <w14:ligatures w14:val="none"/>
        </w:rPr>
        <w:t>2.4 Digital Transformation as a Curb on Greenwashing</w:t>
      </w:r>
    </w:p>
    <w:p w14:paraId="4AA03937" w14:textId="77777777" w:rsidR="0092161D" w:rsidRPr="00DC2067" w:rsidRDefault="0092161D" w:rsidP="0092161D">
      <w:p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kern w:val="0"/>
          <w:lang w:eastAsia="en-GB"/>
          <w14:ligatures w14:val="none"/>
        </w:rPr>
        <w:t xml:space="preserve">Contrary to the "paradox," some theories suggest that </w:t>
      </w:r>
      <w:r w:rsidRPr="00DC2067">
        <w:rPr>
          <w:rFonts w:ascii="Arial" w:eastAsia="Times New Roman" w:hAnsi="Arial" w:cs="Arial"/>
          <w:b/>
          <w:bCs/>
          <w:kern w:val="0"/>
          <w:lang w:eastAsia="en-GB"/>
          <w14:ligatures w14:val="none"/>
        </w:rPr>
        <w:t>Digital Transformation</w:t>
      </w:r>
      <w:r w:rsidRPr="00DC2067">
        <w:rPr>
          <w:rFonts w:ascii="Arial" w:eastAsia="Times New Roman" w:hAnsi="Arial" w:cs="Arial"/>
          <w:kern w:val="0"/>
          <w:lang w:eastAsia="en-GB"/>
          <w14:ligatures w14:val="none"/>
        </w:rPr>
        <w:t xml:space="preserve"> can actually curb greenwashing by reducing information asymmetry.</w:t>
      </w:r>
    </w:p>
    <w:p w14:paraId="7FBFC792" w14:textId="77777777" w:rsidR="0092161D" w:rsidRPr="00DC2067" w:rsidRDefault="0092161D" w:rsidP="0092161D">
      <w:pPr>
        <w:numPr>
          <w:ilvl w:val="0"/>
          <w:numId w:val="9"/>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Verifiable Disclosure:</w:t>
      </w:r>
      <w:r w:rsidRPr="00DC2067">
        <w:rPr>
          <w:rFonts w:ascii="Arial" w:eastAsia="Times New Roman" w:hAnsi="Arial" w:cs="Arial"/>
          <w:kern w:val="0"/>
          <w:lang w:eastAsia="en-GB"/>
          <w14:ligatures w14:val="none"/>
        </w:rPr>
        <w:t xml:space="preserve"> Technologies like blockchain and AI-powered sentiment analysis allow for traceable and verifiable environmental disclosure systems.</w:t>
      </w:r>
    </w:p>
    <w:p w14:paraId="7B582F03" w14:textId="77777777" w:rsidR="0092161D" w:rsidRPr="00DC2067" w:rsidRDefault="0092161D" w:rsidP="0092161D">
      <w:pPr>
        <w:numPr>
          <w:ilvl w:val="0"/>
          <w:numId w:val="9"/>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Dynamic Regulation:</w:t>
      </w:r>
      <w:r w:rsidRPr="00DC2067">
        <w:rPr>
          <w:rFonts w:ascii="Arial" w:eastAsia="Times New Roman" w:hAnsi="Arial" w:cs="Arial"/>
          <w:kern w:val="0"/>
          <w:lang w:eastAsia="en-GB"/>
          <w14:ligatures w14:val="none"/>
        </w:rPr>
        <w:t xml:space="preserve"> In the UK, the </w:t>
      </w:r>
      <w:r w:rsidRPr="00DC2067">
        <w:rPr>
          <w:rFonts w:ascii="Arial" w:eastAsia="Times New Roman" w:hAnsi="Arial" w:cs="Arial"/>
          <w:b/>
          <w:bCs/>
          <w:kern w:val="0"/>
          <w:lang w:eastAsia="en-GB"/>
          <w14:ligatures w14:val="none"/>
        </w:rPr>
        <w:t>Digital Markets, Competition and Consumers Act 2024</w:t>
      </w:r>
      <w:r w:rsidRPr="00DC2067">
        <w:rPr>
          <w:rFonts w:ascii="Arial" w:eastAsia="Times New Roman" w:hAnsi="Arial" w:cs="Arial"/>
          <w:kern w:val="0"/>
          <w:lang w:eastAsia="en-GB"/>
          <w14:ligatures w14:val="none"/>
        </w:rPr>
        <w:t xml:space="preserve"> grants regulators significant power to prohibit unfair commercial practices, including misleading environmental claims.</w:t>
      </w:r>
    </w:p>
    <w:p w14:paraId="0110736A" w14:textId="77777777" w:rsidR="0092161D" w:rsidRDefault="0092161D" w:rsidP="0092161D">
      <w:pPr>
        <w:numPr>
          <w:ilvl w:val="0"/>
          <w:numId w:val="9"/>
        </w:numPr>
        <w:spacing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Participatory Mechanisms:</w:t>
      </w:r>
      <w:r w:rsidRPr="00DC2067">
        <w:rPr>
          <w:rFonts w:ascii="Arial" w:eastAsia="Times New Roman" w:hAnsi="Arial" w:cs="Arial"/>
          <w:kern w:val="0"/>
          <w:lang w:eastAsia="en-GB"/>
          <w14:ligatures w14:val="none"/>
        </w:rPr>
        <w:t xml:space="preserve"> Digital environments enable "two-way" sustainability communication, where dialogue-based processes help brands understand stakeholder expectations and prove their commitment through active engagement</w:t>
      </w:r>
      <w:r>
        <w:rPr>
          <w:rFonts w:ascii="Arial" w:eastAsia="Times New Roman" w:hAnsi="Arial" w:cs="Arial"/>
          <w:kern w:val="0"/>
          <w:lang w:eastAsia="en-GB"/>
          <w14:ligatures w14:val="none"/>
        </w:rPr>
        <w:t>.</w:t>
      </w:r>
    </w:p>
    <w:p w14:paraId="6F285D95" w14:textId="77777777" w:rsidR="0092161D" w:rsidRPr="00DC2067" w:rsidRDefault="0092161D" w:rsidP="0092161D">
      <w:pPr>
        <w:spacing w:after="100" w:afterAutospacing="1" w:line="240" w:lineRule="auto"/>
        <w:rPr>
          <w:rFonts w:ascii="Arial" w:eastAsia="Times New Roman" w:hAnsi="Arial" w:cs="Arial"/>
          <w:kern w:val="0"/>
          <w:lang w:eastAsia="en-GB"/>
          <w14:ligatures w14:val="none"/>
        </w:rPr>
      </w:pPr>
      <w:r w:rsidRPr="00DC2067">
        <w:rPr>
          <w:b/>
          <w:bCs/>
          <w:sz w:val="32"/>
          <w:szCs w:val="32"/>
        </w:rPr>
        <w:t>3. Methodology</w:t>
      </w:r>
    </w:p>
    <w:p w14:paraId="7A9B002F" w14:textId="77777777" w:rsidR="0092161D" w:rsidRPr="00DC2067" w:rsidRDefault="0092161D" w:rsidP="0092161D">
      <w:pPr>
        <w:rPr>
          <w:b/>
          <w:bCs/>
          <w:sz w:val="28"/>
          <w:szCs w:val="28"/>
        </w:rPr>
      </w:pPr>
      <w:r w:rsidRPr="00DC2067">
        <w:rPr>
          <w:b/>
          <w:bCs/>
          <w:sz w:val="28"/>
          <w:szCs w:val="28"/>
        </w:rPr>
        <w:t>3.1 Research Design</w:t>
      </w:r>
    </w:p>
    <w:p w14:paraId="2762F566" w14:textId="77777777" w:rsidR="0092161D" w:rsidRPr="00DC2067" w:rsidRDefault="0092161D" w:rsidP="0092161D">
      <w:pPr>
        <w:rPr>
          <w:rFonts w:ascii="Arial" w:hAnsi="Arial" w:cs="Arial"/>
        </w:rPr>
      </w:pPr>
      <w:r w:rsidRPr="00DC2067">
        <w:rPr>
          <w:rFonts w:ascii="Arial" w:hAnsi="Arial" w:cs="Arial"/>
        </w:rPr>
        <w:t xml:space="preserve">This study employs a </w:t>
      </w:r>
      <w:r w:rsidRPr="00DC2067">
        <w:rPr>
          <w:rFonts w:ascii="Arial" w:hAnsi="Arial" w:cs="Arial"/>
          <w:b/>
          <w:bCs/>
        </w:rPr>
        <w:t>Qualitative Comparative Case Study</w:t>
      </w:r>
      <w:r w:rsidRPr="00DC2067">
        <w:rPr>
          <w:rFonts w:ascii="Arial" w:hAnsi="Arial" w:cs="Arial"/>
        </w:rPr>
        <w:t xml:space="preserve"> methodology, relying exclusively on secondary, non-intrusive data sources. This approach eliminates the bias of self-reported primary data and allows for a longitudinal look at corporate strategic shifts.</w:t>
      </w:r>
    </w:p>
    <w:p w14:paraId="1A6D1A4E" w14:textId="77777777" w:rsidR="0092161D" w:rsidRPr="00DC2067" w:rsidRDefault="0092161D" w:rsidP="0092161D">
      <w:pPr>
        <w:rPr>
          <w:rFonts w:ascii="Arial" w:hAnsi="Arial" w:cs="Arial"/>
          <w:b/>
          <w:bCs/>
          <w:sz w:val="28"/>
          <w:szCs w:val="28"/>
        </w:rPr>
      </w:pPr>
      <w:r w:rsidRPr="00DC2067">
        <w:rPr>
          <w:rFonts w:ascii="Arial" w:hAnsi="Arial" w:cs="Arial"/>
          <w:b/>
          <w:bCs/>
          <w:sz w:val="28"/>
          <w:szCs w:val="28"/>
        </w:rPr>
        <w:t>3.2 Data Collection</w:t>
      </w:r>
    </w:p>
    <w:p w14:paraId="6696EA6A" w14:textId="77777777" w:rsidR="0092161D" w:rsidRPr="00DC2067" w:rsidRDefault="0092161D" w:rsidP="0092161D">
      <w:pPr>
        <w:rPr>
          <w:rFonts w:ascii="Arial" w:hAnsi="Arial" w:cs="Arial"/>
        </w:rPr>
      </w:pPr>
      <w:r w:rsidRPr="00DC2067">
        <w:rPr>
          <w:rFonts w:ascii="Arial" w:hAnsi="Arial" w:cs="Arial"/>
        </w:rPr>
        <w:t>Data will be gathered from three distinct secondary streams to ensure triangulation:</w:t>
      </w:r>
    </w:p>
    <w:p w14:paraId="46ABDAAB" w14:textId="77777777" w:rsidR="0092161D" w:rsidRPr="00DC2067" w:rsidRDefault="0092161D" w:rsidP="0092161D">
      <w:pPr>
        <w:numPr>
          <w:ilvl w:val="0"/>
          <w:numId w:val="2"/>
        </w:numPr>
        <w:rPr>
          <w:rFonts w:ascii="Arial" w:hAnsi="Arial" w:cs="Arial"/>
        </w:rPr>
      </w:pPr>
      <w:r w:rsidRPr="00DC2067">
        <w:rPr>
          <w:rFonts w:ascii="Arial" w:hAnsi="Arial" w:cs="Arial"/>
          <w:b/>
          <w:bCs/>
        </w:rPr>
        <w:t>Corporate Reports:</w:t>
      </w:r>
      <w:r w:rsidRPr="00DC2067">
        <w:rPr>
          <w:rFonts w:ascii="Arial" w:hAnsi="Arial" w:cs="Arial"/>
        </w:rPr>
        <w:t xml:space="preserve"> Analysis of the 2025 and 2026 Annual Reports and the "Unilever Compass" filings.</w:t>
      </w:r>
    </w:p>
    <w:p w14:paraId="49F0BD1E" w14:textId="77777777" w:rsidR="0092161D" w:rsidRPr="00DC2067" w:rsidRDefault="0092161D" w:rsidP="0092161D">
      <w:pPr>
        <w:numPr>
          <w:ilvl w:val="0"/>
          <w:numId w:val="2"/>
        </w:numPr>
        <w:rPr>
          <w:rFonts w:ascii="Arial" w:hAnsi="Arial" w:cs="Arial"/>
        </w:rPr>
      </w:pPr>
      <w:r w:rsidRPr="00DC2067">
        <w:rPr>
          <w:rFonts w:ascii="Arial" w:hAnsi="Arial" w:cs="Arial"/>
          <w:b/>
          <w:bCs/>
        </w:rPr>
        <w:t>Archival Digital Assets:</w:t>
      </w:r>
      <w:r w:rsidRPr="00DC2067">
        <w:rPr>
          <w:rFonts w:ascii="Arial" w:hAnsi="Arial" w:cs="Arial"/>
        </w:rPr>
        <w:t xml:space="preserve"> A selection of 40–50 public digital assets from Instagram, YouTube, and WhatsApp, split between the UK (Dove/Hellmann’s) and India (Dove/Surf Excel).</w:t>
      </w:r>
    </w:p>
    <w:p w14:paraId="3394106D" w14:textId="77777777" w:rsidR="0092161D" w:rsidRPr="00DC2067" w:rsidRDefault="0092161D" w:rsidP="0092161D">
      <w:pPr>
        <w:numPr>
          <w:ilvl w:val="0"/>
          <w:numId w:val="2"/>
        </w:numPr>
        <w:rPr>
          <w:rFonts w:ascii="Arial" w:hAnsi="Arial" w:cs="Arial"/>
        </w:rPr>
      </w:pPr>
      <w:r w:rsidRPr="00DC2067">
        <w:rPr>
          <w:rFonts w:ascii="Arial" w:hAnsi="Arial" w:cs="Arial"/>
          <w:b/>
          <w:bCs/>
        </w:rPr>
        <w:t>Market Intelligence:</w:t>
      </w:r>
      <w:r w:rsidRPr="00DC2067">
        <w:rPr>
          <w:rFonts w:ascii="Arial" w:hAnsi="Arial" w:cs="Arial"/>
        </w:rPr>
        <w:t xml:space="preserve"> Reports from Mintel, Edelman Trust Barometer, and consumer sentiment datasets to evaluate the "Trust-Digital Paradox".</w:t>
      </w:r>
    </w:p>
    <w:p w14:paraId="5246E7FC" w14:textId="77777777" w:rsidR="0092161D" w:rsidRPr="00DC2067" w:rsidRDefault="0092161D" w:rsidP="0092161D">
      <w:pPr>
        <w:rPr>
          <w:rFonts w:ascii="Arial" w:hAnsi="Arial" w:cs="Arial"/>
          <w:b/>
          <w:bCs/>
          <w:sz w:val="28"/>
          <w:szCs w:val="28"/>
        </w:rPr>
      </w:pPr>
      <w:r w:rsidRPr="00DC2067">
        <w:rPr>
          <w:rFonts w:ascii="Arial" w:hAnsi="Arial" w:cs="Arial"/>
          <w:b/>
          <w:bCs/>
          <w:sz w:val="28"/>
          <w:szCs w:val="28"/>
        </w:rPr>
        <w:t>3.3 Data Analysis</w:t>
      </w:r>
    </w:p>
    <w:p w14:paraId="053E85D8" w14:textId="77777777" w:rsidR="0092161D" w:rsidRPr="00DC2067" w:rsidRDefault="0092161D" w:rsidP="0092161D">
      <w:pPr>
        <w:rPr>
          <w:rFonts w:ascii="Arial" w:hAnsi="Arial" w:cs="Arial"/>
        </w:rPr>
      </w:pPr>
      <w:r w:rsidRPr="00DC2067">
        <w:rPr>
          <w:rFonts w:ascii="Arial" w:hAnsi="Arial" w:cs="Arial"/>
          <w:b/>
          <w:bCs/>
        </w:rPr>
        <w:t>Thematic Analysis</w:t>
      </w:r>
      <w:r w:rsidRPr="00DC2067">
        <w:rPr>
          <w:rFonts w:ascii="Arial" w:hAnsi="Arial" w:cs="Arial"/>
        </w:rPr>
        <w:t xml:space="preserve"> will be used to identify "Green Codes"—thematic patterns related to brand legitimacy and cultural relevance. These codes will be mapped against the comparative framework of the UK and India to determine how the global strategy is hyper-localized</w:t>
      </w:r>
      <w:r w:rsidRPr="00102BAF">
        <w:rPr>
          <w:rFonts w:ascii="Arial" w:hAnsi="Arial" w:cs="Arial"/>
        </w:rPr>
        <w:t>.</w:t>
      </w:r>
    </w:p>
    <w:p w14:paraId="4AA15409" w14:textId="77777777" w:rsidR="0092161D" w:rsidRPr="00DC2067" w:rsidRDefault="0092161D" w:rsidP="0092161D">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DC2067">
        <w:rPr>
          <w:rFonts w:ascii="Arial" w:eastAsia="Times New Roman" w:hAnsi="Arial" w:cs="Arial"/>
          <w:b/>
          <w:bCs/>
          <w:kern w:val="0"/>
          <w:sz w:val="32"/>
          <w:szCs w:val="32"/>
          <w:lang w:eastAsia="en-GB"/>
          <w14:ligatures w14:val="none"/>
        </w:rPr>
        <w:t>4. Expected Findings</w:t>
      </w:r>
    </w:p>
    <w:p w14:paraId="2A21A953" w14:textId="77777777" w:rsidR="0092161D" w:rsidRPr="00DC2067" w:rsidRDefault="0092161D" w:rsidP="0092161D">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DC2067">
        <w:rPr>
          <w:rFonts w:ascii="Arial" w:eastAsia="Times New Roman" w:hAnsi="Arial" w:cs="Arial"/>
          <w:b/>
          <w:bCs/>
          <w:kern w:val="0"/>
          <w:sz w:val="28"/>
          <w:szCs w:val="28"/>
          <w:lang w:eastAsia="en-GB"/>
          <w14:ligatures w14:val="none"/>
        </w:rPr>
        <w:t>4.1 Hyper-Localization of the "SASSY" Framework</w:t>
      </w:r>
    </w:p>
    <w:p w14:paraId="686996A3" w14:textId="77777777" w:rsidR="0092161D" w:rsidRPr="00DC2067" w:rsidRDefault="0092161D" w:rsidP="0092161D">
      <w:pPr>
        <w:spacing w:before="100" w:beforeAutospacing="1"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kern w:val="0"/>
          <w:lang w:eastAsia="en-GB"/>
          <w14:ligatures w14:val="none"/>
        </w:rPr>
        <w:t xml:space="preserve">It is anticipated that Unilever will apply the "SASSY" (Superior Science, Aesthetics, </w:t>
      </w:r>
      <w:proofErr w:type="spellStart"/>
      <w:r w:rsidRPr="00DC2067">
        <w:rPr>
          <w:rFonts w:ascii="Arial" w:eastAsia="Times New Roman" w:hAnsi="Arial" w:cs="Arial"/>
          <w:kern w:val="0"/>
          <w:lang w:eastAsia="en-GB"/>
          <w14:ligatures w14:val="none"/>
        </w:rPr>
        <w:t>Sensorials</w:t>
      </w:r>
      <w:proofErr w:type="spellEnd"/>
      <w:r w:rsidRPr="00DC2067">
        <w:rPr>
          <w:rFonts w:ascii="Arial" w:eastAsia="Times New Roman" w:hAnsi="Arial" w:cs="Arial"/>
          <w:kern w:val="0"/>
          <w:lang w:eastAsia="en-GB"/>
          <w14:ligatures w14:val="none"/>
        </w:rPr>
        <w:t>, Said by others, and Young-spirited) model with distinct cultural weightings in each market.</w:t>
      </w:r>
    </w:p>
    <w:p w14:paraId="35C4E1FA" w14:textId="77777777" w:rsidR="0092161D" w:rsidRPr="00DC2067" w:rsidRDefault="0092161D" w:rsidP="0092161D">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UK (The Technical Signal):</w:t>
      </w:r>
      <w:r w:rsidRPr="00DC2067">
        <w:rPr>
          <w:rFonts w:ascii="Arial" w:eastAsia="Times New Roman" w:hAnsi="Arial" w:cs="Arial"/>
          <w:kern w:val="0"/>
          <w:lang w:eastAsia="en-GB"/>
          <w14:ligatures w14:val="none"/>
        </w:rPr>
        <w:t xml:space="preserve"> The study expects to find a heavy emphasis on "Superior Science," where digital assets focus on Net Zero data, carbon-neutral logistics, and the ethics of AI-driven data usage to satisfy a highly </w:t>
      </w:r>
      <w:proofErr w:type="spellStart"/>
      <w:r w:rsidRPr="00DC2067">
        <w:rPr>
          <w:rFonts w:ascii="Arial" w:eastAsia="Times New Roman" w:hAnsi="Arial" w:cs="Arial"/>
          <w:kern w:val="0"/>
          <w:lang w:eastAsia="en-GB"/>
          <w14:ligatures w14:val="none"/>
        </w:rPr>
        <w:t>skeptical</w:t>
      </w:r>
      <w:proofErr w:type="spellEnd"/>
      <w:r w:rsidRPr="00DC2067">
        <w:rPr>
          <w:rFonts w:ascii="Arial" w:eastAsia="Times New Roman" w:hAnsi="Arial" w:cs="Arial"/>
          <w:kern w:val="0"/>
          <w:lang w:eastAsia="en-GB"/>
          <w14:ligatures w14:val="none"/>
        </w:rPr>
        <w:t>, regulated consumer base.</w:t>
      </w:r>
    </w:p>
    <w:p w14:paraId="5D1E09D6" w14:textId="77777777" w:rsidR="0092161D" w:rsidRPr="00DC2067" w:rsidRDefault="0092161D" w:rsidP="0092161D">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India (The Social Signal):</w:t>
      </w:r>
      <w:r w:rsidRPr="00DC2067">
        <w:rPr>
          <w:rFonts w:ascii="Arial" w:eastAsia="Times New Roman" w:hAnsi="Arial" w:cs="Arial"/>
          <w:kern w:val="0"/>
          <w:lang w:eastAsia="en-GB"/>
          <w14:ligatures w14:val="none"/>
        </w:rPr>
        <w:t xml:space="preserve"> In contrast, digital content in India is expected to prioritize the "Said by Others" and "Young-spirited" pillars, utilizing influencer-led narratives on platforms like WhatsApp and Reels to link brand sustainability with social mobility, hygiene, and community empowerment.</w:t>
      </w:r>
    </w:p>
    <w:p w14:paraId="646C44A9" w14:textId="77777777" w:rsidR="0092161D" w:rsidRPr="00DC2067" w:rsidRDefault="0092161D" w:rsidP="0092161D">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DC2067">
        <w:rPr>
          <w:rFonts w:ascii="Arial" w:eastAsia="Times New Roman" w:hAnsi="Arial" w:cs="Arial"/>
          <w:b/>
          <w:bCs/>
          <w:kern w:val="0"/>
          <w:sz w:val="28"/>
          <w:szCs w:val="28"/>
          <w:lang w:eastAsia="en-GB"/>
          <w14:ligatures w14:val="none"/>
        </w:rPr>
        <w:t>4.2 Resolution of the Trust-Digital Paradox</w:t>
      </w:r>
    </w:p>
    <w:p w14:paraId="2892F325" w14:textId="77777777" w:rsidR="0092161D" w:rsidRPr="00DC2067" w:rsidRDefault="0092161D" w:rsidP="0092161D">
      <w:pPr>
        <w:spacing w:before="100" w:beforeAutospacing="1"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kern w:val="0"/>
          <w:lang w:eastAsia="en-GB"/>
          <w14:ligatures w14:val="none"/>
        </w:rPr>
        <w:t>The research expects to demonstrate that Unilever mitigates the "Trust-Digital Paradox" not through a single global voice, but through decentralized, high-speed content production hubs.</w:t>
      </w:r>
    </w:p>
    <w:p w14:paraId="28868D90" w14:textId="77777777" w:rsidR="0092161D" w:rsidRPr="00DC2067" w:rsidRDefault="0092161D" w:rsidP="0092161D">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Validation via "Sketch Pro":</w:t>
      </w:r>
      <w:r w:rsidRPr="00DC2067">
        <w:rPr>
          <w:rFonts w:ascii="Arial" w:eastAsia="Times New Roman" w:hAnsi="Arial" w:cs="Arial"/>
          <w:kern w:val="0"/>
          <w:lang w:eastAsia="en-GB"/>
          <w14:ligatures w14:val="none"/>
        </w:rPr>
        <w:t xml:space="preserve"> Findings will likely show that the use of "Sketch Pro" AI hubs allows for "Radical Transparency," where brands can provide real-time updates on sustainability claims, thereby differentiating authentic signals from greenwashing.</w:t>
      </w:r>
    </w:p>
    <w:p w14:paraId="4CF18CDA" w14:textId="77777777" w:rsidR="0092161D" w:rsidRPr="00DC2067" w:rsidRDefault="0092161D" w:rsidP="0092161D">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Platform-Specific Trust:</w:t>
      </w:r>
      <w:r w:rsidRPr="00DC2067">
        <w:rPr>
          <w:rFonts w:ascii="Arial" w:eastAsia="Times New Roman" w:hAnsi="Arial" w:cs="Arial"/>
          <w:kern w:val="0"/>
          <w:lang w:eastAsia="en-GB"/>
          <w14:ligatures w14:val="none"/>
        </w:rPr>
        <w:t xml:space="preserve"> It is hypothesized that "communal" platforms in India (e.g., WhatsApp) generate higher trust scores for social sustainability messages than the standardized, algorithm-heavy "Discovery" feeds used in the UK.</w:t>
      </w:r>
    </w:p>
    <w:p w14:paraId="69B5623B" w14:textId="77777777" w:rsidR="0092161D" w:rsidRPr="00DC2067" w:rsidRDefault="0092161D" w:rsidP="0092161D">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DC2067">
        <w:rPr>
          <w:rFonts w:ascii="Arial" w:eastAsia="Times New Roman" w:hAnsi="Arial" w:cs="Arial"/>
          <w:b/>
          <w:bCs/>
          <w:kern w:val="0"/>
          <w:sz w:val="28"/>
          <w:szCs w:val="28"/>
          <w:lang w:eastAsia="en-GB"/>
          <w14:ligatures w14:val="none"/>
        </w:rPr>
        <w:t>4.3 Divergence in "Green Codes"</w:t>
      </w:r>
    </w:p>
    <w:p w14:paraId="6E8665DF" w14:textId="77777777" w:rsidR="0092161D" w:rsidRPr="00DC2067" w:rsidRDefault="0092161D" w:rsidP="0092161D">
      <w:pPr>
        <w:spacing w:before="100" w:beforeAutospacing="1"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kern w:val="0"/>
          <w:lang w:eastAsia="en-GB"/>
          <w14:ligatures w14:val="none"/>
        </w:rPr>
        <w:t>The thematic analysis is expected to reveal two distinct sets of "Green Codes" that serve as the primary signals for brand legitimacy.</w:t>
      </w:r>
    </w:p>
    <w:p w14:paraId="34FF0031" w14:textId="77777777" w:rsidR="0092161D" w:rsidRPr="00DC2067" w:rsidRDefault="0092161D" w:rsidP="0092161D">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UK Green Codes:</w:t>
      </w:r>
      <w:r w:rsidRPr="00DC2067">
        <w:rPr>
          <w:rFonts w:ascii="Arial" w:eastAsia="Times New Roman" w:hAnsi="Arial" w:cs="Arial"/>
          <w:kern w:val="0"/>
          <w:lang w:eastAsia="en-GB"/>
          <w14:ligatures w14:val="none"/>
        </w:rPr>
        <w:t xml:space="preserve"> Thematic patterns will likely cluster around "Systemic Accountability," "Carbon Literacy," and "Algorithmic Fairness".</w:t>
      </w:r>
    </w:p>
    <w:p w14:paraId="35B72C19" w14:textId="77777777" w:rsidR="0092161D" w:rsidRPr="00DC2067" w:rsidRDefault="0092161D" w:rsidP="0092161D">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India Green Codes:</w:t>
      </w:r>
      <w:r w:rsidRPr="00DC2067">
        <w:rPr>
          <w:rFonts w:ascii="Arial" w:eastAsia="Times New Roman" w:hAnsi="Arial" w:cs="Arial"/>
          <w:kern w:val="0"/>
          <w:lang w:eastAsia="en-GB"/>
          <w14:ligatures w14:val="none"/>
        </w:rPr>
        <w:t xml:space="preserve"> Thematic patterns will likely </w:t>
      </w:r>
      <w:proofErr w:type="spellStart"/>
      <w:r w:rsidRPr="00DC2067">
        <w:rPr>
          <w:rFonts w:ascii="Arial" w:eastAsia="Times New Roman" w:hAnsi="Arial" w:cs="Arial"/>
          <w:kern w:val="0"/>
          <w:lang w:eastAsia="en-GB"/>
          <w14:ligatures w14:val="none"/>
        </w:rPr>
        <w:t>center</w:t>
      </w:r>
      <w:proofErr w:type="spellEnd"/>
      <w:r w:rsidRPr="00DC2067">
        <w:rPr>
          <w:rFonts w:ascii="Arial" w:eastAsia="Times New Roman" w:hAnsi="Arial" w:cs="Arial"/>
          <w:kern w:val="0"/>
          <w:lang w:eastAsia="en-GB"/>
          <w14:ligatures w14:val="none"/>
        </w:rPr>
        <w:t xml:space="preserve"> on "Grassroots</w:t>
      </w:r>
      <w:r w:rsidRPr="00C96866">
        <w:rPr>
          <w:rFonts w:ascii="Arial" w:eastAsia="Times New Roman" w:hAnsi="Arial" w:cs="Arial"/>
          <w:kern w:val="0"/>
          <w:lang w:eastAsia="en-GB"/>
          <w14:ligatures w14:val="none"/>
        </w:rPr>
        <w:t xml:space="preserve"> </w:t>
      </w:r>
      <w:r w:rsidRPr="00DC2067">
        <w:rPr>
          <w:rFonts w:ascii="Arial" w:eastAsia="Times New Roman" w:hAnsi="Arial" w:cs="Arial"/>
          <w:kern w:val="0"/>
          <w:lang w:eastAsia="en-GB"/>
          <w14:ligatures w14:val="none"/>
        </w:rPr>
        <w:t>Empowerment," "Dignity in Hygiene," and "Collective Social Upliftment".</w:t>
      </w:r>
    </w:p>
    <w:p w14:paraId="4F237BD2" w14:textId="77777777" w:rsidR="0092161D" w:rsidRPr="00DC2067" w:rsidRDefault="0092161D" w:rsidP="0092161D">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DC2067">
        <w:rPr>
          <w:rFonts w:ascii="Arial" w:eastAsia="Times New Roman" w:hAnsi="Arial" w:cs="Arial"/>
          <w:b/>
          <w:bCs/>
          <w:kern w:val="0"/>
          <w:sz w:val="32"/>
          <w:szCs w:val="32"/>
          <w:lang w:eastAsia="en-GB"/>
          <w14:ligatures w14:val="none"/>
        </w:rPr>
        <w:t>5. Limitations</w:t>
      </w:r>
    </w:p>
    <w:p w14:paraId="1F51FEBC" w14:textId="77777777" w:rsidR="0092161D" w:rsidRPr="00DC2067" w:rsidRDefault="0092161D" w:rsidP="0092161D">
      <w:pPr>
        <w:spacing w:before="100" w:beforeAutospacing="1"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kern w:val="0"/>
          <w:lang w:eastAsia="en-GB"/>
          <w14:ligatures w14:val="none"/>
        </w:rPr>
        <w:t>While this study is designed for high academic validity, certain constraints must be acknowledged:</w:t>
      </w:r>
    </w:p>
    <w:p w14:paraId="27A624CD" w14:textId="77777777" w:rsidR="0092161D" w:rsidRPr="00DC2067" w:rsidRDefault="0092161D" w:rsidP="0092161D">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Corporate Narrative Bias:</w:t>
      </w:r>
      <w:r w:rsidRPr="00DC2067">
        <w:rPr>
          <w:rFonts w:ascii="Arial" w:eastAsia="Times New Roman" w:hAnsi="Arial" w:cs="Arial"/>
          <w:kern w:val="0"/>
          <w:lang w:eastAsia="en-GB"/>
          <w14:ligatures w14:val="none"/>
        </w:rPr>
        <w:t xml:space="preserve"> Relying on secondary corporate disclosures (e.g., The Unilever Compass) risks capturing the company's "idealized" self-image rather than its operational reality.</w:t>
      </w:r>
    </w:p>
    <w:p w14:paraId="2BDE9049" w14:textId="77777777" w:rsidR="0092161D" w:rsidRPr="00DC2067" w:rsidRDefault="0092161D" w:rsidP="0092161D">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Digital Ephemerality:</w:t>
      </w:r>
      <w:r w:rsidRPr="00DC2067">
        <w:rPr>
          <w:rFonts w:ascii="Arial" w:eastAsia="Times New Roman" w:hAnsi="Arial" w:cs="Arial"/>
          <w:kern w:val="0"/>
          <w:lang w:eastAsia="en-GB"/>
          <w14:ligatures w14:val="none"/>
        </w:rPr>
        <w:t xml:space="preserve"> Digital assets, particularly those on social media platforms like Instagram and WhatsApp, are ephemeral and may be altered or deleted, potentially limiting the longitudinal archival analysis.</w:t>
      </w:r>
    </w:p>
    <w:p w14:paraId="294095D5" w14:textId="1BC5000E" w:rsidR="0092161D" w:rsidRPr="00DC2067" w:rsidRDefault="0092161D" w:rsidP="00A74567">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DC2067">
        <w:rPr>
          <w:rFonts w:ascii="Arial" w:eastAsia="Times New Roman" w:hAnsi="Arial" w:cs="Arial"/>
          <w:b/>
          <w:bCs/>
          <w:kern w:val="0"/>
          <w:lang w:eastAsia="en-GB"/>
          <w14:ligatures w14:val="none"/>
        </w:rPr>
        <w:t>Secondary Sentiment Accuracy:</w:t>
      </w:r>
      <w:r w:rsidRPr="00DC2067">
        <w:rPr>
          <w:rFonts w:ascii="Arial" w:eastAsia="Times New Roman" w:hAnsi="Arial" w:cs="Arial"/>
          <w:kern w:val="0"/>
          <w:lang w:eastAsia="en-GB"/>
          <w14:ligatures w14:val="none"/>
        </w:rPr>
        <w:t xml:space="preserve"> Third-party market reports (e.g., Mintel, Edelman) provide a generalized view of consumer sentiment which may not capture the granular nuances of niche demographics within the UK and India</w:t>
      </w:r>
    </w:p>
    <w:p w14:paraId="2DC0DF8D" w14:textId="77777777" w:rsidR="0092161D" w:rsidRPr="00C96866" w:rsidRDefault="0092161D" w:rsidP="0092161D">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DC2067">
        <w:rPr>
          <w:rFonts w:ascii="Arial" w:eastAsia="Times New Roman" w:hAnsi="Arial" w:cs="Arial"/>
          <w:b/>
          <w:bCs/>
          <w:kern w:val="0"/>
          <w:sz w:val="32"/>
          <w:szCs w:val="32"/>
          <w:lang w:eastAsia="en-GB"/>
          <w14:ligatures w14:val="none"/>
        </w:rPr>
        <w:t>6. Timeframe</w:t>
      </w:r>
    </w:p>
    <w:p w14:paraId="318DD693" w14:textId="6A48B7F6" w:rsidR="0092161D" w:rsidRPr="00B4792D" w:rsidRDefault="00A74567" w:rsidP="0092161D">
      <w:pPr>
        <w:spacing w:after="0" w:line="240" w:lineRule="auto"/>
        <w:rPr>
          <w:rFonts w:ascii="Times New Roman" w:eastAsia="Times New Roman" w:hAnsi="Times New Roman" w:cs="Times New Roman"/>
          <w:kern w:val="0"/>
          <w:lang w:eastAsia="en-GB"/>
          <w14:ligatures w14:val="none"/>
        </w:rPr>
      </w:pPr>
      <w:r w:rsidRPr="00A74567">
        <w:rPr>
          <w:rFonts w:ascii="Arial" w:eastAsia="Times New Roman" w:hAnsi="Arial" w:cs="Arial"/>
          <w:kern w:val="0"/>
          <w:lang w:eastAsia="en-GB"/>
          <w14:ligatures w14:val="none"/>
        </w:rPr>
        <w:t xml:space="preserve">Initially, will need to do literature review and refine </w:t>
      </w:r>
      <w:r>
        <w:rPr>
          <w:rFonts w:ascii="Arial" w:eastAsia="Times New Roman" w:hAnsi="Arial" w:cs="Arial"/>
          <w:kern w:val="0"/>
          <w:lang w:eastAsia="en-GB"/>
          <w14:ligatures w14:val="none"/>
        </w:rPr>
        <w:t>the</w:t>
      </w:r>
      <w:r w:rsidRPr="00A74567">
        <w:rPr>
          <w:rFonts w:ascii="Arial" w:eastAsia="Times New Roman" w:hAnsi="Arial" w:cs="Arial"/>
          <w:kern w:val="0"/>
          <w:lang w:eastAsia="en-GB"/>
          <w14:ligatures w14:val="none"/>
        </w:rPr>
        <w:t xml:space="preserve"> conceptual framework for journey. Next, data will be collected from journals as well as market research and corporate activities. You will </w:t>
      </w:r>
      <w:proofErr w:type="spellStart"/>
      <w:r w:rsidRPr="00A74567">
        <w:rPr>
          <w:rFonts w:ascii="Arial" w:eastAsia="Times New Roman" w:hAnsi="Arial" w:cs="Arial"/>
          <w:kern w:val="0"/>
          <w:lang w:eastAsia="en-GB"/>
          <w14:ligatures w14:val="none"/>
        </w:rPr>
        <w:t>analyze</w:t>
      </w:r>
      <w:proofErr w:type="spellEnd"/>
      <w:r w:rsidRPr="00A74567">
        <w:rPr>
          <w:rFonts w:ascii="Arial" w:eastAsia="Times New Roman" w:hAnsi="Arial" w:cs="Arial"/>
          <w:kern w:val="0"/>
          <w:lang w:eastAsia="en-GB"/>
          <w14:ligatures w14:val="none"/>
        </w:rPr>
        <w:t xml:space="preserve"> the list and create a thematic and comparative analysis. In conclusion, the last stage of dissertation writing will involve writing, revision and editing of the final dissertation according to university norms. </w:t>
      </w:r>
      <w:r w:rsidR="0092161D">
        <w:rPr>
          <w:rFonts w:ascii="Times New Roman" w:eastAsia="Times New Roman" w:hAnsi="Times New Roman" w:cs="Times New Roman"/>
          <w:noProof/>
          <w:kern w:val="0"/>
          <w:lang w:eastAsia="en-GB"/>
        </w:rPr>
        <w:drawing>
          <wp:inline distT="0" distB="0" distL="0" distR="0" wp14:anchorId="4271B5E4" wp14:editId="1F5BD10F">
            <wp:extent cx="5731510" cy="3820795"/>
            <wp:effectExtent l="0" t="0" r="2540" b="8255"/>
            <wp:docPr id="2058972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972516" name="Picture 2058972516"/>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96D98A6" w14:textId="77777777" w:rsidR="0092161D" w:rsidRPr="00B4792D" w:rsidRDefault="0092161D" w:rsidP="0092161D">
      <w:pPr>
        <w:spacing w:after="0" w:line="240" w:lineRule="auto"/>
        <w:rPr>
          <w:rFonts w:ascii="Times New Roman" w:eastAsia="Times New Roman" w:hAnsi="Times New Roman" w:cs="Times New Roman"/>
          <w:b/>
          <w:bCs/>
          <w:kern w:val="0"/>
          <w:lang w:eastAsia="en-GB"/>
          <w14:ligatures w14:val="none"/>
        </w:rPr>
      </w:pPr>
      <w:r w:rsidRPr="00B4792D">
        <w:rPr>
          <w:rFonts w:ascii="Segoe UI Emoji" w:eastAsia="Times New Roman" w:hAnsi="Segoe UI Emoji" w:cs="Segoe UI Emoji"/>
          <w:b/>
          <w:bCs/>
          <w:kern w:val="0"/>
          <w:lang w:eastAsia="en-GB"/>
          <w14:ligatures w14:val="none"/>
        </w:rPr>
        <w:t>🗝️</w:t>
      </w:r>
      <w:r w:rsidRPr="00B4792D">
        <w:rPr>
          <w:rFonts w:ascii="Times New Roman" w:eastAsia="Times New Roman" w:hAnsi="Times New Roman" w:cs="Times New Roman"/>
          <w:b/>
          <w:bCs/>
          <w:kern w:val="0"/>
          <w:lang w:eastAsia="en-GB"/>
          <w14:ligatures w14:val="none"/>
        </w:rPr>
        <w:t xml:space="preserve"> Chart Key: Dissertation Timeline (March–June)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86"/>
        <w:gridCol w:w="2010"/>
        <w:gridCol w:w="5930"/>
      </w:tblGrid>
      <w:tr w:rsidR="0092161D" w:rsidRPr="00B4792D" w14:paraId="1D5E19B7" w14:textId="77777777" w:rsidTr="00CC5BFD">
        <w:trPr>
          <w:tblHeader/>
          <w:tblCellSpacing w:w="15" w:type="dxa"/>
        </w:trPr>
        <w:tc>
          <w:tcPr>
            <w:tcW w:w="0" w:type="auto"/>
            <w:vAlign w:val="center"/>
            <w:hideMark/>
          </w:tcPr>
          <w:p w14:paraId="6C85EA93" w14:textId="77777777" w:rsidR="0092161D" w:rsidRPr="00B4792D" w:rsidRDefault="0092161D" w:rsidP="00CC5BFD">
            <w:pPr>
              <w:spacing w:after="0" w:line="240" w:lineRule="auto"/>
              <w:rPr>
                <w:rFonts w:ascii="Times New Roman" w:eastAsia="Times New Roman" w:hAnsi="Times New Roman" w:cs="Times New Roman"/>
                <w:b/>
                <w:bCs/>
                <w:kern w:val="0"/>
                <w:lang w:eastAsia="en-GB"/>
                <w14:ligatures w14:val="none"/>
              </w:rPr>
            </w:pPr>
            <w:r w:rsidRPr="00B4792D">
              <w:rPr>
                <w:rFonts w:ascii="Times New Roman" w:eastAsia="Times New Roman" w:hAnsi="Times New Roman" w:cs="Times New Roman"/>
                <w:b/>
                <w:bCs/>
                <w:kern w:val="0"/>
                <w:lang w:eastAsia="en-GB"/>
                <w14:ligatures w14:val="none"/>
              </w:rPr>
              <w:t>Colour</w:t>
            </w:r>
          </w:p>
        </w:tc>
        <w:tc>
          <w:tcPr>
            <w:tcW w:w="0" w:type="auto"/>
            <w:vAlign w:val="center"/>
            <w:hideMark/>
          </w:tcPr>
          <w:p w14:paraId="6884F42C" w14:textId="77777777" w:rsidR="0092161D" w:rsidRPr="00B4792D" w:rsidRDefault="0092161D" w:rsidP="00CC5BFD">
            <w:pPr>
              <w:spacing w:after="0" w:line="240" w:lineRule="auto"/>
              <w:rPr>
                <w:rFonts w:ascii="Times New Roman" w:eastAsia="Times New Roman" w:hAnsi="Times New Roman" w:cs="Times New Roman"/>
                <w:b/>
                <w:bCs/>
                <w:kern w:val="0"/>
                <w:lang w:eastAsia="en-GB"/>
                <w14:ligatures w14:val="none"/>
              </w:rPr>
            </w:pPr>
            <w:r w:rsidRPr="00B4792D">
              <w:rPr>
                <w:rFonts w:ascii="Times New Roman" w:eastAsia="Times New Roman" w:hAnsi="Times New Roman" w:cs="Times New Roman"/>
                <w:b/>
                <w:bCs/>
                <w:kern w:val="0"/>
                <w:lang w:eastAsia="en-GB"/>
                <w14:ligatures w14:val="none"/>
              </w:rPr>
              <w:t>Phase</w:t>
            </w:r>
          </w:p>
        </w:tc>
        <w:tc>
          <w:tcPr>
            <w:tcW w:w="0" w:type="auto"/>
            <w:vAlign w:val="center"/>
            <w:hideMark/>
          </w:tcPr>
          <w:p w14:paraId="4F98360B" w14:textId="77777777" w:rsidR="0092161D" w:rsidRPr="00B4792D" w:rsidRDefault="0092161D" w:rsidP="00CC5BFD">
            <w:pPr>
              <w:spacing w:after="0" w:line="240" w:lineRule="auto"/>
              <w:rPr>
                <w:rFonts w:ascii="Times New Roman" w:eastAsia="Times New Roman" w:hAnsi="Times New Roman" w:cs="Times New Roman"/>
                <w:b/>
                <w:bCs/>
                <w:kern w:val="0"/>
                <w:lang w:eastAsia="en-GB"/>
                <w14:ligatures w14:val="none"/>
              </w:rPr>
            </w:pPr>
            <w:r w:rsidRPr="00B4792D">
              <w:rPr>
                <w:rFonts w:ascii="Times New Roman" w:eastAsia="Times New Roman" w:hAnsi="Times New Roman" w:cs="Times New Roman"/>
                <w:b/>
                <w:bCs/>
                <w:kern w:val="0"/>
                <w:lang w:eastAsia="en-GB"/>
                <w14:ligatures w14:val="none"/>
              </w:rPr>
              <w:t>Description</w:t>
            </w:r>
          </w:p>
        </w:tc>
      </w:tr>
      <w:tr w:rsidR="0092161D" w:rsidRPr="00B4792D" w14:paraId="3AE25C45" w14:textId="77777777" w:rsidTr="00CC5BFD">
        <w:trPr>
          <w:tblCellSpacing w:w="15" w:type="dxa"/>
        </w:trPr>
        <w:tc>
          <w:tcPr>
            <w:tcW w:w="0" w:type="auto"/>
            <w:vAlign w:val="center"/>
            <w:hideMark/>
          </w:tcPr>
          <w:p w14:paraId="3E0D5387" w14:textId="77777777" w:rsidR="0092161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Segoe UI Emoji" w:eastAsia="Times New Roman" w:hAnsi="Segoe UI Emoji" w:cs="Segoe UI Emoji"/>
                <w:kern w:val="0"/>
                <w:lang w:eastAsia="en-GB"/>
                <w14:ligatures w14:val="none"/>
              </w:rPr>
              <w:t>🟩</w:t>
            </w:r>
            <w:r w:rsidRPr="00B4792D">
              <w:rPr>
                <w:rFonts w:ascii="Times New Roman" w:eastAsia="Times New Roman" w:hAnsi="Times New Roman" w:cs="Times New Roman"/>
                <w:kern w:val="0"/>
                <w:lang w:eastAsia="en-GB"/>
                <w14:ligatures w14:val="none"/>
              </w:rPr>
              <w:t xml:space="preserve"> </w:t>
            </w:r>
          </w:p>
          <w:p w14:paraId="204A37EA" w14:textId="77777777" w:rsidR="0092161D" w:rsidRPr="00B4792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Times New Roman" w:eastAsia="Times New Roman" w:hAnsi="Times New Roman" w:cs="Times New Roman"/>
                <w:kern w:val="0"/>
                <w:lang w:eastAsia="en-GB"/>
                <w14:ligatures w14:val="none"/>
              </w:rPr>
              <w:t>Green</w:t>
            </w:r>
          </w:p>
        </w:tc>
        <w:tc>
          <w:tcPr>
            <w:tcW w:w="0" w:type="auto"/>
            <w:vAlign w:val="center"/>
            <w:hideMark/>
          </w:tcPr>
          <w:p w14:paraId="5A4FC5A0" w14:textId="77777777" w:rsidR="0092161D" w:rsidRPr="00B4792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Times New Roman" w:eastAsia="Times New Roman" w:hAnsi="Times New Roman" w:cs="Times New Roman"/>
                <w:kern w:val="0"/>
                <w:lang w:eastAsia="en-GB"/>
                <w14:ligatures w14:val="none"/>
              </w:rPr>
              <w:t>Literature Expansion</w:t>
            </w:r>
          </w:p>
        </w:tc>
        <w:tc>
          <w:tcPr>
            <w:tcW w:w="0" w:type="auto"/>
            <w:vAlign w:val="center"/>
            <w:hideMark/>
          </w:tcPr>
          <w:p w14:paraId="415D7F1D" w14:textId="77777777" w:rsidR="0092161D" w:rsidRPr="00B4792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Times New Roman" w:eastAsia="Times New Roman" w:hAnsi="Times New Roman" w:cs="Times New Roman"/>
                <w:kern w:val="0"/>
                <w:lang w:eastAsia="en-GB"/>
                <w14:ligatures w14:val="none"/>
              </w:rPr>
              <w:t>Synthesising SASSY and Signalling Theory to build theoretical foundation</w:t>
            </w:r>
          </w:p>
        </w:tc>
      </w:tr>
      <w:tr w:rsidR="0092161D" w:rsidRPr="00B4792D" w14:paraId="01430806" w14:textId="77777777" w:rsidTr="00CC5BFD">
        <w:trPr>
          <w:tblCellSpacing w:w="15" w:type="dxa"/>
        </w:trPr>
        <w:tc>
          <w:tcPr>
            <w:tcW w:w="0" w:type="auto"/>
            <w:vAlign w:val="center"/>
            <w:hideMark/>
          </w:tcPr>
          <w:p w14:paraId="18FA89A7" w14:textId="77777777" w:rsidR="0092161D" w:rsidRPr="00B4792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Segoe UI Emoji" w:eastAsia="Times New Roman" w:hAnsi="Segoe UI Emoji" w:cs="Segoe UI Emoji"/>
                <w:kern w:val="0"/>
                <w:lang w:eastAsia="en-GB"/>
                <w14:ligatures w14:val="none"/>
              </w:rPr>
              <w:t>🟧</w:t>
            </w:r>
            <w:r w:rsidRPr="00B4792D">
              <w:rPr>
                <w:rFonts w:ascii="Times New Roman" w:eastAsia="Times New Roman" w:hAnsi="Times New Roman" w:cs="Times New Roman"/>
                <w:kern w:val="0"/>
                <w:lang w:eastAsia="en-GB"/>
                <w14:ligatures w14:val="none"/>
              </w:rPr>
              <w:t xml:space="preserve"> Orange</w:t>
            </w:r>
          </w:p>
        </w:tc>
        <w:tc>
          <w:tcPr>
            <w:tcW w:w="0" w:type="auto"/>
            <w:vAlign w:val="center"/>
            <w:hideMark/>
          </w:tcPr>
          <w:p w14:paraId="5E7F8330" w14:textId="77777777" w:rsidR="0092161D" w:rsidRPr="00B4792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Times New Roman" w:eastAsia="Times New Roman" w:hAnsi="Times New Roman" w:cs="Times New Roman"/>
                <w:kern w:val="0"/>
                <w:lang w:eastAsia="en-GB"/>
                <w14:ligatures w14:val="none"/>
              </w:rPr>
              <w:t>Digital Archiving</w:t>
            </w:r>
          </w:p>
        </w:tc>
        <w:tc>
          <w:tcPr>
            <w:tcW w:w="0" w:type="auto"/>
            <w:vAlign w:val="center"/>
            <w:hideMark/>
          </w:tcPr>
          <w:p w14:paraId="5CD8B921" w14:textId="77777777" w:rsidR="0092161D" w:rsidRPr="00B4792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Times New Roman" w:eastAsia="Times New Roman" w:hAnsi="Times New Roman" w:cs="Times New Roman"/>
                <w:kern w:val="0"/>
                <w:lang w:eastAsia="en-GB"/>
                <w14:ligatures w14:val="none"/>
              </w:rPr>
              <w:t>Collecting 40–50 digital assets from UK and India for analysis</w:t>
            </w:r>
          </w:p>
        </w:tc>
      </w:tr>
      <w:tr w:rsidR="0092161D" w:rsidRPr="00B4792D" w14:paraId="7FE71960" w14:textId="77777777" w:rsidTr="00CC5BFD">
        <w:trPr>
          <w:tblCellSpacing w:w="15" w:type="dxa"/>
        </w:trPr>
        <w:tc>
          <w:tcPr>
            <w:tcW w:w="0" w:type="auto"/>
            <w:vAlign w:val="center"/>
            <w:hideMark/>
          </w:tcPr>
          <w:p w14:paraId="03978A47" w14:textId="77777777" w:rsidR="0092161D" w:rsidRPr="00B4792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Segoe UI Emoji" w:eastAsia="Times New Roman" w:hAnsi="Segoe UI Emoji" w:cs="Segoe UI Emoji"/>
                <w:kern w:val="0"/>
                <w:lang w:eastAsia="en-GB"/>
                <w14:ligatures w14:val="none"/>
              </w:rPr>
              <w:t>🟪</w:t>
            </w:r>
            <w:r w:rsidRPr="00B4792D">
              <w:rPr>
                <w:rFonts w:ascii="Times New Roman" w:eastAsia="Times New Roman" w:hAnsi="Times New Roman" w:cs="Times New Roman"/>
                <w:kern w:val="0"/>
                <w:lang w:eastAsia="en-GB"/>
                <w14:ligatures w14:val="none"/>
              </w:rPr>
              <w:t xml:space="preserve"> Purple</w:t>
            </w:r>
          </w:p>
        </w:tc>
        <w:tc>
          <w:tcPr>
            <w:tcW w:w="0" w:type="auto"/>
            <w:vAlign w:val="center"/>
            <w:hideMark/>
          </w:tcPr>
          <w:p w14:paraId="67A06CD4" w14:textId="77777777" w:rsidR="0092161D" w:rsidRPr="00B4792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Times New Roman" w:eastAsia="Times New Roman" w:hAnsi="Times New Roman" w:cs="Times New Roman"/>
                <w:kern w:val="0"/>
                <w:lang w:eastAsia="en-GB"/>
                <w14:ligatures w14:val="none"/>
              </w:rPr>
              <w:t>Thematic Coding</w:t>
            </w:r>
          </w:p>
        </w:tc>
        <w:tc>
          <w:tcPr>
            <w:tcW w:w="0" w:type="auto"/>
            <w:vAlign w:val="center"/>
            <w:hideMark/>
          </w:tcPr>
          <w:p w14:paraId="107BFEB5" w14:textId="77777777" w:rsidR="0092161D" w:rsidRPr="00B4792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Times New Roman" w:eastAsia="Times New Roman" w:hAnsi="Times New Roman" w:cs="Times New Roman"/>
                <w:kern w:val="0"/>
                <w:lang w:eastAsia="en-GB"/>
                <w14:ligatures w14:val="none"/>
              </w:rPr>
              <w:t>Identifying Green Codes and mapping cross-cultural sustainability signals</w:t>
            </w:r>
          </w:p>
        </w:tc>
      </w:tr>
      <w:tr w:rsidR="0092161D" w:rsidRPr="00B4792D" w14:paraId="2EBC2A84" w14:textId="77777777" w:rsidTr="00CC5BFD">
        <w:trPr>
          <w:tblCellSpacing w:w="15" w:type="dxa"/>
        </w:trPr>
        <w:tc>
          <w:tcPr>
            <w:tcW w:w="0" w:type="auto"/>
            <w:vAlign w:val="center"/>
            <w:hideMark/>
          </w:tcPr>
          <w:p w14:paraId="5FC57DD8" w14:textId="77777777" w:rsidR="0092161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Segoe UI Emoji" w:eastAsia="Times New Roman" w:hAnsi="Segoe UI Emoji" w:cs="Segoe UI Emoji"/>
                <w:kern w:val="0"/>
                <w:lang w:eastAsia="en-GB"/>
                <w14:ligatures w14:val="none"/>
              </w:rPr>
              <w:t>🟦</w:t>
            </w:r>
            <w:r w:rsidRPr="00B4792D">
              <w:rPr>
                <w:rFonts w:ascii="Times New Roman" w:eastAsia="Times New Roman" w:hAnsi="Times New Roman" w:cs="Times New Roman"/>
                <w:kern w:val="0"/>
                <w:lang w:eastAsia="en-GB"/>
                <w14:ligatures w14:val="none"/>
              </w:rPr>
              <w:t xml:space="preserve"> </w:t>
            </w:r>
          </w:p>
          <w:p w14:paraId="3679BEFB" w14:textId="77777777" w:rsidR="0092161D" w:rsidRPr="00B4792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Times New Roman" w:eastAsia="Times New Roman" w:hAnsi="Times New Roman" w:cs="Times New Roman"/>
                <w:kern w:val="0"/>
                <w:lang w:eastAsia="en-GB"/>
                <w14:ligatures w14:val="none"/>
              </w:rPr>
              <w:t>Blue</w:t>
            </w:r>
          </w:p>
        </w:tc>
        <w:tc>
          <w:tcPr>
            <w:tcW w:w="0" w:type="auto"/>
            <w:vAlign w:val="center"/>
            <w:hideMark/>
          </w:tcPr>
          <w:p w14:paraId="77A07228" w14:textId="77777777" w:rsidR="0092161D" w:rsidRPr="00B4792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Times New Roman" w:eastAsia="Times New Roman" w:hAnsi="Times New Roman" w:cs="Times New Roman"/>
                <w:kern w:val="0"/>
                <w:lang w:eastAsia="en-GB"/>
                <w14:ligatures w14:val="none"/>
              </w:rPr>
              <w:t>Comparative Drafting</w:t>
            </w:r>
          </w:p>
        </w:tc>
        <w:tc>
          <w:tcPr>
            <w:tcW w:w="0" w:type="auto"/>
            <w:vAlign w:val="center"/>
            <w:hideMark/>
          </w:tcPr>
          <w:p w14:paraId="6148539A" w14:textId="77777777" w:rsidR="0092161D" w:rsidRPr="00B4792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Times New Roman" w:eastAsia="Times New Roman" w:hAnsi="Times New Roman" w:cs="Times New Roman"/>
                <w:kern w:val="0"/>
                <w:lang w:eastAsia="en-GB"/>
                <w14:ligatures w14:val="none"/>
              </w:rPr>
              <w:t>Writing UK–India analysis and Trust–Digital Paradox discussion</w:t>
            </w:r>
          </w:p>
        </w:tc>
      </w:tr>
      <w:tr w:rsidR="0092161D" w:rsidRPr="00B4792D" w14:paraId="4C121ECE" w14:textId="77777777" w:rsidTr="00CC5BFD">
        <w:trPr>
          <w:tblCellSpacing w:w="15" w:type="dxa"/>
        </w:trPr>
        <w:tc>
          <w:tcPr>
            <w:tcW w:w="0" w:type="auto"/>
            <w:vAlign w:val="center"/>
            <w:hideMark/>
          </w:tcPr>
          <w:p w14:paraId="03B7CF31" w14:textId="77777777" w:rsidR="0092161D" w:rsidRPr="00B4792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Segoe UI Emoji" w:eastAsia="Times New Roman" w:hAnsi="Segoe UI Emoji" w:cs="Segoe UI Emoji"/>
                <w:kern w:val="0"/>
                <w:lang w:eastAsia="en-GB"/>
                <w14:ligatures w14:val="none"/>
              </w:rPr>
              <w:t>🟨</w:t>
            </w:r>
            <w:r w:rsidRPr="00B4792D">
              <w:rPr>
                <w:rFonts w:ascii="Times New Roman" w:eastAsia="Times New Roman" w:hAnsi="Times New Roman" w:cs="Times New Roman"/>
                <w:kern w:val="0"/>
                <w:lang w:eastAsia="en-GB"/>
                <w14:ligatures w14:val="none"/>
              </w:rPr>
              <w:t xml:space="preserve"> Yellow</w:t>
            </w:r>
          </w:p>
        </w:tc>
        <w:tc>
          <w:tcPr>
            <w:tcW w:w="0" w:type="auto"/>
            <w:vAlign w:val="center"/>
            <w:hideMark/>
          </w:tcPr>
          <w:p w14:paraId="3D9437FC" w14:textId="77777777" w:rsidR="0092161D" w:rsidRPr="00B4792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Times New Roman" w:eastAsia="Times New Roman" w:hAnsi="Times New Roman" w:cs="Times New Roman"/>
                <w:kern w:val="0"/>
                <w:lang w:eastAsia="en-GB"/>
                <w14:ligatures w14:val="none"/>
              </w:rPr>
              <w:t>Review &amp; Submission</w:t>
            </w:r>
          </w:p>
        </w:tc>
        <w:tc>
          <w:tcPr>
            <w:tcW w:w="0" w:type="auto"/>
            <w:vAlign w:val="center"/>
            <w:hideMark/>
          </w:tcPr>
          <w:p w14:paraId="7A348653" w14:textId="77777777" w:rsidR="0092161D" w:rsidRPr="00B4792D" w:rsidRDefault="0092161D" w:rsidP="00CC5BFD">
            <w:pPr>
              <w:spacing w:after="0" w:line="240" w:lineRule="auto"/>
              <w:rPr>
                <w:rFonts w:ascii="Times New Roman" w:eastAsia="Times New Roman" w:hAnsi="Times New Roman" w:cs="Times New Roman"/>
                <w:kern w:val="0"/>
                <w:lang w:eastAsia="en-GB"/>
                <w14:ligatures w14:val="none"/>
              </w:rPr>
            </w:pPr>
            <w:r w:rsidRPr="00B4792D">
              <w:rPr>
                <w:rFonts w:ascii="Times New Roman" w:eastAsia="Times New Roman" w:hAnsi="Times New Roman" w:cs="Times New Roman"/>
                <w:kern w:val="0"/>
                <w:lang w:eastAsia="en-GB"/>
                <w14:ligatures w14:val="none"/>
              </w:rPr>
              <w:t>Editing, formatting, referencing, and final submission preparation</w:t>
            </w:r>
          </w:p>
        </w:tc>
      </w:tr>
    </w:tbl>
    <w:p w14:paraId="6E349A07" w14:textId="77777777" w:rsidR="0092161D" w:rsidRPr="00DC2067" w:rsidRDefault="0092161D" w:rsidP="0092161D">
      <w:pPr>
        <w:spacing w:after="0" w:line="240" w:lineRule="auto"/>
        <w:rPr>
          <w:rFonts w:ascii="Times New Roman" w:eastAsia="Times New Roman" w:hAnsi="Times New Roman" w:cs="Times New Roman"/>
          <w:kern w:val="0"/>
          <w:lang w:eastAsia="en-GB"/>
          <w14:ligatures w14:val="none"/>
        </w:rPr>
      </w:pPr>
    </w:p>
    <w:p w14:paraId="7305EC89" w14:textId="77777777" w:rsidR="0092161D" w:rsidRPr="00C96866" w:rsidRDefault="0092161D" w:rsidP="0092161D">
      <w:pPr>
        <w:pStyle w:val="Heading1"/>
        <w:rPr>
          <w:rFonts w:ascii="Arial" w:eastAsia="Times New Roman" w:hAnsi="Arial" w:cs="Arial"/>
          <w:b/>
          <w:bCs/>
          <w:sz w:val="32"/>
          <w:szCs w:val="32"/>
          <w:lang w:eastAsia="en-GB"/>
        </w:rPr>
      </w:pPr>
      <w:r w:rsidRPr="00C96866">
        <w:rPr>
          <w:rFonts w:ascii="Arial" w:eastAsia="Times New Roman" w:hAnsi="Arial" w:cs="Arial"/>
          <w:b/>
          <w:bCs/>
          <w:sz w:val="32"/>
          <w:szCs w:val="32"/>
          <w:lang w:eastAsia="en-GB"/>
        </w:rPr>
        <w:t>7. Conclusion</w:t>
      </w:r>
    </w:p>
    <w:p w14:paraId="3147107C" w14:textId="35DD8BBA" w:rsidR="0092161D" w:rsidRDefault="00A74567" w:rsidP="0092161D">
      <w:r w:rsidRPr="00A74567">
        <w:rPr>
          <w:rFonts w:ascii="Times New Roman" w:eastAsia="Times New Roman" w:hAnsi="Times New Roman" w:cs="Times New Roman"/>
          <w:kern w:val="0"/>
          <w:lang w:eastAsia="en-GB"/>
          <w14:ligatures w14:val="none"/>
        </w:rPr>
        <w:t>The research will critically analyse Unilever, a global frontrunner in the transformation to a digital-first, AI-powered sustainability narrative. This project strives to identify the “green codes” that generate trust within the UK and India as well as provide useful inputs for MNCs looking to scale brand purpose without getting caught up in the “trust-digital paradox” or greenwashing.</w:t>
      </w:r>
    </w:p>
    <w:p w14:paraId="15A05679" w14:textId="77777777" w:rsidR="0092161D" w:rsidRPr="00C96866" w:rsidRDefault="0092161D" w:rsidP="0092161D">
      <w:pPr>
        <w:pStyle w:val="Heading1"/>
        <w:rPr>
          <w:rFonts w:ascii="Arial" w:hAnsi="Arial" w:cs="Arial"/>
          <w:b/>
          <w:bCs/>
          <w:sz w:val="32"/>
          <w:szCs w:val="32"/>
        </w:rPr>
      </w:pPr>
      <w:r w:rsidRPr="00C96866">
        <w:rPr>
          <w:rFonts w:ascii="Arial" w:hAnsi="Arial" w:cs="Arial"/>
          <w:b/>
          <w:bCs/>
          <w:sz w:val="32"/>
          <w:szCs w:val="32"/>
        </w:rPr>
        <w:t>8. References</w:t>
      </w:r>
    </w:p>
    <w:p w14:paraId="43222C29" w14:textId="77777777" w:rsidR="0092161D" w:rsidRPr="00DC2067" w:rsidRDefault="0092161D" w:rsidP="0092161D">
      <w:pPr>
        <w:numPr>
          <w:ilvl w:val="0"/>
          <w:numId w:val="3"/>
        </w:numPr>
      </w:pPr>
      <w:r w:rsidRPr="00DC2067">
        <w:t xml:space="preserve">Hofstede, G. (2011). The Hofstede Model in Context: </w:t>
      </w:r>
      <w:proofErr w:type="spellStart"/>
      <w:r w:rsidRPr="00DC2067">
        <w:t>Dimensionalizing</w:t>
      </w:r>
      <w:proofErr w:type="spellEnd"/>
      <w:r w:rsidRPr="00DC2067">
        <w:t xml:space="preserve"> Cultures. </w:t>
      </w:r>
      <w:r w:rsidRPr="00DC2067">
        <w:rPr>
          <w:i/>
          <w:iCs/>
        </w:rPr>
        <w:t>Readings in Psychology and Culture</w:t>
      </w:r>
      <w:r w:rsidRPr="00DC2067">
        <w:t>, 2(1).</w:t>
      </w:r>
    </w:p>
    <w:p w14:paraId="1104F052" w14:textId="77777777" w:rsidR="0092161D" w:rsidRPr="00DC2067" w:rsidRDefault="0092161D" w:rsidP="0092161D">
      <w:pPr>
        <w:numPr>
          <w:ilvl w:val="0"/>
          <w:numId w:val="3"/>
        </w:numPr>
      </w:pPr>
      <w:r w:rsidRPr="00DC2067">
        <w:t xml:space="preserve">Kotler, P., </w:t>
      </w:r>
      <w:proofErr w:type="spellStart"/>
      <w:r w:rsidRPr="00DC2067">
        <w:t>Kartajaya</w:t>
      </w:r>
      <w:proofErr w:type="spellEnd"/>
      <w:r w:rsidRPr="00DC2067">
        <w:t xml:space="preserve">, H., &amp; Setiawan, I. (2021). </w:t>
      </w:r>
      <w:r w:rsidRPr="00DC2067">
        <w:rPr>
          <w:i/>
          <w:iCs/>
        </w:rPr>
        <w:t>Marketing 5.0: Technology for Humanity</w:t>
      </w:r>
      <w:r w:rsidRPr="00DC2067">
        <w:t>. Wiley.</w:t>
      </w:r>
    </w:p>
    <w:p w14:paraId="058441F3" w14:textId="77777777" w:rsidR="0092161D" w:rsidRPr="00DC2067" w:rsidRDefault="0092161D" w:rsidP="0092161D">
      <w:pPr>
        <w:numPr>
          <w:ilvl w:val="0"/>
          <w:numId w:val="3"/>
        </w:numPr>
      </w:pPr>
      <w:r w:rsidRPr="00DC2067">
        <w:t xml:space="preserve">Spence, M. (1973). Signalling in the Job Market. </w:t>
      </w:r>
      <w:r w:rsidRPr="00DC2067">
        <w:rPr>
          <w:i/>
          <w:iCs/>
        </w:rPr>
        <w:t>The Quarterly Journal of Economics</w:t>
      </w:r>
      <w:r w:rsidRPr="00DC2067">
        <w:t>, 87(3).</w:t>
      </w:r>
    </w:p>
    <w:p w14:paraId="3DE2B7AE" w14:textId="77777777" w:rsidR="0092161D" w:rsidRPr="00DC2067" w:rsidRDefault="0092161D" w:rsidP="0092161D">
      <w:pPr>
        <w:numPr>
          <w:ilvl w:val="0"/>
          <w:numId w:val="3"/>
        </w:numPr>
      </w:pPr>
      <w:r w:rsidRPr="00DC2067">
        <w:t xml:space="preserve">Unilever. (2025). </w:t>
      </w:r>
      <w:r w:rsidRPr="00DC2067">
        <w:rPr>
          <w:i/>
          <w:iCs/>
        </w:rPr>
        <w:t>The Unilever Compass: Strategy for Sustainable Growth</w:t>
      </w:r>
      <w:r w:rsidRPr="00DC2067">
        <w:t>. Annual Report.</w:t>
      </w:r>
    </w:p>
    <w:p w14:paraId="3DAD7517" w14:textId="77777777" w:rsidR="0092161D" w:rsidRDefault="0092161D" w:rsidP="0092161D">
      <w:pPr>
        <w:numPr>
          <w:ilvl w:val="0"/>
          <w:numId w:val="3"/>
        </w:numPr>
      </w:pPr>
      <w:r w:rsidRPr="00DC2067">
        <w:t xml:space="preserve">Vargo, S. L., &amp; Lusch, R. F. (2016). Institutions and axioms: a revision and expansion of service-dominant logic. </w:t>
      </w:r>
      <w:r w:rsidRPr="00DC2067">
        <w:rPr>
          <w:i/>
          <w:iCs/>
        </w:rPr>
        <w:t>Journal of the Academy of Marketing Science</w:t>
      </w:r>
      <w:r w:rsidRPr="00DC2067">
        <w:t>, 44(1).</w:t>
      </w:r>
    </w:p>
    <w:p w14:paraId="7B097E4B" w14:textId="44918A05" w:rsidR="005A0E64" w:rsidRPr="00562120" w:rsidRDefault="005A0E64" w:rsidP="00562120">
      <w:pPr>
        <w:rPr>
          <w:rFonts w:ascii="Arial" w:hAnsi="Arial" w:cs="Arial"/>
        </w:rPr>
      </w:pPr>
    </w:p>
    <w:sectPr w:rsidR="005A0E64" w:rsidRPr="005621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32F32"/>
    <w:multiLevelType w:val="multilevel"/>
    <w:tmpl w:val="7C124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3F7C58"/>
    <w:multiLevelType w:val="multilevel"/>
    <w:tmpl w:val="342CF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06550F"/>
    <w:multiLevelType w:val="multilevel"/>
    <w:tmpl w:val="ACF00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0C0B54"/>
    <w:multiLevelType w:val="multilevel"/>
    <w:tmpl w:val="7CE85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536C4F"/>
    <w:multiLevelType w:val="multilevel"/>
    <w:tmpl w:val="E424D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9C2813"/>
    <w:multiLevelType w:val="multilevel"/>
    <w:tmpl w:val="155A9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2947E1"/>
    <w:multiLevelType w:val="multilevel"/>
    <w:tmpl w:val="9216C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336F16"/>
    <w:multiLevelType w:val="multilevel"/>
    <w:tmpl w:val="EEB07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3756A9"/>
    <w:multiLevelType w:val="multilevel"/>
    <w:tmpl w:val="8D881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1C6483"/>
    <w:multiLevelType w:val="multilevel"/>
    <w:tmpl w:val="93E41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F95DFB"/>
    <w:multiLevelType w:val="multilevel"/>
    <w:tmpl w:val="82B26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9C125F"/>
    <w:multiLevelType w:val="multilevel"/>
    <w:tmpl w:val="DDE8B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156BBA"/>
    <w:multiLevelType w:val="multilevel"/>
    <w:tmpl w:val="1B341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7908533">
    <w:abstractNumId w:val="9"/>
  </w:num>
  <w:num w:numId="2" w16cid:durableId="1794444639">
    <w:abstractNumId w:val="8"/>
  </w:num>
  <w:num w:numId="3" w16cid:durableId="1824614683">
    <w:abstractNumId w:val="11"/>
  </w:num>
  <w:num w:numId="4" w16cid:durableId="993607437">
    <w:abstractNumId w:val="7"/>
  </w:num>
  <w:num w:numId="5" w16cid:durableId="1204831346">
    <w:abstractNumId w:val="4"/>
  </w:num>
  <w:num w:numId="6" w16cid:durableId="1833372476">
    <w:abstractNumId w:val="5"/>
  </w:num>
  <w:num w:numId="7" w16cid:durableId="1140541254">
    <w:abstractNumId w:val="6"/>
  </w:num>
  <w:num w:numId="8" w16cid:durableId="146365065">
    <w:abstractNumId w:val="1"/>
  </w:num>
  <w:num w:numId="9" w16cid:durableId="1523661411">
    <w:abstractNumId w:val="3"/>
  </w:num>
  <w:num w:numId="10" w16cid:durableId="756363623">
    <w:abstractNumId w:val="10"/>
  </w:num>
  <w:num w:numId="11" w16cid:durableId="55515714">
    <w:abstractNumId w:val="12"/>
  </w:num>
  <w:num w:numId="12" w16cid:durableId="1075670113">
    <w:abstractNumId w:val="2"/>
  </w:num>
  <w:num w:numId="13" w16cid:durableId="1706056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6C1"/>
    <w:rsid w:val="00006639"/>
    <w:rsid w:val="0002725B"/>
    <w:rsid w:val="00064FFB"/>
    <w:rsid w:val="000F245A"/>
    <w:rsid w:val="001F123D"/>
    <w:rsid w:val="002006C1"/>
    <w:rsid w:val="00355AA3"/>
    <w:rsid w:val="003A18D1"/>
    <w:rsid w:val="005266D6"/>
    <w:rsid w:val="00562120"/>
    <w:rsid w:val="00576E25"/>
    <w:rsid w:val="005A0E64"/>
    <w:rsid w:val="005A3A0B"/>
    <w:rsid w:val="005B595E"/>
    <w:rsid w:val="005C5489"/>
    <w:rsid w:val="00613B59"/>
    <w:rsid w:val="00632982"/>
    <w:rsid w:val="006E53C0"/>
    <w:rsid w:val="007112CB"/>
    <w:rsid w:val="00777E18"/>
    <w:rsid w:val="007F2913"/>
    <w:rsid w:val="00875BC6"/>
    <w:rsid w:val="0092161D"/>
    <w:rsid w:val="009B54DF"/>
    <w:rsid w:val="009E2252"/>
    <w:rsid w:val="00A74567"/>
    <w:rsid w:val="00AE2BA4"/>
    <w:rsid w:val="00B028C9"/>
    <w:rsid w:val="00B43249"/>
    <w:rsid w:val="00B77D26"/>
    <w:rsid w:val="00C362D0"/>
    <w:rsid w:val="00C774D4"/>
    <w:rsid w:val="00D46DE1"/>
    <w:rsid w:val="00D539B8"/>
    <w:rsid w:val="00E13715"/>
    <w:rsid w:val="00E2061C"/>
    <w:rsid w:val="00E31C3F"/>
    <w:rsid w:val="00EA428A"/>
    <w:rsid w:val="00EF7A8A"/>
    <w:rsid w:val="00F35D59"/>
    <w:rsid w:val="00F36BF4"/>
    <w:rsid w:val="00FB2DB1"/>
    <w:rsid w:val="00FC0AC2"/>
    <w:rsid w:val="00FD2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9B9C4"/>
  <w15:chartTrackingRefBased/>
  <w15:docId w15:val="{8C18C2C2-E9C5-4715-B04C-B4A289A87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61D"/>
  </w:style>
  <w:style w:type="paragraph" w:styleId="Heading1">
    <w:name w:val="heading 1"/>
    <w:basedOn w:val="Normal"/>
    <w:next w:val="Normal"/>
    <w:link w:val="Heading1Char"/>
    <w:uiPriority w:val="9"/>
    <w:qFormat/>
    <w:rsid w:val="002006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06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06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06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06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06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6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6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6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6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06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06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06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06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06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6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6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6C1"/>
    <w:rPr>
      <w:rFonts w:eastAsiaTheme="majorEastAsia" w:cstheme="majorBidi"/>
      <w:color w:val="272727" w:themeColor="text1" w:themeTint="D8"/>
    </w:rPr>
  </w:style>
  <w:style w:type="paragraph" w:styleId="Title">
    <w:name w:val="Title"/>
    <w:basedOn w:val="Normal"/>
    <w:next w:val="Normal"/>
    <w:link w:val="TitleChar"/>
    <w:uiPriority w:val="10"/>
    <w:qFormat/>
    <w:rsid w:val="002006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6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6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6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6C1"/>
    <w:pPr>
      <w:spacing w:before="160"/>
      <w:jc w:val="center"/>
    </w:pPr>
    <w:rPr>
      <w:i/>
      <w:iCs/>
      <w:color w:val="404040" w:themeColor="text1" w:themeTint="BF"/>
    </w:rPr>
  </w:style>
  <w:style w:type="character" w:customStyle="1" w:styleId="QuoteChar">
    <w:name w:val="Quote Char"/>
    <w:basedOn w:val="DefaultParagraphFont"/>
    <w:link w:val="Quote"/>
    <w:uiPriority w:val="29"/>
    <w:rsid w:val="002006C1"/>
    <w:rPr>
      <w:i/>
      <w:iCs/>
      <w:color w:val="404040" w:themeColor="text1" w:themeTint="BF"/>
    </w:rPr>
  </w:style>
  <w:style w:type="paragraph" w:styleId="ListParagraph">
    <w:name w:val="List Paragraph"/>
    <w:basedOn w:val="Normal"/>
    <w:uiPriority w:val="34"/>
    <w:qFormat/>
    <w:rsid w:val="002006C1"/>
    <w:pPr>
      <w:ind w:left="720"/>
      <w:contextualSpacing/>
    </w:pPr>
  </w:style>
  <w:style w:type="character" w:styleId="IntenseEmphasis">
    <w:name w:val="Intense Emphasis"/>
    <w:basedOn w:val="DefaultParagraphFont"/>
    <w:uiPriority w:val="21"/>
    <w:qFormat/>
    <w:rsid w:val="002006C1"/>
    <w:rPr>
      <w:i/>
      <w:iCs/>
      <w:color w:val="0F4761" w:themeColor="accent1" w:themeShade="BF"/>
    </w:rPr>
  </w:style>
  <w:style w:type="paragraph" w:styleId="IntenseQuote">
    <w:name w:val="Intense Quote"/>
    <w:basedOn w:val="Normal"/>
    <w:next w:val="Normal"/>
    <w:link w:val="IntenseQuoteChar"/>
    <w:uiPriority w:val="30"/>
    <w:qFormat/>
    <w:rsid w:val="002006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06C1"/>
    <w:rPr>
      <w:i/>
      <w:iCs/>
      <w:color w:val="0F4761" w:themeColor="accent1" w:themeShade="BF"/>
    </w:rPr>
  </w:style>
  <w:style w:type="character" w:styleId="IntenseReference">
    <w:name w:val="Intense Reference"/>
    <w:basedOn w:val="DefaultParagraphFont"/>
    <w:uiPriority w:val="32"/>
    <w:qFormat/>
    <w:rsid w:val="002006C1"/>
    <w:rPr>
      <w:b/>
      <w:bCs/>
      <w:smallCaps/>
      <w:color w:val="0F4761" w:themeColor="accent1" w:themeShade="BF"/>
      <w:spacing w:val="5"/>
    </w:rPr>
  </w:style>
  <w:style w:type="paragraph" w:styleId="Revision">
    <w:name w:val="Revision"/>
    <w:hidden/>
    <w:uiPriority w:val="99"/>
    <w:semiHidden/>
    <w:rsid w:val="00EA428A"/>
    <w:pPr>
      <w:spacing w:after="0" w:line="240" w:lineRule="auto"/>
    </w:pPr>
  </w:style>
  <w:style w:type="paragraph" w:styleId="NormalWeb">
    <w:name w:val="Normal (Web)"/>
    <w:basedOn w:val="Normal"/>
    <w:uiPriority w:val="99"/>
    <w:unhideWhenUsed/>
    <w:rsid w:val="0092161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2161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 Id="rId4" Type="http://schemas.microsoft.com/office/2011/relationships/webextension" Target="webextension4.xml"/></Relationships>
</file>

<file path=word/webextensions/taskpanes.xml><?xml version="1.0" encoding="utf-8"?>
<wetp:taskpanes xmlns:wetp="http://schemas.microsoft.com/office/webextensions/taskpanes/2010/11">
  <wetp:taskpane dockstate="right" visibility="0" width="613" row="0">
    <wetp:webextensionref xmlns:r="http://schemas.openxmlformats.org/officeDocument/2006/relationships" r:id="rId1"/>
  </wetp:taskpane>
  <wetp:taskpane dockstate="right" visibility="0" width="613" row="4">
    <wetp:webextensionref xmlns:r="http://schemas.openxmlformats.org/officeDocument/2006/relationships" r:id="rId2"/>
  </wetp:taskpane>
  <wetp:taskpane dockstate="right" visibility="0" width="613" row="6">
    <wetp:webextensionref xmlns:r="http://schemas.openxmlformats.org/officeDocument/2006/relationships" r:id="rId3"/>
  </wetp:taskpane>
  <wetp:taskpane dockstate="right" visibility="0" width="613" row="2">
    <wetp:webextensionref xmlns:r="http://schemas.openxmlformats.org/officeDocument/2006/relationships" r:id="rId4"/>
  </wetp:taskpane>
</wetp:taskpanes>
</file>

<file path=word/webextensions/webextension1.xml><?xml version="1.0" encoding="utf-8"?>
<we:webextension xmlns:we="http://schemas.microsoft.com/office/webextensions/webextension/2010/11" id="{0F8213B7-A3A6-4D70-96E7-E8F5629949E0}">
  <we:reference id="3224b16f-7ab2-4dd6-852f-7f7d85619cde" version="1.5.0.0" store="EXCatalog" storeType="EXCatalog"/>
  <we:alternateReferences>
    <we:reference id="WA200000086" version="1.5.0.0"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7880EF48-177D-4258-AE1B-F21DF61D8690}">
  <we:reference id="f518cb36-c901-4d52-a9e7-4331342e485d" version="1.4.0.0" store="EXCatalog" storeType="EXCatalog"/>
  <we:alternateReferences>
    <we:reference id="WA200001011" version="1.4.0.0" store="en-GB"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9808EDAB-3846-4E7D-A025-1A28FEF6DD60}">
  <we:reference id="wa200005107" version="1.1.0.0" store="en-GB" storeType="OMEX"/>
  <we:alternateReferences>
    <we:reference id="WA200005107" version="1.1.0.0" store="WA200005107" storeType="OMEX"/>
  </we:alternateReferences>
  <we:properties/>
  <we:bindings/>
  <we:snapshot xmlns:r="http://schemas.openxmlformats.org/officeDocument/2006/relationships"/>
</we:webextension>
</file>

<file path=word/webextensions/webextension4.xml><?xml version="1.0" encoding="utf-8"?>
<we:webextension xmlns:we="http://schemas.microsoft.com/office/webextensions/webextension/2010/11" id="{8706D755-35B7-4288-9C50-184CC7B30FB4}">
  <we:reference id="wa200000368" version="1.0.0.0" store="en-GB" storeType="OMEX"/>
  <we:alternateReferences>
    <we:reference id="WA200000368" version="1.0.0.0" store="" storeType="OMEX"/>
  </we:alternateReferences>
  <we:properties>
    <we:property name="documentId" value="&quot;dfe64280dfc46c1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5E07A2-4DB8-4F12-BD3F-16F46F135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1521</TotalTime>
  <Pages>8</Pages>
  <Words>1993</Words>
  <Characters>11363</Characters>
  <Application>Microsoft Office Word</Application>
  <DocSecurity>0</DocSecurity>
  <Lines>94</Lines>
  <Paragraphs>26</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    1.1 The Industry and Unilever's Strategic Pivot</vt:lpstr>
      <vt:lpstr>    2. Literature Review</vt:lpstr>
      <vt:lpstr>    2.1 The Evolution of Purpose: From "Broadcasting" to "Belonging"</vt:lpstr>
      <vt:lpstr>    2.2 Signalling Theory and the Trust-Digital Paradox</vt:lpstr>
      <vt:lpstr>    2.3 AI-Driven Personalization and Consumer Behavior</vt:lpstr>
      <vt:lpstr>    2.4 Digital Transformation as a Curb on Greenwashing</vt:lpstr>
      <vt:lpstr>    4. Expected Findings</vt:lpstr>
      <vt:lpstr>    4.1 Hyper-Localization of the "SASSY" Framework</vt:lpstr>
      <vt:lpstr>    4.2 Resolution of the Trust-Digital Paradox</vt:lpstr>
      <vt:lpstr>    4.3 Divergence in "Green Codes"</vt:lpstr>
      <vt:lpstr>    5. Limitations</vt:lpstr>
      <vt:lpstr>    6. Timeframe</vt:lpstr>
      <vt:lpstr>7. Conclusion</vt:lpstr>
      <vt:lpstr>8. References</vt:lpstr>
    </vt:vector>
  </TitlesOfParts>
  <Company/>
  <LinksUpToDate>false</LinksUpToDate>
  <CharactersWithSpaces>13330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Manish Shivcharan Verma (2433117)</dc:creator>
  <cp:keywords/>
  <dc:description/>
  <cp:lastModifiedBy>Manish Shivcharan Verma (2433117)</cp:lastModifiedBy>
  <cp:revision>19</cp:revision>
  <dcterms:created xsi:type="dcterms:W3CDTF">2026-03-07T17:14:00Z</dcterms:created>
  <dcterms:modified xsi:type="dcterms:W3CDTF">2026-03-19T23:21:00Z</dcterms:modified>
</cp:coreProperties>
</file>