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15526B" w14:textId="77777777" w:rsidR="001703B2" w:rsidRPr="007A5C47" w:rsidRDefault="001703B2" w:rsidP="001703B2">
      <w:pPr>
        <w:spacing w:line="360" w:lineRule="auto"/>
        <w:rPr>
          <w:rFonts w:ascii="Arial" w:hAnsi="Arial" w:cs="Arial"/>
          <w:sz w:val="24"/>
          <w:szCs w:val="24"/>
        </w:rPr>
      </w:pPr>
      <w:r w:rsidRPr="007A5C47">
        <w:rPr>
          <w:rFonts w:ascii="Arial" w:hAnsi="Arial" w:cs="Arial"/>
          <w:noProof/>
          <w:sz w:val="24"/>
          <w:szCs w:val="24"/>
          <w:lang w:eastAsia="en-GB"/>
        </w:rPr>
        <w:drawing>
          <wp:anchor distT="0" distB="0" distL="114300" distR="114300" simplePos="0" relativeHeight="251659264" behindDoc="0" locked="0" layoutInCell="1" allowOverlap="1" wp14:anchorId="56AA23FA" wp14:editId="5833008A">
            <wp:simplePos x="0" y="0"/>
            <wp:positionH relativeFrom="margin">
              <wp:align>center</wp:align>
            </wp:positionH>
            <wp:positionV relativeFrom="paragraph">
              <wp:posOffset>0</wp:posOffset>
            </wp:positionV>
            <wp:extent cx="3454400" cy="1145540"/>
            <wp:effectExtent l="0" t="0" r="0" b="0"/>
            <wp:wrapTopAndBottom/>
            <wp:docPr id="1967843545" name="Picture 1967843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BEBA8EAE-BF5A-486C-A8C5-ECC9F3942E4B}">
                          <a14:imgProps xmlns:a14="http://schemas.microsoft.com/office/drawing/2010/main">
                            <a14:imgLayer r:embed="rId8">
                              <a14:imgEffect>
                                <a14:sharpenSoften amount="50000"/>
                              </a14:imgEffect>
                              <a14:imgEffect>
                                <a14:colorTemperature colorTemp="8800"/>
                              </a14:imgEffect>
                            </a14:imgLayer>
                          </a14:imgProps>
                        </a:ext>
                        <a:ext uri="{28A0092B-C50C-407E-A947-70E740481C1C}">
                          <a14:useLocalDpi xmlns:a14="http://schemas.microsoft.com/office/drawing/2010/main" val="0"/>
                        </a:ext>
                      </a:extLst>
                    </a:blip>
                    <a:srcRect/>
                    <a:stretch>
                      <a:fillRect/>
                    </a:stretch>
                  </pic:blipFill>
                  <pic:spPr bwMode="auto">
                    <a:xfrm>
                      <a:off x="0" y="0"/>
                      <a:ext cx="3454400" cy="1145540"/>
                    </a:xfrm>
                    <a:prstGeom prst="rect">
                      <a:avLst/>
                    </a:prstGeom>
                    <a:noFill/>
                  </pic:spPr>
                </pic:pic>
              </a:graphicData>
            </a:graphic>
            <wp14:sizeRelH relativeFrom="margin">
              <wp14:pctWidth>0</wp14:pctWidth>
            </wp14:sizeRelH>
            <wp14:sizeRelV relativeFrom="margin">
              <wp14:pctHeight>0</wp14:pctHeight>
            </wp14:sizeRelV>
          </wp:anchor>
        </w:drawing>
      </w:r>
    </w:p>
    <w:p w14:paraId="1507C43E" w14:textId="77777777" w:rsidR="001703B2" w:rsidRPr="007A5C47" w:rsidRDefault="001703B2" w:rsidP="001703B2">
      <w:pPr>
        <w:spacing w:line="360" w:lineRule="auto"/>
        <w:jc w:val="center"/>
        <w:rPr>
          <w:rFonts w:ascii="Arial" w:hAnsi="Arial" w:cs="Arial"/>
          <w:b/>
          <w:bCs/>
          <w:sz w:val="36"/>
          <w:szCs w:val="32"/>
        </w:rPr>
      </w:pPr>
      <w:r w:rsidRPr="007A5C47">
        <w:rPr>
          <w:rFonts w:ascii="Arial" w:hAnsi="Arial" w:cs="Arial"/>
          <w:b/>
          <w:bCs/>
          <w:sz w:val="36"/>
          <w:szCs w:val="32"/>
        </w:rPr>
        <w:t>MSc Public Health and Social Care in Practice</w:t>
      </w:r>
    </w:p>
    <w:p w14:paraId="66002B2E" w14:textId="77777777" w:rsidR="001703B2" w:rsidRPr="007A5C47" w:rsidRDefault="001703B2" w:rsidP="001703B2">
      <w:pPr>
        <w:spacing w:line="360" w:lineRule="auto"/>
        <w:jc w:val="center"/>
        <w:rPr>
          <w:rFonts w:ascii="Arial" w:hAnsi="Arial" w:cs="Arial"/>
          <w:b/>
          <w:bCs/>
          <w:sz w:val="28"/>
          <w:szCs w:val="24"/>
        </w:rPr>
      </w:pPr>
      <w:r w:rsidRPr="007A5C47">
        <w:rPr>
          <w:rFonts w:ascii="Arial" w:hAnsi="Arial" w:cs="Arial"/>
          <w:b/>
          <w:bCs/>
          <w:sz w:val="28"/>
          <w:szCs w:val="24"/>
        </w:rPr>
        <w:t>Module: Health Care System, Organisation and Leadership</w:t>
      </w:r>
    </w:p>
    <w:p w14:paraId="2F856771" w14:textId="0ECE8B39" w:rsidR="001703B2" w:rsidRPr="007A5C47" w:rsidRDefault="00192C2C" w:rsidP="001703B2">
      <w:pPr>
        <w:spacing w:line="360" w:lineRule="auto"/>
        <w:jc w:val="center"/>
        <w:rPr>
          <w:rFonts w:ascii="Arial" w:hAnsi="Arial" w:cs="Arial"/>
          <w:b/>
          <w:bCs/>
          <w:sz w:val="28"/>
          <w:szCs w:val="24"/>
        </w:rPr>
      </w:pPr>
      <w:r>
        <w:rPr>
          <w:rFonts w:ascii="Arial" w:hAnsi="Arial" w:cs="Arial"/>
          <w:b/>
          <w:bCs/>
          <w:sz w:val="28"/>
          <w:szCs w:val="24"/>
        </w:rPr>
        <w:t>Module C</w:t>
      </w:r>
      <w:r w:rsidR="001703B2" w:rsidRPr="007A5C47">
        <w:rPr>
          <w:rFonts w:ascii="Arial" w:hAnsi="Arial" w:cs="Arial"/>
          <w:b/>
          <w:bCs/>
          <w:sz w:val="28"/>
          <w:szCs w:val="24"/>
        </w:rPr>
        <w:t>ode: LCHS7002</w:t>
      </w:r>
    </w:p>
    <w:p w14:paraId="2BDE2AD3" w14:textId="77777777" w:rsidR="001703B2" w:rsidRPr="00192C2C" w:rsidRDefault="001703B2" w:rsidP="001703B2">
      <w:pPr>
        <w:spacing w:line="360" w:lineRule="auto"/>
        <w:jc w:val="center"/>
        <w:rPr>
          <w:rFonts w:ascii="Arial" w:hAnsi="Arial" w:cs="Arial"/>
          <w:b/>
          <w:bCs/>
          <w:sz w:val="24"/>
          <w:szCs w:val="24"/>
        </w:rPr>
      </w:pPr>
      <w:r w:rsidRPr="00192C2C">
        <w:rPr>
          <w:rFonts w:ascii="Arial" w:hAnsi="Arial" w:cs="Arial"/>
          <w:b/>
          <w:bCs/>
          <w:sz w:val="24"/>
          <w:szCs w:val="24"/>
        </w:rPr>
        <w:t>Assessment Title: Comparative report on COVID19 leadership responses</w:t>
      </w:r>
    </w:p>
    <w:p w14:paraId="051DB327" w14:textId="045D3058" w:rsidR="001703B2" w:rsidRPr="00192C2C" w:rsidRDefault="001703B2" w:rsidP="00192C2C">
      <w:pPr>
        <w:spacing w:after="0" w:line="360" w:lineRule="auto"/>
        <w:jc w:val="center"/>
        <w:rPr>
          <w:rFonts w:ascii="Arial" w:hAnsi="Arial" w:cs="Arial"/>
          <w:b/>
          <w:bCs/>
          <w:sz w:val="24"/>
          <w:szCs w:val="24"/>
        </w:rPr>
      </w:pPr>
      <w:r w:rsidRPr="00192C2C">
        <w:rPr>
          <w:rFonts w:ascii="Arial" w:hAnsi="Arial" w:cs="Arial"/>
          <w:b/>
          <w:bCs/>
          <w:sz w:val="24"/>
          <w:szCs w:val="24"/>
        </w:rPr>
        <w:t>Student Name:</w:t>
      </w:r>
      <w:r w:rsidRPr="00192C2C">
        <w:rPr>
          <w:rFonts w:ascii="Arial" w:hAnsi="Arial" w:cs="Arial"/>
          <w:sz w:val="24"/>
          <w:szCs w:val="24"/>
        </w:rPr>
        <w:t xml:space="preserve"> </w:t>
      </w:r>
      <w:r w:rsidR="0087172F" w:rsidRPr="00192C2C">
        <w:rPr>
          <w:rFonts w:ascii="Arial" w:hAnsi="Arial" w:cs="Arial"/>
          <w:b/>
          <w:bCs/>
          <w:sz w:val="24"/>
          <w:szCs w:val="24"/>
        </w:rPr>
        <w:t>Milon Mahmud</w:t>
      </w:r>
    </w:p>
    <w:p w14:paraId="5F6E921E" w14:textId="4041C200" w:rsidR="001703B2" w:rsidRDefault="001703B2" w:rsidP="00192C2C">
      <w:pPr>
        <w:spacing w:after="0" w:line="360" w:lineRule="auto"/>
        <w:jc w:val="center"/>
        <w:rPr>
          <w:rFonts w:ascii="Arial" w:hAnsi="Arial" w:cs="Arial"/>
          <w:b/>
          <w:bCs/>
          <w:sz w:val="24"/>
          <w:szCs w:val="24"/>
        </w:rPr>
      </w:pPr>
      <w:r w:rsidRPr="00192C2C">
        <w:rPr>
          <w:rFonts w:ascii="Arial" w:hAnsi="Arial" w:cs="Arial"/>
          <w:b/>
          <w:bCs/>
          <w:sz w:val="24"/>
          <w:szCs w:val="24"/>
        </w:rPr>
        <w:t>Student Number:</w:t>
      </w:r>
      <w:r w:rsidRPr="00192C2C">
        <w:rPr>
          <w:rFonts w:ascii="Arial" w:hAnsi="Arial" w:cs="Arial"/>
          <w:sz w:val="24"/>
          <w:szCs w:val="24"/>
        </w:rPr>
        <w:t xml:space="preserve"> </w:t>
      </w:r>
      <w:r w:rsidR="0087172F" w:rsidRPr="00192C2C">
        <w:rPr>
          <w:rFonts w:ascii="Arial" w:hAnsi="Arial" w:cs="Arial"/>
          <w:b/>
          <w:bCs/>
          <w:sz w:val="24"/>
          <w:szCs w:val="24"/>
        </w:rPr>
        <w:t>2433867</w:t>
      </w:r>
    </w:p>
    <w:p w14:paraId="1CD8F07F" w14:textId="77777777" w:rsidR="00192C2C" w:rsidRPr="00192C2C" w:rsidRDefault="00192C2C" w:rsidP="00192C2C">
      <w:pPr>
        <w:spacing w:after="0" w:line="360" w:lineRule="auto"/>
        <w:jc w:val="center"/>
        <w:rPr>
          <w:rFonts w:ascii="Arial" w:hAnsi="Arial" w:cs="Arial"/>
          <w:b/>
          <w:bCs/>
          <w:sz w:val="24"/>
          <w:szCs w:val="24"/>
        </w:rPr>
      </w:pPr>
    </w:p>
    <w:p w14:paraId="2FE87685" w14:textId="0A267D4F" w:rsidR="001703B2" w:rsidRPr="007A5C47" w:rsidRDefault="001703B2" w:rsidP="001703B2">
      <w:pPr>
        <w:spacing w:line="360" w:lineRule="auto"/>
        <w:jc w:val="center"/>
        <w:rPr>
          <w:rFonts w:ascii="Arial" w:hAnsi="Arial" w:cs="Arial"/>
          <w:b/>
          <w:bCs/>
          <w:sz w:val="28"/>
          <w:szCs w:val="24"/>
        </w:rPr>
      </w:pPr>
      <w:r w:rsidRPr="007A5C47">
        <w:rPr>
          <w:rFonts w:ascii="Arial" w:hAnsi="Arial" w:cs="Arial"/>
          <w:b/>
          <w:bCs/>
          <w:sz w:val="28"/>
          <w:szCs w:val="24"/>
        </w:rPr>
        <w:t xml:space="preserve">Word Count: </w:t>
      </w:r>
      <w:r w:rsidR="00892BB9">
        <w:rPr>
          <w:rFonts w:ascii="Arial" w:hAnsi="Arial" w:cs="Arial"/>
          <w:b/>
          <w:bCs/>
          <w:sz w:val="28"/>
          <w:szCs w:val="24"/>
        </w:rPr>
        <w:t>5363</w:t>
      </w:r>
    </w:p>
    <w:p w14:paraId="04179C32" w14:textId="5C4B6F33" w:rsidR="001703B2" w:rsidRPr="007A5C47" w:rsidRDefault="001703B2" w:rsidP="001703B2">
      <w:pPr>
        <w:spacing w:line="360" w:lineRule="auto"/>
        <w:jc w:val="center"/>
        <w:rPr>
          <w:rFonts w:ascii="Arial" w:hAnsi="Arial" w:cs="Arial"/>
          <w:b/>
          <w:bCs/>
          <w:sz w:val="28"/>
          <w:szCs w:val="24"/>
        </w:rPr>
      </w:pPr>
      <w:r w:rsidRPr="007A5C47">
        <w:rPr>
          <w:rFonts w:ascii="Arial" w:hAnsi="Arial" w:cs="Arial"/>
          <w:b/>
          <w:bCs/>
          <w:sz w:val="28"/>
          <w:szCs w:val="24"/>
        </w:rPr>
        <w:t xml:space="preserve">Lecturer: </w:t>
      </w:r>
      <w:r w:rsidR="001F1274">
        <w:rPr>
          <w:rFonts w:ascii="Arial" w:hAnsi="Arial" w:cs="Arial"/>
          <w:b/>
          <w:bCs/>
          <w:sz w:val="28"/>
          <w:szCs w:val="24"/>
        </w:rPr>
        <w:t xml:space="preserve">Dr </w:t>
      </w:r>
      <w:bookmarkStart w:id="0" w:name="_GoBack"/>
      <w:bookmarkEnd w:id="0"/>
      <w:r w:rsidR="001F1274">
        <w:rPr>
          <w:rFonts w:ascii="Arial" w:hAnsi="Arial" w:cs="Arial"/>
          <w:b/>
          <w:bCs/>
          <w:sz w:val="28"/>
          <w:szCs w:val="24"/>
        </w:rPr>
        <w:t xml:space="preserve">Shepherd </w:t>
      </w:r>
      <w:proofErr w:type="spellStart"/>
      <w:r w:rsidR="001F1274">
        <w:rPr>
          <w:rFonts w:ascii="Arial" w:hAnsi="Arial" w:cs="Arial"/>
          <w:b/>
          <w:bCs/>
          <w:sz w:val="28"/>
          <w:szCs w:val="24"/>
        </w:rPr>
        <w:t>Ziko</w:t>
      </w:r>
      <w:proofErr w:type="spellEnd"/>
    </w:p>
    <w:p w14:paraId="18CFCF68" w14:textId="77777777" w:rsidR="001703B2" w:rsidRPr="007A5C47" w:rsidRDefault="001703B2" w:rsidP="001703B2">
      <w:pPr>
        <w:spacing w:line="360" w:lineRule="auto"/>
        <w:jc w:val="center"/>
        <w:rPr>
          <w:rFonts w:ascii="Arial" w:hAnsi="Arial" w:cs="Arial"/>
          <w:b/>
          <w:bCs/>
          <w:sz w:val="28"/>
          <w:szCs w:val="24"/>
        </w:rPr>
      </w:pPr>
      <w:r w:rsidRPr="007A5C47">
        <w:rPr>
          <w:rFonts w:ascii="Arial" w:hAnsi="Arial" w:cs="Arial"/>
          <w:b/>
          <w:bCs/>
          <w:sz w:val="28"/>
          <w:szCs w:val="24"/>
        </w:rPr>
        <w:t>Submission Deadline: 16</w:t>
      </w:r>
      <w:r w:rsidRPr="007A5C47">
        <w:rPr>
          <w:rFonts w:ascii="Arial" w:hAnsi="Arial" w:cs="Arial"/>
          <w:b/>
          <w:bCs/>
          <w:sz w:val="28"/>
          <w:szCs w:val="24"/>
          <w:vertAlign w:val="superscript"/>
        </w:rPr>
        <w:t>th</w:t>
      </w:r>
      <w:r w:rsidRPr="007A5C47">
        <w:rPr>
          <w:rFonts w:ascii="Arial" w:hAnsi="Arial" w:cs="Arial"/>
          <w:b/>
          <w:bCs/>
          <w:sz w:val="28"/>
          <w:szCs w:val="24"/>
        </w:rPr>
        <w:t xml:space="preserve"> December 2025</w:t>
      </w:r>
    </w:p>
    <w:p w14:paraId="775486D2" w14:textId="77777777" w:rsidR="001703B2" w:rsidRPr="007A5C47" w:rsidRDefault="001703B2" w:rsidP="001703B2">
      <w:pPr>
        <w:spacing w:after="160" w:line="278" w:lineRule="auto"/>
        <w:rPr>
          <w:rFonts w:ascii="Arial" w:hAnsi="Arial" w:cs="Arial"/>
          <w:b/>
          <w:bCs/>
          <w:sz w:val="28"/>
          <w:szCs w:val="24"/>
        </w:rPr>
      </w:pPr>
      <w:r w:rsidRPr="007A5C47">
        <w:rPr>
          <w:rFonts w:ascii="Arial" w:hAnsi="Arial" w:cs="Arial"/>
          <w:b/>
          <w:bCs/>
          <w:sz w:val="28"/>
          <w:szCs w:val="24"/>
        </w:rPr>
        <w:br w:type="page"/>
      </w:r>
    </w:p>
    <w:p w14:paraId="00C50F6B" w14:textId="77777777" w:rsidR="001703B2" w:rsidRPr="007A5C47" w:rsidRDefault="001703B2" w:rsidP="001703B2">
      <w:pPr>
        <w:spacing w:line="360" w:lineRule="auto"/>
        <w:rPr>
          <w:rFonts w:ascii="Arial" w:hAnsi="Arial" w:cs="Arial"/>
          <w:b/>
          <w:bCs/>
          <w:sz w:val="28"/>
          <w:szCs w:val="24"/>
        </w:rPr>
        <w:sectPr w:rsidR="001703B2" w:rsidRPr="007A5C47" w:rsidSect="00711A78">
          <w:footerReference w:type="first" r:id="rId9"/>
          <w:pgSz w:w="11906" w:h="16838"/>
          <w:pgMar w:top="1440" w:right="1440" w:bottom="1440" w:left="1440" w:header="720" w:footer="720" w:gutter="0"/>
          <w:pgNumType w:fmt="lowerRoman" w:start="1"/>
          <w:cols w:space="720"/>
          <w:titlePg/>
          <w:docGrid w:linePitch="299"/>
        </w:sectPr>
      </w:pPr>
    </w:p>
    <w:p w14:paraId="22ED295B" w14:textId="77777777" w:rsidR="001703B2" w:rsidRPr="007A5C47" w:rsidRDefault="001703B2" w:rsidP="001703B2">
      <w:pPr>
        <w:pStyle w:val="Heading1"/>
      </w:pPr>
      <w:bookmarkStart w:id="1" w:name="_Toc216264186"/>
      <w:bookmarkStart w:id="2" w:name="_Toc216677880"/>
      <w:r w:rsidRPr="007A5C47">
        <w:lastRenderedPageBreak/>
        <w:t>Executive Summary:</w:t>
      </w:r>
      <w:bookmarkEnd w:id="1"/>
      <w:bookmarkEnd w:id="2"/>
    </w:p>
    <w:p w14:paraId="7F584559" w14:textId="6DAE6238" w:rsidR="001703B2" w:rsidRPr="00DB6E01" w:rsidRDefault="00EE12D1" w:rsidP="001703B2">
      <w:pPr>
        <w:spacing w:line="360" w:lineRule="auto"/>
        <w:jc w:val="both"/>
        <w:rPr>
          <w:rFonts w:ascii="Arial" w:hAnsi="Arial" w:cs="Arial"/>
          <w:szCs w:val="20"/>
          <w:lang w:val="en-US"/>
        </w:rPr>
      </w:pPr>
      <w:r w:rsidRPr="00EE12D1">
        <w:rPr>
          <w:rFonts w:ascii="Arial" w:hAnsi="Arial" w:cs="Arial"/>
          <w:szCs w:val="20"/>
          <w:lang w:val="en-US"/>
        </w:rPr>
        <w:t xml:space="preserve">The report critically examines and compares the unique strategies adopted by Spain, South Korea, and Canada in addressing the COVID-19 pandemic, with a particular focus on the interdependence between their governance structures and political leadership. Section 1 presents the basics of </w:t>
      </w:r>
      <w:proofErr w:type="spellStart"/>
      <w:r w:rsidRPr="00EE12D1">
        <w:rPr>
          <w:rFonts w:ascii="Arial" w:hAnsi="Arial" w:cs="Arial"/>
          <w:szCs w:val="20"/>
          <w:lang w:val="en-US"/>
        </w:rPr>
        <w:t>centralisation</w:t>
      </w:r>
      <w:proofErr w:type="spellEnd"/>
      <w:r w:rsidRPr="00EE12D1">
        <w:rPr>
          <w:rFonts w:ascii="Arial" w:hAnsi="Arial" w:cs="Arial"/>
          <w:szCs w:val="20"/>
          <w:lang w:val="en-US"/>
        </w:rPr>
        <w:t xml:space="preserve"> and </w:t>
      </w:r>
      <w:proofErr w:type="spellStart"/>
      <w:r w:rsidRPr="00EE12D1">
        <w:rPr>
          <w:rFonts w:ascii="Arial" w:hAnsi="Arial" w:cs="Arial"/>
          <w:szCs w:val="20"/>
          <w:lang w:val="en-US"/>
        </w:rPr>
        <w:t>decentralisation</w:t>
      </w:r>
      <w:proofErr w:type="spellEnd"/>
      <w:r w:rsidRPr="00EE12D1">
        <w:rPr>
          <w:rFonts w:ascii="Arial" w:hAnsi="Arial" w:cs="Arial"/>
          <w:szCs w:val="20"/>
          <w:lang w:val="en-US"/>
        </w:rPr>
        <w:t xml:space="preserve">, and it is clear that it predetermines the ability of a country to respond to a crisis in terms of healthcare typology. Section 2 critically analyses the typology of the health system in each of the jurisdictions: how the highly </w:t>
      </w:r>
      <w:proofErr w:type="spellStart"/>
      <w:r w:rsidRPr="00EE12D1">
        <w:rPr>
          <w:rFonts w:ascii="Arial" w:hAnsi="Arial" w:cs="Arial"/>
          <w:szCs w:val="20"/>
          <w:lang w:val="en-US"/>
        </w:rPr>
        <w:t>centralised</w:t>
      </w:r>
      <w:proofErr w:type="spellEnd"/>
      <w:r w:rsidRPr="00EE12D1">
        <w:rPr>
          <w:rFonts w:ascii="Arial" w:hAnsi="Arial" w:cs="Arial"/>
          <w:szCs w:val="20"/>
          <w:lang w:val="en-US"/>
        </w:rPr>
        <w:t xml:space="preserve"> model of South Korea helped to provide a rapid and data-driven response, and how the highly </w:t>
      </w:r>
      <w:proofErr w:type="spellStart"/>
      <w:r w:rsidRPr="00EE12D1">
        <w:rPr>
          <w:rFonts w:ascii="Arial" w:hAnsi="Arial" w:cs="Arial"/>
          <w:szCs w:val="20"/>
          <w:lang w:val="en-US"/>
        </w:rPr>
        <w:t>decentralised</w:t>
      </w:r>
      <w:proofErr w:type="spellEnd"/>
      <w:r w:rsidRPr="00EE12D1">
        <w:rPr>
          <w:rFonts w:ascii="Arial" w:hAnsi="Arial" w:cs="Arial"/>
          <w:szCs w:val="20"/>
          <w:lang w:val="en-US"/>
        </w:rPr>
        <w:t xml:space="preserve"> models of Spain and Canada could manage the lack of coordination until achieving national coordination showed its strength. Section 3 includes a detailed theoretical reflection about the employed leadership styles: South Koreas Transformational transparency (Chung </w:t>
      </w:r>
      <w:proofErr w:type="spellStart"/>
      <w:r w:rsidRPr="00EE12D1">
        <w:rPr>
          <w:rFonts w:ascii="Arial" w:hAnsi="Arial" w:cs="Arial"/>
          <w:szCs w:val="20"/>
          <w:lang w:val="en-US"/>
        </w:rPr>
        <w:t>Sye-kyun</w:t>
      </w:r>
      <w:proofErr w:type="spellEnd"/>
      <w:r w:rsidRPr="00EE12D1">
        <w:rPr>
          <w:rFonts w:ascii="Arial" w:hAnsi="Arial" w:cs="Arial"/>
          <w:szCs w:val="20"/>
          <w:lang w:val="en-US"/>
        </w:rPr>
        <w:t xml:space="preserve">), Spain needing to change its Laissez-Faire approach to Autocratic command (Salvador Illa), and Canada needing to revert to Unifying Transactional negotiation (Justin Trudeau). These conclusions are </w:t>
      </w:r>
      <w:proofErr w:type="spellStart"/>
      <w:r w:rsidRPr="00EE12D1">
        <w:rPr>
          <w:rFonts w:ascii="Arial" w:hAnsi="Arial" w:cs="Arial"/>
          <w:szCs w:val="20"/>
          <w:lang w:val="en-US"/>
        </w:rPr>
        <w:t>summarised</w:t>
      </w:r>
      <w:proofErr w:type="spellEnd"/>
      <w:r w:rsidRPr="00EE12D1">
        <w:rPr>
          <w:rFonts w:ascii="Arial" w:hAnsi="Arial" w:cs="Arial"/>
          <w:szCs w:val="20"/>
          <w:lang w:val="en-US"/>
        </w:rPr>
        <w:t>, and it is stated that managing crises effectively is a situational matter and that leaders need to be able to dynamically adjust their styles to the structural strengths and weaknesses of their current healthcare systems</w:t>
      </w:r>
      <w:r w:rsidR="001703B2" w:rsidRPr="007A5C47">
        <w:rPr>
          <w:rFonts w:ascii="Arial" w:hAnsi="Arial" w:cs="Arial"/>
          <w:szCs w:val="20"/>
        </w:rPr>
        <w:t>.</w:t>
      </w:r>
    </w:p>
    <w:p w14:paraId="7E07DC60" w14:textId="3A02D2FC" w:rsidR="001703B2" w:rsidRPr="007A5C47" w:rsidRDefault="001703B2" w:rsidP="00192C2C">
      <w:pPr>
        <w:spacing w:after="160" w:line="278" w:lineRule="auto"/>
        <w:rPr>
          <w:rFonts w:ascii="Arial" w:hAnsi="Arial" w:cs="Arial"/>
          <w:szCs w:val="20"/>
        </w:rPr>
      </w:pPr>
      <w:r w:rsidRPr="007A5C47">
        <w:rPr>
          <w:rFonts w:ascii="Arial" w:hAnsi="Arial" w:cs="Arial"/>
          <w:szCs w:val="20"/>
        </w:rPr>
        <w:br w:type="page"/>
      </w:r>
    </w:p>
    <w:sdt>
      <w:sdtPr>
        <w:rPr>
          <w:rFonts w:asciiTheme="minorHAnsi" w:eastAsiaTheme="minorHAnsi" w:hAnsiTheme="minorHAnsi" w:cs="Arial"/>
          <w:b w:val="0"/>
          <w:bCs w:val="0"/>
          <w:color w:val="auto"/>
          <w:sz w:val="22"/>
          <w:szCs w:val="22"/>
          <w:lang w:eastAsia="en-US"/>
        </w:rPr>
        <w:id w:val="-1799833914"/>
        <w:docPartObj>
          <w:docPartGallery w:val="Table of Contents"/>
          <w:docPartUnique/>
        </w:docPartObj>
      </w:sdtPr>
      <w:sdtEndPr>
        <w:rPr>
          <w:rFonts w:ascii="Arial" w:hAnsi="Arial"/>
          <w:noProof/>
          <w:sz w:val="24"/>
          <w:szCs w:val="24"/>
        </w:rPr>
      </w:sdtEndPr>
      <w:sdtContent>
        <w:p w14:paraId="0E9E45F0" w14:textId="77777777" w:rsidR="001703B2" w:rsidRPr="007A5C47" w:rsidRDefault="001703B2" w:rsidP="001703B2">
          <w:pPr>
            <w:pStyle w:val="TOCHeading"/>
            <w:jc w:val="center"/>
            <w:rPr>
              <w:rFonts w:cs="Arial"/>
              <w:u w:val="single"/>
            </w:rPr>
          </w:pPr>
          <w:r w:rsidRPr="007A5C47">
            <w:rPr>
              <w:rFonts w:cs="Arial"/>
              <w:u w:val="single"/>
            </w:rPr>
            <w:t>Table of Contents</w:t>
          </w:r>
        </w:p>
        <w:p w14:paraId="0EBB11D6" w14:textId="77777777" w:rsidR="00192C2C" w:rsidRPr="00192C2C" w:rsidRDefault="001703B2">
          <w:pPr>
            <w:pStyle w:val="TOC1"/>
            <w:tabs>
              <w:tab w:val="right" w:leader="dot" w:pos="9016"/>
            </w:tabs>
            <w:rPr>
              <w:rFonts w:ascii="Arial" w:eastAsiaTheme="minorEastAsia" w:hAnsi="Arial" w:cs="Arial"/>
              <w:noProof/>
              <w:sz w:val="24"/>
              <w:szCs w:val="24"/>
              <w:lang w:val="en-US"/>
            </w:rPr>
          </w:pPr>
          <w:r w:rsidRPr="00192C2C">
            <w:rPr>
              <w:rFonts w:ascii="Arial" w:hAnsi="Arial" w:cs="Arial"/>
              <w:sz w:val="24"/>
              <w:szCs w:val="24"/>
            </w:rPr>
            <w:fldChar w:fldCharType="begin"/>
          </w:r>
          <w:r w:rsidRPr="00192C2C">
            <w:rPr>
              <w:rFonts w:ascii="Arial" w:hAnsi="Arial" w:cs="Arial"/>
              <w:sz w:val="24"/>
              <w:szCs w:val="24"/>
            </w:rPr>
            <w:instrText xml:space="preserve"> TOC \o "1-3" \h \z \u </w:instrText>
          </w:r>
          <w:r w:rsidRPr="00192C2C">
            <w:rPr>
              <w:rFonts w:ascii="Arial" w:hAnsi="Arial" w:cs="Arial"/>
              <w:sz w:val="24"/>
              <w:szCs w:val="24"/>
            </w:rPr>
            <w:fldChar w:fldCharType="separate"/>
          </w:r>
          <w:hyperlink w:anchor="_Toc216677880" w:history="1">
            <w:r w:rsidR="00192C2C" w:rsidRPr="00192C2C">
              <w:rPr>
                <w:rStyle w:val="Hyperlink"/>
                <w:rFonts w:ascii="Arial" w:hAnsi="Arial" w:cs="Arial"/>
                <w:noProof/>
                <w:sz w:val="24"/>
                <w:szCs w:val="24"/>
              </w:rPr>
              <w:t>Executive Summary:</w:t>
            </w:r>
            <w:r w:rsidR="00192C2C" w:rsidRPr="00192C2C">
              <w:rPr>
                <w:rFonts w:ascii="Arial" w:hAnsi="Arial" w:cs="Arial"/>
                <w:noProof/>
                <w:webHidden/>
                <w:sz w:val="24"/>
                <w:szCs w:val="24"/>
              </w:rPr>
              <w:tab/>
            </w:r>
            <w:r w:rsidR="00192C2C" w:rsidRPr="00192C2C">
              <w:rPr>
                <w:rFonts w:ascii="Arial" w:hAnsi="Arial" w:cs="Arial"/>
                <w:noProof/>
                <w:webHidden/>
                <w:sz w:val="24"/>
                <w:szCs w:val="24"/>
              </w:rPr>
              <w:fldChar w:fldCharType="begin"/>
            </w:r>
            <w:r w:rsidR="00192C2C" w:rsidRPr="00192C2C">
              <w:rPr>
                <w:rFonts w:ascii="Arial" w:hAnsi="Arial" w:cs="Arial"/>
                <w:noProof/>
                <w:webHidden/>
                <w:sz w:val="24"/>
                <w:szCs w:val="24"/>
              </w:rPr>
              <w:instrText xml:space="preserve"> PAGEREF _Toc216677880 \h </w:instrText>
            </w:r>
            <w:r w:rsidR="00192C2C" w:rsidRPr="00192C2C">
              <w:rPr>
                <w:rFonts w:ascii="Arial" w:hAnsi="Arial" w:cs="Arial"/>
                <w:noProof/>
                <w:webHidden/>
                <w:sz w:val="24"/>
                <w:szCs w:val="24"/>
              </w:rPr>
            </w:r>
            <w:r w:rsidR="00192C2C" w:rsidRPr="00192C2C">
              <w:rPr>
                <w:rFonts w:ascii="Arial" w:hAnsi="Arial" w:cs="Arial"/>
                <w:noProof/>
                <w:webHidden/>
                <w:sz w:val="24"/>
                <w:szCs w:val="24"/>
              </w:rPr>
              <w:fldChar w:fldCharType="separate"/>
            </w:r>
            <w:r w:rsidR="00192C2C" w:rsidRPr="00192C2C">
              <w:rPr>
                <w:rFonts w:ascii="Arial" w:hAnsi="Arial" w:cs="Arial"/>
                <w:noProof/>
                <w:webHidden/>
                <w:sz w:val="24"/>
                <w:szCs w:val="24"/>
              </w:rPr>
              <w:t>i</w:t>
            </w:r>
            <w:r w:rsidR="00192C2C" w:rsidRPr="00192C2C">
              <w:rPr>
                <w:rFonts w:ascii="Arial" w:hAnsi="Arial" w:cs="Arial"/>
                <w:noProof/>
                <w:webHidden/>
                <w:sz w:val="24"/>
                <w:szCs w:val="24"/>
              </w:rPr>
              <w:fldChar w:fldCharType="end"/>
            </w:r>
          </w:hyperlink>
        </w:p>
        <w:p w14:paraId="39A8034D" w14:textId="77777777" w:rsidR="00192C2C" w:rsidRPr="00192C2C" w:rsidRDefault="00065E61">
          <w:pPr>
            <w:pStyle w:val="TOC1"/>
            <w:tabs>
              <w:tab w:val="right" w:leader="dot" w:pos="9016"/>
            </w:tabs>
            <w:rPr>
              <w:rFonts w:ascii="Arial" w:eastAsiaTheme="minorEastAsia" w:hAnsi="Arial" w:cs="Arial"/>
              <w:noProof/>
              <w:sz w:val="24"/>
              <w:szCs w:val="24"/>
              <w:lang w:val="en-US"/>
            </w:rPr>
          </w:pPr>
          <w:hyperlink w:anchor="_Toc216677881" w:history="1">
            <w:r w:rsidR="00192C2C" w:rsidRPr="00192C2C">
              <w:rPr>
                <w:rStyle w:val="Hyperlink"/>
                <w:rFonts w:ascii="Arial" w:hAnsi="Arial" w:cs="Arial"/>
                <w:noProof/>
                <w:sz w:val="24"/>
                <w:szCs w:val="24"/>
              </w:rPr>
              <w:t>1. Introduction</w:t>
            </w:r>
            <w:r w:rsidR="00192C2C" w:rsidRPr="00192C2C">
              <w:rPr>
                <w:rFonts w:ascii="Arial" w:hAnsi="Arial" w:cs="Arial"/>
                <w:noProof/>
                <w:webHidden/>
                <w:sz w:val="24"/>
                <w:szCs w:val="24"/>
              </w:rPr>
              <w:tab/>
            </w:r>
            <w:r w:rsidR="00192C2C" w:rsidRPr="00192C2C">
              <w:rPr>
                <w:rFonts w:ascii="Arial" w:hAnsi="Arial" w:cs="Arial"/>
                <w:noProof/>
                <w:webHidden/>
                <w:sz w:val="24"/>
                <w:szCs w:val="24"/>
              </w:rPr>
              <w:fldChar w:fldCharType="begin"/>
            </w:r>
            <w:r w:rsidR="00192C2C" w:rsidRPr="00192C2C">
              <w:rPr>
                <w:rFonts w:ascii="Arial" w:hAnsi="Arial" w:cs="Arial"/>
                <w:noProof/>
                <w:webHidden/>
                <w:sz w:val="24"/>
                <w:szCs w:val="24"/>
              </w:rPr>
              <w:instrText xml:space="preserve"> PAGEREF _Toc216677881 \h </w:instrText>
            </w:r>
            <w:r w:rsidR="00192C2C" w:rsidRPr="00192C2C">
              <w:rPr>
                <w:rFonts w:ascii="Arial" w:hAnsi="Arial" w:cs="Arial"/>
                <w:noProof/>
                <w:webHidden/>
                <w:sz w:val="24"/>
                <w:szCs w:val="24"/>
              </w:rPr>
            </w:r>
            <w:r w:rsidR="00192C2C" w:rsidRPr="00192C2C">
              <w:rPr>
                <w:rFonts w:ascii="Arial" w:hAnsi="Arial" w:cs="Arial"/>
                <w:noProof/>
                <w:webHidden/>
                <w:sz w:val="24"/>
                <w:szCs w:val="24"/>
              </w:rPr>
              <w:fldChar w:fldCharType="separate"/>
            </w:r>
            <w:r w:rsidR="00192C2C" w:rsidRPr="00192C2C">
              <w:rPr>
                <w:rFonts w:ascii="Arial" w:hAnsi="Arial" w:cs="Arial"/>
                <w:noProof/>
                <w:webHidden/>
                <w:sz w:val="24"/>
                <w:szCs w:val="24"/>
              </w:rPr>
              <w:t>1</w:t>
            </w:r>
            <w:r w:rsidR="00192C2C" w:rsidRPr="00192C2C">
              <w:rPr>
                <w:rFonts w:ascii="Arial" w:hAnsi="Arial" w:cs="Arial"/>
                <w:noProof/>
                <w:webHidden/>
                <w:sz w:val="24"/>
                <w:szCs w:val="24"/>
              </w:rPr>
              <w:fldChar w:fldCharType="end"/>
            </w:r>
          </w:hyperlink>
        </w:p>
        <w:p w14:paraId="7D938287" w14:textId="77777777" w:rsidR="00192C2C" w:rsidRPr="00192C2C" w:rsidRDefault="00065E61">
          <w:pPr>
            <w:pStyle w:val="TOC1"/>
            <w:tabs>
              <w:tab w:val="right" w:leader="dot" w:pos="9016"/>
            </w:tabs>
            <w:rPr>
              <w:rFonts w:ascii="Arial" w:eastAsiaTheme="minorEastAsia" w:hAnsi="Arial" w:cs="Arial"/>
              <w:noProof/>
              <w:sz w:val="24"/>
              <w:szCs w:val="24"/>
              <w:lang w:val="en-US"/>
            </w:rPr>
          </w:pPr>
          <w:hyperlink w:anchor="_Toc216677882" w:history="1">
            <w:r w:rsidR="00192C2C" w:rsidRPr="00192C2C">
              <w:rPr>
                <w:rStyle w:val="Hyperlink"/>
                <w:rFonts w:ascii="Arial" w:hAnsi="Arial" w:cs="Arial"/>
                <w:noProof/>
                <w:sz w:val="24"/>
                <w:szCs w:val="24"/>
              </w:rPr>
              <w:t>2. Critical Analysis of Country Typology and Systems Approach for the COVID-19 Pandemic</w:t>
            </w:r>
            <w:r w:rsidR="00192C2C" w:rsidRPr="00192C2C">
              <w:rPr>
                <w:rFonts w:ascii="Arial" w:hAnsi="Arial" w:cs="Arial"/>
                <w:noProof/>
                <w:webHidden/>
                <w:sz w:val="24"/>
                <w:szCs w:val="24"/>
              </w:rPr>
              <w:tab/>
            </w:r>
            <w:r w:rsidR="00192C2C" w:rsidRPr="00192C2C">
              <w:rPr>
                <w:rFonts w:ascii="Arial" w:hAnsi="Arial" w:cs="Arial"/>
                <w:noProof/>
                <w:webHidden/>
                <w:sz w:val="24"/>
                <w:szCs w:val="24"/>
              </w:rPr>
              <w:fldChar w:fldCharType="begin"/>
            </w:r>
            <w:r w:rsidR="00192C2C" w:rsidRPr="00192C2C">
              <w:rPr>
                <w:rFonts w:ascii="Arial" w:hAnsi="Arial" w:cs="Arial"/>
                <w:noProof/>
                <w:webHidden/>
                <w:sz w:val="24"/>
                <w:szCs w:val="24"/>
              </w:rPr>
              <w:instrText xml:space="preserve"> PAGEREF _Toc216677882 \h </w:instrText>
            </w:r>
            <w:r w:rsidR="00192C2C" w:rsidRPr="00192C2C">
              <w:rPr>
                <w:rFonts w:ascii="Arial" w:hAnsi="Arial" w:cs="Arial"/>
                <w:noProof/>
                <w:webHidden/>
                <w:sz w:val="24"/>
                <w:szCs w:val="24"/>
              </w:rPr>
            </w:r>
            <w:r w:rsidR="00192C2C" w:rsidRPr="00192C2C">
              <w:rPr>
                <w:rFonts w:ascii="Arial" w:hAnsi="Arial" w:cs="Arial"/>
                <w:noProof/>
                <w:webHidden/>
                <w:sz w:val="24"/>
                <w:szCs w:val="24"/>
              </w:rPr>
              <w:fldChar w:fldCharType="separate"/>
            </w:r>
            <w:r w:rsidR="00192C2C" w:rsidRPr="00192C2C">
              <w:rPr>
                <w:rFonts w:ascii="Arial" w:hAnsi="Arial" w:cs="Arial"/>
                <w:noProof/>
                <w:webHidden/>
                <w:sz w:val="24"/>
                <w:szCs w:val="24"/>
              </w:rPr>
              <w:t>2</w:t>
            </w:r>
            <w:r w:rsidR="00192C2C" w:rsidRPr="00192C2C">
              <w:rPr>
                <w:rFonts w:ascii="Arial" w:hAnsi="Arial" w:cs="Arial"/>
                <w:noProof/>
                <w:webHidden/>
                <w:sz w:val="24"/>
                <w:szCs w:val="24"/>
              </w:rPr>
              <w:fldChar w:fldCharType="end"/>
            </w:r>
          </w:hyperlink>
        </w:p>
        <w:p w14:paraId="1F0361EB" w14:textId="77777777" w:rsidR="00192C2C" w:rsidRPr="00192C2C" w:rsidRDefault="00065E61">
          <w:pPr>
            <w:pStyle w:val="TOC2"/>
            <w:tabs>
              <w:tab w:val="right" w:leader="dot" w:pos="9016"/>
            </w:tabs>
            <w:rPr>
              <w:rFonts w:ascii="Arial" w:eastAsiaTheme="minorEastAsia" w:hAnsi="Arial" w:cs="Arial"/>
              <w:noProof/>
              <w:sz w:val="24"/>
              <w:szCs w:val="24"/>
              <w:lang w:val="en-US"/>
            </w:rPr>
          </w:pPr>
          <w:hyperlink w:anchor="_Toc216677883" w:history="1">
            <w:r w:rsidR="00192C2C" w:rsidRPr="00192C2C">
              <w:rPr>
                <w:rStyle w:val="Hyperlink"/>
                <w:rFonts w:ascii="Arial" w:hAnsi="Arial" w:cs="Arial"/>
                <w:noProof/>
                <w:sz w:val="24"/>
                <w:szCs w:val="24"/>
              </w:rPr>
              <w:t>2.1 Spain: The Paradox of Decentralisation and Temporary Central Command</w:t>
            </w:r>
            <w:r w:rsidR="00192C2C" w:rsidRPr="00192C2C">
              <w:rPr>
                <w:rFonts w:ascii="Arial" w:hAnsi="Arial" w:cs="Arial"/>
                <w:noProof/>
                <w:webHidden/>
                <w:sz w:val="24"/>
                <w:szCs w:val="24"/>
              </w:rPr>
              <w:tab/>
            </w:r>
            <w:r w:rsidR="00192C2C" w:rsidRPr="00192C2C">
              <w:rPr>
                <w:rFonts w:ascii="Arial" w:hAnsi="Arial" w:cs="Arial"/>
                <w:noProof/>
                <w:webHidden/>
                <w:sz w:val="24"/>
                <w:szCs w:val="24"/>
              </w:rPr>
              <w:fldChar w:fldCharType="begin"/>
            </w:r>
            <w:r w:rsidR="00192C2C" w:rsidRPr="00192C2C">
              <w:rPr>
                <w:rFonts w:ascii="Arial" w:hAnsi="Arial" w:cs="Arial"/>
                <w:noProof/>
                <w:webHidden/>
                <w:sz w:val="24"/>
                <w:szCs w:val="24"/>
              </w:rPr>
              <w:instrText xml:space="preserve"> PAGEREF _Toc216677883 \h </w:instrText>
            </w:r>
            <w:r w:rsidR="00192C2C" w:rsidRPr="00192C2C">
              <w:rPr>
                <w:rFonts w:ascii="Arial" w:hAnsi="Arial" w:cs="Arial"/>
                <w:noProof/>
                <w:webHidden/>
                <w:sz w:val="24"/>
                <w:szCs w:val="24"/>
              </w:rPr>
            </w:r>
            <w:r w:rsidR="00192C2C" w:rsidRPr="00192C2C">
              <w:rPr>
                <w:rFonts w:ascii="Arial" w:hAnsi="Arial" w:cs="Arial"/>
                <w:noProof/>
                <w:webHidden/>
                <w:sz w:val="24"/>
                <w:szCs w:val="24"/>
              </w:rPr>
              <w:fldChar w:fldCharType="separate"/>
            </w:r>
            <w:r w:rsidR="00192C2C" w:rsidRPr="00192C2C">
              <w:rPr>
                <w:rFonts w:ascii="Arial" w:hAnsi="Arial" w:cs="Arial"/>
                <w:noProof/>
                <w:webHidden/>
                <w:sz w:val="24"/>
                <w:szCs w:val="24"/>
              </w:rPr>
              <w:t>2</w:t>
            </w:r>
            <w:r w:rsidR="00192C2C" w:rsidRPr="00192C2C">
              <w:rPr>
                <w:rFonts w:ascii="Arial" w:hAnsi="Arial" w:cs="Arial"/>
                <w:noProof/>
                <w:webHidden/>
                <w:sz w:val="24"/>
                <w:szCs w:val="24"/>
              </w:rPr>
              <w:fldChar w:fldCharType="end"/>
            </w:r>
          </w:hyperlink>
        </w:p>
        <w:p w14:paraId="5FD024FF" w14:textId="77777777" w:rsidR="00192C2C" w:rsidRPr="00192C2C" w:rsidRDefault="00065E61">
          <w:pPr>
            <w:pStyle w:val="TOC3"/>
            <w:tabs>
              <w:tab w:val="right" w:leader="dot" w:pos="9016"/>
            </w:tabs>
            <w:rPr>
              <w:rFonts w:ascii="Arial" w:eastAsiaTheme="minorEastAsia" w:hAnsi="Arial" w:cs="Arial"/>
              <w:noProof/>
              <w:sz w:val="24"/>
              <w:szCs w:val="24"/>
              <w:lang w:val="en-US"/>
            </w:rPr>
          </w:pPr>
          <w:hyperlink w:anchor="_Toc216677884" w:history="1">
            <w:r w:rsidR="00192C2C" w:rsidRPr="00192C2C">
              <w:rPr>
                <w:rStyle w:val="Hyperlink"/>
                <w:rFonts w:ascii="Arial" w:hAnsi="Arial" w:cs="Arial"/>
                <w:noProof/>
                <w:sz w:val="24"/>
                <w:szCs w:val="24"/>
              </w:rPr>
              <w:t>2.1.1 Spanish National Health System (SNS) Typology and Decentralisation</w:t>
            </w:r>
            <w:r w:rsidR="00192C2C" w:rsidRPr="00192C2C">
              <w:rPr>
                <w:rFonts w:ascii="Arial" w:hAnsi="Arial" w:cs="Arial"/>
                <w:noProof/>
                <w:webHidden/>
                <w:sz w:val="24"/>
                <w:szCs w:val="24"/>
              </w:rPr>
              <w:tab/>
            </w:r>
            <w:r w:rsidR="00192C2C" w:rsidRPr="00192C2C">
              <w:rPr>
                <w:rFonts w:ascii="Arial" w:hAnsi="Arial" w:cs="Arial"/>
                <w:noProof/>
                <w:webHidden/>
                <w:sz w:val="24"/>
                <w:szCs w:val="24"/>
              </w:rPr>
              <w:fldChar w:fldCharType="begin"/>
            </w:r>
            <w:r w:rsidR="00192C2C" w:rsidRPr="00192C2C">
              <w:rPr>
                <w:rFonts w:ascii="Arial" w:hAnsi="Arial" w:cs="Arial"/>
                <w:noProof/>
                <w:webHidden/>
                <w:sz w:val="24"/>
                <w:szCs w:val="24"/>
              </w:rPr>
              <w:instrText xml:space="preserve"> PAGEREF _Toc216677884 \h </w:instrText>
            </w:r>
            <w:r w:rsidR="00192C2C" w:rsidRPr="00192C2C">
              <w:rPr>
                <w:rFonts w:ascii="Arial" w:hAnsi="Arial" w:cs="Arial"/>
                <w:noProof/>
                <w:webHidden/>
                <w:sz w:val="24"/>
                <w:szCs w:val="24"/>
              </w:rPr>
            </w:r>
            <w:r w:rsidR="00192C2C" w:rsidRPr="00192C2C">
              <w:rPr>
                <w:rFonts w:ascii="Arial" w:hAnsi="Arial" w:cs="Arial"/>
                <w:noProof/>
                <w:webHidden/>
                <w:sz w:val="24"/>
                <w:szCs w:val="24"/>
              </w:rPr>
              <w:fldChar w:fldCharType="separate"/>
            </w:r>
            <w:r w:rsidR="00192C2C" w:rsidRPr="00192C2C">
              <w:rPr>
                <w:rFonts w:ascii="Arial" w:hAnsi="Arial" w:cs="Arial"/>
                <w:noProof/>
                <w:webHidden/>
                <w:sz w:val="24"/>
                <w:szCs w:val="24"/>
              </w:rPr>
              <w:t>2</w:t>
            </w:r>
            <w:r w:rsidR="00192C2C" w:rsidRPr="00192C2C">
              <w:rPr>
                <w:rFonts w:ascii="Arial" w:hAnsi="Arial" w:cs="Arial"/>
                <w:noProof/>
                <w:webHidden/>
                <w:sz w:val="24"/>
                <w:szCs w:val="24"/>
              </w:rPr>
              <w:fldChar w:fldCharType="end"/>
            </w:r>
          </w:hyperlink>
        </w:p>
        <w:p w14:paraId="4F28466B" w14:textId="77777777" w:rsidR="00192C2C" w:rsidRPr="00192C2C" w:rsidRDefault="00065E61">
          <w:pPr>
            <w:pStyle w:val="TOC3"/>
            <w:tabs>
              <w:tab w:val="right" w:leader="dot" w:pos="9016"/>
            </w:tabs>
            <w:rPr>
              <w:rFonts w:ascii="Arial" w:eastAsiaTheme="minorEastAsia" w:hAnsi="Arial" w:cs="Arial"/>
              <w:noProof/>
              <w:sz w:val="24"/>
              <w:szCs w:val="24"/>
              <w:lang w:val="en-US"/>
            </w:rPr>
          </w:pPr>
          <w:hyperlink w:anchor="_Toc216677885" w:history="1">
            <w:r w:rsidR="00192C2C" w:rsidRPr="00192C2C">
              <w:rPr>
                <w:rStyle w:val="Hyperlink"/>
                <w:rFonts w:ascii="Arial" w:hAnsi="Arial" w:cs="Arial"/>
                <w:noProof/>
                <w:sz w:val="24"/>
                <w:szCs w:val="24"/>
              </w:rPr>
              <w:t>2.1.2 Crisis of Decentralisation and Fragmentation (2020): The Failure of the First Systems</w:t>
            </w:r>
            <w:r w:rsidR="00192C2C" w:rsidRPr="00192C2C">
              <w:rPr>
                <w:rFonts w:ascii="Arial" w:hAnsi="Arial" w:cs="Arial"/>
                <w:noProof/>
                <w:webHidden/>
                <w:sz w:val="24"/>
                <w:szCs w:val="24"/>
              </w:rPr>
              <w:tab/>
            </w:r>
            <w:r w:rsidR="00192C2C" w:rsidRPr="00192C2C">
              <w:rPr>
                <w:rFonts w:ascii="Arial" w:hAnsi="Arial" w:cs="Arial"/>
                <w:noProof/>
                <w:webHidden/>
                <w:sz w:val="24"/>
                <w:szCs w:val="24"/>
              </w:rPr>
              <w:fldChar w:fldCharType="begin"/>
            </w:r>
            <w:r w:rsidR="00192C2C" w:rsidRPr="00192C2C">
              <w:rPr>
                <w:rFonts w:ascii="Arial" w:hAnsi="Arial" w:cs="Arial"/>
                <w:noProof/>
                <w:webHidden/>
                <w:sz w:val="24"/>
                <w:szCs w:val="24"/>
              </w:rPr>
              <w:instrText xml:space="preserve"> PAGEREF _Toc216677885 \h </w:instrText>
            </w:r>
            <w:r w:rsidR="00192C2C" w:rsidRPr="00192C2C">
              <w:rPr>
                <w:rFonts w:ascii="Arial" w:hAnsi="Arial" w:cs="Arial"/>
                <w:noProof/>
                <w:webHidden/>
                <w:sz w:val="24"/>
                <w:szCs w:val="24"/>
              </w:rPr>
            </w:r>
            <w:r w:rsidR="00192C2C" w:rsidRPr="00192C2C">
              <w:rPr>
                <w:rFonts w:ascii="Arial" w:hAnsi="Arial" w:cs="Arial"/>
                <w:noProof/>
                <w:webHidden/>
                <w:sz w:val="24"/>
                <w:szCs w:val="24"/>
              </w:rPr>
              <w:fldChar w:fldCharType="separate"/>
            </w:r>
            <w:r w:rsidR="00192C2C" w:rsidRPr="00192C2C">
              <w:rPr>
                <w:rFonts w:ascii="Arial" w:hAnsi="Arial" w:cs="Arial"/>
                <w:noProof/>
                <w:webHidden/>
                <w:sz w:val="24"/>
                <w:szCs w:val="24"/>
              </w:rPr>
              <w:t>2</w:t>
            </w:r>
            <w:r w:rsidR="00192C2C" w:rsidRPr="00192C2C">
              <w:rPr>
                <w:rFonts w:ascii="Arial" w:hAnsi="Arial" w:cs="Arial"/>
                <w:noProof/>
                <w:webHidden/>
                <w:sz w:val="24"/>
                <w:szCs w:val="24"/>
              </w:rPr>
              <w:fldChar w:fldCharType="end"/>
            </w:r>
          </w:hyperlink>
        </w:p>
        <w:p w14:paraId="57225368" w14:textId="77777777" w:rsidR="00192C2C" w:rsidRPr="00192C2C" w:rsidRDefault="00065E61">
          <w:pPr>
            <w:pStyle w:val="TOC3"/>
            <w:tabs>
              <w:tab w:val="right" w:leader="dot" w:pos="9016"/>
            </w:tabs>
            <w:rPr>
              <w:rFonts w:ascii="Arial" w:eastAsiaTheme="minorEastAsia" w:hAnsi="Arial" w:cs="Arial"/>
              <w:noProof/>
              <w:sz w:val="24"/>
              <w:szCs w:val="24"/>
              <w:lang w:val="en-US"/>
            </w:rPr>
          </w:pPr>
          <w:hyperlink w:anchor="_Toc216677886" w:history="1">
            <w:r w:rsidR="00192C2C" w:rsidRPr="00192C2C">
              <w:rPr>
                <w:rStyle w:val="Hyperlink"/>
                <w:rFonts w:ascii="Arial" w:hAnsi="Arial" w:cs="Arial"/>
                <w:noProof/>
                <w:sz w:val="24"/>
                <w:szCs w:val="24"/>
              </w:rPr>
              <w:t>2.1.3 Centralisation as an Emergency Response: The State of Alarm</w:t>
            </w:r>
            <w:r w:rsidR="00192C2C" w:rsidRPr="00192C2C">
              <w:rPr>
                <w:rFonts w:ascii="Arial" w:hAnsi="Arial" w:cs="Arial"/>
                <w:noProof/>
                <w:webHidden/>
                <w:sz w:val="24"/>
                <w:szCs w:val="24"/>
              </w:rPr>
              <w:tab/>
            </w:r>
            <w:r w:rsidR="00192C2C" w:rsidRPr="00192C2C">
              <w:rPr>
                <w:rFonts w:ascii="Arial" w:hAnsi="Arial" w:cs="Arial"/>
                <w:noProof/>
                <w:webHidden/>
                <w:sz w:val="24"/>
                <w:szCs w:val="24"/>
              </w:rPr>
              <w:fldChar w:fldCharType="begin"/>
            </w:r>
            <w:r w:rsidR="00192C2C" w:rsidRPr="00192C2C">
              <w:rPr>
                <w:rFonts w:ascii="Arial" w:hAnsi="Arial" w:cs="Arial"/>
                <w:noProof/>
                <w:webHidden/>
                <w:sz w:val="24"/>
                <w:szCs w:val="24"/>
              </w:rPr>
              <w:instrText xml:space="preserve"> PAGEREF _Toc216677886 \h </w:instrText>
            </w:r>
            <w:r w:rsidR="00192C2C" w:rsidRPr="00192C2C">
              <w:rPr>
                <w:rFonts w:ascii="Arial" w:hAnsi="Arial" w:cs="Arial"/>
                <w:noProof/>
                <w:webHidden/>
                <w:sz w:val="24"/>
                <w:szCs w:val="24"/>
              </w:rPr>
            </w:r>
            <w:r w:rsidR="00192C2C" w:rsidRPr="00192C2C">
              <w:rPr>
                <w:rFonts w:ascii="Arial" w:hAnsi="Arial" w:cs="Arial"/>
                <w:noProof/>
                <w:webHidden/>
                <w:sz w:val="24"/>
                <w:szCs w:val="24"/>
              </w:rPr>
              <w:fldChar w:fldCharType="separate"/>
            </w:r>
            <w:r w:rsidR="00192C2C" w:rsidRPr="00192C2C">
              <w:rPr>
                <w:rFonts w:ascii="Arial" w:hAnsi="Arial" w:cs="Arial"/>
                <w:noProof/>
                <w:webHidden/>
                <w:sz w:val="24"/>
                <w:szCs w:val="24"/>
              </w:rPr>
              <w:t>3</w:t>
            </w:r>
            <w:r w:rsidR="00192C2C" w:rsidRPr="00192C2C">
              <w:rPr>
                <w:rFonts w:ascii="Arial" w:hAnsi="Arial" w:cs="Arial"/>
                <w:noProof/>
                <w:webHidden/>
                <w:sz w:val="24"/>
                <w:szCs w:val="24"/>
              </w:rPr>
              <w:fldChar w:fldCharType="end"/>
            </w:r>
          </w:hyperlink>
        </w:p>
        <w:p w14:paraId="5AE6A322" w14:textId="77777777" w:rsidR="00192C2C" w:rsidRPr="00192C2C" w:rsidRDefault="00065E61">
          <w:pPr>
            <w:pStyle w:val="TOC3"/>
            <w:tabs>
              <w:tab w:val="right" w:leader="dot" w:pos="9016"/>
            </w:tabs>
            <w:rPr>
              <w:rFonts w:ascii="Arial" w:eastAsiaTheme="minorEastAsia" w:hAnsi="Arial" w:cs="Arial"/>
              <w:noProof/>
              <w:sz w:val="24"/>
              <w:szCs w:val="24"/>
              <w:lang w:val="en-US"/>
            </w:rPr>
          </w:pPr>
          <w:hyperlink w:anchor="_Toc216677887" w:history="1">
            <w:r w:rsidR="00192C2C" w:rsidRPr="00192C2C">
              <w:rPr>
                <w:rStyle w:val="Hyperlink"/>
                <w:rFonts w:ascii="Arial" w:hAnsi="Arial" w:cs="Arial"/>
                <w:noProof/>
                <w:sz w:val="24"/>
                <w:szCs w:val="24"/>
              </w:rPr>
              <w:t>2.1.4 Decentralised Strategy with Central Implementation, the Hybrid Success</w:t>
            </w:r>
            <w:r w:rsidR="00192C2C" w:rsidRPr="00192C2C">
              <w:rPr>
                <w:rFonts w:ascii="Arial" w:hAnsi="Arial" w:cs="Arial"/>
                <w:noProof/>
                <w:webHidden/>
                <w:sz w:val="24"/>
                <w:szCs w:val="24"/>
              </w:rPr>
              <w:tab/>
            </w:r>
            <w:r w:rsidR="00192C2C" w:rsidRPr="00192C2C">
              <w:rPr>
                <w:rFonts w:ascii="Arial" w:hAnsi="Arial" w:cs="Arial"/>
                <w:noProof/>
                <w:webHidden/>
                <w:sz w:val="24"/>
                <w:szCs w:val="24"/>
              </w:rPr>
              <w:fldChar w:fldCharType="begin"/>
            </w:r>
            <w:r w:rsidR="00192C2C" w:rsidRPr="00192C2C">
              <w:rPr>
                <w:rFonts w:ascii="Arial" w:hAnsi="Arial" w:cs="Arial"/>
                <w:noProof/>
                <w:webHidden/>
                <w:sz w:val="24"/>
                <w:szCs w:val="24"/>
              </w:rPr>
              <w:instrText xml:space="preserve"> PAGEREF _Toc216677887 \h </w:instrText>
            </w:r>
            <w:r w:rsidR="00192C2C" w:rsidRPr="00192C2C">
              <w:rPr>
                <w:rFonts w:ascii="Arial" w:hAnsi="Arial" w:cs="Arial"/>
                <w:noProof/>
                <w:webHidden/>
                <w:sz w:val="24"/>
                <w:szCs w:val="24"/>
              </w:rPr>
            </w:r>
            <w:r w:rsidR="00192C2C" w:rsidRPr="00192C2C">
              <w:rPr>
                <w:rFonts w:ascii="Arial" w:hAnsi="Arial" w:cs="Arial"/>
                <w:noProof/>
                <w:webHidden/>
                <w:sz w:val="24"/>
                <w:szCs w:val="24"/>
              </w:rPr>
              <w:fldChar w:fldCharType="separate"/>
            </w:r>
            <w:r w:rsidR="00192C2C" w:rsidRPr="00192C2C">
              <w:rPr>
                <w:rFonts w:ascii="Arial" w:hAnsi="Arial" w:cs="Arial"/>
                <w:noProof/>
                <w:webHidden/>
                <w:sz w:val="24"/>
                <w:szCs w:val="24"/>
              </w:rPr>
              <w:t>4</w:t>
            </w:r>
            <w:r w:rsidR="00192C2C" w:rsidRPr="00192C2C">
              <w:rPr>
                <w:rFonts w:ascii="Arial" w:hAnsi="Arial" w:cs="Arial"/>
                <w:noProof/>
                <w:webHidden/>
                <w:sz w:val="24"/>
                <w:szCs w:val="24"/>
              </w:rPr>
              <w:fldChar w:fldCharType="end"/>
            </w:r>
          </w:hyperlink>
        </w:p>
        <w:p w14:paraId="5D0D2DD6" w14:textId="77777777" w:rsidR="00192C2C" w:rsidRPr="00192C2C" w:rsidRDefault="00065E61">
          <w:pPr>
            <w:pStyle w:val="TOC2"/>
            <w:tabs>
              <w:tab w:val="right" w:leader="dot" w:pos="9016"/>
            </w:tabs>
            <w:rPr>
              <w:rFonts w:ascii="Arial" w:eastAsiaTheme="minorEastAsia" w:hAnsi="Arial" w:cs="Arial"/>
              <w:noProof/>
              <w:sz w:val="24"/>
              <w:szCs w:val="24"/>
              <w:lang w:val="en-US"/>
            </w:rPr>
          </w:pPr>
          <w:hyperlink w:anchor="_Toc216677888" w:history="1">
            <w:r w:rsidR="00192C2C" w:rsidRPr="00192C2C">
              <w:rPr>
                <w:rStyle w:val="Hyperlink"/>
                <w:rFonts w:ascii="Arial" w:hAnsi="Arial" w:cs="Arial"/>
                <w:noProof/>
                <w:sz w:val="24"/>
                <w:szCs w:val="24"/>
              </w:rPr>
              <w:t>2.2 South Korea: Command-based and Data-driven Surveillance</w:t>
            </w:r>
            <w:r w:rsidR="00192C2C" w:rsidRPr="00192C2C">
              <w:rPr>
                <w:rFonts w:ascii="Arial" w:hAnsi="Arial" w:cs="Arial"/>
                <w:noProof/>
                <w:webHidden/>
                <w:sz w:val="24"/>
                <w:szCs w:val="24"/>
              </w:rPr>
              <w:tab/>
            </w:r>
            <w:r w:rsidR="00192C2C" w:rsidRPr="00192C2C">
              <w:rPr>
                <w:rFonts w:ascii="Arial" w:hAnsi="Arial" w:cs="Arial"/>
                <w:noProof/>
                <w:webHidden/>
                <w:sz w:val="24"/>
                <w:szCs w:val="24"/>
              </w:rPr>
              <w:fldChar w:fldCharType="begin"/>
            </w:r>
            <w:r w:rsidR="00192C2C" w:rsidRPr="00192C2C">
              <w:rPr>
                <w:rFonts w:ascii="Arial" w:hAnsi="Arial" w:cs="Arial"/>
                <w:noProof/>
                <w:webHidden/>
                <w:sz w:val="24"/>
                <w:szCs w:val="24"/>
              </w:rPr>
              <w:instrText xml:space="preserve"> PAGEREF _Toc216677888 \h </w:instrText>
            </w:r>
            <w:r w:rsidR="00192C2C" w:rsidRPr="00192C2C">
              <w:rPr>
                <w:rFonts w:ascii="Arial" w:hAnsi="Arial" w:cs="Arial"/>
                <w:noProof/>
                <w:webHidden/>
                <w:sz w:val="24"/>
                <w:szCs w:val="24"/>
              </w:rPr>
            </w:r>
            <w:r w:rsidR="00192C2C" w:rsidRPr="00192C2C">
              <w:rPr>
                <w:rFonts w:ascii="Arial" w:hAnsi="Arial" w:cs="Arial"/>
                <w:noProof/>
                <w:webHidden/>
                <w:sz w:val="24"/>
                <w:szCs w:val="24"/>
              </w:rPr>
              <w:fldChar w:fldCharType="separate"/>
            </w:r>
            <w:r w:rsidR="00192C2C" w:rsidRPr="00192C2C">
              <w:rPr>
                <w:rFonts w:ascii="Arial" w:hAnsi="Arial" w:cs="Arial"/>
                <w:noProof/>
                <w:webHidden/>
                <w:sz w:val="24"/>
                <w:szCs w:val="24"/>
              </w:rPr>
              <w:t>5</w:t>
            </w:r>
            <w:r w:rsidR="00192C2C" w:rsidRPr="00192C2C">
              <w:rPr>
                <w:rFonts w:ascii="Arial" w:hAnsi="Arial" w:cs="Arial"/>
                <w:noProof/>
                <w:webHidden/>
                <w:sz w:val="24"/>
                <w:szCs w:val="24"/>
              </w:rPr>
              <w:fldChar w:fldCharType="end"/>
            </w:r>
          </w:hyperlink>
        </w:p>
        <w:p w14:paraId="5DA44674" w14:textId="77777777" w:rsidR="00192C2C" w:rsidRPr="00192C2C" w:rsidRDefault="00065E61">
          <w:pPr>
            <w:pStyle w:val="TOC3"/>
            <w:tabs>
              <w:tab w:val="right" w:leader="dot" w:pos="9016"/>
            </w:tabs>
            <w:rPr>
              <w:rFonts w:ascii="Arial" w:eastAsiaTheme="minorEastAsia" w:hAnsi="Arial" w:cs="Arial"/>
              <w:noProof/>
              <w:sz w:val="24"/>
              <w:szCs w:val="24"/>
              <w:lang w:val="en-US"/>
            </w:rPr>
          </w:pPr>
          <w:hyperlink w:anchor="_Toc216677889" w:history="1">
            <w:r w:rsidR="00192C2C" w:rsidRPr="00192C2C">
              <w:rPr>
                <w:rStyle w:val="Hyperlink"/>
                <w:rFonts w:ascii="Arial" w:hAnsi="Arial" w:cs="Arial"/>
                <w:noProof/>
                <w:sz w:val="24"/>
                <w:szCs w:val="24"/>
              </w:rPr>
              <w:t>2.2.1 Typology of the South Korean Healthcare System: Public Health and Centralised NHI</w:t>
            </w:r>
            <w:r w:rsidR="00192C2C" w:rsidRPr="00192C2C">
              <w:rPr>
                <w:rFonts w:ascii="Arial" w:hAnsi="Arial" w:cs="Arial"/>
                <w:noProof/>
                <w:webHidden/>
                <w:sz w:val="24"/>
                <w:szCs w:val="24"/>
              </w:rPr>
              <w:tab/>
            </w:r>
            <w:r w:rsidR="00192C2C" w:rsidRPr="00192C2C">
              <w:rPr>
                <w:rFonts w:ascii="Arial" w:hAnsi="Arial" w:cs="Arial"/>
                <w:noProof/>
                <w:webHidden/>
                <w:sz w:val="24"/>
                <w:szCs w:val="24"/>
              </w:rPr>
              <w:fldChar w:fldCharType="begin"/>
            </w:r>
            <w:r w:rsidR="00192C2C" w:rsidRPr="00192C2C">
              <w:rPr>
                <w:rFonts w:ascii="Arial" w:hAnsi="Arial" w:cs="Arial"/>
                <w:noProof/>
                <w:webHidden/>
                <w:sz w:val="24"/>
                <w:szCs w:val="24"/>
              </w:rPr>
              <w:instrText xml:space="preserve"> PAGEREF _Toc216677889 \h </w:instrText>
            </w:r>
            <w:r w:rsidR="00192C2C" w:rsidRPr="00192C2C">
              <w:rPr>
                <w:rFonts w:ascii="Arial" w:hAnsi="Arial" w:cs="Arial"/>
                <w:noProof/>
                <w:webHidden/>
                <w:sz w:val="24"/>
                <w:szCs w:val="24"/>
              </w:rPr>
            </w:r>
            <w:r w:rsidR="00192C2C" w:rsidRPr="00192C2C">
              <w:rPr>
                <w:rFonts w:ascii="Arial" w:hAnsi="Arial" w:cs="Arial"/>
                <w:noProof/>
                <w:webHidden/>
                <w:sz w:val="24"/>
                <w:szCs w:val="24"/>
              </w:rPr>
              <w:fldChar w:fldCharType="separate"/>
            </w:r>
            <w:r w:rsidR="00192C2C" w:rsidRPr="00192C2C">
              <w:rPr>
                <w:rFonts w:ascii="Arial" w:hAnsi="Arial" w:cs="Arial"/>
                <w:noProof/>
                <w:webHidden/>
                <w:sz w:val="24"/>
                <w:szCs w:val="24"/>
              </w:rPr>
              <w:t>5</w:t>
            </w:r>
            <w:r w:rsidR="00192C2C" w:rsidRPr="00192C2C">
              <w:rPr>
                <w:rFonts w:ascii="Arial" w:hAnsi="Arial" w:cs="Arial"/>
                <w:noProof/>
                <w:webHidden/>
                <w:sz w:val="24"/>
                <w:szCs w:val="24"/>
              </w:rPr>
              <w:fldChar w:fldCharType="end"/>
            </w:r>
          </w:hyperlink>
        </w:p>
        <w:p w14:paraId="022FB692" w14:textId="77777777" w:rsidR="00192C2C" w:rsidRPr="00192C2C" w:rsidRDefault="00065E61">
          <w:pPr>
            <w:pStyle w:val="TOC3"/>
            <w:tabs>
              <w:tab w:val="right" w:leader="dot" w:pos="9016"/>
            </w:tabs>
            <w:rPr>
              <w:rFonts w:ascii="Arial" w:eastAsiaTheme="minorEastAsia" w:hAnsi="Arial" w:cs="Arial"/>
              <w:noProof/>
              <w:sz w:val="24"/>
              <w:szCs w:val="24"/>
              <w:lang w:val="en-US"/>
            </w:rPr>
          </w:pPr>
          <w:hyperlink w:anchor="_Toc216677890" w:history="1">
            <w:r w:rsidR="00192C2C" w:rsidRPr="00192C2C">
              <w:rPr>
                <w:rStyle w:val="Hyperlink"/>
                <w:rFonts w:ascii="Arial" w:hAnsi="Arial" w:cs="Arial"/>
                <w:noProof/>
                <w:sz w:val="24"/>
                <w:szCs w:val="24"/>
              </w:rPr>
              <w:t>2.2.2 Systems Approach Test-Trace-Isolate (TTI) and Data Centralisation</w:t>
            </w:r>
            <w:r w:rsidR="00192C2C" w:rsidRPr="00192C2C">
              <w:rPr>
                <w:rFonts w:ascii="Arial" w:hAnsi="Arial" w:cs="Arial"/>
                <w:noProof/>
                <w:webHidden/>
                <w:sz w:val="24"/>
                <w:szCs w:val="24"/>
              </w:rPr>
              <w:tab/>
            </w:r>
            <w:r w:rsidR="00192C2C" w:rsidRPr="00192C2C">
              <w:rPr>
                <w:rFonts w:ascii="Arial" w:hAnsi="Arial" w:cs="Arial"/>
                <w:noProof/>
                <w:webHidden/>
                <w:sz w:val="24"/>
                <w:szCs w:val="24"/>
              </w:rPr>
              <w:fldChar w:fldCharType="begin"/>
            </w:r>
            <w:r w:rsidR="00192C2C" w:rsidRPr="00192C2C">
              <w:rPr>
                <w:rFonts w:ascii="Arial" w:hAnsi="Arial" w:cs="Arial"/>
                <w:noProof/>
                <w:webHidden/>
                <w:sz w:val="24"/>
                <w:szCs w:val="24"/>
              </w:rPr>
              <w:instrText xml:space="preserve"> PAGEREF _Toc216677890 \h </w:instrText>
            </w:r>
            <w:r w:rsidR="00192C2C" w:rsidRPr="00192C2C">
              <w:rPr>
                <w:rFonts w:ascii="Arial" w:hAnsi="Arial" w:cs="Arial"/>
                <w:noProof/>
                <w:webHidden/>
                <w:sz w:val="24"/>
                <w:szCs w:val="24"/>
              </w:rPr>
            </w:r>
            <w:r w:rsidR="00192C2C" w:rsidRPr="00192C2C">
              <w:rPr>
                <w:rFonts w:ascii="Arial" w:hAnsi="Arial" w:cs="Arial"/>
                <w:noProof/>
                <w:webHidden/>
                <w:sz w:val="24"/>
                <w:szCs w:val="24"/>
              </w:rPr>
              <w:fldChar w:fldCharType="separate"/>
            </w:r>
            <w:r w:rsidR="00192C2C" w:rsidRPr="00192C2C">
              <w:rPr>
                <w:rFonts w:ascii="Arial" w:hAnsi="Arial" w:cs="Arial"/>
                <w:noProof/>
                <w:webHidden/>
                <w:sz w:val="24"/>
                <w:szCs w:val="24"/>
              </w:rPr>
              <w:t>5</w:t>
            </w:r>
            <w:r w:rsidR="00192C2C" w:rsidRPr="00192C2C">
              <w:rPr>
                <w:rFonts w:ascii="Arial" w:hAnsi="Arial" w:cs="Arial"/>
                <w:noProof/>
                <w:webHidden/>
                <w:sz w:val="24"/>
                <w:szCs w:val="24"/>
              </w:rPr>
              <w:fldChar w:fldCharType="end"/>
            </w:r>
          </w:hyperlink>
        </w:p>
        <w:p w14:paraId="7B7BBE20" w14:textId="77777777" w:rsidR="00192C2C" w:rsidRPr="00192C2C" w:rsidRDefault="00065E61">
          <w:pPr>
            <w:pStyle w:val="TOC3"/>
            <w:tabs>
              <w:tab w:val="right" w:leader="dot" w:pos="9016"/>
            </w:tabs>
            <w:rPr>
              <w:rFonts w:ascii="Arial" w:eastAsiaTheme="minorEastAsia" w:hAnsi="Arial" w:cs="Arial"/>
              <w:noProof/>
              <w:sz w:val="24"/>
              <w:szCs w:val="24"/>
              <w:lang w:val="en-US"/>
            </w:rPr>
          </w:pPr>
          <w:hyperlink w:anchor="_Toc216677891" w:history="1">
            <w:r w:rsidR="00192C2C" w:rsidRPr="00192C2C">
              <w:rPr>
                <w:rStyle w:val="Hyperlink"/>
                <w:rFonts w:ascii="Arial" w:hAnsi="Arial" w:cs="Arial"/>
                <w:noProof/>
                <w:sz w:val="24"/>
                <w:szCs w:val="24"/>
              </w:rPr>
              <w:t>2.2.3 Benefits and Beneficial Results of Surveillance Centralisation</w:t>
            </w:r>
            <w:r w:rsidR="00192C2C" w:rsidRPr="00192C2C">
              <w:rPr>
                <w:rFonts w:ascii="Arial" w:hAnsi="Arial" w:cs="Arial"/>
                <w:noProof/>
                <w:webHidden/>
                <w:sz w:val="24"/>
                <w:szCs w:val="24"/>
              </w:rPr>
              <w:tab/>
            </w:r>
            <w:r w:rsidR="00192C2C" w:rsidRPr="00192C2C">
              <w:rPr>
                <w:rFonts w:ascii="Arial" w:hAnsi="Arial" w:cs="Arial"/>
                <w:noProof/>
                <w:webHidden/>
                <w:sz w:val="24"/>
                <w:szCs w:val="24"/>
              </w:rPr>
              <w:fldChar w:fldCharType="begin"/>
            </w:r>
            <w:r w:rsidR="00192C2C" w:rsidRPr="00192C2C">
              <w:rPr>
                <w:rFonts w:ascii="Arial" w:hAnsi="Arial" w:cs="Arial"/>
                <w:noProof/>
                <w:webHidden/>
                <w:sz w:val="24"/>
                <w:szCs w:val="24"/>
              </w:rPr>
              <w:instrText xml:space="preserve"> PAGEREF _Toc216677891 \h </w:instrText>
            </w:r>
            <w:r w:rsidR="00192C2C" w:rsidRPr="00192C2C">
              <w:rPr>
                <w:rFonts w:ascii="Arial" w:hAnsi="Arial" w:cs="Arial"/>
                <w:noProof/>
                <w:webHidden/>
                <w:sz w:val="24"/>
                <w:szCs w:val="24"/>
              </w:rPr>
            </w:r>
            <w:r w:rsidR="00192C2C" w:rsidRPr="00192C2C">
              <w:rPr>
                <w:rFonts w:ascii="Arial" w:hAnsi="Arial" w:cs="Arial"/>
                <w:noProof/>
                <w:webHidden/>
                <w:sz w:val="24"/>
                <w:szCs w:val="24"/>
              </w:rPr>
              <w:fldChar w:fldCharType="separate"/>
            </w:r>
            <w:r w:rsidR="00192C2C" w:rsidRPr="00192C2C">
              <w:rPr>
                <w:rFonts w:ascii="Arial" w:hAnsi="Arial" w:cs="Arial"/>
                <w:noProof/>
                <w:webHidden/>
                <w:sz w:val="24"/>
                <w:szCs w:val="24"/>
              </w:rPr>
              <w:t>6</w:t>
            </w:r>
            <w:r w:rsidR="00192C2C" w:rsidRPr="00192C2C">
              <w:rPr>
                <w:rFonts w:ascii="Arial" w:hAnsi="Arial" w:cs="Arial"/>
                <w:noProof/>
                <w:webHidden/>
                <w:sz w:val="24"/>
                <w:szCs w:val="24"/>
              </w:rPr>
              <w:fldChar w:fldCharType="end"/>
            </w:r>
          </w:hyperlink>
        </w:p>
        <w:p w14:paraId="5539CF95" w14:textId="77777777" w:rsidR="00192C2C" w:rsidRPr="00192C2C" w:rsidRDefault="00065E61">
          <w:pPr>
            <w:pStyle w:val="TOC3"/>
            <w:tabs>
              <w:tab w:val="right" w:leader="dot" w:pos="9016"/>
            </w:tabs>
            <w:rPr>
              <w:rFonts w:ascii="Arial" w:eastAsiaTheme="minorEastAsia" w:hAnsi="Arial" w:cs="Arial"/>
              <w:noProof/>
              <w:sz w:val="24"/>
              <w:szCs w:val="24"/>
              <w:lang w:val="en-US"/>
            </w:rPr>
          </w:pPr>
          <w:hyperlink w:anchor="_Toc216677892" w:history="1">
            <w:r w:rsidR="00192C2C" w:rsidRPr="00192C2C">
              <w:rPr>
                <w:rStyle w:val="Hyperlink"/>
                <w:rFonts w:ascii="Arial" w:hAnsi="Arial" w:cs="Arial"/>
                <w:noProof/>
                <w:sz w:val="24"/>
                <w:szCs w:val="24"/>
              </w:rPr>
              <w:t>2.2.4 Con demerits and Problems: Privacy and Ethical issues</w:t>
            </w:r>
            <w:r w:rsidR="00192C2C" w:rsidRPr="00192C2C">
              <w:rPr>
                <w:rFonts w:ascii="Arial" w:hAnsi="Arial" w:cs="Arial"/>
                <w:noProof/>
                <w:webHidden/>
                <w:sz w:val="24"/>
                <w:szCs w:val="24"/>
              </w:rPr>
              <w:tab/>
            </w:r>
            <w:r w:rsidR="00192C2C" w:rsidRPr="00192C2C">
              <w:rPr>
                <w:rFonts w:ascii="Arial" w:hAnsi="Arial" w:cs="Arial"/>
                <w:noProof/>
                <w:webHidden/>
                <w:sz w:val="24"/>
                <w:szCs w:val="24"/>
              </w:rPr>
              <w:fldChar w:fldCharType="begin"/>
            </w:r>
            <w:r w:rsidR="00192C2C" w:rsidRPr="00192C2C">
              <w:rPr>
                <w:rFonts w:ascii="Arial" w:hAnsi="Arial" w:cs="Arial"/>
                <w:noProof/>
                <w:webHidden/>
                <w:sz w:val="24"/>
                <w:szCs w:val="24"/>
              </w:rPr>
              <w:instrText xml:space="preserve"> PAGEREF _Toc216677892 \h </w:instrText>
            </w:r>
            <w:r w:rsidR="00192C2C" w:rsidRPr="00192C2C">
              <w:rPr>
                <w:rFonts w:ascii="Arial" w:hAnsi="Arial" w:cs="Arial"/>
                <w:noProof/>
                <w:webHidden/>
                <w:sz w:val="24"/>
                <w:szCs w:val="24"/>
              </w:rPr>
            </w:r>
            <w:r w:rsidR="00192C2C" w:rsidRPr="00192C2C">
              <w:rPr>
                <w:rFonts w:ascii="Arial" w:hAnsi="Arial" w:cs="Arial"/>
                <w:noProof/>
                <w:webHidden/>
                <w:sz w:val="24"/>
                <w:szCs w:val="24"/>
              </w:rPr>
              <w:fldChar w:fldCharType="separate"/>
            </w:r>
            <w:r w:rsidR="00192C2C" w:rsidRPr="00192C2C">
              <w:rPr>
                <w:rFonts w:ascii="Arial" w:hAnsi="Arial" w:cs="Arial"/>
                <w:noProof/>
                <w:webHidden/>
                <w:sz w:val="24"/>
                <w:szCs w:val="24"/>
              </w:rPr>
              <w:t>6</w:t>
            </w:r>
            <w:r w:rsidR="00192C2C" w:rsidRPr="00192C2C">
              <w:rPr>
                <w:rFonts w:ascii="Arial" w:hAnsi="Arial" w:cs="Arial"/>
                <w:noProof/>
                <w:webHidden/>
                <w:sz w:val="24"/>
                <w:szCs w:val="24"/>
              </w:rPr>
              <w:fldChar w:fldCharType="end"/>
            </w:r>
          </w:hyperlink>
        </w:p>
        <w:p w14:paraId="25DD5E92" w14:textId="77777777" w:rsidR="00192C2C" w:rsidRPr="00192C2C" w:rsidRDefault="00065E61">
          <w:pPr>
            <w:pStyle w:val="TOC2"/>
            <w:tabs>
              <w:tab w:val="right" w:leader="dot" w:pos="9016"/>
            </w:tabs>
            <w:rPr>
              <w:rFonts w:ascii="Arial" w:eastAsiaTheme="minorEastAsia" w:hAnsi="Arial" w:cs="Arial"/>
              <w:noProof/>
              <w:sz w:val="24"/>
              <w:szCs w:val="24"/>
              <w:lang w:val="en-US"/>
            </w:rPr>
          </w:pPr>
          <w:hyperlink w:anchor="_Toc216677893" w:history="1">
            <w:r w:rsidR="00192C2C" w:rsidRPr="00192C2C">
              <w:rPr>
                <w:rStyle w:val="Hyperlink"/>
                <w:rFonts w:ascii="Arial" w:hAnsi="Arial" w:cs="Arial"/>
                <w:noProof/>
                <w:sz w:val="24"/>
                <w:szCs w:val="24"/>
              </w:rPr>
              <w:t>2.3 Canada: Multi-Level Governance and Decentralised Federalism</w:t>
            </w:r>
            <w:r w:rsidR="00192C2C" w:rsidRPr="00192C2C">
              <w:rPr>
                <w:rFonts w:ascii="Arial" w:hAnsi="Arial" w:cs="Arial"/>
                <w:noProof/>
                <w:webHidden/>
                <w:sz w:val="24"/>
                <w:szCs w:val="24"/>
              </w:rPr>
              <w:tab/>
            </w:r>
            <w:r w:rsidR="00192C2C" w:rsidRPr="00192C2C">
              <w:rPr>
                <w:rFonts w:ascii="Arial" w:hAnsi="Arial" w:cs="Arial"/>
                <w:noProof/>
                <w:webHidden/>
                <w:sz w:val="24"/>
                <w:szCs w:val="24"/>
              </w:rPr>
              <w:fldChar w:fldCharType="begin"/>
            </w:r>
            <w:r w:rsidR="00192C2C" w:rsidRPr="00192C2C">
              <w:rPr>
                <w:rFonts w:ascii="Arial" w:hAnsi="Arial" w:cs="Arial"/>
                <w:noProof/>
                <w:webHidden/>
                <w:sz w:val="24"/>
                <w:szCs w:val="24"/>
              </w:rPr>
              <w:instrText xml:space="preserve"> PAGEREF _Toc216677893 \h </w:instrText>
            </w:r>
            <w:r w:rsidR="00192C2C" w:rsidRPr="00192C2C">
              <w:rPr>
                <w:rFonts w:ascii="Arial" w:hAnsi="Arial" w:cs="Arial"/>
                <w:noProof/>
                <w:webHidden/>
                <w:sz w:val="24"/>
                <w:szCs w:val="24"/>
              </w:rPr>
            </w:r>
            <w:r w:rsidR="00192C2C" w:rsidRPr="00192C2C">
              <w:rPr>
                <w:rFonts w:ascii="Arial" w:hAnsi="Arial" w:cs="Arial"/>
                <w:noProof/>
                <w:webHidden/>
                <w:sz w:val="24"/>
                <w:szCs w:val="24"/>
              </w:rPr>
              <w:fldChar w:fldCharType="separate"/>
            </w:r>
            <w:r w:rsidR="00192C2C" w:rsidRPr="00192C2C">
              <w:rPr>
                <w:rFonts w:ascii="Arial" w:hAnsi="Arial" w:cs="Arial"/>
                <w:noProof/>
                <w:webHidden/>
                <w:sz w:val="24"/>
                <w:szCs w:val="24"/>
              </w:rPr>
              <w:t>7</w:t>
            </w:r>
            <w:r w:rsidR="00192C2C" w:rsidRPr="00192C2C">
              <w:rPr>
                <w:rFonts w:ascii="Arial" w:hAnsi="Arial" w:cs="Arial"/>
                <w:noProof/>
                <w:webHidden/>
                <w:sz w:val="24"/>
                <w:szCs w:val="24"/>
              </w:rPr>
              <w:fldChar w:fldCharType="end"/>
            </w:r>
          </w:hyperlink>
        </w:p>
        <w:p w14:paraId="3881DFE8" w14:textId="77777777" w:rsidR="00192C2C" w:rsidRPr="00192C2C" w:rsidRDefault="00065E61">
          <w:pPr>
            <w:pStyle w:val="TOC3"/>
            <w:tabs>
              <w:tab w:val="right" w:leader="dot" w:pos="9016"/>
            </w:tabs>
            <w:rPr>
              <w:rFonts w:ascii="Arial" w:eastAsiaTheme="minorEastAsia" w:hAnsi="Arial" w:cs="Arial"/>
              <w:noProof/>
              <w:sz w:val="24"/>
              <w:szCs w:val="24"/>
              <w:lang w:val="en-US"/>
            </w:rPr>
          </w:pPr>
          <w:hyperlink w:anchor="_Toc216677894" w:history="1">
            <w:r w:rsidR="00192C2C" w:rsidRPr="00192C2C">
              <w:rPr>
                <w:rStyle w:val="Hyperlink"/>
                <w:rFonts w:ascii="Arial" w:hAnsi="Arial" w:cs="Arial"/>
                <w:noProof/>
                <w:sz w:val="24"/>
                <w:szCs w:val="24"/>
              </w:rPr>
              <w:t>2.3.1 Canadian Healthcare System Typology: Decentralised provincial Authority</w:t>
            </w:r>
            <w:r w:rsidR="00192C2C" w:rsidRPr="00192C2C">
              <w:rPr>
                <w:rFonts w:ascii="Arial" w:hAnsi="Arial" w:cs="Arial"/>
                <w:noProof/>
                <w:webHidden/>
                <w:sz w:val="24"/>
                <w:szCs w:val="24"/>
              </w:rPr>
              <w:tab/>
            </w:r>
            <w:r w:rsidR="00192C2C" w:rsidRPr="00192C2C">
              <w:rPr>
                <w:rFonts w:ascii="Arial" w:hAnsi="Arial" w:cs="Arial"/>
                <w:noProof/>
                <w:webHidden/>
                <w:sz w:val="24"/>
                <w:szCs w:val="24"/>
              </w:rPr>
              <w:fldChar w:fldCharType="begin"/>
            </w:r>
            <w:r w:rsidR="00192C2C" w:rsidRPr="00192C2C">
              <w:rPr>
                <w:rFonts w:ascii="Arial" w:hAnsi="Arial" w:cs="Arial"/>
                <w:noProof/>
                <w:webHidden/>
                <w:sz w:val="24"/>
                <w:szCs w:val="24"/>
              </w:rPr>
              <w:instrText xml:space="preserve"> PAGEREF _Toc216677894 \h </w:instrText>
            </w:r>
            <w:r w:rsidR="00192C2C" w:rsidRPr="00192C2C">
              <w:rPr>
                <w:rFonts w:ascii="Arial" w:hAnsi="Arial" w:cs="Arial"/>
                <w:noProof/>
                <w:webHidden/>
                <w:sz w:val="24"/>
                <w:szCs w:val="24"/>
              </w:rPr>
            </w:r>
            <w:r w:rsidR="00192C2C" w:rsidRPr="00192C2C">
              <w:rPr>
                <w:rFonts w:ascii="Arial" w:hAnsi="Arial" w:cs="Arial"/>
                <w:noProof/>
                <w:webHidden/>
                <w:sz w:val="24"/>
                <w:szCs w:val="24"/>
              </w:rPr>
              <w:fldChar w:fldCharType="separate"/>
            </w:r>
            <w:r w:rsidR="00192C2C" w:rsidRPr="00192C2C">
              <w:rPr>
                <w:rFonts w:ascii="Arial" w:hAnsi="Arial" w:cs="Arial"/>
                <w:noProof/>
                <w:webHidden/>
                <w:sz w:val="24"/>
                <w:szCs w:val="24"/>
              </w:rPr>
              <w:t>7</w:t>
            </w:r>
            <w:r w:rsidR="00192C2C" w:rsidRPr="00192C2C">
              <w:rPr>
                <w:rFonts w:ascii="Arial" w:hAnsi="Arial" w:cs="Arial"/>
                <w:noProof/>
                <w:webHidden/>
                <w:sz w:val="24"/>
                <w:szCs w:val="24"/>
              </w:rPr>
              <w:fldChar w:fldCharType="end"/>
            </w:r>
          </w:hyperlink>
        </w:p>
        <w:p w14:paraId="69778B17" w14:textId="77777777" w:rsidR="00192C2C" w:rsidRPr="00192C2C" w:rsidRDefault="00065E61">
          <w:pPr>
            <w:pStyle w:val="TOC3"/>
            <w:tabs>
              <w:tab w:val="right" w:leader="dot" w:pos="9016"/>
            </w:tabs>
            <w:rPr>
              <w:rFonts w:ascii="Arial" w:eastAsiaTheme="minorEastAsia" w:hAnsi="Arial" w:cs="Arial"/>
              <w:noProof/>
              <w:sz w:val="24"/>
              <w:szCs w:val="24"/>
              <w:lang w:val="en-US"/>
            </w:rPr>
          </w:pPr>
          <w:hyperlink w:anchor="_Toc216677895" w:history="1">
            <w:r w:rsidR="00192C2C" w:rsidRPr="00192C2C">
              <w:rPr>
                <w:rStyle w:val="Hyperlink"/>
                <w:rFonts w:ascii="Arial" w:hAnsi="Arial" w:cs="Arial"/>
                <w:noProof/>
                <w:sz w:val="24"/>
                <w:szCs w:val="24"/>
              </w:rPr>
              <w:t>2.3.2 Federal Leadership and Provincial Variation Systems Approach</w:t>
            </w:r>
            <w:r w:rsidR="00192C2C" w:rsidRPr="00192C2C">
              <w:rPr>
                <w:rFonts w:ascii="Arial" w:hAnsi="Arial" w:cs="Arial"/>
                <w:noProof/>
                <w:webHidden/>
                <w:sz w:val="24"/>
                <w:szCs w:val="24"/>
              </w:rPr>
              <w:tab/>
            </w:r>
            <w:r w:rsidR="00192C2C" w:rsidRPr="00192C2C">
              <w:rPr>
                <w:rFonts w:ascii="Arial" w:hAnsi="Arial" w:cs="Arial"/>
                <w:noProof/>
                <w:webHidden/>
                <w:sz w:val="24"/>
                <w:szCs w:val="24"/>
              </w:rPr>
              <w:fldChar w:fldCharType="begin"/>
            </w:r>
            <w:r w:rsidR="00192C2C" w:rsidRPr="00192C2C">
              <w:rPr>
                <w:rFonts w:ascii="Arial" w:hAnsi="Arial" w:cs="Arial"/>
                <w:noProof/>
                <w:webHidden/>
                <w:sz w:val="24"/>
                <w:szCs w:val="24"/>
              </w:rPr>
              <w:instrText xml:space="preserve"> PAGEREF _Toc216677895 \h </w:instrText>
            </w:r>
            <w:r w:rsidR="00192C2C" w:rsidRPr="00192C2C">
              <w:rPr>
                <w:rFonts w:ascii="Arial" w:hAnsi="Arial" w:cs="Arial"/>
                <w:noProof/>
                <w:webHidden/>
                <w:sz w:val="24"/>
                <w:szCs w:val="24"/>
              </w:rPr>
            </w:r>
            <w:r w:rsidR="00192C2C" w:rsidRPr="00192C2C">
              <w:rPr>
                <w:rFonts w:ascii="Arial" w:hAnsi="Arial" w:cs="Arial"/>
                <w:noProof/>
                <w:webHidden/>
                <w:sz w:val="24"/>
                <w:szCs w:val="24"/>
              </w:rPr>
              <w:fldChar w:fldCharType="separate"/>
            </w:r>
            <w:r w:rsidR="00192C2C" w:rsidRPr="00192C2C">
              <w:rPr>
                <w:rFonts w:ascii="Arial" w:hAnsi="Arial" w:cs="Arial"/>
                <w:noProof/>
                <w:webHidden/>
                <w:sz w:val="24"/>
                <w:szCs w:val="24"/>
              </w:rPr>
              <w:t>8</w:t>
            </w:r>
            <w:r w:rsidR="00192C2C" w:rsidRPr="00192C2C">
              <w:rPr>
                <w:rFonts w:ascii="Arial" w:hAnsi="Arial" w:cs="Arial"/>
                <w:noProof/>
                <w:webHidden/>
                <w:sz w:val="24"/>
                <w:szCs w:val="24"/>
              </w:rPr>
              <w:fldChar w:fldCharType="end"/>
            </w:r>
          </w:hyperlink>
        </w:p>
        <w:p w14:paraId="2A1FD9F5" w14:textId="77777777" w:rsidR="00192C2C" w:rsidRPr="00192C2C" w:rsidRDefault="00065E61">
          <w:pPr>
            <w:pStyle w:val="TOC3"/>
            <w:tabs>
              <w:tab w:val="right" w:leader="dot" w:pos="9016"/>
            </w:tabs>
            <w:rPr>
              <w:rFonts w:ascii="Arial" w:eastAsiaTheme="minorEastAsia" w:hAnsi="Arial" w:cs="Arial"/>
              <w:noProof/>
              <w:sz w:val="24"/>
              <w:szCs w:val="24"/>
              <w:lang w:val="en-US"/>
            </w:rPr>
          </w:pPr>
          <w:hyperlink w:anchor="_Toc216677896" w:history="1">
            <w:r w:rsidR="00192C2C" w:rsidRPr="00192C2C">
              <w:rPr>
                <w:rStyle w:val="Hyperlink"/>
                <w:rFonts w:ascii="Arial" w:hAnsi="Arial" w:cs="Arial"/>
                <w:noProof/>
                <w:sz w:val="24"/>
                <w:szCs w:val="24"/>
              </w:rPr>
              <w:t>2.3.3 Benefits and Good Results of Decentralised/Localised Response</w:t>
            </w:r>
            <w:r w:rsidR="00192C2C" w:rsidRPr="00192C2C">
              <w:rPr>
                <w:rFonts w:ascii="Arial" w:hAnsi="Arial" w:cs="Arial"/>
                <w:noProof/>
                <w:webHidden/>
                <w:sz w:val="24"/>
                <w:szCs w:val="24"/>
              </w:rPr>
              <w:tab/>
            </w:r>
            <w:r w:rsidR="00192C2C" w:rsidRPr="00192C2C">
              <w:rPr>
                <w:rFonts w:ascii="Arial" w:hAnsi="Arial" w:cs="Arial"/>
                <w:noProof/>
                <w:webHidden/>
                <w:sz w:val="24"/>
                <w:szCs w:val="24"/>
              </w:rPr>
              <w:fldChar w:fldCharType="begin"/>
            </w:r>
            <w:r w:rsidR="00192C2C" w:rsidRPr="00192C2C">
              <w:rPr>
                <w:rFonts w:ascii="Arial" w:hAnsi="Arial" w:cs="Arial"/>
                <w:noProof/>
                <w:webHidden/>
                <w:sz w:val="24"/>
                <w:szCs w:val="24"/>
              </w:rPr>
              <w:instrText xml:space="preserve"> PAGEREF _Toc216677896 \h </w:instrText>
            </w:r>
            <w:r w:rsidR="00192C2C" w:rsidRPr="00192C2C">
              <w:rPr>
                <w:rFonts w:ascii="Arial" w:hAnsi="Arial" w:cs="Arial"/>
                <w:noProof/>
                <w:webHidden/>
                <w:sz w:val="24"/>
                <w:szCs w:val="24"/>
              </w:rPr>
            </w:r>
            <w:r w:rsidR="00192C2C" w:rsidRPr="00192C2C">
              <w:rPr>
                <w:rFonts w:ascii="Arial" w:hAnsi="Arial" w:cs="Arial"/>
                <w:noProof/>
                <w:webHidden/>
                <w:sz w:val="24"/>
                <w:szCs w:val="24"/>
              </w:rPr>
              <w:fldChar w:fldCharType="separate"/>
            </w:r>
            <w:r w:rsidR="00192C2C" w:rsidRPr="00192C2C">
              <w:rPr>
                <w:rFonts w:ascii="Arial" w:hAnsi="Arial" w:cs="Arial"/>
                <w:noProof/>
                <w:webHidden/>
                <w:sz w:val="24"/>
                <w:szCs w:val="24"/>
              </w:rPr>
              <w:t>8</w:t>
            </w:r>
            <w:r w:rsidR="00192C2C" w:rsidRPr="00192C2C">
              <w:rPr>
                <w:rFonts w:ascii="Arial" w:hAnsi="Arial" w:cs="Arial"/>
                <w:noProof/>
                <w:webHidden/>
                <w:sz w:val="24"/>
                <w:szCs w:val="24"/>
              </w:rPr>
              <w:fldChar w:fldCharType="end"/>
            </w:r>
          </w:hyperlink>
        </w:p>
        <w:p w14:paraId="22F9555C" w14:textId="77777777" w:rsidR="00192C2C" w:rsidRPr="00192C2C" w:rsidRDefault="00065E61">
          <w:pPr>
            <w:pStyle w:val="TOC3"/>
            <w:tabs>
              <w:tab w:val="right" w:leader="dot" w:pos="9016"/>
            </w:tabs>
            <w:rPr>
              <w:rFonts w:ascii="Arial" w:eastAsiaTheme="minorEastAsia" w:hAnsi="Arial" w:cs="Arial"/>
              <w:noProof/>
              <w:sz w:val="24"/>
              <w:szCs w:val="24"/>
              <w:lang w:val="en-US"/>
            </w:rPr>
          </w:pPr>
          <w:hyperlink w:anchor="_Toc216677897" w:history="1">
            <w:r w:rsidR="00192C2C" w:rsidRPr="00192C2C">
              <w:rPr>
                <w:rStyle w:val="Hyperlink"/>
                <w:rFonts w:ascii="Arial" w:hAnsi="Arial" w:cs="Arial"/>
                <w:noProof/>
                <w:sz w:val="24"/>
                <w:szCs w:val="24"/>
              </w:rPr>
              <w:t>2.3.4 Negative Implications and Problems: Inter-Jurisdictional Conflict and Supply Chain Failure</w:t>
            </w:r>
            <w:r w:rsidR="00192C2C" w:rsidRPr="00192C2C">
              <w:rPr>
                <w:rFonts w:ascii="Arial" w:hAnsi="Arial" w:cs="Arial"/>
                <w:noProof/>
                <w:webHidden/>
                <w:sz w:val="24"/>
                <w:szCs w:val="24"/>
              </w:rPr>
              <w:tab/>
            </w:r>
            <w:r w:rsidR="00192C2C" w:rsidRPr="00192C2C">
              <w:rPr>
                <w:rFonts w:ascii="Arial" w:hAnsi="Arial" w:cs="Arial"/>
                <w:noProof/>
                <w:webHidden/>
                <w:sz w:val="24"/>
                <w:szCs w:val="24"/>
              </w:rPr>
              <w:fldChar w:fldCharType="begin"/>
            </w:r>
            <w:r w:rsidR="00192C2C" w:rsidRPr="00192C2C">
              <w:rPr>
                <w:rFonts w:ascii="Arial" w:hAnsi="Arial" w:cs="Arial"/>
                <w:noProof/>
                <w:webHidden/>
                <w:sz w:val="24"/>
                <w:szCs w:val="24"/>
              </w:rPr>
              <w:instrText xml:space="preserve"> PAGEREF _Toc216677897 \h </w:instrText>
            </w:r>
            <w:r w:rsidR="00192C2C" w:rsidRPr="00192C2C">
              <w:rPr>
                <w:rFonts w:ascii="Arial" w:hAnsi="Arial" w:cs="Arial"/>
                <w:noProof/>
                <w:webHidden/>
                <w:sz w:val="24"/>
                <w:szCs w:val="24"/>
              </w:rPr>
            </w:r>
            <w:r w:rsidR="00192C2C" w:rsidRPr="00192C2C">
              <w:rPr>
                <w:rFonts w:ascii="Arial" w:hAnsi="Arial" w:cs="Arial"/>
                <w:noProof/>
                <w:webHidden/>
                <w:sz w:val="24"/>
                <w:szCs w:val="24"/>
              </w:rPr>
              <w:fldChar w:fldCharType="separate"/>
            </w:r>
            <w:r w:rsidR="00192C2C" w:rsidRPr="00192C2C">
              <w:rPr>
                <w:rFonts w:ascii="Arial" w:hAnsi="Arial" w:cs="Arial"/>
                <w:noProof/>
                <w:webHidden/>
                <w:sz w:val="24"/>
                <w:szCs w:val="24"/>
              </w:rPr>
              <w:t>9</w:t>
            </w:r>
            <w:r w:rsidR="00192C2C" w:rsidRPr="00192C2C">
              <w:rPr>
                <w:rFonts w:ascii="Arial" w:hAnsi="Arial" w:cs="Arial"/>
                <w:noProof/>
                <w:webHidden/>
                <w:sz w:val="24"/>
                <w:szCs w:val="24"/>
              </w:rPr>
              <w:fldChar w:fldCharType="end"/>
            </w:r>
          </w:hyperlink>
        </w:p>
        <w:p w14:paraId="524C7D97" w14:textId="77777777" w:rsidR="00192C2C" w:rsidRPr="00192C2C" w:rsidRDefault="00065E61">
          <w:pPr>
            <w:pStyle w:val="TOC1"/>
            <w:tabs>
              <w:tab w:val="right" w:leader="dot" w:pos="9016"/>
            </w:tabs>
            <w:rPr>
              <w:rFonts w:ascii="Arial" w:eastAsiaTheme="minorEastAsia" w:hAnsi="Arial" w:cs="Arial"/>
              <w:noProof/>
              <w:sz w:val="24"/>
              <w:szCs w:val="24"/>
              <w:lang w:val="en-US"/>
            </w:rPr>
          </w:pPr>
          <w:hyperlink w:anchor="_Toc216677898" w:history="1">
            <w:r w:rsidR="00192C2C" w:rsidRPr="00192C2C">
              <w:rPr>
                <w:rStyle w:val="Hyperlink"/>
                <w:rFonts w:ascii="Arial" w:hAnsi="Arial" w:cs="Arial"/>
                <w:noProof/>
                <w:sz w:val="24"/>
                <w:szCs w:val="24"/>
              </w:rPr>
              <w:t>3. An Evaluation of the Leadership Approaches Used in Every Country</w:t>
            </w:r>
            <w:r w:rsidR="00192C2C" w:rsidRPr="00192C2C">
              <w:rPr>
                <w:rFonts w:ascii="Arial" w:hAnsi="Arial" w:cs="Arial"/>
                <w:noProof/>
                <w:webHidden/>
                <w:sz w:val="24"/>
                <w:szCs w:val="24"/>
              </w:rPr>
              <w:tab/>
            </w:r>
            <w:r w:rsidR="00192C2C" w:rsidRPr="00192C2C">
              <w:rPr>
                <w:rFonts w:ascii="Arial" w:hAnsi="Arial" w:cs="Arial"/>
                <w:noProof/>
                <w:webHidden/>
                <w:sz w:val="24"/>
                <w:szCs w:val="24"/>
              </w:rPr>
              <w:fldChar w:fldCharType="begin"/>
            </w:r>
            <w:r w:rsidR="00192C2C" w:rsidRPr="00192C2C">
              <w:rPr>
                <w:rFonts w:ascii="Arial" w:hAnsi="Arial" w:cs="Arial"/>
                <w:noProof/>
                <w:webHidden/>
                <w:sz w:val="24"/>
                <w:szCs w:val="24"/>
              </w:rPr>
              <w:instrText xml:space="preserve"> PAGEREF _Toc216677898 \h </w:instrText>
            </w:r>
            <w:r w:rsidR="00192C2C" w:rsidRPr="00192C2C">
              <w:rPr>
                <w:rFonts w:ascii="Arial" w:hAnsi="Arial" w:cs="Arial"/>
                <w:noProof/>
                <w:webHidden/>
                <w:sz w:val="24"/>
                <w:szCs w:val="24"/>
              </w:rPr>
            </w:r>
            <w:r w:rsidR="00192C2C" w:rsidRPr="00192C2C">
              <w:rPr>
                <w:rFonts w:ascii="Arial" w:hAnsi="Arial" w:cs="Arial"/>
                <w:noProof/>
                <w:webHidden/>
                <w:sz w:val="24"/>
                <w:szCs w:val="24"/>
              </w:rPr>
              <w:fldChar w:fldCharType="separate"/>
            </w:r>
            <w:r w:rsidR="00192C2C" w:rsidRPr="00192C2C">
              <w:rPr>
                <w:rFonts w:ascii="Arial" w:hAnsi="Arial" w:cs="Arial"/>
                <w:noProof/>
                <w:webHidden/>
                <w:sz w:val="24"/>
                <w:szCs w:val="24"/>
              </w:rPr>
              <w:t>9</w:t>
            </w:r>
            <w:r w:rsidR="00192C2C" w:rsidRPr="00192C2C">
              <w:rPr>
                <w:rFonts w:ascii="Arial" w:hAnsi="Arial" w:cs="Arial"/>
                <w:noProof/>
                <w:webHidden/>
                <w:sz w:val="24"/>
                <w:szCs w:val="24"/>
              </w:rPr>
              <w:fldChar w:fldCharType="end"/>
            </w:r>
          </w:hyperlink>
        </w:p>
        <w:p w14:paraId="5B7AFB85" w14:textId="77777777" w:rsidR="00192C2C" w:rsidRPr="00192C2C" w:rsidRDefault="00065E61">
          <w:pPr>
            <w:pStyle w:val="TOC2"/>
            <w:tabs>
              <w:tab w:val="right" w:leader="dot" w:pos="9016"/>
            </w:tabs>
            <w:rPr>
              <w:rFonts w:ascii="Arial" w:eastAsiaTheme="minorEastAsia" w:hAnsi="Arial" w:cs="Arial"/>
              <w:noProof/>
              <w:sz w:val="24"/>
              <w:szCs w:val="24"/>
              <w:lang w:val="en-US"/>
            </w:rPr>
          </w:pPr>
          <w:hyperlink w:anchor="_Toc216677899" w:history="1">
            <w:r w:rsidR="00192C2C" w:rsidRPr="00192C2C">
              <w:rPr>
                <w:rStyle w:val="Hyperlink"/>
                <w:rFonts w:ascii="Arial" w:hAnsi="Arial" w:cs="Arial"/>
                <w:noProof/>
                <w:sz w:val="24"/>
                <w:szCs w:val="24"/>
              </w:rPr>
              <w:t>3.1 Leadership in Spain: The Transition from Laissez-Faire to Crisis Command under Salvador Illa</w:t>
            </w:r>
            <w:r w:rsidR="00192C2C" w:rsidRPr="00192C2C">
              <w:rPr>
                <w:rFonts w:ascii="Arial" w:hAnsi="Arial" w:cs="Arial"/>
                <w:noProof/>
                <w:webHidden/>
                <w:sz w:val="24"/>
                <w:szCs w:val="24"/>
              </w:rPr>
              <w:tab/>
            </w:r>
            <w:r w:rsidR="00192C2C" w:rsidRPr="00192C2C">
              <w:rPr>
                <w:rFonts w:ascii="Arial" w:hAnsi="Arial" w:cs="Arial"/>
                <w:noProof/>
                <w:webHidden/>
                <w:sz w:val="24"/>
                <w:szCs w:val="24"/>
              </w:rPr>
              <w:fldChar w:fldCharType="begin"/>
            </w:r>
            <w:r w:rsidR="00192C2C" w:rsidRPr="00192C2C">
              <w:rPr>
                <w:rFonts w:ascii="Arial" w:hAnsi="Arial" w:cs="Arial"/>
                <w:noProof/>
                <w:webHidden/>
                <w:sz w:val="24"/>
                <w:szCs w:val="24"/>
              </w:rPr>
              <w:instrText xml:space="preserve"> PAGEREF _Toc216677899 \h </w:instrText>
            </w:r>
            <w:r w:rsidR="00192C2C" w:rsidRPr="00192C2C">
              <w:rPr>
                <w:rFonts w:ascii="Arial" w:hAnsi="Arial" w:cs="Arial"/>
                <w:noProof/>
                <w:webHidden/>
                <w:sz w:val="24"/>
                <w:szCs w:val="24"/>
              </w:rPr>
            </w:r>
            <w:r w:rsidR="00192C2C" w:rsidRPr="00192C2C">
              <w:rPr>
                <w:rFonts w:ascii="Arial" w:hAnsi="Arial" w:cs="Arial"/>
                <w:noProof/>
                <w:webHidden/>
                <w:sz w:val="24"/>
                <w:szCs w:val="24"/>
              </w:rPr>
              <w:fldChar w:fldCharType="separate"/>
            </w:r>
            <w:r w:rsidR="00192C2C" w:rsidRPr="00192C2C">
              <w:rPr>
                <w:rFonts w:ascii="Arial" w:hAnsi="Arial" w:cs="Arial"/>
                <w:noProof/>
                <w:webHidden/>
                <w:sz w:val="24"/>
                <w:szCs w:val="24"/>
              </w:rPr>
              <w:t>9</w:t>
            </w:r>
            <w:r w:rsidR="00192C2C" w:rsidRPr="00192C2C">
              <w:rPr>
                <w:rFonts w:ascii="Arial" w:hAnsi="Arial" w:cs="Arial"/>
                <w:noProof/>
                <w:webHidden/>
                <w:sz w:val="24"/>
                <w:szCs w:val="24"/>
              </w:rPr>
              <w:fldChar w:fldCharType="end"/>
            </w:r>
          </w:hyperlink>
        </w:p>
        <w:p w14:paraId="18100C37" w14:textId="77777777" w:rsidR="00192C2C" w:rsidRPr="00192C2C" w:rsidRDefault="00065E61">
          <w:pPr>
            <w:pStyle w:val="TOC3"/>
            <w:tabs>
              <w:tab w:val="right" w:leader="dot" w:pos="9016"/>
            </w:tabs>
            <w:rPr>
              <w:rFonts w:ascii="Arial" w:eastAsiaTheme="minorEastAsia" w:hAnsi="Arial" w:cs="Arial"/>
              <w:noProof/>
              <w:sz w:val="24"/>
              <w:szCs w:val="24"/>
              <w:lang w:val="en-US"/>
            </w:rPr>
          </w:pPr>
          <w:hyperlink w:anchor="_Toc216677900" w:history="1">
            <w:r w:rsidR="00192C2C" w:rsidRPr="00192C2C">
              <w:rPr>
                <w:rStyle w:val="Hyperlink"/>
                <w:rFonts w:ascii="Arial" w:hAnsi="Arial" w:cs="Arial"/>
                <w:noProof/>
                <w:sz w:val="24"/>
                <w:szCs w:val="24"/>
              </w:rPr>
              <w:t>3.1.1 First Leadership Failure: Nervous and Laissez-Faire Style</w:t>
            </w:r>
            <w:r w:rsidR="00192C2C" w:rsidRPr="00192C2C">
              <w:rPr>
                <w:rFonts w:ascii="Arial" w:hAnsi="Arial" w:cs="Arial"/>
                <w:noProof/>
                <w:webHidden/>
                <w:sz w:val="24"/>
                <w:szCs w:val="24"/>
              </w:rPr>
              <w:tab/>
            </w:r>
            <w:r w:rsidR="00192C2C" w:rsidRPr="00192C2C">
              <w:rPr>
                <w:rFonts w:ascii="Arial" w:hAnsi="Arial" w:cs="Arial"/>
                <w:noProof/>
                <w:webHidden/>
                <w:sz w:val="24"/>
                <w:szCs w:val="24"/>
              </w:rPr>
              <w:fldChar w:fldCharType="begin"/>
            </w:r>
            <w:r w:rsidR="00192C2C" w:rsidRPr="00192C2C">
              <w:rPr>
                <w:rFonts w:ascii="Arial" w:hAnsi="Arial" w:cs="Arial"/>
                <w:noProof/>
                <w:webHidden/>
                <w:sz w:val="24"/>
                <w:szCs w:val="24"/>
              </w:rPr>
              <w:instrText xml:space="preserve"> PAGEREF _Toc216677900 \h </w:instrText>
            </w:r>
            <w:r w:rsidR="00192C2C" w:rsidRPr="00192C2C">
              <w:rPr>
                <w:rFonts w:ascii="Arial" w:hAnsi="Arial" w:cs="Arial"/>
                <w:noProof/>
                <w:webHidden/>
                <w:sz w:val="24"/>
                <w:szCs w:val="24"/>
              </w:rPr>
            </w:r>
            <w:r w:rsidR="00192C2C" w:rsidRPr="00192C2C">
              <w:rPr>
                <w:rFonts w:ascii="Arial" w:hAnsi="Arial" w:cs="Arial"/>
                <w:noProof/>
                <w:webHidden/>
                <w:sz w:val="24"/>
                <w:szCs w:val="24"/>
              </w:rPr>
              <w:fldChar w:fldCharType="separate"/>
            </w:r>
            <w:r w:rsidR="00192C2C" w:rsidRPr="00192C2C">
              <w:rPr>
                <w:rFonts w:ascii="Arial" w:hAnsi="Arial" w:cs="Arial"/>
                <w:noProof/>
                <w:webHidden/>
                <w:sz w:val="24"/>
                <w:szCs w:val="24"/>
              </w:rPr>
              <w:t>10</w:t>
            </w:r>
            <w:r w:rsidR="00192C2C" w:rsidRPr="00192C2C">
              <w:rPr>
                <w:rFonts w:ascii="Arial" w:hAnsi="Arial" w:cs="Arial"/>
                <w:noProof/>
                <w:webHidden/>
                <w:sz w:val="24"/>
                <w:szCs w:val="24"/>
              </w:rPr>
              <w:fldChar w:fldCharType="end"/>
            </w:r>
          </w:hyperlink>
        </w:p>
        <w:p w14:paraId="3AB146DD" w14:textId="77777777" w:rsidR="00192C2C" w:rsidRPr="00192C2C" w:rsidRDefault="00065E61">
          <w:pPr>
            <w:pStyle w:val="TOC3"/>
            <w:tabs>
              <w:tab w:val="right" w:leader="dot" w:pos="9016"/>
            </w:tabs>
            <w:rPr>
              <w:rFonts w:ascii="Arial" w:eastAsiaTheme="minorEastAsia" w:hAnsi="Arial" w:cs="Arial"/>
              <w:noProof/>
              <w:sz w:val="24"/>
              <w:szCs w:val="24"/>
              <w:lang w:val="en-US"/>
            </w:rPr>
          </w:pPr>
          <w:hyperlink w:anchor="_Toc216677901" w:history="1">
            <w:r w:rsidR="00192C2C" w:rsidRPr="00192C2C">
              <w:rPr>
                <w:rStyle w:val="Hyperlink"/>
                <w:rFonts w:ascii="Arial" w:hAnsi="Arial" w:cs="Arial"/>
                <w:noProof/>
                <w:sz w:val="24"/>
                <w:szCs w:val="24"/>
              </w:rPr>
              <w:t>3.1.2 The Pivot: Directive Command Leadership and Autocratic</w:t>
            </w:r>
            <w:r w:rsidR="00192C2C" w:rsidRPr="00192C2C">
              <w:rPr>
                <w:rFonts w:ascii="Arial" w:hAnsi="Arial" w:cs="Arial"/>
                <w:noProof/>
                <w:webHidden/>
                <w:sz w:val="24"/>
                <w:szCs w:val="24"/>
              </w:rPr>
              <w:tab/>
            </w:r>
            <w:r w:rsidR="00192C2C" w:rsidRPr="00192C2C">
              <w:rPr>
                <w:rFonts w:ascii="Arial" w:hAnsi="Arial" w:cs="Arial"/>
                <w:noProof/>
                <w:webHidden/>
                <w:sz w:val="24"/>
                <w:szCs w:val="24"/>
              </w:rPr>
              <w:fldChar w:fldCharType="begin"/>
            </w:r>
            <w:r w:rsidR="00192C2C" w:rsidRPr="00192C2C">
              <w:rPr>
                <w:rFonts w:ascii="Arial" w:hAnsi="Arial" w:cs="Arial"/>
                <w:noProof/>
                <w:webHidden/>
                <w:sz w:val="24"/>
                <w:szCs w:val="24"/>
              </w:rPr>
              <w:instrText xml:space="preserve"> PAGEREF _Toc216677901 \h </w:instrText>
            </w:r>
            <w:r w:rsidR="00192C2C" w:rsidRPr="00192C2C">
              <w:rPr>
                <w:rFonts w:ascii="Arial" w:hAnsi="Arial" w:cs="Arial"/>
                <w:noProof/>
                <w:webHidden/>
                <w:sz w:val="24"/>
                <w:szCs w:val="24"/>
              </w:rPr>
            </w:r>
            <w:r w:rsidR="00192C2C" w:rsidRPr="00192C2C">
              <w:rPr>
                <w:rFonts w:ascii="Arial" w:hAnsi="Arial" w:cs="Arial"/>
                <w:noProof/>
                <w:webHidden/>
                <w:sz w:val="24"/>
                <w:szCs w:val="24"/>
              </w:rPr>
              <w:fldChar w:fldCharType="separate"/>
            </w:r>
            <w:r w:rsidR="00192C2C" w:rsidRPr="00192C2C">
              <w:rPr>
                <w:rFonts w:ascii="Arial" w:hAnsi="Arial" w:cs="Arial"/>
                <w:noProof/>
                <w:webHidden/>
                <w:sz w:val="24"/>
                <w:szCs w:val="24"/>
              </w:rPr>
              <w:t>11</w:t>
            </w:r>
            <w:r w:rsidR="00192C2C" w:rsidRPr="00192C2C">
              <w:rPr>
                <w:rFonts w:ascii="Arial" w:hAnsi="Arial" w:cs="Arial"/>
                <w:noProof/>
                <w:webHidden/>
                <w:sz w:val="24"/>
                <w:szCs w:val="24"/>
              </w:rPr>
              <w:fldChar w:fldCharType="end"/>
            </w:r>
          </w:hyperlink>
        </w:p>
        <w:p w14:paraId="3DF85E8F" w14:textId="77777777" w:rsidR="00192C2C" w:rsidRPr="00192C2C" w:rsidRDefault="00065E61">
          <w:pPr>
            <w:pStyle w:val="TOC3"/>
            <w:tabs>
              <w:tab w:val="right" w:leader="dot" w:pos="9016"/>
            </w:tabs>
            <w:rPr>
              <w:rFonts w:ascii="Arial" w:eastAsiaTheme="minorEastAsia" w:hAnsi="Arial" w:cs="Arial"/>
              <w:noProof/>
              <w:sz w:val="24"/>
              <w:szCs w:val="24"/>
              <w:lang w:val="en-US"/>
            </w:rPr>
          </w:pPr>
          <w:hyperlink w:anchor="_Toc216677902" w:history="1">
            <w:r w:rsidR="00192C2C" w:rsidRPr="00192C2C">
              <w:rPr>
                <w:rStyle w:val="Hyperlink"/>
                <w:rFonts w:ascii="Arial" w:hAnsi="Arial" w:cs="Arial"/>
                <w:noProof/>
                <w:sz w:val="24"/>
                <w:szCs w:val="24"/>
              </w:rPr>
              <w:t>3.1.3 Vaccination Phase: Collaborative and Transactional Leadership</w:t>
            </w:r>
            <w:r w:rsidR="00192C2C" w:rsidRPr="00192C2C">
              <w:rPr>
                <w:rFonts w:ascii="Arial" w:hAnsi="Arial" w:cs="Arial"/>
                <w:noProof/>
                <w:webHidden/>
                <w:sz w:val="24"/>
                <w:szCs w:val="24"/>
              </w:rPr>
              <w:tab/>
            </w:r>
            <w:r w:rsidR="00192C2C" w:rsidRPr="00192C2C">
              <w:rPr>
                <w:rFonts w:ascii="Arial" w:hAnsi="Arial" w:cs="Arial"/>
                <w:noProof/>
                <w:webHidden/>
                <w:sz w:val="24"/>
                <w:szCs w:val="24"/>
              </w:rPr>
              <w:fldChar w:fldCharType="begin"/>
            </w:r>
            <w:r w:rsidR="00192C2C" w:rsidRPr="00192C2C">
              <w:rPr>
                <w:rFonts w:ascii="Arial" w:hAnsi="Arial" w:cs="Arial"/>
                <w:noProof/>
                <w:webHidden/>
                <w:sz w:val="24"/>
                <w:szCs w:val="24"/>
              </w:rPr>
              <w:instrText xml:space="preserve"> PAGEREF _Toc216677902 \h </w:instrText>
            </w:r>
            <w:r w:rsidR="00192C2C" w:rsidRPr="00192C2C">
              <w:rPr>
                <w:rFonts w:ascii="Arial" w:hAnsi="Arial" w:cs="Arial"/>
                <w:noProof/>
                <w:webHidden/>
                <w:sz w:val="24"/>
                <w:szCs w:val="24"/>
              </w:rPr>
            </w:r>
            <w:r w:rsidR="00192C2C" w:rsidRPr="00192C2C">
              <w:rPr>
                <w:rFonts w:ascii="Arial" w:hAnsi="Arial" w:cs="Arial"/>
                <w:noProof/>
                <w:webHidden/>
                <w:sz w:val="24"/>
                <w:szCs w:val="24"/>
              </w:rPr>
              <w:fldChar w:fldCharType="separate"/>
            </w:r>
            <w:r w:rsidR="00192C2C" w:rsidRPr="00192C2C">
              <w:rPr>
                <w:rFonts w:ascii="Arial" w:hAnsi="Arial" w:cs="Arial"/>
                <w:noProof/>
                <w:webHidden/>
                <w:sz w:val="24"/>
                <w:szCs w:val="24"/>
              </w:rPr>
              <w:t>12</w:t>
            </w:r>
            <w:r w:rsidR="00192C2C" w:rsidRPr="00192C2C">
              <w:rPr>
                <w:rFonts w:ascii="Arial" w:hAnsi="Arial" w:cs="Arial"/>
                <w:noProof/>
                <w:webHidden/>
                <w:sz w:val="24"/>
                <w:szCs w:val="24"/>
              </w:rPr>
              <w:fldChar w:fldCharType="end"/>
            </w:r>
          </w:hyperlink>
        </w:p>
        <w:p w14:paraId="7C50585B" w14:textId="77777777" w:rsidR="00192C2C" w:rsidRPr="00192C2C" w:rsidRDefault="00065E61">
          <w:pPr>
            <w:pStyle w:val="TOC2"/>
            <w:tabs>
              <w:tab w:val="right" w:leader="dot" w:pos="9016"/>
            </w:tabs>
            <w:rPr>
              <w:rFonts w:ascii="Arial" w:eastAsiaTheme="minorEastAsia" w:hAnsi="Arial" w:cs="Arial"/>
              <w:noProof/>
              <w:sz w:val="24"/>
              <w:szCs w:val="24"/>
              <w:lang w:val="en-US"/>
            </w:rPr>
          </w:pPr>
          <w:hyperlink w:anchor="_Toc216677903" w:history="1">
            <w:r w:rsidR="00192C2C" w:rsidRPr="00192C2C">
              <w:rPr>
                <w:rStyle w:val="Hyperlink"/>
                <w:rFonts w:ascii="Arial" w:hAnsi="Arial" w:cs="Arial"/>
                <w:noProof/>
                <w:sz w:val="24"/>
                <w:szCs w:val="24"/>
              </w:rPr>
              <w:t>3.2 South Korean Leadership Style: Transformational Transparency and Chung Sye-kyun</w:t>
            </w:r>
            <w:r w:rsidR="00192C2C" w:rsidRPr="00192C2C">
              <w:rPr>
                <w:rFonts w:ascii="Arial" w:hAnsi="Arial" w:cs="Arial"/>
                <w:noProof/>
                <w:webHidden/>
                <w:sz w:val="24"/>
                <w:szCs w:val="24"/>
              </w:rPr>
              <w:tab/>
            </w:r>
            <w:r w:rsidR="00192C2C" w:rsidRPr="00192C2C">
              <w:rPr>
                <w:rFonts w:ascii="Arial" w:hAnsi="Arial" w:cs="Arial"/>
                <w:noProof/>
                <w:webHidden/>
                <w:sz w:val="24"/>
                <w:szCs w:val="24"/>
              </w:rPr>
              <w:fldChar w:fldCharType="begin"/>
            </w:r>
            <w:r w:rsidR="00192C2C" w:rsidRPr="00192C2C">
              <w:rPr>
                <w:rFonts w:ascii="Arial" w:hAnsi="Arial" w:cs="Arial"/>
                <w:noProof/>
                <w:webHidden/>
                <w:sz w:val="24"/>
                <w:szCs w:val="24"/>
              </w:rPr>
              <w:instrText xml:space="preserve"> PAGEREF _Toc216677903 \h </w:instrText>
            </w:r>
            <w:r w:rsidR="00192C2C" w:rsidRPr="00192C2C">
              <w:rPr>
                <w:rFonts w:ascii="Arial" w:hAnsi="Arial" w:cs="Arial"/>
                <w:noProof/>
                <w:webHidden/>
                <w:sz w:val="24"/>
                <w:szCs w:val="24"/>
              </w:rPr>
            </w:r>
            <w:r w:rsidR="00192C2C" w:rsidRPr="00192C2C">
              <w:rPr>
                <w:rFonts w:ascii="Arial" w:hAnsi="Arial" w:cs="Arial"/>
                <w:noProof/>
                <w:webHidden/>
                <w:sz w:val="24"/>
                <w:szCs w:val="24"/>
              </w:rPr>
              <w:fldChar w:fldCharType="separate"/>
            </w:r>
            <w:r w:rsidR="00192C2C" w:rsidRPr="00192C2C">
              <w:rPr>
                <w:rFonts w:ascii="Arial" w:hAnsi="Arial" w:cs="Arial"/>
                <w:noProof/>
                <w:webHidden/>
                <w:sz w:val="24"/>
                <w:szCs w:val="24"/>
              </w:rPr>
              <w:t>13</w:t>
            </w:r>
            <w:r w:rsidR="00192C2C" w:rsidRPr="00192C2C">
              <w:rPr>
                <w:rFonts w:ascii="Arial" w:hAnsi="Arial" w:cs="Arial"/>
                <w:noProof/>
                <w:webHidden/>
                <w:sz w:val="24"/>
                <w:szCs w:val="24"/>
              </w:rPr>
              <w:fldChar w:fldCharType="end"/>
            </w:r>
          </w:hyperlink>
        </w:p>
        <w:p w14:paraId="315A950B" w14:textId="77777777" w:rsidR="00192C2C" w:rsidRPr="00192C2C" w:rsidRDefault="00065E61">
          <w:pPr>
            <w:pStyle w:val="TOC3"/>
            <w:tabs>
              <w:tab w:val="right" w:leader="dot" w:pos="9016"/>
            </w:tabs>
            <w:rPr>
              <w:rFonts w:ascii="Arial" w:eastAsiaTheme="minorEastAsia" w:hAnsi="Arial" w:cs="Arial"/>
              <w:noProof/>
              <w:sz w:val="24"/>
              <w:szCs w:val="24"/>
              <w:lang w:val="en-US"/>
            </w:rPr>
          </w:pPr>
          <w:hyperlink w:anchor="_Toc216677904" w:history="1">
            <w:r w:rsidR="00192C2C" w:rsidRPr="00192C2C">
              <w:rPr>
                <w:rStyle w:val="Hyperlink"/>
                <w:rFonts w:ascii="Arial" w:hAnsi="Arial" w:cs="Arial"/>
                <w:noProof/>
                <w:sz w:val="24"/>
                <w:szCs w:val="24"/>
              </w:rPr>
              <w:t>3.2.1. Basic Leadership Style: Transformational and Principled</w:t>
            </w:r>
            <w:r w:rsidR="00192C2C" w:rsidRPr="00192C2C">
              <w:rPr>
                <w:rFonts w:ascii="Arial" w:hAnsi="Arial" w:cs="Arial"/>
                <w:noProof/>
                <w:webHidden/>
                <w:sz w:val="24"/>
                <w:szCs w:val="24"/>
              </w:rPr>
              <w:tab/>
            </w:r>
            <w:r w:rsidR="00192C2C" w:rsidRPr="00192C2C">
              <w:rPr>
                <w:rFonts w:ascii="Arial" w:hAnsi="Arial" w:cs="Arial"/>
                <w:noProof/>
                <w:webHidden/>
                <w:sz w:val="24"/>
                <w:szCs w:val="24"/>
              </w:rPr>
              <w:fldChar w:fldCharType="begin"/>
            </w:r>
            <w:r w:rsidR="00192C2C" w:rsidRPr="00192C2C">
              <w:rPr>
                <w:rFonts w:ascii="Arial" w:hAnsi="Arial" w:cs="Arial"/>
                <w:noProof/>
                <w:webHidden/>
                <w:sz w:val="24"/>
                <w:szCs w:val="24"/>
              </w:rPr>
              <w:instrText xml:space="preserve"> PAGEREF _Toc216677904 \h </w:instrText>
            </w:r>
            <w:r w:rsidR="00192C2C" w:rsidRPr="00192C2C">
              <w:rPr>
                <w:rFonts w:ascii="Arial" w:hAnsi="Arial" w:cs="Arial"/>
                <w:noProof/>
                <w:webHidden/>
                <w:sz w:val="24"/>
                <w:szCs w:val="24"/>
              </w:rPr>
            </w:r>
            <w:r w:rsidR="00192C2C" w:rsidRPr="00192C2C">
              <w:rPr>
                <w:rFonts w:ascii="Arial" w:hAnsi="Arial" w:cs="Arial"/>
                <w:noProof/>
                <w:webHidden/>
                <w:sz w:val="24"/>
                <w:szCs w:val="24"/>
              </w:rPr>
              <w:fldChar w:fldCharType="separate"/>
            </w:r>
            <w:r w:rsidR="00192C2C" w:rsidRPr="00192C2C">
              <w:rPr>
                <w:rFonts w:ascii="Arial" w:hAnsi="Arial" w:cs="Arial"/>
                <w:noProof/>
                <w:webHidden/>
                <w:sz w:val="24"/>
                <w:szCs w:val="24"/>
              </w:rPr>
              <w:t>13</w:t>
            </w:r>
            <w:r w:rsidR="00192C2C" w:rsidRPr="00192C2C">
              <w:rPr>
                <w:rFonts w:ascii="Arial" w:hAnsi="Arial" w:cs="Arial"/>
                <w:noProof/>
                <w:webHidden/>
                <w:sz w:val="24"/>
                <w:szCs w:val="24"/>
              </w:rPr>
              <w:fldChar w:fldCharType="end"/>
            </w:r>
          </w:hyperlink>
        </w:p>
        <w:p w14:paraId="7B1495BE" w14:textId="77777777" w:rsidR="00192C2C" w:rsidRPr="00192C2C" w:rsidRDefault="00065E61">
          <w:pPr>
            <w:pStyle w:val="TOC3"/>
            <w:tabs>
              <w:tab w:val="right" w:leader="dot" w:pos="9016"/>
            </w:tabs>
            <w:rPr>
              <w:rFonts w:ascii="Arial" w:eastAsiaTheme="minorEastAsia" w:hAnsi="Arial" w:cs="Arial"/>
              <w:noProof/>
              <w:sz w:val="24"/>
              <w:szCs w:val="24"/>
              <w:lang w:val="en-US"/>
            </w:rPr>
          </w:pPr>
          <w:hyperlink w:anchor="_Toc216677905" w:history="1">
            <w:r w:rsidR="00192C2C" w:rsidRPr="00192C2C">
              <w:rPr>
                <w:rStyle w:val="Hyperlink"/>
                <w:rFonts w:ascii="Arial" w:hAnsi="Arial" w:cs="Arial"/>
                <w:noProof/>
                <w:sz w:val="24"/>
                <w:szCs w:val="24"/>
              </w:rPr>
              <w:t>3.2.2 The Autocratic Support: dictatorial and deal Command</w:t>
            </w:r>
            <w:r w:rsidR="00192C2C" w:rsidRPr="00192C2C">
              <w:rPr>
                <w:rFonts w:ascii="Arial" w:hAnsi="Arial" w:cs="Arial"/>
                <w:noProof/>
                <w:webHidden/>
                <w:sz w:val="24"/>
                <w:szCs w:val="24"/>
              </w:rPr>
              <w:tab/>
            </w:r>
            <w:r w:rsidR="00192C2C" w:rsidRPr="00192C2C">
              <w:rPr>
                <w:rFonts w:ascii="Arial" w:hAnsi="Arial" w:cs="Arial"/>
                <w:noProof/>
                <w:webHidden/>
                <w:sz w:val="24"/>
                <w:szCs w:val="24"/>
              </w:rPr>
              <w:fldChar w:fldCharType="begin"/>
            </w:r>
            <w:r w:rsidR="00192C2C" w:rsidRPr="00192C2C">
              <w:rPr>
                <w:rFonts w:ascii="Arial" w:hAnsi="Arial" w:cs="Arial"/>
                <w:noProof/>
                <w:webHidden/>
                <w:sz w:val="24"/>
                <w:szCs w:val="24"/>
              </w:rPr>
              <w:instrText xml:space="preserve"> PAGEREF _Toc216677905 \h </w:instrText>
            </w:r>
            <w:r w:rsidR="00192C2C" w:rsidRPr="00192C2C">
              <w:rPr>
                <w:rFonts w:ascii="Arial" w:hAnsi="Arial" w:cs="Arial"/>
                <w:noProof/>
                <w:webHidden/>
                <w:sz w:val="24"/>
                <w:szCs w:val="24"/>
              </w:rPr>
            </w:r>
            <w:r w:rsidR="00192C2C" w:rsidRPr="00192C2C">
              <w:rPr>
                <w:rFonts w:ascii="Arial" w:hAnsi="Arial" w:cs="Arial"/>
                <w:noProof/>
                <w:webHidden/>
                <w:sz w:val="24"/>
                <w:szCs w:val="24"/>
              </w:rPr>
              <w:fldChar w:fldCharType="separate"/>
            </w:r>
            <w:r w:rsidR="00192C2C" w:rsidRPr="00192C2C">
              <w:rPr>
                <w:rFonts w:ascii="Arial" w:hAnsi="Arial" w:cs="Arial"/>
                <w:noProof/>
                <w:webHidden/>
                <w:sz w:val="24"/>
                <w:szCs w:val="24"/>
              </w:rPr>
              <w:t>14</w:t>
            </w:r>
            <w:r w:rsidR="00192C2C" w:rsidRPr="00192C2C">
              <w:rPr>
                <w:rFonts w:ascii="Arial" w:hAnsi="Arial" w:cs="Arial"/>
                <w:noProof/>
                <w:webHidden/>
                <w:sz w:val="24"/>
                <w:szCs w:val="24"/>
              </w:rPr>
              <w:fldChar w:fldCharType="end"/>
            </w:r>
          </w:hyperlink>
        </w:p>
        <w:p w14:paraId="5FC1968D" w14:textId="77777777" w:rsidR="00192C2C" w:rsidRPr="00192C2C" w:rsidRDefault="00065E61">
          <w:pPr>
            <w:pStyle w:val="TOC3"/>
            <w:tabs>
              <w:tab w:val="right" w:leader="dot" w:pos="9016"/>
            </w:tabs>
            <w:rPr>
              <w:rFonts w:ascii="Arial" w:eastAsiaTheme="minorEastAsia" w:hAnsi="Arial" w:cs="Arial"/>
              <w:noProof/>
              <w:sz w:val="24"/>
              <w:szCs w:val="24"/>
              <w:lang w:val="en-US"/>
            </w:rPr>
          </w:pPr>
          <w:hyperlink w:anchor="_Toc216677906" w:history="1">
            <w:r w:rsidR="00192C2C" w:rsidRPr="00192C2C">
              <w:rPr>
                <w:rStyle w:val="Hyperlink"/>
                <w:rFonts w:ascii="Arial" w:hAnsi="Arial" w:cs="Arial"/>
                <w:noProof/>
                <w:sz w:val="24"/>
                <w:szCs w:val="24"/>
              </w:rPr>
              <w:t>3.2.3: Disadvantages and Challenges: Ethical and Cultural Overreach</w:t>
            </w:r>
            <w:r w:rsidR="00192C2C" w:rsidRPr="00192C2C">
              <w:rPr>
                <w:rFonts w:ascii="Arial" w:hAnsi="Arial" w:cs="Arial"/>
                <w:noProof/>
                <w:webHidden/>
                <w:sz w:val="24"/>
                <w:szCs w:val="24"/>
              </w:rPr>
              <w:tab/>
            </w:r>
            <w:r w:rsidR="00192C2C" w:rsidRPr="00192C2C">
              <w:rPr>
                <w:rFonts w:ascii="Arial" w:hAnsi="Arial" w:cs="Arial"/>
                <w:noProof/>
                <w:webHidden/>
                <w:sz w:val="24"/>
                <w:szCs w:val="24"/>
              </w:rPr>
              <w:fldChar w:fldCharType="begin"/>
            </w:r>
            <w:r w:rsidR="00192C2C" w:rsidRPr="00192C2C">
              <w:rPr>
                <w:rFonts w:ascii="Arial" w:hAnsi="Arial" w:cs="Arial"/>
                <w:noProof/>
                <w:webHidden/>
                <w:sz w:val="24"/>
                <w:szCs w:val="24"/>
              </w:rPr>
              <w:instrText xml:space="preserve"> PAGEREF _Toc216677906 \h </w:instrText>
            </w:r>
            <w:r w:rsidR="00192C2C" w:rsidRPr="00192C2C">
              <w:rPr>
                <w:rFonts w:ascii="Arial" w:hAnsi="Arial" w:cs="Arial"/>
                <w:noProof/>
                <w:webHidden/>
                <w:sz w:val="24"/>
                <w:szCs w:val="24"/>
              </w:rPr>
            </w:r>
            <w:r w:rsidR="00192C2C" w:rsidRPr="00192C2C">
              <w:rPr>
                <w:rFonts w:ascii="Arial" w:hAnsi="Arial" w:cs="Arial"/>
                <w:noProof/>
                <w:webHidden/>
                <w:sz w:val="24"/>
                <w:szCs w:val="24"/>
              </w:rPr>
              <w:fldChar w:fldCharType="separate"/>
            </w:r>
            <w:r w:rsidR="00192C2C" w:rsidRPr="00192C2C">
              <w:rPr>
                <w:rFonts w:ascii="Arial" w:hAnsi="Arial" w:cs="Arial"/>
                <w:noProof/>
                <w:webHidden/>
                <w:sz w:val="24"/>
                <w:szCs w:val="24"/>
              </w:rPr>
              <w:t>14</w:t>
            </w:r>
            <w:r w:rsidR="00192C2C" w:rsidRPr="00192C2C">
              <w:rPr>
                <w:rFonts w:ascii="Arial" w:hAnsi="Arial" w:cs="Arial"/>
                <w:noProof/>
                <w:webHidden/>
                <w:sz w:val="24"/>
                <w:szCs w:val="24"/>
              </w:rPr>
              <w:fldChar w:fldCharType="end"/>
            </w:r>
          </w:hyperlink>
        </w:p>
        <w:p w14:paraId="20B99B3B" w14:textId="77777777" w:rsidR="00192C2C" w:rsidRPr="00192C2C" w:rsidRDefault="00065E61">
          <w:pPr>
            <w:pStyle w:val="TOC2"/>
            <w:tabs>
              <w:tab w:val="right" w:leader="dot" w:pos="9016"/>
            </w:tabs>
            <w:rPr>
              <w:rFonts w:ascii="Arial" w:eastAsiaTheme="minorEastAsia" w:hAnsi="Arial" w:cs="Arial"/>
              <w:noProof/>
              <w:sz w:val="24"/>
              <w:szCs w:val="24"/>
              <w:lang w:val="en-US"/>
            </w:rPr>
          </w:pPr>
          <w:hyperlink w:anchor="_Toc216677907" w:history="1">
            <w:r w:rsidR="00192C2C" w:rsidRPr="00192C2C">
              <w:rPr>
                <w:rStyle w:val="Hyperlink"/>
                <w:rFonts w:ascii="Arial" w:hAnsi="Arial" w:cs="Arial"/>
                <w:noProof/>
                <w:sz w:val="24"/>
                <w:szCs w:val="24"/>
              </w:rPr>
              <w:t>3.3 Canada Leadership Style: Justin Trudeau and Unifying Negotiation</w:t>
            </w:r>
            <w:r w:rsidR="00192C2C" w:rsidRPr="00192C2C">
              <w:rPr>
                <w:rFonts w:ascii="Arial" w:hAnsi="Arial" w:cs="Arial"/>
                <w:noProof/>
                <w:webHidden/>
                <w:sz w:val="24"/>
                <w:szCs w:val="24"/>
              </w:rPr>
              <w:tab/>
            </w:r>
            <w:r w:rsidR="00192C2C" w:rsidRPr="00192C2C">
              <w:rPr>
                <w:rFonts w:ascii="Arial" w:hAnsi="Arial" w:cs="Arial"/>
                <w:noProof/>
                <w:webHidden/>
                <w:sz w:val="24"/>
                <w:szCs w:val="24"/>
              </w:rPr>
              <w:fldChar w:fldCharType="begin"/>
            </w:r>
            <w:r w:rsidR="00192C2C" w:rsidRPr="00192C2C">
              <w:rPr>
                <w:rFonts w:ascii="Arial" w:hAnsi="Arial" w:cs="Arial"/>
                <w:noProof/>
                <w:webHidden/>
                <w:sz w:val="24"/>
                <w:szCs w:val="24"/>
              </w:rPr>
              <w:instrText xml:space="preserve"> PAGEREF _Toc216677907 \h </w:instrText>
            </w:r>
            <w:r w:rsidR="00192C2C" w:rsidRPr="00192C2C">
              <w:rPr>
                <w:rFonts w:ascii="Arial" w:hAnsi="Arial" w:cs="Arial"/>
                <w:noProof/>
                <w:webHidden/>
                <w:sz w:val="24"/>
                <w:szCs w:val="24"/>
              </w:rPr>
            </w:r>
            <w:r w:rsidR="00192C2C" w:rsidRPr="00192C2C">
              <w:rPr>
                <w:rFonts w:ascii="Arial" w:hAnsi="Arial" w:cs="Arial"/>
                <w:noProof/>
                <w:webHidden/>
                <w:sz w:val="24"/>
                <w:szCs w:val="24"/>
              </w:rPr>
              <w:fldChar w:fldCharType="separate"/>
            </w:r>
            <w:r w:rsidR="00192C2C" w:rsidRPr="00192C2C">
              <w:rPr>
                <w:rFonts w:ascii="Arial" w:hAnsi="Arial" w:cs="Arial"/>
                <w:noProof/>
                <w:webHidden/>
                <w:sz w:val="24"/>
                <w:szCs w:val="24"/>
              </w:rPr>
              <w:t>15</w:t>
            </w:r>
            <w:r w:rsidR="00192C2C" w:rsidRPr="00192C2C">
              <w:rPr>
                <w:rFonts w:ascii="Arial" w:hAnsi="Arial" w:cs="Arial"/>
                <w:noProof/>
                <w:webHidden/>
                <w:sz w:val="24"/>
                <w:szCs w:val="24"/>
              </w:rPr>
              <w:fldChar w:fldCharType="end"/>
            </w:r>
          </w:hyperlink>
        </w:p>
        <w:p w14:paraId="0B84F184" w14:textId="77777777" w:rsidR="00192C2C" w:rsidRPr="00192C2C" w:rsidRDefault="00065E61">
          <w:pPr>
            <w:pStyle w:val="TOC3"/>
            <w:tabs>
              <w:tab w:val="right" w:leader="dot" w:pos="9016"/>
            </w:tabs>
            <w:rPr>
              <w:rFonts w:ascii="Arial" w:eastAsiaTheme="minorEastAsia" w:hAnsi="Arial" w:cs="Arial"/>
              <w:noProof/>
              <w:sz w:val="24"/>
              <w:szCs w:val="24"/>
              <w:lang w:val="en-US"/>
            </w:rPr>
          </w:pPr>
          <w:hyperlink w:anchor="_Toc216677908" w:history="1">
            <w:r w:rsidR="00192C2C" w:rsidRPr="00192C2C">
              <w:rPr>
                <w:rStyle w:val="Hyperlink"/>
                <w:rFonts w:ascii="Arial" w:hAnsi="Arial" w:cs="Arial"/>
                <w:noProof/>
                <w:sz w:val="24"/>
                <w:szCs w:val="24"/>
              </w:rPr>
              <w:t>3.3.1 Style of Core Leadership: Transformational (Unifying) and Consultative</w:t>
            </w:r>
            <w:r w:rsidR="00192C2C" w:rsidRPr="00192C2C">
              <w:rPr>
                <w:rFonts w:ascii="Arial" w:hAnsi="Arial" w:cs="Arial"/>
                <w:noProof/>
                <w:webHidden/>
                <w:sz w:val="24"/>
                <w:szCs w:val="24"/>
              </w:rPr>
              <w:tab/>
            </w:r>
            <w:r w:rsidR="00192C2C" w:rsidRPr="00192C2C">
              <w:rPr>
                <w:rFonts w:ascii="Arial" w:hAnsi="Arial" w:cs="Arial"/>
                <w:noProof/>
                <w:webHidden/>
                <w:sz w:val="24"/>
                <w:szCs w:val="24"/>
              </w:rPr>
              <w:fldChar w:fldCharType="begin"/>
            </w:r>
            <w:r w:rsidR="00192C2C" w:rsidRPr="00192C2C">
              <w:rPr>
                <w:rFonts w:ascii="Arial" w:hAnsi="Arial" w:cs="Arial"/>
                <w:noProof/>
                <w:webHidden/>
                <w:sz w:val="24"/>
                <w:szCs w:val="24"/>
              </w:rPr>
              <w:instrText xml:space="preserve"> PAGEREF _Toc216677908 \h </w:instrText>
            </w:r>
            <w:r w:rsidR="00192C2C" w:rsidRPr="00192C2C">
              <w:rPr>
                <w:rFonts w:ascii="Arial" w:hAnsi="Arial" w:cs="Arial"/>
                <w:noProof/>
                <w:webHidden/>
                <w:sz w:val="24"/>
                <w:szCs w:val="24"/>
              </w:rPr>
            </w:r>
            <w:r w:rsidR="00192C2C" w:rsidRPr="00192C2C">
              <w:rPr>
                <w:rFonts w:ascii="Arial" w:hAnsi="Arial" w:cs="Arial"/>
                <w:noProof/>
                <w:webHidden/>
                <w:sz w:val="24"/>
                <w:szCs w:val="24"/>
              </w:rPr>
              <w:fldChar w:fldCharType="separate"/>
            </w:r>
            <w:r w:rsidR="00192C2C" w:rsidRPr="00192C2C">
              <w:rPr>
                <w:rFonts w:ascii="Arial" w:hAnsi="Arial" w:cs="Arial"/>
                <w:noProof/>
                <w:webHidden/>
                <w:sz w:val="24"/>
                <w:szCs w:val="24"/>
              </w:rPr>
              <w:t>15</w:t>
            </w:r>
            <w:r w:rsidR="00192C2C" w:rsidRPr="00192C2C">
              <w:rPr>
                <w:rFonts w:ascii="Arial" w:hAnsi="Arial" w:cs="Arial"/>
                <w:noProof/>
                <w:webHidden/>
                <w:sz w:val="24"/>
                <w:szCs w:val="24"/>
              </w:rPr>
              <w:fldChar w:fldCharType="end"/>
            </w:r>
          </w:hyperlink>
        </w:p>
        <w:p w14:paraId="06320895" w14:textId="77777777" w:rsidR="00192C2C" w:rsidRPr="00192C2C" w:rsidRDefault="00065E61">
          <w:pPr>
            <w:pStyle w:val="TOC3"/>
            <w:tabs>
              <w:tab w:val="right" w:leader="dot" w:pos="9016"/>
            </w:tabs>
            <w:rPr>
              <w:rFonts w:ascii="Arial" w:eastAsiaTheme="minorEastAsia" w:hAnsi="Arial" w:cs="Arial"/>
              <w:noProof/>
              <w:sz w:val="24"/>
              <w:szCs w:val="24"/>
              <w:lang w:val="en-US"/>
            </w:rPr>
          </w:pPr>
          <w:hyperlink w:anchor="_Toc216677909" w:history="1">
            <w:r w:rsidR="00192C2C" w:rsidRPr="00192C2C">
              <w:rPr>
                <w:rStyle w:val="Hyperlink"/>
                <w:rFonts w:ascii="Arial" w:hAnsi="Arial" w:cs="Arial"/>
                <w:noProof/>
                <w:sz w:val="24"/>
                <w:szCs w:val="24"/>
              </w:rPr>
              <w:t>3.3.2. The Transactional Engine: Contingent Reward</w:t>
            </w:r>
            <w:r w:rsidR="00192C2C" w:rsidRPr="00192C2C">
              <w:rPr>
                <w:rFonts w:ascii="Arial" w:hAnsi="Arial" w:cs="Arial"/>
                <w:noProof/>
                <w:webHidden/>
                <w:sz w:val="24"/>
                <w:szCs w:val="24"/>
              </w:rPr>
              <w:tab/>
            </w:r>
            <w:r w:rsidR="00192C2C" w:rsidRPr="00192C2C">
              <w:rPr>
                <w:rFonts w:ascii="Arial" w:hAnsi="Arial" w:cs="Arial"/>
                <w:noProof/>
                <w:webHidden/>
                <w:sz w:val="24"/>
                <w:szCs w:val="24"/>
              </w:rPr>
              <w:fldChar w:fldCharType="begin"/>
            </w:r>
            <w:r w:rsidR="00192C2C" w:rsidRPr="00192C2C">
              <w:rPr>
                <w:rFonts w:ascii="Arial" w:hAnsi="Arial" w:cs="Arial"/>
                <w:noProof/>
                <w:webHidden/>
                <w:sz w:val="24"/>
                <w:szCs w:val="24"/>
              </w:rPr>
              <w:instrText xml:space="preserve"> PAGEREF _Toc216677909 \h </w:instrText>
            </w:r>
            <w:r w:rsidR="00192C2C" w:rsidRPr="00192C2C">
              <w:rPr>
                <w:rFonts w:ascii="Arial" w:hAnsi="Arial" w:cs="Arial"/>
                <w:noProof/>
                <w:webHidden/>
                <w:sz w:val="24"/>
                <w:szCs w:val="24"/>
              </w:rPr>
            </w:r>
            <w:r w:rsidR="00192C2C" w:rsidRPr="00192C2C">
              <w:rPr>
                <w:rFonts w:ascii="Arial" w:hAnsi="Arial" w:cs="Arial"/>
                <w:noProof/>
                <w:webHidden/>
                <w:sz w:val="24"/>
                <w:szCs w:val="24"/>
              </w:rPr>
              <w:fldChar w:fldCharType="separate"/>
            </w:r>
            <w:r w:rsidR="00192C2C" w:rsidRPr="00192C2C">
              <w:rPr>
                <w:rFonts w:ascii="Arial" w:hAnsi="Arial" w:cs="Arial"/>
                <w:noProof/>
                <w:webHidden/>
                <w:sz w:val="24"/>
                <w:szCs w:val="24"/>
              </w:rPr>
              <w:t>16</w:t>
            </w:r>
            <w:r w:rsidR="00192C2C" w:rsidRPr="00192C2C">
              <w:rPr>
                <w:rFonts w:ascii="Arial" w:hAnsi="Arial" w:cs="Arial"/>
                <w:noProof/>
                <w:webHidden/>
                <w:sz w:val="24"/>
                <w:szCs w:val="24"/>
              </w:rPr>
              <w:fldChar w:fldCharType="end"/>
            </w:r>
          </w:hyperlink>
        </w:p>
        <w:p w14:paraId="487FF560" w14:textId="77777777" w:rsidR="00192C2C" w:rsidRPr="00192C2C" w:rsidRDefault="00065E61">
          <w:pPr>
            <w:pStyle w:val="TOC3"/>
            <w:tabs>
              <w:tab w:val="right" w:leader="dot" w:pos="9016"/>
            </w:tabs>
            <w:rPr>
              <w:rFonts w:ascii="Arial" w:eastAsiaTheme="minorEastAsia" w:hAnsi="Arial" w:cs="Arial"/>
              <w:noProof/>
              <w:sz w:val="24"/>
              <w:szCs w:val="24"/>
              <w:lang w:val="en-US"/>
            </w:rPr>
          </w:pPr>
          <w:hyperlink w:anchor="_Toc216677910" w:history="1">
            <w:r w:rsidR="00192C2C" w:rsidRPr="00192C2C">
              <w:rPr>
                <w:rStyle w:val="Hyperlink"/>
                <w:rFonts w:ascii="Arial" w:hAnsi="Arial" w:cs="Arial"/>
                <w:noProof/>
                <w:sz w:val="24"/>
                <w:szCs w:val="24"/>
              </w:rPr>
              <w:t>3.3.3 Drawbacks and difficulties Slowness and Inconsistency</w:t>
            </w:r>
            <w:r w:rsidR="00192C2C" w:rsidRPr="00192C2C">
              <w:rPr>
                <w:rFonts w:ascii="Arial" w:hAnsi="Arial" w:cs="Arial"/>
                <w:noProof/>
                <w:webHidden/>
                <w:sz w:val="24"/>
                <w:szCs w:val="24"/>
              </w:rPr>
              <w:tab/>
            </w:r>
            <w:r w:rsidR="00192C2C" w:rsidRPr="00192C2C">
              <w:rPr>
                <w:rFonts w:ascii="Arial" w:hAnsi="Arial" w:cs="Arial"/>
                <w:noProof/>
                <w:webHidden/>
                <w:sz w:val="24"/>
                <w:szCs w:val="24"/>
              </w:rPr>
              <w:fldChar w:fldCharType="begin"/>
            </w:r>
            <w:r w:rsidR="00192C2C" w:rsidRPr="00192C2C">
              <w:rPr>
                <w:rFonts w:ascii="Arial" w:hAnsi="Arial" w:cs="Arial"/>
                <w:noProof/>
                <w:webHidden/>
                <w:sz w:val="24"/>
                <w:szCs w:val="24"/>
              </w:rPr>
              <w:instrText xml:space="preserve"> PAGEREF _Toc216677910 \h </w:instrText>
            </w:r>
            <w:r w:rsidR="00192C2C" w:rsidRPr="00192C2C">
              <w:rPr>
                <w:rFonts w:ascii="Arial" w:hAnsi="Arial" w:cs="Arial"/>
                <w:noProof/>
                <w:webHidden/>
                <w:sz w:val="24"/>
                <w:szCs w:val="24"/>
              </w:rPr>
            </w:r>
            <w:r w:rsidR="00192C2C" w:rsidRPr="00192C2C">
              <w:rPr>
                <w:rFonts w:ascii="Arial" w:hAnsi="Arial" w:cs="Arial"/>
                <w:noProof/>
                <w:webHidden/>
                <w:sz w:val="24"/>
                <w:szCs w:val="24"/>
              </w:rPr>
              <w:fldChar w:fldCharType="separate"/>
            </w:r>
            <w:r w:rsidR="00192C2C" w:rsidRPr="00192C2C">
              <w:rPr>
                <w:rFonts w:ascii="Arial" w:hAnsi="Arial" w:cs="Arial"/>
                <w:noProof/>
                <w:webHidden/>
                <w:sz w:val="24"/>
                <w:szCs w:val="24"/>
              </w:rPr>
              <w:t>16</w:t>
            </w:r>
            <w:r w:rsidR="00192C2C" w:rsidRPr="00192C2C">
              <w:rPr>
                <w:rFonts w:ascii="Arial" w:hAnsi="Arial" w:cs="Arial"/>
                <w:noProof/>
                <w:webHidden/>
                <w:sz w:val="24"/>
                <w:szCs w:val="24"/>
              </w:rPr>
              <w:fldChar w:fldCharType="end"/>
            </w:r>
          </w:hyperlink>
        </w:p>
        <w:p w14:paraId="6FF53505" w14:textId="77777777" w:rsidR="00192C2C" w:rsidRPr="00192C2C" w:rsidRDefault="00065E61">
          <w:pPr>
            <w:pStyle w:val="TOC1"/>
            <w:tabs>
              <w:tab w:val="right" w:leader="dot" w:pos="9016"/>
            </w:tabs>
            <w:rPr>
              <w:rFonts w:ascii="Arial" w:eastAsiaTheme="minorEastAsia" w:hAnsi="Arial" w:cs="Arial"/>
              <w:noProof/>
              <w:sz w:val="24"/>
              <w:szCs w:val="24"/>
              <w:lang w:val="en-US"/>
            </w:rPr>
          </w:pPr>
          <w:hyperlink w:anchor="_Toc216677911" w:history="1">
            <w:r w:rsidR="00192C2C" w:rsidRPr="00192C2C">
              <w:rPr>
                <w:rStyle w:val="Hyperlink"/>
                <w:rFonts w:ascii="Arial" w:hAnsi="Arial" w:cs="Arial"/>
                <w:noProof/>
                <w:sz w:val="24"/>
                <w:szCs w:val="24"/>
              </w:rPr>
              <w:t>4. Conclusion:</w:t>
            </w:r>
            <w:r w:rsidR="00192C2C" w:rsidRPr="00192C2C">
              <w:rPr>
                <w:rFonts w:ascii="Arial" w:hAnsi="Arial" w:cs="Arial"/>
                <w:noProof/>
                <w:webHidden/>
                <w:sz w:val="24"/>
                <w:szCs w:val="24"/>
              </w:rPr>
              <w:tab/>
            </w:r>
            <w:r w:rsidR="00192C2C" w:rsidRPr="00192C2C">
              <w:rPr>
                <w:rFonts w:ascii="Arial" w:hAnsi="Arial" w:cs="Arial"/>
                <w:noProof/>
                <w:webHidden/>
                <w:sz w:val="24"/>
                <w:szCs w:val="24"/>
              </w:rPr>
              <w:fldChar w:fldCharType="begin"/>
            </w:r>
            <w:r w:rsidR="00192C2C" w:rsidRPr="00192C2C">
              <w:rPr>
                <w:rFonts w:ascii="Arial" w:hAnsi="Arial" w:cs="Arial"/>
                <w:noProof/>
                <w:webHidden/>
                <w:sz w:val="24"/>
                <w:szCs w:val="24"/>
              </w:rPr>
              <w:instrText xml:space="preserve"> PAGEREF _Toc216677911 \h </w:instrText>
            </w:r>
            <w:r w:rsidR="00192C2C" w:rsidRPr="00192C2C">
              <w:rPr>
                <w:rFonts w:ascii="Arial" w:hAnsi="Arial" w:cs="Arial"/>
                <w:noProof/>
                <w:webHidden/>
                <w:sz w:val="24"/>
                <w:szCs w:val="24"/>
              </w:rPr>
            </w:r>
            <w:r w:rsidR="00192C2C" w:rsidRPr="00192C2C">
              <w:rPr>
                <w:rFonts w:ascii="Arial" w:hAnsi="Arial" w:cs="Arial"/>
                <w:noProof/>
                <w:webHidden/>
                <w:sz w:val="24"/>
                <w:szCs w:val="24"/>
              </w:rPr>
              <w:fldChar w:fldCharType="separate"/>
            </w:r>
            <w:r w:rsidR="00192C2C" w:rsidRPr="00192C2C">
              <w:rPr>
                <w:rFonts w:ascii="Arial" w:hAnsi="Arial" w:cs="Arial"/>
                <w:noProof/>
                <w:webHidden/>
                <w:sz w:val="24"/>
                <w:szCs w:val="24"/>
              </w:rPr>
              <w:t>18</w:t>
            </w:r>
            <w:r w:rsidR="00192C2C" w:rsidRPr="00192C2C">
              <w:rPr>
                <w:rFonts w:ascii="Arial" w:hAnsi="Arial" w:cs="Arial"/>
                <w:noProof/>
                <w:webHidden/>
                <w:sz w:val="24"/>
                <w:szCs w:val="24"/>
              </w:rPr>
              <w:fldChar w:fldCharType="end"/>
            </w:r>
          </w:hyperlink>
        </w:p>
        <w:p w14:paraId="2CFFF628" w14:textId="77777777" w:rsidR="00192C2C" w:rsidRPr="00192C2C" w:rsidRDefault="00065E61">
          <w:pPr>
            <w:pStyle w:val="TOC1"/>
            <w:tabs>
              <w:tab w:val="right" w:leader="dot" w:pos="9016"/>
            </w:tabs>
            <w:rPr>
              <w:rFonts w:ascii="Arial" w:eastAsiaTheme="minorEastAsia" w:hAnsi="Arial" w:cs="Arial"/>
              <w:noProof/>
              <w:sz w:val="24"/>
              <w:szCs w:val="24"/>
              <w:lang w:val="en-US"/>
            </w:rPr>
          </w:pPr>
          <w:hyperlink w:anchor="_Toc216677912" w:history="1">
            <w:r w:rsidR="00192C2C" w:rsidRPr="00192C2C">
              <w:rPr>
                <w:rStyle w:val="Hyperlink"/>
                <w:rFonts w:ascii="Arial" w:hAnsi="Arial" w:cs="Arial"/>
                <w:noProof/>
                <w:sz w:val="24"/>
                <w:szCs w:val="24"/>
              </w:rPr>
              <w:t>Reference</w:t>
            </w:r>
            <w:r w:rsidR="00192C2C" w:rsidRPr="00192C2C">
              <w:rPr>
                <w:rFonts w:ascii="Arial" w:hAnsi="Arial" w:cs="Arial"/>
                <w:noProof/>
                <w:webHidden/>
                <w:sz w:val="24"/>
                <w:szCs w:val="24"/>
              </w:rPr>
              <w:tab/>
            </w:r>
            <w:r w:rsidR="00192C2C" w:rsidRPr="00192C2C">
              <w:rPr>
                <w:rFonts w:ascii="Arial" w:hAnsi="Arial" w:cs="Arial"/>
                <w:noProof/>
                <w:webHidden/>
                <w:sz w:val="24"/>
                <w:szCs w:val="24"/>
              </w:rPr>
              <w:fldChar w:fldCharType="begin"/>
            </w:r>
            <w:r w:rsidR="00192C2C" w:rsidRPr="00192C2C">
              <w:rPr>
                <w:rFonts w:ascii="Arial" w:hAnsi="Arial" w:cs="Arial"/>
                <w:noProof/>
                <w:webHidden/>
                <w:sz w:val="24"/>
                <w:szCs w:val="24"/>
              </w:rPr>
              <w:instrText xml:space="preserve"> PAGEREF _Toc216677912 \h </w:instrText>
            </w:r>
            <w:r w:rsidR="00192C2C" w:rsidRPr="00192C2C">
              <w:rPr>
                <w:rFonts w:ascii="Arial" w:hAnsi="Arial" w:cs="Arial"/>
                <w:noProof/>
                <w:webHidden/>
                <w:sz w:val="24"/>
                <w:szCs w:val="24"/>
              </w:rPr>
            </w:r>
            <w:r w:rsidR="00192C2C" w:rsidRPr="00192C2C">
              <w:rPr>
                <w:rFonts w:ascii="Arial" w:hAnsi="Arial" w:cs="Arial"/>
                <w:noProof/>
                <w:webHidden/>
                <w:sz w:val="24"/>
                <w:szCs w:val="24"/>
              </w:rPr>
              <w:fldChar w:fldCharType="separate"/>
            </w:r>
            <w:r w:rsidR="00192C2C" w:rsidRPr="00192C2C">
              <w:rPr>
                <w:rFonts w:ascii="Arial" w:hAnsi="Arial" w:cs="Arial"/>
                <w:noProof/>
                <w:webHidden/>
                <w:sz w:val="24"/>
                <w:szCs w:val="24"/>
              </w:rPr>
              <w:t>19</w:t>
            </w:r>
            <w:r w:rsidR="00192C2C" w:rsidRPr="00192C2C">
              <w:rPr>
                <w:rFonts w:ascii="Arial" w:hAnsi="Arial" w:cs="Arial"/>
                <w:noProof/>
                <w:webHidden/>
                <w:sz w:val="24"/>
                <w:szCs w:val="24"/>
              </w:rPr>
              <w:fldChar w:fldCharType="end"/>
            </w:r>
          </w:hyperlink>
        </w:p>
        <w:p w14:paraId="44A0875E" w14:textId="6B939F5E" w:rsidR="001703B2" w:rsidRPr="00192C2C" w:rsidRDefault="001703B2" w:rsidP="001703B2">
          <w:pPr>
            <w:rPr>
              <w:rFonts w:ascii="Arial" w:hAnsi="Arial" w:cs="Arial"/>
              <w:sz w:val="24"/>
              <w:szCs w:val="24"/>
            </w:rPr>
          </w:pPr>
          <w:r w:rsidRPr="00192C2C">
            <w:rPr>
              <w:rFonts w:ascii="Arial" w:hAnsi="Arial" w:cs="Arial"/>
              <w:b/>
              <w:bCs/>
              <w:noProof/>
              <w:sz w:val="24"/>
              <w:szCs w:val="24"/>
            </w:rPr>
            <w:fldChar w:fldCharType="end"/>
          </w:r>
        </w:p>
      </w:sdtContent>
    </w:sdt>
    <w:p w14:paraId="5D75E8B4" w14:textId="77777777" w:rsidR="001703B2" w:rsidRPr="00192C2C" w:rsidRDefault="001703B2" w:rsidP="001703B2">
      <w:pPr>
        <w:spacing w:after="160" w:line="278" w:lineRule="auto"/>
        <w:jc w:val="center"/>
        <w:rPr>
          <w:rFonts w:ascii="Arial" w:hAnsi="Arial" w:cs="Arial"/>
          <w:b/>
          <w:bCs/>
          <w:sz w:val="24"/>
          <w:szCs w:val="24"/>
          <w:u w:val="single"/>
        </w:rPr>
      </w:pPr>
      <w:r w:rsidRPr="00192C2C">
        <w:rPr>
          <w:rFonts w:ascii="Arial" w:hAnsi="Arial" w:cs="Arial"/>
          <w:b/>
          <w:bCs/>
          <w:sz w:val="24"/>
          <w:szCs w:val="24"/>
          <w:u w:val="single"/>
        </w:rPr>
        <w:t>Contents of Figure</w:t>
      </w:r>
    </w:p>
    <w:p w14:paraId="03C92778" w14:textId="70D6B20F" w:rsidR="00A9444C" w:rsidRPr="00192C2C" w:rsidRDefault="001703B2">
      <w:pPr>
        <w:pStyle w:val="TableofFigures"/>
        <w:tabs>
          <w:tab w:val="right" w:leader="dot" w:pos="9016"/>
        </w:tabs>
        <w:rPr>
          <w:rFonts w:ascii="Arial" w:eastAsiaTheme="minorEastAsia" w:hAnsi="Arial" w:cs="Arial"/>
          <w:noProof/>
          <w:kern w:val="2"/>
          <w:sz w:val="24"/>
          <w:szCs w:val="24"/>
          <w:lang w:val="en-US"/>
          <w14:ligatures w14:val="standardContextual"/>
        </w:rPr>
      </w:pPr>
      <w:r w:rsidRPr="00192C2C">
        <w:rPr>
          <w:rFonts w:ascii="Arial" w:hAnsi="Arial" w:cs="Arial"/>
          <w:sz w:val="24"/>
          <w:szCs w:val="24"/>
        </w:rPr>
        <w:fldChar w:fldCharType="begin"/>
      </w:r>
      <w:r w:rsidRPr="00192C2C">
        <w:rPr>
          <w:rFonts w:ascii="Arial" w:hAnsi="Arial" w:cs="Arial"/>
          <w:sz w:val="24"/>
          <w:szCs w:val="24"/>
        </w:rPr>
        <w:instrText xml:space="preserve"> TOC \h \z \c "Figure" </w:instrText>
      </w:r>
      <w:r w:rsidRPr="00192C2C">
        <w:rPr>
          <w:rFonts w:ascii="Arial" w:hAnsi="Arial" w:cs="Arial"/>
          <w:sz w:val="24"/>
          <w:szCs w:val="24"/>
        </w:rPr>
        <w:fldChar w:fldCharType="separate"/>
      </w:r>
      <w:hyperlink w:anchor="_Toc216657014" w:history="1">
        <w:r w:rsidR="00A9444C" w:rsidRPr="00192C2C">
          <w:rPr>
            <w:rStyle w:val="Hyperlink"/>
            <w:rFonts w:ascii="Arial" w:hAnsi="Arial" w:cs="Arial"/>
            <w:noProof/>
            <w:sz w:val="24"/>
            <w:szCs w:val="24"/>
          </w:rPr>
          <w:t>Figure 1: Transparency of Spanish regional healthcare systems before and during COVID-19 (%).</w:t>
        </w:r>
        <w:r w:rsidR="00A9444C" w:rsidRPr="00192C2C">
          <w:rPr>
            <w:rFonts w:ascii="Arial" w:hAnsi="Arial" w:cs="Arial"/>
            <w:noProof/>
            <w:webHidden/>
            <w:sz w:val="24"/>
            <w:szCs w:val="24"/>
          </w:rPr>
          <w:tab/>
        </w:r>
        <w:r w:rsidR="00A9444C" w:rsidRPr="00192C2C">
          <w:rPr>
            <w:rFonts w:ascii="Arial" w:hAnsi="Arial" w:cs="Arial"/>
            <w:noProof/>
            <w:webHidden/>
            <w:sz w:val="24"/>
            <w:szCs w:val="24"/>
          </w:rPr>
          <w:fldChar w:fldCharType="begin"/>
        </w:r>
        <w:r w:rsidR="00A9444C" w:rsidRPr="00192C2C">
          <w:rPr>
            <w:rFonts w:ascii="Arial" w:hAnsi="Arial" w:cs="Arial"/>
            <w:noProof/>
            <w:webHidden/>
            <w:sz w:val="24"/>
            <w:szCs w:val="24"/>
          </w:rPr>
          <w:instrText xml:space="preserve"> PAGEREF _Toc216657014 \h </w:instrText>
        </w:r>
        <w:r w:rsidR="00A9444C" w:rsidRPr="00192C2C">
          <w:rPr>
            <w:rFonts w:ascii="Arial" w:hAnsi="Arial" w:cs="Arial"/>
            <w:noProof/>
            <w:webHidden/>
            <w:sz w:val="24"/>
            <w:szCs w:val="24"/>
          </w:rPr>
        </w:r>
        <w:r w:rsidR="00A9444C" w:rsidRPr="00192C2C">
          <w:rPr>
            <w:rFonts w:ascii="Arial" w:hAnsi="Arial" w:cs="Arial"/>
            <w:noProof/>
            <w:webHidden/>
            <w:sz w:val="24"/>
            <w:szCs w:val="24"/>
          </w:rPr>
          <w:fldChar w:fldCharType="separate"/>
        </w:r>
        <w:r w:rsidR="00A9444C" w:rsidRPr="00192C2C">
          <w:rPr>
            <w:rFonts w:ascii="Arial" w:hAnsi="Arial" w:cs="Arial"/>
            <w:noProof/>
            <w:webHidden/>
            <w:sz w:val="24"/>
            <w:szCs w:val="24"/>
          </w:rPr>
          <w:t>2</w:t>
        </w:r>
        <w:r w:rsidR="00A9444C" w:rsidRPr="00192C2C">
          <w:rPr>
            <w:rFonts w:ascii="Arial" w:hAnsi="Arial" w:cs="Arial"/>
            <w:noProof/>
            <w:webHidden/>
            <w:sz w:val="24"/>
            <w:szCs w:val="24"/>
          </w:rPr>
          <w:fldChar w:fldCharType="end"/>
        </w:r>
      </w:hyperlink>
    </w:p>
    <w:p w14:paraId="56FBCBE8" w14:textId="1B393B17" w:rsidR="00A9444C" w:rsidRPr="00192C2C" w:rsidRDefault="00065E61">
      <w:pPr>
        <w:pStyle w:val="TableofFigures"/>
        <w:tabs>
          <w:tab w:val="right" w:leader="dot" w:pos="9016"/>
        </w:tabs>
        <w:rPr>
          <w:rFonts w:ascii="Arial" w:eastAsiaTheme="minorEastAsia" w:hAnsi="Arial" w:cs="Arial"/>
          <w:noProof/>
          <w:kern w:val="2"/>
          <w:sz w:val="24"/>
          <w:szCs w:val="24"/>
          <w:lang w:val="en-US"/>
          <w14:ligatures w14:val="standardContextual"/>
        </w:rPr>
      </w:pPr>
      <w:hyperlink w:anchor="_Toc216657015" w:history="1">
        <w:r w:rsidR="00A9444C" w:rsidRPr="00192C2C">
          <w:rPr>
            <w:rStyle w:val="Hyperlink"/>
            <w:rFonts w:ascii="Arial" w:hAnsi="Arial" w:cs="Arial"/>
            <w:noProof/>
            <w:sz w:val="24"/>
            <w:szCs w:val="24"/>
          </w:rPr>
          <w:t>Figure 2: Evolution of COVID-19 first wave in Italy and Spain</w:t>
        </w:r>
        <w:r w:rsidR="00A9444C" w:rsidRPr="00192C2C">
          <w:rPr>
            <w:rFonts w:ascii="Arial" w:hAnsi="Arial" w:cs="Arial"/>
            <w:noProof/>
            <w:webHidden/>
            <w:sz w:val="24"/>
            <w:szCs w:val="24"/>
          </w:rPr>
          <w:tab/>
        </w:r>
        <w:r w:rsidR="00A9444C" w:rsidRPr="00192C2C">
          <w:rPr>
            <w:rFonts w:ascii="Arial" w:hAnsi="Arial" w:cs="Arial"/>
            <w:noProof/>
            <w:webHidden/>
            <w:sz w:val="24"/>
            <w:szCs w:val="24"/>
          </w:rPr>
          <w:fldChar w:fldCharType="begin"/>
        </w:r>
        <w:r w:rsidR="00A9444C" w:rsidRPr="00192C2C">
          <w:rPr>
            <w:rFonts w:ascii="Arial" w:hAnsi="Arial" w:cs="Arial"/>
            <w:noProof/>
            <w:webHidden/>
            <w:sz w:val="24"/>
            <w:szCs w:val="24"/>
          </w:rPr>
          <w:instrText xml:space="preserve"> PAGEREF _Toc216657015 \h </w:instrText>
        </w:r>
        <w:r w:rsidR="00A9444C" w:rsidRPr="00192C2C">
          <w:rPr>
            <w:rFonts w:ascii="Arial" w:hAnsi="Arial" w:cs="Arial"/>
            <w:noProof/>
            <w:webHidden/>
            <w:sz w:val="24"/>
            <w:szCs w:val="24"/>
          </w:rPr>
        </w:r>
        <w:r w:rsidR="00A9444C" w:rsidRPr="00192C2C">
          <w:rPr>
            <w:rFonts w:ascii="Arial" w:hAnsi="Arial" w:cs="Arial"/>
            <w:noProof/>
            <w:webHidden/>
            <w:sz w:val="24"/>
            <w:szCs w:val="24"/>
          </w:rPr>
          <w:fldChar w:fldCharType="separate"/>
        </w:r>
        <w:r w:rsidR="00A9444C" w:rsidRPr="00192C2C">
          <w:rPr>
            <w:rFonts w:ascii="Arial" w:hAnsi="Arial" w:cs="Arial"/>
            <w:noProof/>
            <w:webHidden/>
            <w:sz w:val="24"/>
            <w:szCs w:val="24"/>
          </w:rPr>
          <w:t>3</w:t>
        </w:r>
        <w:r w:rsidR="00A9444C" w:rsidRPr="00192C2C">
          <w:rPr>
            <w:rFonts w:ascii="Arial" w:hAnsi="Arial" w:cs="Arial"/>
            <w:noProof/>
            <w:webHidden/>
            <w:sz w:val="24"/>
            <w:szCs w:val="24"/>
          </w:rPr>
          <w:fldChar w:fldCharType="end"/>
        </w:r>
      </w:hyperlink>
    </w:p>
    <w:p w14:paraId="14CA6EA8" w14:textId="7C653145" w:rsidR="00A9444C" w:rsidRPr="00192C2C" w:rsidRDefault="00065E61">
      <w:pPr>
        <w:pStyle w:val="TableofFigures"/>
        <w:tabs>
          <w:tab w:val="right" w:leader="dot" w:pos="9016"/>
        </w:tabs>
        <w:rPr>
          <w:rFonts w:ascii="Arial" w:eastAsiaTheme="minorEastAsia" w:hAnsi="Arial" w:cs="Arial"/>
          <w:noProof/>
          <w:kern w:val="2"/>
          <w:sz w:val="24"/>
          <w:szCs w:val="24"/>
          <w:lang w:val="en-US"/>
          <w14:ligatures w14:val="standardContextual"/>
        </w:rPr>
      </w:pPr>
      <w:hyperlink w:anchor="_Toc216657016" w:history="1">
        <w:r w:rsidR="00A9444C" w:rsidRPr="00192C2C">
          <w:rPr>
            <w:rStyle w:val="Hyperlink"/>
            <w:rFonts w:ascii="Arial" w:hAnsi="Arial" w:cs="Arial"/>
            <w:noProof/>
            <w:sz w:val="24"/>
            <w:szCs w:val="24"/>
          </w:rPr>
          <w:t>Figure 3: South Korea COVID-19 Infection Trends from 20 January 2020 to 30 June 2020.</w:t>
        </w:r>
        <w:r w:rsidR="00A9444C" w:rsidRPr="00192C2C">
          <w:rPr>
            <w:rFonts w:ascii="Arial" w:hAnsi="Arial" w:cs="Arial"/>
            <w:noProof/>
            <w:webHidden/>
            <w:sz w:val="24"/>
            <w:szCs w:val="24"/>
          </w:rPr>
          <w:tab/>
        </w:r>
        <w:r w:rsidR="00A9444C" w:rsidRPr="00192C2C">
          <w:rPr>
            <w:rFonts w:ascii="Arial" w:hAnsi="Arial" w:cs="Arial"/>
            <w:noProof/>
            <w:webHidden/>
            <w:sz w:val="24"/>
            <w:szCs w:val="24"/>
          </w:rPr>
          <w:fldChar w:fldCharType="begin"/>
        </w:r>
        <w:r w:rsidR="00A9444C" w:rsidRPr="00192C2C">
          <w:rPr>
            <w:rFonts w:ascii="Arial" w:hAnsi="Arial" w:cs="Arial"/>
            <w:noProof/>
            <w:webHidden/>
            <w:sz w:val="24"/>
            <w:szCs w:val="24"/>
          </w:rPr>
          <w:instrText xml:space="preserve"> PAGEREF _Toc216657016 \h </w:instrText>
        </w:r>
        <w:r w:rsidR="00A9444C" w:rsidRPr="00192C2C">
          <w:rPr>
            <w:rFonts w:ascii="Arial" w:hAnsi="Arial" w:cs="Arial"/>
            <w:noProof/>
            <w:webHidden/>
            <w:sz w:val="24"/>
            <w:szCs w:val="24"/>
          </w:rPr>
        </w:r>
        <w:r w:rsidR="00A9444C" w:rsidRPr="00192C2C">
          <w:rPr>
            <w:rFonts w:ascii="Arial" w:hAnsi="Arial" w:cs="Arial"/>
            <w:noProof/>
            <w:webHidden/>
            <w:sz w:val="24"/>
            <w:szCs w:val="24"/>
          </w:rPr>
          <w:fldChar w:fldCharType="separate"/>
        </w:r>
        <w:r w:rsidR="00A9444C" w:rsidRPr="00192C2C">
          <w:rPr>
            <w:rFonts w:ascii="Arial" w:hAnsi="Arial" w:cs="Arial"/>
            <w:noProof/>
            <w:webHidden/>
            <w:sz w:val="24"/>
            <w:szCs w:val="24"/>
          </w:rPr>
          <w:t>5</w:t>
        </w:r>
        <w:r w:rsidR="00A9444C" w:rsidRPr="00192C2C">
          <w:rPr>
            <w:rFonts w:ascii="Arial" w:hAnsi="Arial" w:cs="Arial"/>
            <w:noProof/>
            <w:webHidden/>
            <w:sz w:val="24"/>
            <w:szCs w:val="24"/>
          </w:rPr>
          <w:fldChar w:fldCharType="end"/>
        </w:r>
      </w:hyperlink>
    </w:p>
    <w:p w14:paraId="3503E1AC" w14:textId="586FC492" w:rsidR="00A9444C" w:rsidRPr="00192C2C" w:rsidRDefault="00065E61">
      <w:pPr>
        <w:pStyle w:val="TableofFigures"/>
        <w:tabs>
          <w:tab w:val="right" w:leader="dot" w:pos="9016"/>
        </w:tabs>
        <w:rPr>
          <w:rFonts w:ascii="Arial" w:eastAsiaTheme="minorEastAsia" w:hAnsi="Arial" w:cs="Arial"/>
          <w:noProof/>
          <w:kern w:val="2"/>
          <w:sz w:val="24"/>
          <w:szCs w:val="24"/>
          <w:lang w:val="en-US"/>
          <w14:ligatures w14:val="standardContextual"/>
        </w:rPr>
      </w:pPr>
      <w:hyperlink w:anchor="_Toc216657017" w:history="1">
        <w:r w:rsidR="00A9444C" w:rsidRPr="00192C2C">
          <w:rPr>
            <w:rStyle w:val="Hyperlink"/>
            <w:rFonts w:ascii="Arial" w:hAnsi="Arial" w:cs="Arial"/>
            <w:noProof/>
            <w:sz w:val="24"/>
            <w:szCs w:val="24"/>
          </w:rPr>
          <w:t>Figure 4: Federal support to provinces and territories (billions of dollars).</w:t>
        </w:r>
        <w:r w:rsidR="00A9444C" w:rsidRPr="00192C2C">
          <w:rPr>
            <w:rFonts w:ascii="Arial" w:hAnsi="Arial" w:cs="Arial"/>
            <w:noProof/>
            <w:webHidden/>
            <w:sz w:val="24"/>
            <w:szCs w:val="24"/>
          </w:rPr>
          <w:tab/>
        </w:r>
        <w:r w:rsidR="00A9444C" w:rsidRPr="00192C2C">
          <w:rPr>
            <w:rFonts w:ascii="Arial" w:hAnsi="Arial" w:cs="Arial"/>
            <w:noProof/>
            <w:webHidden/>
            <w:sz w:val="24"/>
            <w:szCs w:val="24"/>
          </w:rPr>
          <w:fldChar w:fldCharType="begin"/>
        </w:r>
        <w:r w:rsidR="00A9444C" w:rsidRPr="00192C2C">
          <w:rPr>
            <w:rFonts w:ascii="Arial" w:hAnsi="Arial" w:cs="Arial"/>
            <w:noProof/>
            <w:webHidden/>
            <w:sz w:val="24"/>
            <w:szCs w:val="24"/>
          </w:rPr>
          <w:instrText xml:space="preserve"> PAGEREF _Toc216657017 \h </w:instrText>
        </w:r>
        <w:r w:rsidR="00A9444C" w:rsidRPr="00192C2C">
          <w:rPr>
            <w:rFonts w:ascii="Arial" w:hAnsi="Arial" w:cs="Arial"/>
            <w:noProof/>
            <w:webHidden/>
            <w:sz w:val="24"/>
            <w:szCs w:val="24"/>
          </w:rPr>
        </w:r>
        <w:r w:rsidR="00A9444C" w:rsidRPr="00192C2C">
          <w:rPr>
            <w:rFonts w:ascii="Arial" w:hAnsi="Arial" w:cs="Arial"/>
            <w:noProof/>
            <w:webHidden/>
            <w:sz w:val="24"/>
            <w:szCs w:val="24"/>
          </w:rPr>
          <w:fldChar w:fldCharType="separate"/>
        </w:r>
        <w:r w:rsidR="00A9444C" w:rsidRPr="00192C2C">
          <w:rPr>
            <w:rFonts w:ascii="Arial" w:hAnsi="Arial" w:cs="Arial"/>
            <w:noProof/>
            <w:webHidden/>
            <w:sz w:val="24"/>
            <w:szCs w:val="24"/>
          </w:rPr>
          <w:t>7</w:t>
        </w:r>
        <w:r w:rsidR="00A9444C" w:rsidRPr="00192C2C">
          <w:rPr>
            <w:rFonts w:ascii="Arial" w:hAnsi="Arial" w:cs="Arial"/>
            <w:noProof/>
            <w:webHidden/>
            <w:sz w:val="24"/>
            <w:szCs w:val="24"/>
          </w:rPr>
          <w:fldChar w:fldCharType="end"/>
        </w:r>
      </w:hyperlink>
    </w:p>
    <w:p w14:paraId="70F557A0" w14:textId="516676AC" w:rsidR="00A9444C" w:rsidRPr="00192C2C" w:rsidRDefault="00065E61">
      <w:pPr>
        <w:pStyle w:val="TableofFigures"/>
        <w:tabs>
          <w:tab w:val="right" w:leader="dot" w:pos="9016"/>
        </w:tabs>
        <w:rPr>
          <w:rFonts w:ascii="Arial" w:eastAsiaTheme="minorEastAsia" w:hAnsi="Arial" w:cs="Arial"/>
          <w:noProof/>
          <w:kern w:val="2"/>
          <w:sz w:val="24"/>
          <w:szCs w:val="24"/>
          <w:lang w:val="en-US"/>
          <w14:ligatures w14:val="standardContextual"/>
        </w:rPr>
      </w:pPr>
      <w:hyperlink w:anchor="_Toc216657018" w:history="1">
        <w:r w:rsidR="00A9444C" w:rsidRPr="00192C2C">
          <w:rPr>
            <w:rStyle w:val="Hyperlink"/>
            <w:rFonts w:ascii="Arial" w:hAnsi="Arial" w:cs="Arial"/>
            <w:noProof/>
            <w:sz w:val="24"/>
            <w:szCs w:val="24"/>
          </w:rPr>
          <w:t>Figure 5: Laissez-Faire Style</w:t>
        </w:r>
        <w:r w:rsidR="00A9444C" w:rsidRPr="00192C2C">
          <w:rPr>
            <w:rFonts w:ascii="Arial" w:hAnsi="Arial" w:cs="Arial"/>
            <w:noProof/>
            <w:webHidden/>
            <w:sz w:val="24"/>
            <w:szCs w:val="24"/>
          </w:rPr>
          <w:tab/>
        </w:r>
        <w:r w:rsidR="00A9444C" w:rsidRPr="00192C2C">
          <w:rPr>
            <w:rFonts w:ascii="Arial" w:hAnsi="Arial" w:cs="Arial"/>
            <w:noProof/>
            <w:webHidden/>
            <w:sz w:val="24"/>
            <w:szCs w:val="24"/>
          </w:rPr>
          <w:fldChar w:fldCharType="begin"/>
        </w:r>
        <w:r w:rsidR="00A9444C" w:rsidRPr="00192C2C">
          <w:rPr>
            <w:rFonts w:ascii="Arial" w:hAnsi="Arial" w:cs="Arial"/>
            <w:noProof/>
            <w:webHidden/>
            <w:sz w:val="24"/>
            <w:szCs w:val="24"/>
          </w:rPr>
          <w:instrText xml:space="preserve"> PAGEREF _Toc216657018 \h </w:instrText>
        </w:r>
        <w:r w:rsidR="00A9444C" w:rsidRPr="00192C2C">
          <w:rPr>
            <w:rFonts w:ascii="Arial" w:hAnsi="Arial" w:cs="Arial"/>
            <w:noProof/>
            <w:webHidden/>
            <w:sz w:val="24"/>
            <w:szCs w:val="24"/>
          </w:rPr>
        </w:r>
        <w:r w:rsidR="00A9444C" w:rsidRPr="00192C2C">
          <w:rPr>
            <w:rFonts w:ascii="Arial" w:hAnsi="Arial" w:cs="Arial"/>
            <w:noProof/>
            <w:webHidden/>
            <w:sz w:val="24"/>
            <w:szCs w:val="24"/>
          </w:rPr>
          <w:fldChar w:fldCharType="separate"/>
        </w:r>
        <w:r w:rsidR="00A9444C" w:rsidRPr="00192C2C">
          <w:rPr>
            <w:rFonts w:ascii="Arial" w:hAnsi="Arial" w:cs="Arial"/>
            <w:noProof/>
            <w:webHidden/>
            <w:sz w:val="24"/>
            <w:szCs w:val="24"/>
          </w:rPr>
          <w:t>10</w:t>
        </w:r>
        <w:r w:rsidR="00A9444C" w:rsidRPr="00192C2C">
          <w:rPr>
            <w:rFonts w:ascii="Arial" w:hAnsi="Arial" w:cs="Arial"/>
            <w:noProof/>
            <w:webHidden/>
            <w:sz w:val="24"/>
            <w:szCs w:val="24"/>
          </w:rPr>
          <w:fldChar w:fldCharType="end"/>
        </w:r>
      </w:hyperlink>
    </w:p>
    <w:p w14:paraId="6B5B5910" w14:textId="0F2F94A8" w:rsidR="001703B2" w:rsidRPr="00192C2C" w:rsidRDefault="001703B2" w:rsidP="001703B2">
      <w:pPr>
        <w:spacing w:after="160" w:line="278" w:lineRule="auto"/>
        <w:rPr>
          <w:rFonts w:ascii="Arial" w:hAnsi="Arial" w:cs="Arial"/>
          <w:sz w:val="24"/>
          <w:szCs w:val="24"/>
        </w:rPr>
      </w:pPr>
      <w:r w:rsidRPr="00192C2C">
        <w:rPr>
          <w:rFonts w:ascii="Arial" w:hAnsi="Arial" w:cs="Arial"/>
          <w:sz w:val="24"/>
          <w:szCs w:val="24"/>
        </w:rPr>
        <w:fldChar w:fldCharType="end"/>
      </w:r>
    </w:p>
    <w:p w14:paraId="12810D95" w14:textId="77777777" w:rsidR="001703B2" w:rsidRPr="007A5C47" w:rsidRDefault="001703B2" w:rsidP="001703B2">
      <w:pPr>
        <w:spacing w:after="160" w:line="278" w:lineRule="auto"/>
        <w:rPr>
          <w:rFonts w:ascii="Arial" w:hAnsi="Arial" w:cs="Arial"/>
          <w:szCs w:val="20"/>
        </w:rPr>
      </w:pPr>
    </w:p>
    <w:p w14:paraId="7BF2D116" w14:textId="77777777" w:rsidR="001703B2" w:rsidRPr="007A5C47" w:rsidRDefault="001703B2" w:rsidP="001703B2">
      <w:pPr>
        <w:spacing w:after="160" w:line="278" w:lineRule="auto"/>
        <w:rPr>
          <w:rFonts w:ascii="Arial" w:hAnsi="Arial" w:cs="Arial"/>
          <w:szCs w:val="20"/>
        </w:rPr>
        <w:sectPr w:rsidR="001703B2" w:rsidRPr="007A5C47" w:rsidSect="001703B2">
          <w:footerReference w:type="first" r:id="rId10"/>
          <w:pgSz w:w="11906" w:h="16838"/>
          <w:pgMar w:top="1440" w:right="1440" w:bottom="1440" w:left="1440" w:header="720" w:footer="720" w:gutter="0"/>
          <w:pgNumType w:fmt="lowerRoman" w:start="1"/>
          <w:cols w:space="720"/>
          <w:titlePg/>
          <w:docGrid w:linePitch="299"/>
        </w:sectPr>
      </w:pPr>
    </w:p>
    <w:p w14:paraId="2D4C2F88" w14:textId="77777777" w:rsidR="001703B2" w:rsidRPr="007A5C47" w:rsidRDefault="001703B2" w:rsidP="001703B2">
      <w:pPr>
        <w:pStyle w:val="Heading1"/>
      </w:pPr>
      <w:bookmarkStart w:id="3" w:name="_Toc216264187"/>
      <w:bookmarkStart w:id="4" w:name="_Toc216677881"/>
      <w:r w:rsidRPr="007A5C47">
        <w:lastRenderedPageBreak/>
        <w:t>1. Introduction</w:t>
      </w:r>
      <w:bookmarkEnd w:id="3"/>
      <w:bookmarkEnd w:id="4"/>
      <w:r w:rsidRPr="007A5C47">
        <w:t xml:space="preserve"> </w:t>
      </w:r>
    </w:p>
    <w:p w14:paraId="5EC835AB" w14:textId="3DBC78E6" w:rsidR="001703B2" w:rsidRPr="00EF1F71" w:rsidRDefault="00EF1F71" w:rsidP="001703B2">
      <w:pPr>
        <w:spacing w:after="160" w:line="360" w:lineRule="auto"/>
        <w:jc w:val="both"/>
        <w:rPr>
          <w:rFonts w:ascii="Arial" w:hAnsi="Arial" w:cs="Arial"/>
          <w:lang w:val="en-US"/>
        </w:rPr>
      </w:pPr>
      <w:r w:rsidRPr="00EF1F71">
        <w:rPr>
          <w:rFonts w:ascii="Arial" w:hAnsi="Arial" w:cs="Arial"/>
          <w:lang w:val="en-US"/>
        </w:rPr>
        <w:t xml:space="preserve">The report is a critical comparative analysis of how the responses to the COVID-19 pandemic in Spain, South Korea, and Canada have been developed, with a particular emphasis on the paramount role of the structure of the healthcare system, as well as the types of leadership used in those countries in this situation. The main theme that is addressed is the range between </w:t>
      </w:r>
      <w:proofErr w:type="spellStart"/>
      <w:r w:rsidRPr="00EF1F71">
        <w:rPr>
          <w:rFonts w:ascii="Arial" w:hAnsi="Arial" w:cs="Arial"/>
          <w:lang w:val="en-US"/>
        </w:rPr>
        <w:t>centralisation</w:t>
      </w:r>
      <w:proofErr w:type="spellEnd"/>
      <w:r w:rsidRPr="00EF1F71">
        <w:rPr>
          <w:rFonts w:ascii="Arial" w:hAnsi="Arial" w:cs="Arial"/>
          <w:lang w:val="en-US"/>
        </w:rPr>
        <w:t xml:space="preserve"> (when the national level crowds together power and authority to make decisions) and </w:t>
      </w:r>
      <w:proofErr w:type="spellStart"/>
      <w:r w:rsidRPr="00EF1F71">
        <w:rPr>
          <w:rFonts w:ascii="Arial" w:hAnsi="Arial" w:cs="Arial"/>
          <w:lang w:val="en-US"/>
        </w:rPr>
        <w:t>decentralisation</w:t>
      </w:r>
      <w:proofErr w:type="spellEnd"/>
      <w:r w:rsidRPr="00EF1F71">
        <w:rPr>
          <w:rFonts w:ascii="Arial" w:hAnsi="Arial" w:cs="Arial"/>
          <w:lang w:val="en-US"/>
        </w:rPr>
        <w:t xml:space="preserve"> (when authority is spread among the regional or provincial levels). These concepts are critical to understand because the typology of structure that forms a system essentially determines its rapidity, ability to coordinate, and adaptability during an emergency in the field of health. Moreover, the report analyses the application of certain leadership styles, such as Transformational, Transactional, Autocratic, and Consultative, by leaders including Chung </w:t>
      </w:r>
      <w:proofErr w:type="spellStart"/>
      <w:r w:rsidRPr="00EF1F71">
        <w:rPr>
          <w:rFonts w:ascii="Arial" w:hAnsi="Arial" w:cs="Arial"/>
          <w:lang w:val="en-US"/>
        </w:rPr>
        <w:t>Sye-kyun</w:t>
      </w:r>
      <w:proofErr w:type="spellEnd"/>
      <w:r w:rsidRPr="00EF1F71">
        <w:rPr>
          <w:rFonts w:ascii="Arial" w:hAnsi="Arial" w:cs="Arial"/>
          <w:lang w:val="en-US"/>
        </w:rPr>
        <w:t xml:space="preserve"> of South Korea, Justin Trudeau of Canada, and Salvador Illa. Leadership is not to be confused with management but is the tactical capacity to shape the </w:t>
      </w:r>
      <w:proofErr w:type="spellStart"/>
      <w:r w:rsidRPr="00EF1F71">
        <w:rPr>
          <w:rFonts w:ascii="Arial" w:hAnsi="Arial" w:cs="Arial"/>
          <w:lang w:val="en-US"/>
        </w:rPr>
        <w:t>organisational</w:t>
      </w:r>
      <w:proofErr w:type="spellEnd"/>
      <w:r w:rsidRPr="00EF1F71">
        <w:rPr>
          <w:rFonts w:ascii="Arial" w:hAnsi="Arial" w:cs="Arial"/>
          <w:lang w:val="en-US"/>
        </w:rPr>
        <w:t xml:space="preserve"> culture, win the trust of people and, above all, rapidly </w:t>
      </w:r>
      <w:proofErr w:type="spellStart"/>
      <w:r w:rsidRPr="00EF1F71">
        <w:rPr>
          <w:rFonts w:ascii="Arial" w:hAnsi="Arial" w:cs="Arial"/>
          <w:lang w:val="en-US"/>
        </w:rPr>
        <w:t>reorganise</w:t>
      </w:r>
      <w:proofErr w:type="spellEnd"/>
      <w:r w:rsidRPr="00EF1F71">
        <w:rPr>
          <w:rFonts w:ascii="Arial" w:hAnsi="Arial" w:cs="Arial"/>
          <w:lang w:val="en-US"/>
        </w:rPr>
        <w:t xml:space="preserve"> or </w:t>
      </w:r>
      <w:proofErr w:type="spellStart"/>
      <w:r w:rsidRPr="00EF1F71">
        <w:rPr>
          <w:rFonts w:ascii="Arial" w:hAnsi="Arial" w:cs="Arial"/>
          <w:lang w:val="en-US"/>
        </w:rPr>
        <w:t>capitalise</w:t>
      </w:r>
      <w:proofErr w:type="spellEnd"/>
      <w:r w:rsidRPr="00EF1F71">
        <w:rPr>
          <w:rFonts w:ascii="Arial" w:hAnsi="Arial" w:cs="Arial"/>
          <w:lang w:val="en-US"/>
        </w:rPr>
        <w:t xml:space="preserve"> on the available health systems to bring positive health results to people in response to a global threat never witnessed before. This analysis critically discusses the strengths and weaknesses of such different structural and leadership decisions based on their effects on national resilience and the effectiveness of responses</w:t>
      </w:r>
      <w:r w:rsidR="001703B2" w:rsidRPr="007A5C47">
        <w:rPr>
          <w:rFonts w:ascii="Arial" w:hAnsi="Arial" w:cs="Arial"/>
        </w:rPr>
        <w:t xml:space="preserve">. </w:t>
      </w:r>
      <w:r w:rsidR="001703B2" w:rsidRPr="007A5C47">
        <w:rPr>
          <w:rFonts w:ascii="Arial" w:hAnsi="Arial" w:cs="Arial"/>
        </w:rPr>
        <w:br w:type="page"/>
      </w:r>
    </w:p>
    <w:p w14:paraId="41BFC2FA" w14:textId="12677F7C" w:rsidR="001703B2" w:rsidRPr="007A5C47" w:rsidRDefault="001703B2" w:rsidP="00192C2C">
      <w:pPr>
        <w:pStyle w:val="Heading1"/>
        <w:jc w:val="both"/>
      </w:pPr>
      <w:bookmarkStart w:id="5" w:name="_Toc216677882"/>
      <w:r w:rsidRPr="007A5C47">
        <w:lastRenderedPageBreak/>
        <w:t xml:space="preserve">2. </w:t>
      </w:r>
      <w:r w:rsidR="003E34A7" w:rsidRPr="007A5C47">
        <w:t>Critical Analysis of Country Typology and Systems Approach for the COVID-19 Pandemic</w:t>
      </w:r>
      <w:bookmarkEnd w:id="5"/>
    </w:p>
    <w:p w14:paraId="655E3852" w14:textId="07FBA167" w:rsidR="001703B2" w:rsidRPr="007A5C47" w:rsidRDefault="009111E5" w:rsidP="00192C2C">
      <w:pPr>
        <w:pStyle w:val="Heading2"/>
        <w:jc w:val="both"/>
      </w:pPr>
      <w:bookmarkStart w:id="6" w:name="_Toc216677883"/>
      <w:r w:rsidRPr="007A5C47">
        <w:t>2.1 S</w:t>
      </w:r>
      <w:r w:rsidR="00192C2C">
        <w:t>pain: The Paradox of Decentralis</w:t>
      </w:r>
      <w:r w:rsidRPr="007A5C47">
        <w:t>ation and Temporary Central Command</w:t>
      </w:r>
      <w:bookmarkEnd w:id="6"/>
    </w:p>
    <w:p w14:paraId="6AA39819" w14:textId="6C886687" w:rsidR="001703B2" w:rsidRPr="007A5C47" w:rsidRDefault="00214739" w:rsidP="00192C2C">
      <w:pPr>
        <w:pStyle w:val="Heading3"/>
        <w:jc w:val="both"/>
      </w:pPr>
      <w:bookmarkStart w:id="7" w:name="_Toc216677884"/>
      <w:r w:rsidRPr="007A5C47">
        <w:t>2.1.1 Spanish National Health System (SNS) Typology and Decentralisation</w:t>
      </w:r>
      <w:bookmarkEnd w:id="7"/>
    </w:p>
    <w:p w14:paraId="3DEEF814" w14:textId="77777777" w:rsidR="00683489" w:rsidRDefault="000113A3" w:rsidP="000113A3">
      <w:pPr>
        <w:spacing w:before="240" w:line="360" w:lineRule="auto"/>
        <w:jc w:val="both"/>
        <w:rPr>
          <w:rFonts w:ascii="Arial" w:hAnsi="Arial" w:cs="Arial"/>
        </w:rPr>
      </w:pPr>
      <w:r w:rsidRPr="000113A3">
        <w:rPr>
          <w:rFonts w:ascii="Arial" w:hAnsi="Arial" w:cs="Arial"/>
        </w:rPr>
        <w:t>The healthcare system of Spain, the National Health System (SNS), is described as having a highly decentralised structure of operation that is integrated into one system that is defined by its quasi-federal State of Autonomies. Since 2002, the Autonomous Communities (AACC) have become the primary managers, funders, and providers of health services, following the transfer of all health competencies that allowed them to control more than 90% of public health spending (Casula &amp; Pazos-Vidal, 2023; Navarro et al., 2022). The residual role, which was played by the central government, in the form of the Ministry of Health, was concerned with national coordination and evaluation and the establishment of basic policy standards. The benefits of this decentralised typology include the possibility to customise the healthcare delivery to different regional and local requirements (Navarro et al., 2022). Nevertheless, this framework was essentially defective in reinforcing the national cohesion and collaboration schemes, preconditioning crisis management at the system level in the pandemic (Gómez et al., 2022).</w:t>
      </w:r>
    </w:p>
    <w:p w14:paraId="4FA5FCD4" w14:textId="77777777" w:rsidR="006A3A87" w:rsidRDefault="00683489" w:rsidP="006A3A87">
      <w:pPr>
        <w:keepNext/>
        <w:spacing w:before="240" w:line="360" w:lineRule="auto"/>
        <w:jc w:val="center"/>
      </w:pPr>
      <w:r>
        <w:rPr>
          <w:noProof/>
          <w:lang w:eastAsia="en-GB"/>
          <w14:ligatures w14:val="standardContextual"/>
        </w:rPr>
        <w:drawing>
          <wp:inline distT="0" distB="0" distL="0" distR="0" wp14:anchorId="545533FB" wp14:editId="46B8F96D">
            <wp:extent cx="3143250" cy="1470229"/>
            <wp:effectExtent l="0" t="0" r="0" b="0"/>
            <wp:docPr id="19517126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712655" name=""/>
                    <pic:cNvPicPr/>
                  </pic:nvPicPr>
                  <pic:blipFill>
                    <a:blip r:embed="rId11"/>
                    <a:stretch>
                      <a:fillRect/>
                    </a:stretch>
                  </pic:blipFill>
                  <pic:spPr>
                    <a:xfrm>
                      <a:off x="0" y="0"/>
                      <a:ext cx="3159389" cy="1477778"/>
                    </a:xfrm>
                    <a:prstGeom prst="rect">
                      <a:avLst/>
                    </a:prstGeom>
                  </pic:spPr>
                </pic:pic>
              </a:graphicData>
            </a:graphic>
          </wp:inline>
        </w:drawing>
      </w:r>
    </w:p>
    <w:p w14:paraId="7F9FE9C2" w14:textId="4749A99B" w:rsidR="000113A3" w:rsidRDefault="006A3A87" w:rsidP="006A3A87">
      <w:pPr>
        <w:pStyle w:val="Caption"/>
        <w:jc w:val="center"/>
      </w:pPr>
      <w:bookmarkStart w:id="8" w:name="_Toc216657014"/>
      <w:r>
        <w:t xml:space="preserve">Figure </w:t>
      </w:r>
      <w:r>
        <w:fldChar w:fldCharType="begin"/>
      </w:r>
      <w:r>
        <w:instrText xml:space="preserve"> SEQ Figure \* ARABIC </w:instrText>
      </w:r>
      <w:r>
        <w:fldChar w:fldCharType="separate"/>
      </w:r>
      <w:r w:rsidR="00142B5A">
        <w:rPr>
          <w:noProof/>
        </w:rPr>
        <w:t>1</w:t>
      </w:r>
      <w:r>
        <w:fldChar w:fldCharType="end"/>
      </w:r>
      <w:r>
        <w:t xml:space="preserve">: </w:t>
      </w:r>
      <w:r w:rsidRPr="00E01366">
        <w:t>Transparency of Spanish regional healthcare systems before and during COVID-19 (%).</w:t>
      </w:r>
      <w:bookmarkEnd w:id="8"/>
    </w:p>
    <w:p w14:paraId="18E9FD84" w14:textId="001FC6A6" w:rsidR="006A3A87" w:rsidRPr="000113A3" w:rsidRDefault="006A3A87" w:rsidP="006A3A87">
      <w:pPr>
        <w:jc w:val="center"/>
        <w:rPr>
          <w:rFonts w:ascii="Arial" w:hAnsi="Arial" w:cs="Arial"/>
        </w:rPr>
      </w:pPr>
      <w:r w:rsidRPr="006A3A87">
        <w:rPr>
          <w:rFonts w:ascii="Arial" w:hAnsi="Arial" w:cs="Arial"/>
          <w:b/>
          <w:bCs/>
        </w:rPr>
        <w:t>Source:</w:t>
      </w:r>
      <w:r w:rsidRPr="006A3A87">
        <w:rPr>
          <w:rFonts w:ascii="Arial" w:hAnsi="Arial" w:cs="Arial"/>
        </w:rPr>
        <w:t xml:space="preserve"> </w:t>
      </w:r>
      <w:hyperlink r:id="rId12" w:history="1">
        <w:r w:rsidRPr="00561C64">
          <w:rPr>
            <w:rStyle w:val="Hyperlink"/>
            <w:rFonts w:ascii="Arial" w:hAnsi="Arial" w:cs="Arial"/>
          </w:rPr>
          <w:t>Peña-Ramos et al. (16)</w:t>
        </w:r>
      </w:hyperlink>
      <w:r w:rsidRPr="006A3A87">
        <w:rPr>
          <w:rFonts w:ascii="Arial" w:hAnsi="Arial" w:cs="Arial"/>
        </w:rPr>
        <w:t>.</w:t>
      </w:r>
    </w:p>
    <w:p w14:paraId="34D7B5BB" w14:textId="15985902" w:rsidR="000113A3" w:rsidRPr="007A5C47" w:rsidRDefault="000113A3" w:rsidP="00591D27">
      <w:pPr>
        <w:pStyle w:val="Heading3"/>
      </w:pPr>
      <w:bookmarkStart w:id="9" w:name="_Toc216677885"/>
      <w:r w:rsidRPr="007A5C47">
        <w:t>2.1.2 Crisis of Decentralisation and Fragmentation (2020): The Failure of the First Systems</w:t>
      </w:r>
      <w:bookmarkEnd w:id="9"/>
    </w:p>
    <w:p w14:paraId="5263A352" w14:textId="77777777" w:rsidR="000113A3" w:rsidRPr="000113A3" w:rsidRDefault="000113A3" w:rsidP="000113A3">
      <w:pPr>
        <w:spacing w:before="240" w:line="360" w:lineRule="auto"/>
        <w:jc w:val="both"/>
        <w:rPr>
          <w:rFonts w:ascii="Arial" w:hAnsi="Arial" w:cs="Arial"/>
        </w:rPr>
      </w:pPr>
      <w:r w:rsidRPr="000113A3">
        <w:rPr>
          <w:rFonts w:ascii="Arial" w:hAnsi="Arial" w:cs="Arial"/>
        </w:rPr>
        <w:t xml:space="preserve">The first stage of the pandemic revealed the key structural weaknesses associated with the highly decentralised paradigm. The lack of a powerful and efficient central command and single data system resulted in the disjointed and delayed response (Casula &amp; Pazos-Vidal, 2023). During the first wave, Spain registered one of the highest COVID-19 death rates </w:t>
      </w:r>
      <w:r w:rsidRPr="000113A3">
        <w:rPr>
          <w:rFonts w:ascii="Arial" w:hAnsi="Arial" w:cs="Arial"/>
        </w:rPr>
        <w:lastRenderedPageBreak/>
        <w:t xml:space="preserve">worldwide (Casula &amp; Pazos-Vidal, 2023). It was partly due to the failure of inter-territorial coordination, which contributed to this negative health outcome. </w:t>
      </w:r>
    </w:p>
    <w:p w14:paraId="537D5934" w14:textId="77777777" w:rsidR="000113A3" w:rsidRDefault="000113A3" w:rsidP="000113A3">
      <w:pPr>
        <w:spacing w:before="240" w:line="360" w:lineRule="auto"/>
        <w:jc w:val="both"/>
        <w:rPr>
          <w:rFonts w:ascii="Arial" w:hAnsi="Arial" w:cs="Arial"/>
        </w:rPr>
      </w:pPr>
      <w:r w:rsidRPr="000113A3">
        <w:rPr>
          <w:rFonts w:ascii="Arial" w:hAnsi="Arial" w:cs="Arial"/>
        </w:rPr>
        <w:t>The system had got into the condition of unrest when the absence of a clear distribution of functions between the central government and the AACC provided both tiers with an opportunity to avoid responsibility and prevent quicker action (Navarro et al., 2022). In particular, the decentralisation turned out to be a disadvantage, as the inequality between the hospital resources, staffing of the public health, and the testing capacities became noticeable, which resulted in the disparities in the access to care among the citizens (Gómez et al., 2022). Moreover, the decentralised purchasing power could not compete in the global market to grab scarce Personal Protective Equipment (PPE), which complicated the supply logistics (Casula &amp; Pazos-Vidal, 2023).</w:t>
      </w:r>
    </w:p>
    <w:p w14:paraId="78E6322C" w14:textId="77777777" w:rsidR="00FC7CE0" w:rsidRDefault="00153E20" w:rsidP="00FC7CE0">
      <w:pPr>
        <w:keepNext/>
        <w:spacing w:before="240" w:line="360" w:lineRule="auto"/>
        <w:jc w:val="center"/>
      </w:pPr>
      <w:r>
        <w:rPr>
          <w:noProof/>
          <w:lang w:eastAsia="en-GB"/>
          <w14:ligatures w14:val="standardContextual"/>
        </w:rPr>
        <w:drawing>
          <wp:inline distT="0" distB="0" distL="0" distR="0" wp14:anchorId="60EC540B" wp14:editId="1872A9A6">
            <wp:extent cx="3905250" cy="2816228"/>
            <wp:effectExtent l="0" t="0" r="0" b="3175"/>
            <wp:docPr id="20468859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885957" name=""/>
                    <pic:cNvPicPr/>
                  </pic:nvPicPr>
                  <pic:blipFill>
                    <a:blip r:embed="rId13"/>
                    <a:stretch>
                      <a:fillRect/>
                    </a:stretch>
                  </pic:blipFill>
                  <pic:spPr>
                    <a:xfrm>
                      <a:off x="0" y="0"/>
                      <a:ext cx="3909621" cy="2819380"/>
                    </a:xfrm>
                    <a:prstGeom prst="rect">
                      <a:avLst/>
                    </a:prstGeom>
                  </pic:spPr>
                </pic:pic>
              </a:graphicData>
            </a:graphic>
          </wp:inline>
        </w:drawing>
      </w:r>
    </w:p>
    <w:p w14:paraId="0F61A133" w14:textId="06D3BB4D" w:rsidR="00153E20" w:rsidRDefault="00FC7CE0" w:rsidP="00FC7CE0">
      <w:pPr>
        <w:pStyle w:val="Caption"/>
        <w:jc w:val="center"/>
      </w:pPr>
      <w:bookmarkStart w:id="10" w:name="_Toc216657015"/>
      <w:r>
        <w:t xml:space="preserve">Figure </w:t>
      </w:r>
      <w:r>
        <w:fldChar w:fldCharType="begin"/>
      </w:r>
      <w:r>
        <w:instrText xml:space="preserve"> SEQ Figure \* ARABIC </w:instrText>
      </w:r>
      <w:r>
        <w:fldChar w:fldCharType="separate"/>
      </w:r>
      <w:r w:rsidR="00142B5A">
        <w:rPr>
          <w:noProof/>
        </w:rPr>
        <w:t>2</w:t>
      </w:r>
      <w:r>
        <w:fldChar w:fldCharType="end"/>
      </w:r>
      <w:r>
        <w:t xml:space="preserve">: </w:t>
      </w:r>
      <w:r w:rsidRPr="00A473AE">
        <w:t>Evolution of COVID-19 first wave in Italy and Spain</w:t>
      </w:r>
      <w:bookmarkEnd w:id="10"/>
    </w:p>
    <w:p w14:paraId="7672CF41" w14:textId="3277431E" w:rsidR="00FC7CE0" w:rsidRPr="000113A3" w:rsidRDefault="00FC7CE0" w:rsidP="00EA4C23">
      <w:pPr>
        <w:jc w:val="center"/>
        <w:rPr>
          <w:rFonts w:ascii="Arial" w:hAnsi="Arial" w:cs="Arial"/>
        </w:rPr>
      </w:pPr>
      <w:r w:rsidRPr="00EA4C23">
        <w:rPr>
          <w:rFonts w:ascii="Arial" w:hAnsi="Arial" w:cs="Arial"/>
          <w:b/>
          <w:bCs/>
        </w:rPr>
        <w:t>Source:</w:t>
      </w:r>
      <w:r w:rsidRPr="00EA4C23">
        <w:rPr>
          <w:rFonts w:ascii="Arial" w:hAnsi="Arial" w:cs="Arial"/>
        </w:rPr>
        <w:t xml:space="preserve"> </w:t>
      </w:r>
      <w:r w:rsidR="00EA4C23" w:rsidRPr="00EA4C23">
        <w:rPr>
          <w:rFonts w:ascii="Arial" w:hAnsi="Arial" w:cs="Arial"/>
        </w:rPr>
        <w:t>(Casula &amp; Pazos-Vidal, 2023)</w:t>
      </w:r>
    </w:p>
    <w:p w14:paraId="0AD4069F" w14:textId="5CA7AFC1" w:rsidR="000113A3" w:rsidRPr="007A5C47" w:rsidRDefault="000113A3" w:rsidP="00802CF1">
      <w:pPr>
        <w:pStyle w:val="Heading3"/>
      </w:pPr>
      <w:bookmarkStart w:id="11" w:name="_Toc216677886"/>
      <w:r w:rsidRPr="007A5C47">
        <w:t>2.1.3 Centralisation as an Emergency Response: The State of Alarm</w:t>
      </w:r>
      <w:bookmarkEnd w:id="11"/>
    </w:p>
    <w:p w14:paraId="030EB65E" w14:textId="17C43165" w:rsidR="000113A3" w:rsidRPr="000113A3" w:rsidRDefault="000113A3" w:rsidP="000113A3">
      <w:pPr>
        <w:spacing w:before="240" w:line="360" w:lineRule="auto"/>
        <w:jc w:val="both"/>
        <w:rPr>
          <w:rFonts w:ascii="Arial" w:hAnsi="Arial" w:cs="Arial"/>
        </w:rPr>
      </w:pPr>
      <w:r w:rsidRPr="000113A3">
        <w:rPr>
          <w:rFonts w:ascii="Arial" w:hAnsi="Arial" w:cs="Arial"/>
        </w:rPr>
        <w:t>The central government was left with an overstretched system, with a radical (temporary) move to centralisation by declaring the State of Alarm (Royal Decree 463/</w:t>
      </w:r>
      <w:r w:rsidR="00802CF1" w:rsidRPr="007A5C47">
        <w:rPr>
          <w:rFonts w:ascii="Arial" w:hAnsi="Arial" w:cs="Arial"/>
        </w:rPr>
        <w:t>2020)</w:t>
      </w:r>
      <w:r w:rsidRPr="000113A3">
        <w:rPr>
          <w:rFonts w:ascii="Arial" w:hAnsi="Arial" w:cs="Arial"/>
        </w:rPr>
        <w:t xml:space="preserve"> in March 2020 (Lara-Fontan and Rebollo, 2021). This relocation established a single command era where the central government had the authority to take over the health policy-making, movement, and funds that were running under the AACC (Casula &amp; Pazos-Vidal, 2023). </w:t>
      </w:r>
    </w:p>
    <w:p w14:paraId="6676D4E4" w14:textId="77777777" w:rsidR="000113A3" w:rsidRPr="000113A3" w:rsidRDefault="000113A3" w:rsidP="000113A3">
      <w:pPr>
        <w:spacing w:before="240" w:line="360" w:lineRule="auto"/>
        <w:jc w:val="both"/>
        <w:rPr>
          <w:rFonts w:ascii="Arial" w:hAnsi="Arial" w:cs="Arial"/>
        </w:rPr>
      </w:pPr>
      <w:r w:rsidRPr="000113A3">
        <w:rPr>
          <w:rFonts w:ascii="Arial" w:hAnsi="Arial" w:cs="Arial"/>
          <w:b/>
          <w:bCs/>
        </w:rPr>
        <w:t>Benefits of Centralisation:</w:t>
      </w:r>
      <w:r w:rsidRPr="000113A3">
        <w:rPr>
          <w:rFonts w:ascii="Arial" w:hAnsi="Arial" w:cs="Arial"/>
        </w:rPr>
        <w:t xml:space="preserve"> The first one was unity of action (Casula &amp; Pazos-Vidal, 2023). The top leadership introduced one of the strictest and most consistent national lockdowns in </w:t>
      </w:r>
      <w:r w:rsidRPr="000113A3">
        <w:rPr>
          <w:rFonts w:ascii="Arial" w:hAnsi="Arial" w:cs="Arial"/>
        </w:rPr>
        <w:lastRenderedPageBreak/>
        <w:t>Europe, which was required to quickly contain the virus and to avoid the collapse of the Intensive Care Units (ICUs) altogether. This top-down method ensured unity in decision-making by compelling the formerly independent areas to adhere to the same and rigid containment policy (Casula &amp; Pazos-Vidal, 2023).</w:t>
      </w:r>
    </w:p>
    <w:p w14:paraId="77D21721" w14:textId="77777777" w:rsidR="000113A3" w:rsidRPr="000113A3" w:rsidRDefault="000113A3" w:rsidP="000113A3">
      <w:pPr>
        <w:spacing w:before="240" w:line="360" w:lineRule="auto"/>
        <w:jc w:val="both"/>
        <w:rPr>
          <w:rFonts w:ascii="Arial" w:hAnsi="Arial" w:cs="Arial"/>
        </w:rPr>
      </w:pPr>
      <w:r w:rsidRPr="000113A3">
        <w:rPr>
          <w:rFonts w:ascii="Arial" w:hAnsi="Arial" w:cs="Arial"/>
          <w:b/>
          <w:bCs/>
        </w:rPr>
        <w:t>Demerits and Problems of Centralisation:</w:t>
      </w:r>
      <w:r w:rsidRPr="000113A3">
        <w:rPr>
          <w:rFonts w:ascii="Arial" w:hAnsi="Arial" w:cs="Arial"/>
        </w:rPr>
        <w:t xml:space="preserve"> Centralisation led to significant political and legal problems. The Constitutional Court found the centralisation to be unconstitutional because it believed that the extreme level of action (e.g., the limitation of basic rights) had to be supported by the upper-level State of Exception (Brunet and Hunter, 2021). On the political level, the unilateral acquisition of power was a root of mistrust and the political conflict between the AACC and the central government (Lara-Fontan and Rebollo, 2021). At the central government operational level, it did not have the required operation data and human resources to effectively coordinate regional health systems, which created bottlenecks and challenges in resource allocation (Casula &amp; Pazos-Vidal, 2023). </w:t>
      </w:r>
    </w:p>
    <w:p w14:paraId="51CE37D6" w14:textId="5797105D" w:rsidR="000113A3" w:rsidRPr="007A5C47" w:rsidRDefault="000113A3" w:rsidP="00D85587">
      <w:pPr>
        <w:pStyle w:val="Heading3"/>
      </w:pPr>
      <w:bookmarkStart w:id="12" w:name="_Toc216677887"/>
      <w:r w:rsidRPr="007A5C47">
        <w:t>2.1.4 Decentralised Strategy with Central Implementation, the Hybrid Success</w:t>
      </w:r>
      <w:bookmarkEnd w:id="12"/>
    </w:p>
    <w:p w14:paraId="6F40E77A" w14:textId="77777777" w:rsidR="000113A3" w:rsidRPr="000113A3" w:rsidRDefault="000113A3" w:rsidP="000113A3">
      <w:pPr>
        <w:spacing w:before="240" w:line="360" w:lineRule="auto"/>
        <w:jc w:val="both"/>
        <w:rPr>
          <w:rFonts w:ascii="Arial" w:hAnsi="Arial" w:cs="Arial"/>
        </w:rPr>
      </w:pPr>
      <w:r w:rsidRPr="000113A3">
        <w:rPr>
          <w:rFonts w:ascii="Arial" w:hAnsi="Arial" w:cs="Arial"/>
        </w:rPr>
        <w:t xml:space="preserve">After the development of the initial State of Alarm was over, the system returned to decentralised co-governance (Casula &amp; Pazos-Vidal, 2023). This subsequent phase emphasised the natural power of the decentralised structure: its ability to deliver operations with extreme efficiency under a single, centrally derived strategy. The following vaccination in Spain became a spectacular success and gave the country one of the highest vaccination rates in Europe (Navarro et al., 2022). </w:t>
      </w:r>
    </w:p>
    <w:p w14:paraId="27FD3240" w14:textId="77777777" w:rsidR="000113A3" w:rsidRPr="000113A3" w:rsidRDefault="000113A3" w:rsidP="000113A3">
      <w:pPr>
        <w:spacing w:before="240" w:line="360" w:lineRule="auto"/>
        <w:jc w:val="both"/>
        <w:rPr>
          <w:rFonts w:ascii="Arial" w:hAnsi="Arial" w:cs="Arial"/>
        </w:rPr>
      </w:pPr>
      <w:r w:rsidRPr="000113A3">
        <w:rPr>
          <w:rFonts w:ascii="Arial" w:hAnsi="Arial" w:cs="Arial"/>
        </w:rPr>
        <w:t>This advantageous health indicator was obtained due to an effective mixed model (</w:t>
      </w:r>
      <w:hyperlink r:id="rId14" w:tgtFrame="_blank" w:history="1">
        <w:r w:rsidRPr="000113A3">
          <w:rPr>
            <w:rStyle w:val="Hyperlink"/>
            <w:rFonts w:ascii="Arial" w:hAnsi="Arial" w:cs="Arial"/>
            <w:color w:val="000000" w:themeColor="text1"/>
            <w:u w:val="none"/>
          </w:rPr>
          <w:t>Sanidad.gob.es</w:t>
        </w:r>
      </w:hyperlink>
      <w:r w:rsidRPr="000113A3">
        <w:rPr>
          <w:rFonts w:ascii="Arial" w:hAnsi="Arial" w:cs="Arial"/>
        </w:rPr>
        <w:t>, 2020):</w:t>
      </w:r>
    </w:p>
    <w:p w14:paraId="377D8FB3" w14:textId="77777777" w:rsidR="000113A3" w:rsidRPr="007A5C47" w:rsidRDefault="000113A3" w:rsidP="00304324">
      <w:pPr>
        <w:pStyle w:val="ListParagraph"/>
        <w:numPr>
          <w:ilvl w:val="0"/>
          <w:numId w:val="13"/>
        </w:numPr>
        <w:spacing w:before="240" w:line="360" w:lineRule="auto"/>
        <w:jc w:val="both"/>
        <w:rPr>
          <w:rFonts w:ascii="Arial" w:hAnsi="Arial" w:cs="Arial"/>
        </w:rPr>
      </w:pPr>
      <w:r w:rsidRPr="007A5C47">
        <w:rPr>
          <w:rFonts w:ascii="Arial" w:hAnsi="Arial" w:cs="Arial"/>
          <w:b/>
          <w:bCs/>
        </w:rPr>
        <w:t>Central Role:</w:t>
      </w:r>
      <w:r w:rsidRPr="007A5C47">
        <w:rPr>
          <w:rFonts w:ascii="Arial" w:hAnsi="Arial" w:cs="Arial"/>
        </w:rPr>
        <w:t xml:space="preserve"> The national government successfully passed its strategic role of centrally purchasing vaccines by signing European contracts and establishing national priority structures (</w:t>
      </w:r>
      <w:hyperlink r:id="rId15" w:tgtFrame="_blank" w:history="1">
        <w:r w:rsidRPr="007A5C47">
          <w:rPr>
            <w:rStyle w:val="Hyperlink"/>
            <w:rFonts w:ascii="Arial" w:hAnsi="Arial" w:cs="Arial"/>
            <w:color w:val="000000" w:themeColor="text1"/>
            <w:u w:val="none"/>
          </w:rPr>
          <w:t>Sanidad.gob.es</w:t>
        </w:r>
      </w:hyperlink>
      <w:r w:rsidRPr="007A5C47">
        <w:rPr>
          <w:rFonts w:ascii="Arial" w:hAnsi="Arial" w:cs="Arial"/>
        </w:rPr>
        <w:t>, 2020).</w:t>
      </w:r>
    </w:p>
    <w:p w14:paraId="66FEA6AF" w14:textId="77777777" w:rsidR="000113A3" w:rsidRPr="007A5C47" w:rsidRDefault="000113A3" w:rsidP="00304324">
      <w:pPr>
        <w:pStyle w:val="ListParagraph"/>
        <w:numPr>
          <w:ilvl w:val="0"/>
          <w:numId w:val="13"/>
        </w:numPr>
        <w:spacing w:before="240" w:line="360" w:lineRule="auto"/>
        <w:jc w:val="both"/>
        <w:rPr>
          <w:rFonts w:ascii="Arial" w:hAnsi="Arial" w:cs="Arial"/>
        </w:rPr>
      </w:pPr>
      <w:r w:rsidRPr="007A5C47">
        <w:rPr>
          <w:rFonts w:ascii="Arial" w:hAnsi="Arial" w:cs="Arial"/>
          <w:b/>
          <w:bCs/>
        </w:rPr>
        <w:t>Decentralised Role:</w:t>
      </w:r>
      <w:r w:rsidRPr="007A5C47">
        <w:rPr>
          <w:rFonts w:ascii="Arial" w:hAnsi="Arial" w:cs="Arial"/>
        </w:rPr>
        <w:t xml:space="preserve"> AACC used their established regional primary care networks and logistical expertise to employ the rapid and extensive delivery of the vaccines and took advantage of the high levels of public acceptance (</w:t>
      </w:r>
      <w:proofErr w:type="spellStart"/>
      <w:r w:rsidRPr="007A5C47">
        <w:rPr>
          <w:rFonts w:ascii="Arial" w:hAnsi="Arial" w:cs="Arial"/>
        </w:rPr>
        <w:t>Turon</w:t>
      </w:r>
      <w:proofErr w:type="spellEnd"/>
      <w:r w:rsidRPr="007A5C47">
        <w:rPr>
          <w:rFonts w:ascii="Arial" w:hAnsi="Arial" w:cs="Arial"/>
        </w:rPr>
        <w:t xml:space="preserve"> et al., 2022).</w:t>
      </w:r>
    </w:p>
    <w:p w14:paraId="524D6D8D" w14:textId="77777777" w:rsidR="000113A3" w:rsidRPr="000113A3" w:rsidRDefault="000113A3" w:rsidP="000113A3">
      <w:pPr>
        <w:spacing w:before="240" w:line="360" w:lineRule="auto"/>
        <w:jc w:val="both"/>
        <w:rPr>
          <w:rFonts w:ascii="Arial" w:hAnsi="Arial" w:cs="Arial"/>
        </w:rPr>
      </w:pPr>
      <w:r w:rsidRPr="000113A3">
        <w:rPr>
          <w:rFonts w:ascii="Arial" w:hAnsi="Arial" w:cs="Arial"/>
        </w:rPr>
        <w:t xml:space="preserve">The Spanish case proved that the decentralised health system became frictional and slow in the first response because it lacked legal and political coordination mechanisms (Navarro et al., 2022), but its operational system was well able to provide positive results in terms of </w:t>
      </w:r>
      <w:r w:rsidRPr="000113A3">
        <w:rPr>
          <w:rFonts w:ascii="Arial" w:hAnsi="Arial" w:cs="Arial"/>
        </w:rPr>
        <w:lastRenderedPageBreak/>
        <w:t>societal health as soon as a clear and centrally delivered strategy (the vaccination plan) was implemented.</w:t>
      </w:r>
    </w:p>
    <w:p w14:paraId="7F709C3A" w14:textId="1A4C0D4E" w:rsidR="000113A3" w:rsidRPr="007A5C47" w:rsidRDefault="000113A3" w:rsidP="00304324">
      <w:pPr>
        <w:pStyle w:val="Heading2"/>
      </w:pPr>
      <w:bookmarkStart w:id="13" w:name="_Toc216677888"/>
      <w:r w:rsidRPr="007A5C47">
        <w:t>2.2 South Korea: Command-based and Data-driven Surveillance</w:t>
      </w:r>
      <w:bookmarkEnd w:id="13"/>
    </w:p>
    <w:p w14:paraId="1E264D64" w14:textId="6D70D919" w:rsidR="000113A3" w:rsidRPr="007A5C47" w:rsidRDefault="000113A3" w:rsidP="00304324">
      <w:pPr>
        <w:pStyle w:val="Heading3"/>
      </w:pPr>
      <w:bookmarkStart w:id="14" w:name="_Toc216677889"/>
      <w:r w:rsidRPr="007A5C47">
        <w:t>2.2.1 Typology of the South Korean Healthcare System: Public Health and Centralised NHI</w:t>
      </w:r>
      <w:bookmarkEnd w:id="14"/>
    </w:p>
    <w:p w14:paraId="3E73B398" w14:textId="79A75613" w:rsidR="000113A3" w:rsidRPr="000113A3" w:rsidRDefault="000113A3" w:rsidP="000113A3">
      <w:pPr>
        <w:spacing w:before="240" w:line="360" w:lineRule="auto"/>
        <w:jc w:val="both"/>
        <w:rPr>
          <w:rFonts w:ascii="Arial" w:hAnsi="Arial" w:cs="Arial"/>
        </w:rPr>
      </w:pPr>
      <w:r w:rsidRPr="000113A3">
        <w:rPr>
          <w:rFonts w:ascii="Arial" w:hAnsi="Arial" w:cs="Arial"/>
        </w:rPr>
        <w:t xml:space="preserve">The health system of South Korea can be described as having a universal and highly centralised system of the National Health Insurance (NHI), which is all-inclusive and well-accessible to care (Rossi et al., 2022). Most importantly, the Korea Disease Control and Prevention Agency (KDCA) </w:t>
      </w:r>
      <w:r w:rsidR="00304324" w:rsidRPr="007A5C47">
        <w:rPr>
          <w:rFonts w:ascii="Arial" w:hAnsi="Arial" w:cs="Arial"/>
        </w:rPr>
        <w:t>form</w:t>
      </w:r>
      <w:r w:rsidRPr="000113A3">
        <w:rPr>
          <w:rFonts w:ascii="Arial" w:hAnsi="Arial" w:cs="Arial"/>
        </w:rPr>
        <w:t xml:space="preserve"> the basis of the public health infrastructure and is supported by a highly developed legislative framework that was enhanced by the lessons of the 2015 MERS outbreak (Lee et al., 2021). It is a very centralised framework and offers the government, mainly the KDCA, substantial powers to interfere in case of a crisis in the health of a specific population (Gopinathan, 2022). The typology of the system that unites universal health coverage with proactive, actively supported, legally promoted surveillance of the population served as a tipping point (Rossi et al., 2022).</w:t>
      </w:r>
    </w:p>
    <w:p w14:paraId="77BDA5E2" w14:textId="48900673" w:rsidR="000113A3" w:rsidRPr="007A5C47" w:rsidRDefault="000113A3" w:rsidP="00F2169A">
      <w:pPr>
        <w:pStyle w:val="Heading3"/>
      </w:pPr>
      <w:bookmarkStart w:id="15" w:name="_Toc216677890"/>
      <w:r w:rsidRPr="007A5C47">
        <w:t>2.2.2 Systems Approach Test-Trace-Isolate (TTI) and Data Centralisation</w:t>
      </w:r>
      <w:bookmarkEnd w:id="15"/>
    </w:p>
    <w:p w14:paraId="4191BCDF" w14:textId="77777777" w:rsidR="000113A3" w:rsidRDefault="000113A3" w:rsidP="000113A3">
      <w:pPr>
        <w:spacing w:before="240" w:line="360" w:lineRule="auto"/>
        <w:jc w:val="both"/>
        <w:rPr>
          <w:rFonts w:ascii="Arial" w:hAnsi="Arial" w:cs="Arial"/>
        </w:rPr>
      </w:pPr>
      <w:r w:rsidRPr="000113A3">
        <w:rPr>
          <w:rFonts w:ascii="Arial" w:hAnsi="Arial" w:cs="Arial"/>
        </w:rPr>
        <w:t>The effective system in South Korea was based on the so-called 3T strategy: widespread Testing, active Tracing, and efficient Treatment and isolation, all of which were implemented at an exceptionally high rate and with high transparency (Kim et al., 2020). The method heavily relied on centralised data gathering and technology.</w:t>
      </w:r>
    </w:p>
    <w:p w14:paraId="73D104AA" w14:textId="77777777" w:rsidR="009A54C5" w:rsidRDefault="00F2485C" w:rsidP="009A54C5">
      <w:pPr>
        <w:keepNext/>
        <w:spacing w:before="240" w:line="360" w:lineRule="auto"/>
        <w:jc w:val="center"/>
      </w:pPr>
      <w:r>
        <w:rPr>
          <w:rFonts w:ascii="Arial" w:hAnsi="Arial" w:cs="Arial"/>
          <w:noProof/>
          <w:lang w:eastAsia="en-GB"/>
        </w:rPr>
        <w:drawing>
          <wp:inline distT="0" distB="0" distL="0" distR="0" wp14:anchorId="67B71AB7" wp14:editId="5ED94512">
            <wp:extent cx="3460750" cy="1856220"/>
            <wp:effectExtent l="0" t="0" r="6350" b="0"/>
            <wp:docPr id="1167972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69407" cy="1860863"/>
                    </a:xfrm>
                    <a:prstGeom prst="rect">
                      <a:avLst/>
                    </a:prstGeom>
                    <a:noFill/>
                  </pic:spPr>
                </pic:pic>
              </a:graphicData>
            </a:graphic>
          </wp:inline>
        </w:drawing>
      </w:r>
    </w:p>
    <w:p w14:paraId="373253F7" w14:textId="43440EF8" w:rsidR="00F2485C" w:rsidRDefault="009A54C5" w:rsidP="009A54C5">
      <w:pPr>
        <w:pStyle w:val="Caption"/>
        <w:jc w:val="center"/>
      </w:pPr>
      <w:bookmarkStart w:id="16" w:name="_Toc216657016"/>
      <w:r>
        <w:t xml:space="preserve">Figure </w:t>
      </w:r>
      <w:r>
        <w:fldChar w:fldCharType="begin"/>
      </w:r>
      <w:r>
        <w:instrText xml:space="preserve"> SEQ Figure \* ARABIC </w:instrText>
      </w:r>
      <w:r>
        <w:fldChar w:fldCharType="separate"/>
      </w:r>
      <w:r w:rsidR="00142B5A">
        <w:rPr>
          <w:noProof/>
        </w:rPr>
        <w:t>3</w:t>
      </w:r>
      <w:r>
        <w:fldChar w:fldCharType="end"/>
      </w:r>
      <w:r>
        <w:t xml:space="preserve">: </w:t>
      </w:r>
      <w:r w:rsidRPr="00C24049">
        <w:t>South Korea COVID-19 Infection Trends from 20 January 2020 to 30 June 2020.</w:t>
      </w:r>
      <w:bookmarkEnd w:id="16"/>
    </w:p>
    <w:p w14:paraId="1414FF90" w14:textId="0E25AAC4" w:rsidR="009A54C5" w:rsidRPr="000113A3" w:rsidRDefault="009A54C5" w:rsidP="00531F67">
      <w:pPr>
        <w:jc w:val="center"/>
        <w:rPr>
          <w:rFonts w:ascii="Arial" w:hAnsi="Arial" w:cs="Arial"/>
        </w:rPr>
      </w:pPr>
      <w:r w:rsidRPr="00531F67">
        <w:rPr>
          <w:rFonts w:ascii="Arial" w:hAnsi="Arial" w:cs="Arial"/>
          <w:b/>
          <w:bCs/>
        </w:rPr>
        <w:t>Source:</w:t>
      </w:r>
      <w:r w:rsidRPr="00531F67">
        <w:rPr>
          <w:rFonts w:ascii="Arial" w:hAnsi="Arial" w:cs="Arial"/>
        </w:rPr>
        <w:t xml:space="preserve"> </w:t>
      </w:r>
      <w:hyperlink r:id="rId17" w:history="1">
        <w:r w:rsidR="00531F67" w:rsidRPr="00531F67">
          <w:rPr>
            <w:rStyle w:val="Hyperlink"/>
            <w:rFonts w:ascii="Arial" w:hAnsi="Arial" w:cs="Arial"/>
          </w:rPr>
          <w:t>KCDC (2020)</w:t>
        </w:r>
      </w:hyperlink>
    </w:p>
    <w:p w14:paraId="0F0794E6" w14:textId="77777777" w:rsidR="000113A3" w:rsidRPr="000113A3" w:rsidRDefault="000113A3" w:rsidP="000113A3">
      <w:pPr>
        <w:spacing w:before="240" w:line="360" w:lineRule="auto"/>
        <w:jc w:val="both"/>
        <w:rPr>
          <w:rFonts w:ascii="Arial" w:hAnsi="Arial" w:cs="Arial"/>
        </w:rPr>
      </w:pPr>
      <w:r w:rsidRPr="000113A3">
        <w:rPr>
          <w:rFonts w:ascii="Arial" w:hAnsi="Arial" w:cs="Arial"/>
        </w:rPr>
        <w:t xml:space="preserve">Revisions of the Infectious Disease Control and Prevention Act of 2015 (CDPCA) gave KDCA the ability to gather personal data, such as GPS location, credit cards, and CCTV, speedily </w:t>
      </w:r>
      <w:r w:rsidRPr="000113A3">
        <w:rPr>
          <w:rFonts w:ascii="Arial" w:hAnsi="Arial" w:cs="Arial"/>
        </w:rPr>
        <w:lastRenderedPageBreak/>
        <w:t>and straightforwardly to conduct epidemiological testing of the population (Park et al., 2020). It was possible to quickly identify transmission groups and contacts without the use of the economically harmful and widespread lockdowns (Lee et al., 2021). Moreover, the government's centralised power quickly enlisted the efforts of the private sector to manufacture diagnostic testing kits within several weeks of the initial positive case, reflecting an effective market-network hybrid system coordinated by a highly hierarchical central authority (Kim et al., 2020).</w:t>
      </w:r>
    </w:p>
    <w:p w14:paraId="30E805E3" w14:textId="589A55F6" w:rsidR="000113A3" w:rsidRPr="007A5C47" w:rsidRDefault="000113A3" w:rsidP="00F2169A">
      <w:pPr>
        <w:pStyle w:val="Heading3"/>
      </w:pPr>
      <w:bookmarkStart w:id="17" w:name="_Toc216677891"/>
      <w:r w:rsidRPr="007A5C47">
        <w:t>2.2.3 Benefits and Beneficial Results of Surveillance Centralisation</w:t>
      </w:r>
      <w:bookmarkEnd w:id="17"/>
    </w:p>
    <w:p w14:paraId="50369022" w14:textId="77777777" w:rsidR="000113A3" w:rsidRPr="000113A3" w:rsidRDefault="000113A3" w:rsidP="000113A3">
      <w:pPr>
        <w:spacing w:before="240" w:line="360" w:lineRule="auto"/>
        <w:jc w:val="both"/>
        <w:rPr>
          <w:rFonts w:ascii="Arial" w:hAnsi="Arial" w:cs="Arial"/>
        </w:rPr>
      </w:pPr>
      <w:r w:rsidRPr="000113A3">
        <w:rPr>
          <w:rFonts w:ascii="Arial" w:hAnsi="Arial" w:cs="Arial"/>
        </w:rPr>
        <w:t>The results of the highly centralised approach were highly favourable for health and economic reasons (Kim et al., 2020):</w:t>
      </w:r>
    </w:p>
    <w:p w14:paraId="58444ACE" w14:textId="77777777" w:rsidR="000113A3" w:rsidRPr="007A5C47" w:rsidRDefault="000113A3" w:rsidP="00884663">
      <w:pPr>
        <w:pStyle w:val="ListParagraph"/>
        <w:numPr>
          <w:ilvl w:val="0"/>
          <w:numId w:val="14"/>
        </w:numPr>
        <w:spacing w:before="240" w:line="360" w:lineRule="auto"/>
        <w:jc w:val="both"/>
        <w:rPr>
          <w:rFonts w:ascii="Arial" w:hAnsi="Arial" w:cs="Arial"/>
        </w:rPr>
      </w:pPr>
      <w:r w:rsidRPr="007A5C47">
        <w:rPr>
          <w:rFonts w:ascii="Arial" w:hAnsi="Arial" w:cs="Arial"/>
          <w:b/>
          <w:bCs/>
        </w:rPr>
        <w:t>Light, Quick, and Simple Containment and Controlled Disruption:</w:t>
      </w:r>
      <w:r w:rsidRPr="007A5C47">
        <w:rPr>
          <w:rFonts w:ascii="Arial" w:hAnsi="Arial" w:cs="Arial"/>
        </w:rPr>
        <w:t xml:space="preserve"> South Korea was able to quickly identify and isolate cases, thereby avoiding the process of flattening the curve, which was disastrous in other developed nations, by imposing strict limitations on international travel that caused significant economic harm (Lee et al., 2021).</w:t>
      </w:r>
    </w:p>
    <w:p w14:paraId="4EF6B499" w14:textId="77777777" w:rsidR="000113A3" w:rsidRPr="007A5C47" w:rsidRDefault="000113A3" w:rsidP="00884663">
      <w:pPr>
        <w:pStyle w:val="ListParagraph"/>
        <w:numPr>
          <w:ilvl w:val="0"/>
          <w:numId w:val="14"/>
        </w:numPr>
        <w:spacing w:before="240" w:line="360" w:lineRule="auto"/>
        <w:jc w:val="both"/>
        <w:rPr>
          <w:rFonts w:ascii="Arial" w:hAnsi="Arial" w:cs="Arial"/>
        </w:rPr>
      </w:pPr>
      <w:r w:rsidRPr="007A5C47">
        <w:rPr>
          <w:rFonts w:ascii="Arial" w:hAnsi="Arial" w:cs="Arial"/>
          <w:b/>
          <w:bCs/>
        </w:rPr>
        <w:t>Efficiency and Uniformity:</w:t>
      </w:r>
      <w:r w:rsidRPr="007A5C47">
        <w:rPr>
          <w:rFonts w:ascii="Arial" w:hAnsi="Arial" w:cs="Arial"/>
        </w:rPr>
        <w:t xml:space="preserve"> central control was used to guarantee a uniform and quality response throughout the country. This allowed the KDCA to immediately adopt innovations such as drive-through and walk-through testing centres, which were able to provide fair and easy access to testing by all citizens (Rossi et al., 2022).</w:t>
      </w:r>
    </w:p>
    <w:p w14:paraId="697B43C5" w14:textId="77777777" w:rsidR="000113A3" w:rsidRPr="007A5C47" w:rsidRDefault="000113A3" w:rsidP="00884663">
      <w:pPr>
        <w:pStyle w:val="ListParagraph"/>
        <w:numPr>
          <w:ilvl w:val="0"/>
          <w:numId w:val="14"/>
        </w:numPr>
        <w:spacing w:before="240" w:line="360" w:lineRule="auto"/>
        <w:jc w:val="both"/>
        <w:rPr>
          <w:rFonts w:ascii="Arial" w:hAnsi="Arial" w:cs="Arial"/>
        </w:rPr>
      </w:pPr>
      <w:r w:rsidRPr="007A5C47">
        <w:rPr>
          <w:rFonts w:ascii="Arial" w:hAnsi="Arial" w:cs="Arial"/>
          <w:b/>
          <w:bCs/>
        </w:rPr>
        <w:t>Public Trust and Compliance:</w:t>
      </w:r>
      <w:r w:rsidRPr="007A5C47">
        <w:rPr>
          <w:rFonts w:ascii="Arial" w:hAnsi="Arial" w:cs="Arial"/>
        </w:rPr>
        <w:t xml:space="preserve"> The government was very transparent due to the use of press briefings twice a day and sharing information about outbreaks, which helped in civic engagement and voluntary adherence to public health (Kim et al., 2020).</w:t>
      </w:r>
    </w:p>
    <w:p w14:paraId="38E3D5E0" w14:textId="34A4D1E1" w:rsidR="000113A3" w:rsidRPr="007A5C47" w:rsidRDefault="000113A3" w:rsidP="00884663">
      <w:pPr>
        <w:pStyle w:val="Heading3"/>
      </w:pPr>
      <w:bookmarkStart w:id="18" w:name="_Toc216677892"/>
      <w:r w:rsidRPr="007A5C47">
        <w:t>2.2.4 Con demerits and Problems: Privacy and Ethical issues</w:t>
      </w:r>
      <w:bookmarkEnd w:id="18"/>
    </w:p>
    <w:p w14:paraId="1790CF24" w14:textId="77777777" w:rsidR="000113A3" w:rsidRPr="000113A3" w:rsidRDefault="000113A3" w:rsidP="000113A3">
      <w:pPr>
        <w:spacing w:before="240" w:line="360" w:lineRule="auto"/>
        <w:jc w:val="both"/>
        <w:rPr>
          <w:rFonts w:ascii="Arial" w:hAnsi="Arial" w:cs="Arial"/>
        </w:rPr>
      </w:pPr>
      <w:r w:rsidRPr="000113A3">
        <w:rPr>
          <w:rFonts w:ascii="Arial" w:hAnsi="Arial" w:cs="Arial"/>
        </w:rPr>
        <w:t>Although successful, the centralised data-driven strategy created a lot of ethical and social issues (Gopinathan, 2022):</w:t>
      </w:r>
    </w:p>
    <w:p w14:paraId="2967469C" w14:textId="77777777" w:rsidR="000113A3" w:rsidRPr="007A5C47" w:rsidRDefault="000113A3" w:rsidP="00D77CED">
      <w:pPr>
        <w:pStyle w:val="ListParagraph"/>
        <w:numPr>
          <w:ilvl w:val="0"/>
          <w:numId w:val="15"/>
        </w:numPr>
        <w:spacing w:before="240" w:line="360" w:lineRule="auto"/>
        <w:jc w:val="both"/>
        <w:rPr>
          <w:rFonts w:ascii="Arial" w:hAnsi="Arial" w:cs="Arial"/>
        </w:rPr>
      </w:pPr>
      <w:r w:rsidRPr="007A5C47">
        <w:rPr>
          <w:rFonts w:ascii="Arial" w:hAnsi="Arial" w:cs="Arial"/>
          <w:b/>
          <w:bCs/>
        </w:rPr>
        <w:t>Privacy Violations:</w:t>
      </w:r>
      <w:r w:rsidRPr="007A5C47">
        <w:rPr>
          <w:rFonts w:ascii="Arial" w:hAnsi="Arial" w:cs="Arial"/>
        </w:rPr>
        <w:t xml:space="preserve"> The active application of ICT and the collection of personal data in granules, even legally allowed by the CDPCA, was of concern, as the issue of privacy infringement and surveillance appeared. Although identifiers were removed prior to disclosure to the public, the information, like travel routes and residential area, could help the public infer the identity of the confirmed cases without intending to do so (Gopinathan, 2022).</w:t>
      </w:r>
    </w:p>
    <w:p w14:paraId="7A0CA0CA" w14:textId="77777777" w:rsidR="000113A3" w:rsidRPr="007A5C47" w:rsidRDefault="000113A3" w:rsidP="00D77CED">
      <w:pPr>
        <w:pStyle w:val="ListParagraph"/>
        <w:numPr>
          <w:ilvl w:val="0"/>
          <w:numId w:val="15"/>
        </w:numPr>
        <w:spacing w:before="240" w:line="360" w:lineRule="auto"/>
        <w:jc w:val="both"/>
        <w:rPr>
          <w:rFonts w:ascii="Arial" w:hAnsi="Arial" w:cs="Arial"/>
        </w:rPr>
      </w:pPr>
      <w:r w:rsidRPr="007A5C47">
        <w:rPr>
          <w:rFonts w:ascii="Arial" w:hAnsi="Arial" w:cs="Arial"/>
          <w:b/>
          <w:bCs/>
        </w:rPr>
        <w:t>Social Stigmatisation:</w:t>
      </w:r>
      <w:r w:rsidRPr="007A5C47">
        <w:rPr>
          <w:rFonts w:ascii="Arial" w:hAnsi="Arial" w:cs="Arial"/>
        </w:rPr>
        <w:t xml:space="preserve"> The extensive information on patient trajectories occasionally caused extreme social blame, stigmatisation, and even threats on infected people (Lee </w:t>
      </w:r>
      <w:r w:rsidRPr="007A5C47">
        <w:rPr>
          <w:rFonts w:ascii="Arial" w:hAnsi="Arial" w:cs="Arial"/>
        </w:rPr>
        <w:lastRenderedPageBreak/>
        <w:t>et al., 2021). Such a tension reflects a complicated ethical compromise between the need to protect the health of the population and the democratic protection of personal data (Gopinathan, 2022).</w:t>
      </w:r>
    </w:p>
    <w:p w14:paraId="51816895" w14:textId="77777777" w:rsidR="000113A3" w:rsidRPr="007A5C47" w:rsidRDefault="000113A3" w:rsidP="00D77CED">
      <w:pPr>
        <w:pStyle w:val="ListParagraph"/>
        <w:numPr>
          <w:ilvl w:val="0"/>
          <w:numId w:val="15"/>
        </w:numPr>
        <w:spacing w:before="240" w:line="360" w:lineRule="auto"/>
        <w:jc w:val="both"/>
        <w:rPr>
          <w:rFonts w:ascii="Arial" w:hAnsi="Arial" w:cs="Arial"/>
        </w:rPr>
      </w:pPr>
      <w:r w:rsidRPr="007A5C47">
        <w:rPr>
          <w:rFonts w:ascii="Arial" w:hAnsi="Arial" w:cs="Arial"/>
          <w:b/>
          <w:bCs/>
        </w:rPr>
        <w:t>Sustainability and Future Precedent:</w:t>
      </w:r>
      <w:r w:rsidRPr="007A5C47">
        <w:rPr>
          <w:rFonts w:ascii="Arial" w:hAnsi="Arial" w:cs="Arial"/>
        </w:rPr>
        <w:t xml:space="preserve"> The critics mentioned that the centralised system was quite successful in the short term, but the long-term sustainability of the centralised system depends on further public consent, and the legal culture of overriding privacy during the crisis creates the precedent that can be misused or abused in the future when the crisis is not a pandemic (Park et al., 2020).</w:t>
      </w:r>
    </w:p>
    <w:p w14:paraId="6C95F810" w14:textId="71112A3F" w:rsidR="000113A3" w:rsidRPr="007A5C47" w:rsidRDefault="000113A3" w:rsidP="005A0CE5">
      <w:pPr>
        <w:pStyle w:val="Heading2"/>
      </w:pPr>
      <w:bookmarkStart w:id="19" w:name="_Toc216677893"/>
      <w:r w:rsidRPr="007A5C47">
        <w:t>2.3 Canada: Multi-Level Governance and Decentralised Federalism</w:t>
      </w:r>
      <w:bookmarkEnd w:id="19"/>
    </w:p>
    <w:p w14:paraId="505A7925" w14:textId="421EA900" w:rsidR="000113A3" w:rsidRPr="007A5C47" w:rsidRDefault="00DD2EBF" w:rsidP="00DD2EBF">
      <w:pPr>
        <w:pStyle w:val="Heading3"/>
      </w:pPr>
      <w:bookmarkStart w:id="20" w:name="_Toc216677894"/>
      <w:r w:rsidRPr="007A5C47">
        <w:t>2.3.1 Canadian Healthcare System Typology: Decentralised provincial Authority</w:t>
      </w:r>
      <w:bookmarkEnd w:id="20"/>
    </w:p>
    <w:p w14:paraId="39E659AF" w14:textId="77777777" w:rsidR="000113A3" w:rsidRDefault="000113A3" w:rsidP="000113A3">
      <w:pPr>
        <w:spacing w:before="240" w:line="360" w:lineRule="auto"/>
        <w:jc w:val="both"/>
        <w:rPr>
          <w:rFonts w:ascii="Arial" w:hAnsi="Arial" w:cs="Arial"/>
        </w:rPr>
      </w:pPr>
      <w:r w:rsidRPr="000113A3">
        <w:rPr>
          <w:rFonts w:ascii="Arial" w:hAnsi="Arial" w:cs="Arial"/>
        </w:rPr>
        <w:t>The health system in Canada is strictly overly decentralised, which is characteristic of the federal system of the country (McGrail, 2022). The 10 provinces and three territories (P/Ts) under the Constitution Act, 1867, have the main responsibility of managing, organising and delivering health services, including most of the public health functions. Federal government (Health Canada) continues to have significant roles in national leadership, border control, surveillance of public health (via the Public Health Agency of Canada, PHAC), and provision of financial transfer to the P/Ts (Canadian Public Health Association, 2021). The result of this distribution of power is the establishment of a multi-level system of government, where the coordination of the country necessitates negotiations and cooperation instead of commands (</w:t>
      </w:r>
      <w:proofErr w:type="spellStart"/>
      <w:r w:rsidRPr="000113A3">
        <w:rPr>
          <w:rFonts w:ascii="Arial" w:hAnsi="Arial" w:cs="Arial"/>
        </w:rPr>
        <w:t>Pestieau</w:t>
      </w:r>
      <w:proofErr w:type="spellEnd"/>
      <w:r w:rsidRPr="000113A3">
        <w:rPr>
          <w:rFonts w:ascii="Arial" w:hAnsi="Arial" w:cs="Arial"/>
        </w:rPr>
        <w:t xml:space="preserve"> et al., 2020).</w:t>
      </w:r>
    </w:p>
    <w:p w14:paraId="18C976D0" w14:textId="77777777" w:rsidR="00A308F6" w:rsidRDefault="0097292F" w:rsidP="00A308F6">
      <w:pPr>
        <w:keepNext/>
        <w:spacing w:before="240" w:line="360" w:lineRule="auto"/>
        <w:jc w:val="center"/>
      </w:pPr>
      <w:r>
        <w:rPr>
          <w:rFonts w:ascii="Arial" w:hAnsi="Arial" w:cs="Arial"/>
          <w:noProof/>
          <w:lang w:eastAsia="en-GB"/>
        </w:rPr>
        <w:drawing>
          <wp:inline distT="0" distB="0" distL="0" distR="0" wp14:anchorId="16BE9925" wp14:editId="3DAA0E28">
            <wp:extent cx="3280347" cy="1924050"/>
            <wp:effectExtent l="0" t="0" r="0" b="0"/>
            <wp:docPr id="14025036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290134" cy="1929790"/>
                    </a:xfrm>
                    <a:prstGeom prst="rect">
                      <a:avLst/>
                    </a:prstGeom>
                    <a:noFill/>
                  </pic:spPr>
                </pic:pic>
              </a:graphicData>
            </a:graphic>
          </wp:inline>
        </w:drawing>
      </w:r>
    </w:p>
    <w:p w14:paraId="11AFEFE5" w14:textId="37CC2124" w:rsidR="00CF7199" w:rsidRDefault="00A308F6" w:rsidP="00A308F6">
      <w:pPr>
        <w:pStyle w:val="Caption"/>
        <w:jc w:val="center"/>
      </w:pPr>
      <w:bookmarkStart w:id="21" w:name="_Toc216657017"/>
      <w:r>
        <w:t xml:space="preserve">Figure </w:t>
      </w:r>
      <w:r>
        <w:fldChar w:fldCharType="begin"/>
      </w:r>
      <w:r>
        <w:instrText xml:space="preserve"> SEQ Figure \* ARABIC </w:instrText>
      </w:r>
      <w:r>
        <w:fldChar w:fldCharType="separate"/>
      </w:r>
      <w:r w:rsidR="00142B5A">
        <w:rPr>
          <w:noProof/>
        </w:rPr>
        <w:t>4</w:t>
      </w:r>
      <w:r>
        <w:fldChar w:fldCharType="end"/>
      </w:r>
      <w:r>
        <w:t xml:space="preserve">: </w:t>
      </w:r>
      <w:r w:rsidRPr="009209AA">
        <w:t>Federal support to provinces and territories (billions of dollars).</w:t>
      </w:r>
      <w:bookmarkEnd w:id="21"/>
    </w:p>
    <w:p w14:paraId="1BB7624D" w14:textId="4526CCC4" w:rsidR="00A308F6" w:rsidRPr="000113A3" w:rsidRDefault="00A308F6" w:rsidP="001C5FDA">
      <w:pPr>
        <w:jc w:val="center"/>
        <w:rPr>
          <w:rFonts w:ascii="Arial" w:hAnsi="Arial" w:cs="Arial"/>
        </w:rPr>
      </w:pPr>
      <w:r w:rsidRPr="001C5FDA">
        <w:rPr>
          <w:rFonts w:ascii="Arial" w:hAnsi="Arial" w:cs="Arial"/>
          <w:b/>
          <w:bCs/>
        </w:rPr>
        <w:t>Source:</w:t>
      </w:r>
      <w:r w:rsidRPr="001C5FDA">
        <w:rPr>
          <w:rFonts w:ascii="Arial" w:hAnsi="Arial" w:cs="Arial"/>
        </w:rPr>
        <w:t xml:space="preserve"> </w:t>
      </w:r>
      <w:hyperlink r:id="rId19" w:anchor="notes" w:history="1">
        <w:r w:rsidR="001C5FDA" w:rsidRPr="001C5FDA">
          <w:rPr>
            <w:rStyle w:val="Hyperlink"/>
            <w:rFonts w:ascii="Arial" w:hAnsi="Arial" w:cs="Arial"/>
          </w:rPr>
          <w:t>canada.ca</w:t>
        </w:r>
      </w:hyperlink>
    </w:p>
    <w:p w14:paraId="550B4EDD" w14:textId="6EDCED1F" w:rsidR="000113A3" w:rsidRPr="007A5C47" w:rsidRDefault="000113A3" w:rsidP="005A0CE5">
      <w:pPr>
        <w:pStyle w:val="Heading3"/>
      </w:pPr>
      <w:bookmarkStart w:id="22" w:name="_Toc216677895"/>
      <w:r w:rsidRPr="007A5C47">
        <w:lastRenderedPageBreak/>
        <w:t>2.3.2 Federal Leadership and Provincial Variation Systems Approach</w:t>
      </w:r>
      <w:bookmarkEnd w:id="22"/>
    </w:p>
    <w:p w14:paraId="2DDD4848" w14:textId="77777777" w:rsidR="000113A3" w:rsidRPr="000113A3" w:rsidRDefault="000113A3" w:rsidP="000113A3">
      <w:pPr>
        <w:spacing w:before="240" w:line="360" w:lineRule="auto"/>
        <w:jc w:val="both"/>
        <w:rPr>
          <w:rFonts w:ascii="Arial" w:hAnsi="Arial" w:cs="Arial"/>
        </w:rPr>
      </w:pPr>
      <w:r w:rsidRPr="000113A3">
        <w:rPr>
          <w:rFonts w:ascii="Arial" w:hAnsi="Arial" w:cs="Arial"/>
        </w:rPr>
        <w:t>The system approach in Canada was always the process of negotiation between centralised federal requirements and the decentralised provincial implementation (</w:t>
      </w:r>
      <w:proofErr w:type="spellStart"/>
      <w:r w:rsidRPr="000113A3">
        <w:rPr>
          <w:rFonts w:ascii="Arial" w:hAnsi="Arial" w:cs="Arial"/>
        </w:rPr>
        <w:t>Pestieau</w:t>
      </w:r>
      <w:proofErr w:type="spellEnd"/>
      <w:r w:rsidRPr="000113A3">
        <w:rPr>
          <w:rFonts w:ascii="Arial" w:hAnsi="Arial" w:cs="Arial"/>
        </w:rPr>
        <w:t xml:space="preserve"> et al., 2020). The first reaction experienced a large range of variation in the health measures of the population:</w:t>
      </w:r>
    </w:p>
    <w:p w14:paraId="1D2ABD63" w14:textId="77777777" w:rsidR="000113A3" w:rsidRPr="007A5C47" w:rsidRDefault="000113A3" w:rsidP="005A0CE5">
      <w:pPr>
        <w:pStyle w:val="ListParagraph"/>
        <w:numPr>
          <w:ilvl w:val="0"/>
          <w:numId w:val="16"/>
        </w:numPr>
        <w:spacing w:before="240" w:line="360" w:lineRule="auto"/>
        <w:jc w:val="both"/>
        <w:rPr>
          <w:rFonts w:ascii="Arial" w:hAnsi="Arial" w:cs="Arial"/>
        </w:rPr>
      </w:pPr>
      <w:r w:rsidRPr="007A5C47">
        <w:rPr>
          <w:rFonts w:ascii="Arial" w:hAnsi="Arial" w:cs="Arial"/>
          <w:b/>
          <w:bCs/>
        </w:rPr>
        <w:t>Decentralised Implementation:</w:t>
      </w:r>
      <w:r w:rsidRPr="007A5C47">
        <w:rPr>
          <w:rFonts w:ascii="Arial" w:hAnsi="Arial" w:cs="Arial"/>
        </w:rPr>
        <w:t xml:space="preserve"> The provinces used their constitutional power to implement policies of their own regarding lockdowns, school closures, testing strategies and resource distribution. This resulted in dramatic changes in the rates and amounts of cases and deaths in the region, with some remaining provinces, such as Ontario and Quebec, having greatly more initial mortality, especially in long-term care facilities, when compared to smaller jurisdictions (</w:t>
      </w:r>
      <w:proofErr w:type="spellStart"/>
      <w:r w:rsidRPr="007A5C47">
        <w:rPr>
          <w:rFonts w:ascii="Arial" w:hAnsi="Arial" w:cs="Arial"/>
        </w:rPr>
        <w:t>McGrail</w:t>
      </w:r>
      <w:proofErr w:type="spellEnd"/>
      <w:r w:rsidRPr="007A5C47">
        <w:rPr>
          <w:rFonts w:ascii="Arial" w:hAnsi="Arial" w:cs="Arial"/>
        </w:rPr>
        <w:t xml:space="preserve">, 2022; </w:t>
      </w:r>
      <w:proofErr w:type="spellStart"/>
      <w:r w:rsidRPr="007A5C47">
        <w:rPr>
          <w:rFonts w:ascii="Arial" w:hAnsi="Arial" w:cs="Arial"/>
        </w:rPr>
        <w:t>Pestieau</w:t>
      </w:r>
      <w:proofErr w:type="spellEnd"/>
      <w:r w:rsidRPr="007A5C47">
        <w:rPr>
          <w:rFonts w:ascii="Arial" w:hAnsi="Arial" w:cs="Arial"/>
        </w:rPr>
        <w:t xml:space="preserve"> et al., 2020).</w:t>
      </w:r>
    </w:p>
    <w:p w14:paraId="0BB04088" w14:textId="77777777" w:rsidR="000113A3" w:rsidRPr="007A5C47" w:rsidRDefault="000113A3" w:rsidP="005A0CE5">
      <w:pPr>
        <w:pStyle w:val="ListParagraph"/>
        <w:numPr>
          <w:ilvl w:val="0"/>
          <w:numId w:val="16"/>
        </w:numPr>
        <w:spacing w:before="240" w:line="360" w:lineRule="auto"/>
        <w:jc w:val="both"/>
        <w:rPr>
          <w:rFonts w:ascii="Arial" w:hAnsi="Arial" w:cs="Arial"/>
        </w:rPr>
      </w:pPr>
      <w:r w:rsidRPr="007A5C47">
        <w:rPr>
          <w:rFonts w:ascii="Arial" w:hAnsi="Arial" w:cs="Arial"/>
          <w:b/>
          <w:bCs/>
        </w:rPr>
        <w:t>Centralised Federal Functions:</w:t>
      </w:r>
      <w:r w:rsidRPr="007A5C47">
        <w:rPr>
          <w:rFonts w:ascii="Arial" w:hAnsi="Arial" w:cs="Arial"/>
        </w:rPr>
        <w:t xml:space="preserve"> The Federal government had to play an enlarged centralised role in areas where the provinces could not respond or where a national response was needed. This included:</w:t>
      </w:r>
    </w:p>
    <w:p w14:paraId="03A8526A" w14:textId="77777777" w:rsidR="000113A3" w:rsidRPr="007A5C47" w:rsidRDefault="000113A3" w:rsidP="00785252">
      <w:pPr>
        <w:pStyle w:val="ListParagraph"/>
        <w:numPr>
          <w:ilvl w:val="0"/>
          <w:numId w:val="16"/>
        </w:numPr>
        <w:spacing w:before="240" w:line="360" w:lineRule="auto"/>
        <w:jc w:val="both"/>
        <w:rPr>
          <w:rFonts w:ascii="Arial" w:hAnsi="Arial" w:cs="Arial"/>
        </w:rPr>
      </w:pPr>
      <w:r w:rsidRPr="007A5C47">
        <w:rPr>
          <w:rFonts w:ascii="Arial" w:hAnsi="Arial" w:cs="Arial"/>
          <w:b/>
          <w:bCs/>
        </w:rPr>
        <w:t>Border Controls and Quarantine:</w:t>
      </w:r>
      <w:r w:rsidRPr="007A5C47">
        <w:rPr>
          <w:rFonts w:ascii="Arial" w:hAnsi="Arial" w:cs="Arial"/>
        </w:rPr>
        <w:t xml:space="preserve"> Implementation of national travelling and quarantine.</w:t>
      </w:r>
    </w:p>
    <w:p w14:paraId="6B6E580A" w14:textId="77777777" w:rsidR="000113A3" w:rsidRPr="007A5C47" w:rsidRDefault="000113A3" w:rsidP="00785252">
      <w:pPr>
        <w:pStyle w:val="ListParagraph"/>
        <w:numPr>
          <w:ilvl w:val="0"/>
          <w:numId w:val="16"/>
        </w:numPr>
        <w:spacing w:before="240" w:line="360" w:lineRule="auto"/>
        <w:jc w:val="both"/>
        <w:rPr>
          <w:rFonts w:ascii="Arial" w:hAnsi="Arial" w:cs="Arial"/>
        </w:rPr>
      </w:pPr>
      <w:r w:rsidRPr="007A5C47">
        <w:rPr>
          <w:rFonts w:ascii="Arial" w:hAnsi="Arial" w:cs="Arial"/>
          <w:b/>
          <w:bCs/>
        </w:rPr>
        <w:t>National Procurement:</w:t>
      </w:r>
      <w:r w:rsidRPr="007A5C47">
        <w:rPr>
          <w:rFonts w:ascii="Arial" w:hAnsi="Arial" w:cs="Arial"/>
        </w:rPr>
        <w:t xml:space="preserve"> Interfering to purchase essential medical equipment (PPE and, subsequently, vaccines) when provincial supplies were inadequate during shortages at the global level (</w:t>
      </w:r>
      <w:proofErr w:type="spellStart"/>
      <w:r w:rsidRPr="007A5C47">
        <w:rPr>
          <w:rFonts w:ascii="Arial" w:hAnsi="Arial" w:cs="Arial"/>
        </w:rPr>
        <w:t>Pestieau</w:t>
      </w:r>
      <w:proofErr w:type="spellEnd"/>
      <w:r w:rsidRPr="007A5C47">
        <w:rPr>
          <w:rFonts w:ascii="Arial" w:hAnsi="Arial" w:cs="Arial"/>
        </w:rPr>
        <w:t xml:space="preserve"> et al., 2020).</w:t>
      </w:r>
    </w:p>
    <w:p w14:paraId="033465EE" w14:textId="14CE72DA" w:rsidR="000113A3" w:rsidRPr="007A5C47" w:rsidRDefault="000113A3" w:rsidP="00785252">
      <w:pPr>
        <w:pStyle w:val="Heading3"/>
      </w:pPr>
      <w:bookmarkStart w:id="23" w:name="_Toc216677896"/>
      <w:r w:rsidRPr="007A5C47">
        <w:t>2.3.3 Benefits and Good Results of Decentralised/Localised Response</w:t>
      </w:r>
      <w:bookmarkEnd w:id="23"/>
    </w:p>
    <w:p w14:paraId="0C371D54" w14:textId="77777777" w:rsidR="000113A3" w:rsidRPr="000113A3" w:rsidRDefault="000113A3" w:rsidP="000113A3">
      <w:pPr>
        <w:spacing w:before="240" w:line="360" w:lineRule="auto"/>
        <w:jc w:val="both"/>
        <w:rPr>
          <w:rFonts w:ascii="Arial" w:hAnsi="Arial" w:cs="Arial"/>
        </w:rPr>
      </w:pPr>
      <w:r w:rsidRPr="000113A3">
        <w:rPr>
          <w:rFonts w:ascii="Arial" w:hAnsi="Arial" w:cs="Arial"/>
        </w:rPr>
        <w:t>However, the decentralised system had some advantages, although it initially presented some difficulties (Canadian Public Health Association, 2021):</w:t>
      </w:r>
    </w:p>
    <w:p w14:paraId="396CC608" w14:textId="77777777" w:rsidR="000113A3" w:rsidRPr="007A5C47" w:rsidRDefault="000113A3" w:rsidP="00785252">
      <w:pPr>
        <w:pStyle w:val="ListParagraph"/>
        <w:numPr>
          <w:ilvl w:val="0"/>
          <w:numId w:val="17"/>
        </w:numPr>
        <w:spacing w:before="240" w:line="360" w:lineRule="auto"/>
        <w:jc w:val="both"/>
        <w:rPr>
          <w:rFonts w:ascii="Arial" w:hAnsi="Arial" w:cs="Arial"/>
        </w:rPr>
      </w:pPr>
      <w:r w:rsidRPr="007A5C47">
        <w:rPr>
          <w:rFonts w:ascii="Arial" w:hAnsi="Arial" w:cs="Arial"/>
          <w:b/>
          <w:bCs/>
        </w:rPr>
        <w:t>Customised Response:</w:t>
      </w:r>
      <w:r w:rsidRPr="007A5C47">
        <w:rPr>
          <w:rFonts w:ascii="Arial" w:hAnsi="Arial" w:cs="Arial"/>
        </w:rPr>
        <w:t xml:space="preserve"> Provincial governments might customise the public health response (e.g., lockdown intensity, reopening phases) to the epidemiological characteristics of the region, geographic barriers, and socioeconomic complexities of those areas, including the differentiated approach that remote Indigenous communities need (McGrail, 2022).</w:t>
      </w:r>
    </w:p>
    <w:p w14:paraId="1CF5F951" w14:textId="77777777" w:rsidR="000113A3" w:rsidRPr="007A5C47" w:rsidRDefault="000113A3" w:rsidP="00785252">
      <w:pPr>
        <w:pStyle w:val="ListParagraph"/>
        <w:numPr>
          <w:ilvl w:val="0"/>
          <w:numId w:val="17"/>
        </w:numPr>
        <w:spacing w:before="240" w:line="360" w:lineRule="auto"/>
        <w:jc w:val="both"/>
        <w:rPr>
          <w:rFonts w:ascii="Arial" w:hAnsi="Arial" w:cs="Arial"/>
        </w:rPr>
      </w:pPr>
      <w:r w:rsidRPr="007A5C47">
        <w:rPr>
          <w:rFonts w:ascii="Arial" w:hAnsi="Arial" w:cs="Arial"/>
          <w:b/>
          <w:bCs/>
        </w:rPr>
        <w:t>Local Resilience:</w:t>
      </w:r>
      <w:r w:rsidRPr="007A5C47">
        <w:rPr>
          <w:rFonts w:ascii="Arial" w:hAnsi="Arial" w:cs="Arial"/>
        </w:rPr>
        <w:t xml:space="preserve"> The provincial autonomy was very high, and the regional authorities were quick to mobilise local resources to address the regional needs and made it possible to be more resilient in the local delivery of services once the supply chains were stabilised (Canadian Public Health Association, 2021).</w:t>
      </w:r>
    </w:p>
    <w:p w14:paraId="236A4982" w14:textId="0A5F0F25" w:rsidR="000113A3" w:rsidRPr="007A5C47" w:rsidRDefault="000113A3" w:rsidP="00785252">
      <w:pPr>
        <w:pStyle w:val="Heading3"/>
      </w:pPr>
      <w:bookmarkStart w:id="24" w:name="_Toc216677897"/>
      <w:r w:rsidRPr="007A5C47">
        <w:lastRenderedPageBreak/>
        <w:t>2.3.4 Negative Implications and Problems: Inter-Jurisdictional Conflict and Supply Chain Failure</w:t>
      </w:r>
      <w:bookmarkEnd w:id="24"/>
    </w:p>
    <w:p w14:paraId="3F92B2BB" w14:textId="77777777" w:rsidR="000113A3" w:rsidRPr="000113A3" w:rsidRDefault="000113A3" w:rsidP="000113A3">
      <w:pPr>
        <w:spacing w:before="240" w:line="360" w:lineRule="auto"/>
        <w:jc w:val="both"/>
        <w:rPr>
          <w:rFonts w:ascii="Arial" w:hAnsi="Arial" w:cs="Arial"/>
        </w:rPr>
      </w:pPr>
      <w:r w:rsidRPr="000113A3">
        <w:rPr>
          <w:rFonts w:ascii="Arial" w:hAnsi="Arial" w:cs="Arial"/>
        </w:rPr>
        <w:t>The issues of the decentralised structure of Canada have a huge negative impact on the national response (</w:t>
      </w:r>
      <w:proofErr w:type="spellStart"/>
      <w:r w:rsidRPr="000113A3">
        <w:rPr>
          <w:rFonts w:ascii="Arial" w:hAnsi="Arial" w:cs="Arial"/>
        </w:rPr>
        <w:t>Pestieau</w:t>
      </w:r>
      <w:proofErr w:type="spellEnd"/>
      <w:r w:rsidRPr="000113A3">
        <w:rPr>
          <w:rFonts w:ascii="Arial" w:hAnsi="Arial" w:cs="Arial"/>
        </w:rPr>
        <w:t xml:space="preserve"> et al., 2020):</w:t>
      </w:r>
    </w:p>
    <w:p w14:paraId="79DF73BE" w14:textId="77777777" w:rsidR="000113A3" w:rsidRPr="007A5C47" w:rsidRDefault="000113A3" w:rsidP="00785252">
      <w:pPr>
        <w:pStyle w:val="ListParagraph"/>
        <w:numPr>
          <w:ilvl w:val="0"/>
          <w:numId w:val="18"/>
        </w:numPr>
        <w:spacing w:before="240" w:line="360" w:lineRule="auto"/>
        <w:jc w:val="both"/>
        <w:rPr>
          <w:rFonts w:ascii="Arial" w:hAnsi="Arial" w:cs="Arial"/>
        </w:rPr>
      </w:pPr>
      <w:r w:rsidRPr="007A5C47">
        <w:rPr>
          <w:rFonts w:ascii="Arial" w:hAnsi="Arial" w:cs="Arial"/>
          <w:b/>
          <w:bCs/>
        </w:rPr>
        <w:t>Scattered Authority and Disjointed Messages:</w:t>
      </w:r>
      <w:r w:rsidRPr="007A5C47">
        <w:rPr>
          <w:rFonts w:ascii="Arial" w:hAnsi="Arial" w:cs="Arial"/>
        </w:rPr>
        <w:t xml:space="preserve"> The inability to clearly define the roles and responsibilities between federal and provincial governments led to the complexity of communication, the delay in policies, and the inconsistency in messages, which distorted the understanding of the populace and their trust (McGrail, 2022).</w:t>
      </w:r>
    </w:p>
    <w:p w14:paraId="0C6828A0" w14:textId="77777777" w:rsidR="000113A3" w:rsidRPr="007A5C47" w:rsidRDefault="000113A3" w:rsidP="00785252">
      <w:pPr>
        <w:pStyle w:val="ListParagraph"/>
        <w:numPr>
          <w:ilvl w:val="0"/>
          <w:numId w:val="18"/>
        </w:numPr>
        <w:spacing w:before="240" w:line="360" w:lineRule="auto"/>
        <w:jc w:val="both"/>
        <w:rPr>
          <w:rFonts w:ascii="Arial" w:hAnsi="Arial" w:cs="Arial"/>
        </w:rPr>
      </w:pPr>
      <w:r w:rsidRPr="007A5C47">
        <w:rPr>
          <w:rFonts w:ascii="Arial" w:hAnsi="Arial" w:cs="Arial"/>
          <w:b/>
          <w:bCs/>
        </w:rPr>
        <w:t>Supply Chain and Procurement Crisis:</w:t>
      </w:r>
      <w:r w:rsidRPr="007A5C47">
        <w:rPr>
          <w:rFonts w:ascii="Arial" w:hAnsi="Arial" w:cs="Arial"/>
        </w:rPr>
        <w:t xml:space="preserve"> Canada had no national production, which, coupled with the inability of the federal system to intervene quickly on a national scale, resulted in severe shortages of PPE, particularly among smaller healthcare organisations (</w:t>
      </w:r>
      <w:proofErr w:type="spellStart"/>
      <w:r w:rsidRPr="007A5C47">
        <w:rPr>
          <w:rFonts w:ascii="Arial" w:hAnsi="Arial" w:cs="Arial"/>
        </w:rPr>
        <w:t>Pestieau</w:t>
      </w:r>
      <w:proofErr w:type="spellEnd"/>
      <w:r w:rsidRPr="007A5C47">
        <w:rPr>
          <w:rFonts w:ascii="Arial" w:hAnsi="Arial" w:cs="Arial"/>
        </w:rPr>
        <w:t xml:space="preserve"> et al., 2020). The adoption of a multi-jurisdictional and fragmented model of procurement became extremely sensitive to international shocks and was forced to make a panicked transition towards centralised federal procurement.</w:t>
      </w:r>
    </w:p>
    <w:p w14:paraId="61C53AF3" w14:textId="4F79D83E" w:rsidR="001703B2" w:rsidRPr="007A5C47" w:rsidRDefault="000113A3" w:rsidP="00785252">
      <w:pPr>
        <w:pStyle w:val="ListParagraph"/>
        <w:numPr>
          <w:ilvl w:val="0"/>
          <w:numId w:val="18"/>
        </w:numPr>
        <w:spacing w:before="240" w:line="360" w:lineRule="auto"/>
        <w:jc w:val="both"/>
        <w:rPr>
          <w:rFonts w:ascii="Arial" w:hAnsi="Arial" w:cs="Arial"/>
        </w:rPr>
      </w:pPr>
      <w:r w:rsidRPr="007A5C47">
        <w:rPr>
          <w:rFonts w:ascii="Arial" w:hAnsi="Arial" w:cs="Arial"/>
          <w:b/>
          <w:bCs/>
        </w:rPr>
        <w:t>Data and Surveillance Gaps:</w:t>
      </w:r>
      <w:r w:rsidRPr="007A5C47">
        <w:rPr>
          <w:rFonts w:ascii="Arial" w:hAnsi="Arial" w:cs="Arial"/>
        </w:rPr>
        <w:t xml:space="preserve"> Due to the autonomy of provincial health systems, the data collection and reporting approaches were determined inconsistently, which greatly hampered the capacity of the federal authorities to produce a cohesive, real-time national surveillance image that could support effective decisions in the area of public health (McGrail, 2022). This problem revealed a great lacking in the readiness of Canada to coordinate national management of crises (Canadian Public Health Association, 2021)</w:t>
      </w:r>
      <w:r w:rsidR="001703B2" w:rsidRPr="007A5C47">
        <w:rPr>
          <w:rFonts w:ascii="Arial" w:hAnsi="Arial" w:cs="Arial"/>
        </w:rPr>
        <w:t>.</w:t>
      </w:r>
      <w:bookmarkStart w:id="25" w:name="_Toc216264201"/>
    </w:p>
    <w:p w14:paraId="66737895" w14:textId="4B591725" w:rsidR="001703B2" w:rsidRPr="007A5C47" w:rsidRDefault="001703B2" w:rsidP="001703B2">
      <w:pPr>
        <w:pStyle w:val="Heading1"/>
      </w:pPr>
      <w:bookmarkStart w:id="26" w:name="_Toc216677898"/>
      <w:bookmarkEnd w:id="25"/>
      <w:r w:rsidRPr="007A5C47">
        <w:t xml:space="preserve">3. </w:t>
      </w:r>
      <w:r w:rsidR="006C305C" w:rsidRPr="007A5C47">
        <w:t xml:space="preserve">An Evaluation of the Leadership Approaches Used in Every </w:t>
      </w:r>
      <w:r w:rsidR="00794206" w:rsidRPr="007A5C47">
        <w:t>Country</w:t>
      </w:r>
      <w:bookmarkEnd w:id="26"/>
    </w:p>
    <w:p w14:paraId="7B830266" w14:textId="06731EE2" w:rsidR="00CD3406" w:rsidRPr="007A5C47" w:rsidRDefault="00CD3406" w:rsidP="00CD3406">
      <w:pPr>
        <w:pStyle w:val="Heading2"/>
      </w:pPr>
      <w:bookmarkStart w:id="27" w:name="_Toc216677899"/>
      <w:r w:rsidRPr="007A5C47">
        <w:t>3.1 Leadership in Spain: The Transition from Laissez-Faire to Crisis Command under Salvador Illa</w:t>
      </w:r>
      <w:bookmarkEnd w:id="27"/>
    </w:p>
    <w:p w14:paraId="6BFFF0AC" w14:textId="292560EB" w:rsidR="00CD3406" w:rsidRPr="00CD3406" w:rsidRDefault="00CD3406" w:rsidP="00CD3406">
      <w:pPr>
        <w:spacing w:before="240" w:line="360" w:lineRule="auto"/>
        <w:jc w:val="both"/>
        <w:rPr>
          <w:rFonts w:ascii="Arial" w:hAnsi="Arial" w:cs="Arial"/>
          <w:bCs/>
        </w:rPr>
      </w:pPr>
      <w:r w:rsidRPr="00CD3406">
        <w:rPr>
          <w:rFonts w:ascii="Arial" w:hAnsi="Arial" w:cs="Arial"/>
          <w:bCs/>
        </w:rPr>
        <w:t>The Spanish reaction to the COVID-19 pandemic under the leadership of the government, and in particular, the then-Minister of Health, Salvador Illa, is a curious case of enforced transformation of leadership approaches and approaches. The Spanish reaction was not characterised by one and the same style but by the dramatic and politically required transition, shifting between an initial stage of laissez-faire or Apprehensive Leadership towards a highly Autocratic and Command-and-Control response in the State of Alarm before returning to a more Transactional and collaborative one during the vaccination rollout (Brunet et al., 2023).</w:t>
      </w:r>
    </w:p>
    <w:p w14:paraId="54C0ECCC" w14:textId="06EDFAB4" w:rsidR="00CD3406" w:rsidRPr="007A5C47" w:rsidRDefault="00CD3406" w:rsidP="00F42DAE">
      <w:pPr>
        <w:pStyle w:val="Heading3"/>
      </w:pPr>
      <w:bookmarkStart w:id="28" w:name="_Toc216677900"/>
      <w:r w:rsidRPr="007A5C47">
        <w:lastRenderedPageBreak/>
        <w:t>3.1.1 First Leadership Failure: Nervous and Laissez-Faire Style</w:t>
      </w:r>
      <w:bookmarkEnd w:id="28"/>
    </w:p>
    <w:p w14:paraId="084920C2" w14:textId="77777777" w:rsidR="00CD3406" w:rsidRDefault="00CD3406" w:rsidP="00CD3406">
      <w:pPr>
        <w:spacing w:before="240" w:line="360" w:lineRule="auto"/>
        <w:jc w:val="both"/>
        <w:rPr>
          <w:rFonts w:ascii="Arial" w:hAnsi="Arial" w:cs="Arial"/>
          <w:bCs/>
        </w:rPr>
      </w:pPr>
      <w:r w:rsidRPr="00CD3406">
        <w:rPr>
          <w:rFonts w:ascii="Arial" w:hAnsi="Arial" w:cs="Arial"/>
          <w:bCs/>
        </w:rPr>
        <w:t>During the early weeks of early 2020, the response of the Spanish government, such as the example of Minister Illa declaring on January 30th that the system was ready and that we do not diminish anything, had the character of either a severe Apprehensive (reticent to act due to political cost) or Laissez-Faire (hands-off and avoidance of involvement, especially to the up-and-coming threat) style (Marzo-Navarro et al., 2021).</w:t>
      </w:r>
    </w:p>
    <w:p w14:paraId="56C9628C" w14:textId="77777777" w:rsidR="00142B5A" w:rsidRDefault="00142B5A" w:rsidP="00142B5A">
      <w:pPr>
        <w:keepNext/>
        <w:spacing w:before="240" w:line="360" w:lineRule="auto"/>
        <w:jc w:val="center"/>
      </w:pPr>
      <w:r>
        <w:rPr>
          <w:noProof/>
          <w:lang w:eastAsia="en-GB"/>
        </w:rPr>
        <w:drawing>
          <wp:inline distT="0" distB="0" distL="0" distR="0" wp14:anchorId="7A5EF66C" wp14:editId="3C3AE2F9">
            <wp:extent cx="2639060" cy="2639060"/>
            <wp:effectExtent l="0" t="0" r="8890" b="8890"/>
            <wp:docPr id="1589891051" name="Picture 3" descr="Word of the Day: laissez-faire - The New York Ti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Word of the Day: laissez-faire - The New York Tim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639060" cy="2639060"/>
                    </a:xfrm>
                    <a:prstGeom prst="rect">
                      <a:avLst/>
                    </a:prstGeom>
                    <a:noFill/>
                    <a:ln>
                      <a:noFill/>
                    </a:ln>
                  </pic:spPr>
                </pic:pic>
              </a:graphicData>
            </a:graphic>
          </wp:inline>
        </w:drawing>
      </w:r>
    </w:p>
    <w:p w14:paraId="4CBE49E7" w14:textId="3638CDC6" w:rsidR="00142B5A" w:rsidRDefault="00142B5A" w:rsidP="00142B5A">
      <w:pPr>
        <w:pStyle w:val="Caption"/>
        <w:jc w:val="center"/>
      </w:pPr>
      <w:bookmarkStart w:id="29" w:name="_Toc216657018"/>
      <w:r>
        <w:t xml:space="preserve">Figure </w:t>
      </w:r>
      <w:r>
        <w:fldChar w:fldCharType="begin"/>
      </w:r>
      <w:r>
        <w:instrText xml:space="preserve"> SEQ Figure \* ARABIC </w:instrText>
      </w:r>
      <w:r>
        <w:fldChar w:fldCharType="separate"/>
      </w:r>
      <w:r>
        <w:rPr>
          <w:noProof/>
        </w:rPr>
        <w:t>5</w:t>
      </w:r>
      <w:r>
        <w:fldChar w:fldCharType="end"/>
      </w:r>
      <w:r>
        <w:t xml:space="preserve">: </w:t>
      </w:r>
      <w:r w:rsidRPr="00F919F7">
        <w:t>Laissez-Faire Style</w:t>
      </w:r>
      <w:bookmarkEnd w:id="29"/>
    </w:p>
    <w:p w14:paraId="330AFC41" w14:textId="172CC99A" w:rsidR="00746141" w:rsidRPr="00CD3406" w:rsidRDefault="00746141" w:rsidP="00047CD3">
      <w:pPr>
        <w:jc w:val="center"/>
        <w:rPr>
          <w:rFonts w:ascii="Arial" w:hAnsi="Arial" w:cs="Arial"/>
        </w:rPr>
      </w:pPr>
      <w:r w:rsidRPr="00047CD3">
        <w:rPr>
          <w:rFonts w:ascii="Arial" w:hAnsi="Arial" w:cs="Arial"/>
          <w:b/>
          <w:bCs/>
        </w:rPr>
        <w:t>Source:</w:t>
      </w:r>
      <w:r w:rsidRPr="00746141">
        <w:rPr>
          <w:rFonts w:ascii="Arial" w:hAnsi="Arial" w:cs="Arial"/>
        </w:rPr>
        <w:t xml:space="preserve"> </w:t>
      </w:r>
      <w:hyperlink r:id="rId21" w:history="1">
        <w:proofErr w:type="spellStart"/>
        <w:r w:rsidRPr="00047CD3">
          <w:rPr>
            <w:rStyle w:val="Hyperlink"/>
            <w:rFonts w:ascii="Arial" w:hAnsi="Arial" w:cs="Arial"/>
          </w:rPr>
          <w:t>nytimes</w:t>
        </w:r>
        <w:proofErr w:type="spellEnd"/>
      </w:hyperlink>
    </w:p>
    <w:p w14:paraId="787A735D" w14:textId="77777777" w:rsidR="00CD3406" w:rsidRPr="00CD3406" w:rsidRDefault="00CD3406" w:rsidP="00CD3406">
      <w:pPr>
        <w:spacing w:before="240" w:line="360" w:lineRule="auto"/>
        <w:jc w:val="both"/>
        <w:rPr>
          <w:rFonts w:ascii="Arial" w:hAnsi="Arial" w:cs="Arial"/>
          <w:b/>
        </w:rPr>
      </w:pPr>
      <w:r w:rsidRPr="00CD3406">
        <w:rPr>
          <w:rFonts w:ascii="Arial" w:hAnsi="Arial" w:cs="Arial"/>
          <w:b/>
        </w:rPr>
        <w:t>Critical Examination of Disadvantages:</w:t>
      </w:r>
    </w:p>
    <w:p w14:paraId="0CA89C2B" w14:textId="4F6E2524" w:rsidR="00CD3406" w:rsidRPr="007A5C47" w:rsidRDefault="00CD3406" w:rsidP="00F00BF4">
      <w:pPr>
        <w:pStyle w:val="ListParagraph"/>
        <w:numPr>
          <w:ilvl w:val="0"/>
          <w:numId w:val="19"/>
        </w:numPr>
        <w:spacing w:before="240" w:line="360" w:lineRule="auto"/>
        <w:jc w:val="both"/>
        <w:rPr>
          <w:rFonts w:ascii="Arial" w:hAnsi="Arial" w:cs="Arial"/>
          <w:bCs/>
        </w:rPr>
      </w:pPr>
      <w:r w:rsidRPr="007A5C47">
        <w:rPr>
          <w:rFonts w:ascii="Arial" w:hAnsi="Arial" w:cs="Arial"/>
          <w:b/>
        </w:rPr>
        <w:t>The lack of Transformational Vision:</w:t>
      </w:r>
      <w:r w:rsidRPr="007A5C47">
        <w:rPr>
          <w:rFonts w:ascii="Arial" w:hAnsi="Arial" w:cs="Arial"/>
          <w:bCs/>
        </w:rPr>
        <w:t xml:space="preserve"> There was a lack of the Transformational Leadership factors needed in a crisis (Inspirational Motivation, idealised Influence). An urgent, clear vision of what to do was not formulated, so the public health system and individuals were not ready.</w:t>
      </w:r>
    </w:p>
    <w:p w14:paraId="3B7BC7F5" w14:textId="77777777" w:rsidR="00CD3406" w:rsidRPr="007A5C47" w:rsidRDefault="00CD3406" w:rsidP="00F00BF4">
      <w:pPr>
        <w:pStyle w:val="ListParagraph"/>
        <w:numPr>
          <w:ilvl w:val="0"/>
          <w:numId w:val="19"/>
        </w:numPr>
        <w:spacing w:before="240" w:line="360" w:lineRule="auto"/>
        <w:jc w:val="both"/>
        <w:rPr>
          <w:rFonts w:ascii="Arial" w:hAnsi="Arial" w:cs="Arial"/>
          <w:bCs/>
        </w:rPr>
      </w:pPr>
      <w:r w:rsidRPr="007A5C47">
        <w:rPr>
          <w:rFonts w:ascii="Arial" w:hAnsi="Arial" w:cs="Arial"/>
          <w:b/>
        </w:rPr>
        <w:t>Contingent Reward Failure (Transactional):</w:t>
      </w:r>
      <w:r w:rsidRPr="007A5C47">
        <w:rPr>
          <w:rFonts w:ascii="Arial" w:hAnsi="Arial" w:cs="Arial"/>
          <w:bCs/>
        </w:rPr>
        <w:t xml:space="preserve"> Contingent Reward and management-by-exception play a significant role in the leadership of Transactions. It was catastrophic in not providing clear and timely rewards (e.g., resources) and failing to tackle the exception (the soaring number of cases) until it was too late. The too-little-too-late category led to one of the greatest initial mortality rates in Europe, which may underscore the fact that There was a deep leadership failure to adapt the style to the increasing Situational urgency (Marzo-Navarro et al., 2021). It was not willing to take decisive, national responsibility and did not intervene even when the system was </w:t>
      </w:r>
      <w:r w:rsidRPr="007A5C47">
        <w:rPr>
          <w:rFonts w:ascii="Arial" w:hAnsi="Arial" w:cs="Arial"/>
          <w:bCs/>
        </w:rPr>
        <w:lastRenderedPageBreak/>
        <w:t xml:space="preserve">crumbling, which proved to be decentralised and allowed to function autonomously (Brunet et al., 2023). </w:t>
      </w:r>
    </w:p>
    <w:p w14:paraId="16B2CD89" w14:textId="2897A6B2" w:rsidR="00CD3406" w:rsidRPr="007A5C47" w:rsidRDefault="00CD3406" w:rsidP="00F00BF4">
      <w:pPr>
        <w:pStyle w:val="Heading3"/>
      </w:pPr>
      <w:bookmarkStart w:id="30" w:name="_Toc216677901"/>
      <w:r w:rsidRPr="007A5C47">
        <w:t>3.1.2 The Pivot: Directive Command Leadership and Autocratic</w:t>
      </w:r>
      <w:bookmarkEnd w:id="30"/>
    </w:p>
    <w:p w14:paraId="6483B7D7" w14:textId="77777777" w:rsidR="00CD3406" w:rsidRPr="00CD3406" w:rsidRDefault="00CD3406" w:rsidP="00CD3406">
      <w:pPr>
        <w:spacing w:before="240" w:line="360" w:lineRule="auto"/>
        <w:jc w:val="both"/>
        <w:rPr>
          <w:rFonts w:ascii="Arial" w:hAnsi="Arial" w:cs="Arial"/>
          <w:bCs/>
        </w:rPr>
      </w:pPr>
      <w:r w:rsidRPr="00CD3406">
        <w:rPr>
          <w:rFonts w:ascii="Arial" w:hAnsi="Arial" w:cs="Arial"/>
          <w:bCs/>
        </w:rPr>
        <w:t>The proclamation of the State of Alarm in March 2020 marked a significant shift towards an increasingly Authoritarian and Directive (Situational) style of leadership, which legally concentrated powers under the governmental order (Lara-Fontan and Rebollo, 2021). Salvador Illa, the most critical minister, shifted to being a reserved person in communications with the leader of a rigorous, nationwide Command-and-Control lockdown.</w:t>
      </w:r>
    </w:p>
    <w:p w14:paraId="2C30A05A" w14:textId="77777777" w:rsidR="00CD3406" w:rsidRPr="00CD3406" w:rsidRDefault="00CD3406" w:rsidP="00CD3406">
      <w:pPr>
        <w:spacing w:before="240" w:line="360" w:lineRule="auto"/>
        <w:jc w:val="both"/>
        <w:rPr>
          <w:rFonts w:ascii="Arial" w:hAnsi="Arial" w:cs="Arial"/>
          <w:b/>
        </w:rPr>
      </w:pPr>
      <w:r w:rsidRPr="00CD3406">
        <w:rPr>
          <w:rFonts w:ascii="Arial" w:hAnsi="Arial" w:cs="Arial"/>
          <w:b/>
        </w:rPr>
        <w:t>Critical Analysis of Advantages:</w:t>
      </w:r>
    </w:p>
    <w:p w14:paraId="60847017" w14:textId="1EF5683F" w:rsidR="00CD3406" w:rsidRPr="007A5C47" w:rsidRDefault="00CD3406" w:rsidP="00DB6C6F">
      <w:pPr>
        <w:pStyle w:val="ListParagraph"/>
        <w:numPr>
          <w:ilvl w:val="0"/>
          <w:numId w:val="20"/>
        </w:numPr>
        <w:spacing w:before="240" w:line="360" w:lineRule="auto"/>
        <w:jc w:val="both"/>
        <w:rPr>
          <w:rFonts w:ascii="Arial" w:hAnsi="Arial" w:cs="Arial"/>
          <w:bCs/>
        </w:rPr>
      </w:pPr>
      <w:r w:rsidRPr="007A5C47">
        <w:rPr>
          <w:rFonts w:ascii="Arial" w:hAnsi="Arial" w:cs="Arial"/>
          <w:b/>
        </w:rPr>
        <w:t>Reaching Unity of Action:</w:t>
      </w:r>
      <w:r w:rsidRPr="007A5C47">
        <w:rPr>
          <w:rFonts w:ascii="Arial" w:hAnsi="Arial" w:cs="Arial"/>
          <w:bCs/>
        </w:rPr>
        <w:t xml:space="preserve"> The autocratic style was not popular, but it was arguably the means of getting out of the extreme disunity which was created by the decentralised autonomous communities (AACC) (Brunet et al., 2023). This aggressive centralisation of the decision-making process instantly gave the requisite Situational Leadership element high task focus and low relationship focus, which works well when followers (here, the AACC) are incompetent or unwilling to come to an agreement concerning a course of action.</w:t>
      </w:r>
    </w:p>
    <w:p w14:paraId="53CD0290" w14:textId="77777777" w:rsidR="00CD3406" w:rsidRPr="007A5C47" w:rsidRDefault="00CD3406" w:rsidP="00DB6C6F">
      <w:pPr>
        <w:pStyle w:val="ListParagraph"/>
        <w:numPr>
          <w:ilvl w:val="0"/>
          <w:numId w:val="20"/>
        </w:numPr>
        <w:spacing w:before="240" w:line="360" w:lineRule="auto"/>
        <w:jc w:val="both"/>
        <w:rPr>
          <w:rFonts w:ascii="Arial" w:hAnsi="Arial" w:cs="Arial"/>
          <w:bCs/>
        </w:rPr>
      </w:pPr>
      <w:r w:rsidRPr="007A5C47">
        <w:rPr>
          <w:rFonts w:ascii="Arial" w:hAnsi="Arial" w:cs="Arial"/>
          <w:b/>
        </w:rPr>
        <w:t>Smooth Suppression of Crisis:</w:t>
      </w:r>
      <w:r w:rsidRPr="007A5C47">
        <w:rPr>
          <w:rFonts w:ascii="Arial" w:hAnsi="Arial" w:cs="Arial"/>
          <w:bCs/>
        </w:rPr>
        <w:t xml:space="preserve"> The massive rigidity of the lockdown, which was imposed by the central power, effectively stifled the first wave of overwhelming amounts and did not allow the complete collapse of the National Health System (SNS) (Lara-Fontan and Rebollo, 2021). The one, definite national mandate made the rules easier to comprehend by the people, which was in stark contrast to the unequal rules that could be found in the highly federal states (Brunet et al., 2023).</w:t>
      </w:r>
    </w:p>
    <w:p w14:paraId="7AE830D7" w14:textId="77777777" w:rsidR="00CD3406" w:rsidRPr="00CD3406" w:rsidRDefault="00CD3406" w:rsidP="00CD3406">
      <w:pPr>
        <w:spacing w:before="240" w:line="360" w:lineRule="auto"/>
        <w:jc w:val="both"/>
        <w:rPr>
          <w:rFonts w:ascii="Arial" w:hAnsi="Arial" w:cs="Arial"/>
          <w:b/>
        </w:rPr>
      </w:pPr>
      <w:r w:rsidRPr="00CD3406">
        <w:rPr>
          <w:rFonts w:ascii="Arial" w:hAnsi="Arial" w:cs="Arial"/>
          <w:b/>
        </w:rPr>
        <w:t>Critical Review of demerits:</w:t>
      </w:r>
    </w:p>
    <w:p w14:paraId="38A6A2D7" w14:textId="4A778E47" w:rsidR="00CD3406" w:rsidRPr="007A5C47" w:rsidRDefault="00CD3406" w:rsidP="00DB6C6F">
      <w:pPr>
        <w:pStyle w:val="ListParagraph"/>
        <w:numPr>
          <w:ilvl w:val="0"/>
          <w:numId w:val="21"/>
        </w:numPr>
        <w:spacing w:before="240" w:line="360" w:lineRule="auto"/>
        <w:jc w:val="both"/>
        <w:rPr>
          <w:rFonts w:ascii="Arial" w:hAnsi="Arial" w:cs="Arial"/>
          <w:bCs/>
        </w:rPr>
      </w:pPr>
      <w:r w:rsidRPr="007A5C47">
        <w:rPr>
          <w:rFonts w:ascii="Arial" w:hAnsi="Arial" w:cs="Arial"/>
          <w:b/>
        </w:rPr>
        <w:t>Political Trust Decay:</w:t>
      </w:r>
      <w:r w:rsidRPr="007A5C47">
        <w:rPr>
          <w:rFonts w:ascii="Arial" w:hAnsi="Arial" w:cs="Arial"/>
          <w:bCs/>
        </w:rPr>
        <w:t xml:space="preserve"> This autocratic centralisation contravened the culture of co-rule and generated intense political contempt among the leaders of the regions, making cooperation in the future without a crisis difficult.</w:t>
      </w:r>
    </w:p>
    <w:p w14:paraId="6BC1D9F6" w14:textId="77777777" w:rsidR="00CD3406" w:rsidRPr="007A5C47" w:rsidRDefault="00CD3406" w:rsidP="00DB6C6F">
      <w:pPr>
        <w:pStyle w:val="ListParagraph"/>
        <w:numPr>
          <w:ilvl w:val="0"/>
          <w:numId w:val="21"/>
        </w:numPr>
        <w:spacing w:before="240" w:line="360" w:lineRule="auto"/>
        <w:jc w:val="both"/>
        <w:rPr>
          <w:rFonts w:ascii="Arial" w:hAnsi="Arial" w:cs="Arial"/>
          <w:bCs/>
        </w:rPr>
      </w:pPr>
      <w:r w:rsidRPr="007A5C47">
        <w:rPr>
          <w:rFonts w:ascii="Arial" w:hAnsi="Arial" w:cs="Arial"/>
          <w:b/>
        </w:rPr>
        <w:t>Absence of Consultation (Democratic/Participative Failure):</w:t>
      </w:r>
      <w:r w:rsidRPr="007A5C47">
        <w:rPr>
          <w:rFonts w:ascii="Arial" w:hAnsi="Arial" w:cs="Arial"/>
          <w:bCs/>
        </w:rPr>
        <w:t xml:space="preserve"> The central government did not utilise the advantages of the Participative Leadership characteristics of democratic dialogue because it imposed the decisions without consulting the AACC and incorporating regional experience, which would have enhanced performance (Lora-Fontan and Rebollo, 2021). It resulted in legal difficulties and a decision that the interventions were questionable, demonstrating that successful crisis management should be based on legal frameworks (Brunet et al., 2023).</w:t>
      </w:r>
    </w:p>
    <w:p w14:paraId="06D393A1" w14:textId="47DD2041" w:rsidR="00CD3406" w:rsidRPr="007A5C47" w:rsidRDefault="00CD3406" w:rsidP="00DB6C6F">
      <w:pPr>
        <w:pStyle w:val="Heading3"/>
      </w:pPr>
      <w:bookmarkStart w:id="31" w:name="_Toc216677902"/>
      <w:r w:rsidRPr="007A5C47">
        <w:lastRenderedPageBreak/>
        <w:t>3.1.3 Vaccination Phase: Collaborative and Transactional Leadership</w:t>
      </w:r>
      <w:bookmarkEnd w:id="31"/>
    </w:p>
    <w:p w14:paraId="7DD33245" w14:textId="77777777" w:rsidR="00CD3406" w:rsidRPr="00CD3406" w:rsidRDefault="00CD3406" w:rsidP="00CD3406">
      <w:pPr>
        <w:spacing w:before="240" w:line="360" w:lineRule="auto"/>
        <w:jc w:val="both"/>
        <w:rPr>
          <w:rFonts w:ascii="Arial" w:hAnsi="Arial" w:cs="Arial"/>
          <w:bCs/>
        </w:rPr>
      </w:pPr>
      <w:r w:rsidRPr="00CD3406">
        <w:rPr>
          <w:rFonts w:ascii="Arial" w:hAnsi="Arial" w:cs="Arial"/>
          <w:bCs/>
        </w:rPr>
        <w:t>The solution to the problem was found in the very successful vaccination implementation in Spain, where the government assumed an advanced Transactional and Collaborative/Participative leadership style (Marzo-Navarro et al., 2021).</w:t>
      </w:r>
    </w:p>
    <w:p w14:paraId="2A3C7668" w14:textId="77777777" w:rsidR="00CD3406" w:rsidRPr="00CD3406" w:rsidRDefault="00CD3406" w:rsidP="00CD3406">
      <w:pPr>
        <w:spacing w:before="240" w:line="360" w:lineRule="auto"/>
        <w:jc w:val="both"/>
        <w:rPr>
          <w:rFonts w:ascii="Arial" w:hAnsi="Arial" w:cs="Arial"/>
          <w:bCs/>
        </w:rPr>
      </w:pPr>
      <w:r w:rsidRPr="00CD3406">
        <w:rPr>
          <w:rFonts w:ascii="Arial" w:hAnsi="Arial" w:cs="Arial"/>
          <w:bCs/>
        </w:rPr>
        <w:t>The management strategy was refocused on Contingent Reward (one of the key elements of the Transactional Theory): the central government (the successors of Illa) could efficiently utilise its centralised purchasing power (the reward) and then assign operational distribution and delivery (the transaction) to the highly successful decentralised AACC (</w:t>
      </w:r>
      <w:hyperlink r:id="rId22" w:tgtFrame="_blank" w:history="1">
        <w:r w:rsidRPr="00CD3406">
          <w:rPr>
            <w:rStyle w:val="Hyperlink"/>
            <w:rFonts w:ascii="Arial" w:hAnsi="Arial" w:cs="Arial"/>
            <w:bCs/>
            <w:color w:val="000000" w:themeColor="text1"/>
            <w:u w:val="none"/>
          </w:rPr>
          <w:t>Sanidad.gob.es</w:t>
        </w:r>
      </w:hyperlink>
      <w:r w:rsidRPr="00CD3406">
        <w:rPr>
          <w:rFonts w:ascii="Arial" w:hAnsi="Arial" w:cs="Arial"/>
          <w:bCs/>
        </w:rPr>
        <w:t>, 2020).</w:t>
      </w:r>
    </w:p>
    <w:p w14:paraId="6C9738A3" w14:textId="2D79ECC0" w:rsidR="00CD3406" w:rsidRPr="00CD3406" w:rsidRDefault="00CD3406" w:rsidP="00CD3406">
      <w:pPr>
        <w:spacing w:before="240" w:line="360" w:lineRule="auto"/>
        <w:jc w:val="both"/>
        <w:rPr>
          <w:rFonts w:ascii="Arial" w:hAnsi="Arial" w:cs="Arial"/>
          <w:b/>
        </w:rPr>
      </w:pPr>
      <w:r w:rsidRPr="00CD3406">
        <w:rPr>
          <w:rFonts w:ascii="Arial" w:hAnsi="Arial" w:cs="Arial"/>
          <w:b/>
        </w:rPr>
        <w:t xml:space="preserve">Critical Analysis of </w:t>
      </w:r>
      <w:r w:rsidR="00CA3C93" w:rsidRPr="007A5C47">
        <w:rPr>
          <w:rFonts w:ascii="Arial" w:hAnsi="Arial" w:cs="Arial"/>
          <w:b/>
        </w:rPr>
        <w:t xml:space="preserve">Advantages </w:t>
      </w:r>
      <w:r w:rsidRPr="00CD3406">
        <w:rPr>
          <w:rFonts w:ascii="Arial" w:hAnsi="Arial" w:cs="Arial"/>
          <w:b/>
        </w:rPr>
        <w:t>(Vaccination Success):</w:t>
      </w:r>
    </w:p>
    <w:p w14:paraId="0064C2A6" w14:textId="0612BB69" w:rsidR="00CD3406" w:rsidRPr="007A5C47" w:rsidRDefault="00CD3406" w:rsidP="005E3768">
      <w:pPr>
        <w:pStyle w:val="ListParagraph"/>
        <w:numPr>
          <w:ilvl w:val="0"/>
          <w:numId w:val="22"/>
        </w:numPr>
        <w:spacing w:before="240" w:line="360" w:lineRule="auto"/>
        <w:jc w:val="both"/>
        <w:rPr>
          <w:rFonts w:ascii="Arial" w:hAnsi="Arial" w:cs="Arial"/>
          <w:bCs/>
        </w:rPr>
      </w:pPr>
      <w:r w:rsidRPr="007A5C47">
        <w:rPr>
          <w:rFonts w:ascii="Arial" w:hAnsi="Arial" w:cs="Arial"/>
          <w:b/>
        </w:rPr>
        <w:t>Successful Delegation (Situational):</w:t>
      </w:r>
      <w:r w:rsidRPr="007A5C47">
        <w:rPr>
          <w:rFonts w:ascii="Arial" w:hAnsi="Arial" w:cs="Arial"/>
          <w:bCs/>
        </w:rPr>
        <w:t xml:space="preserve"> The Delegating style was successfully used by the central government during the period of vaccination, where they trusted the excellent regional health systems to handle the logistic operation of distribution and administration (Marzo-Navarro et al., 2021). Such a match between the leadership style and the high competence of the followers (the operational capacity of the AACC) resulted in tremendously positive public health outcomes.</w:t>
      </w:r>
    </w:p>
    <w:p w14:paraId="348C107B" w14:textId="77777777" w:rsidR="00CD3406" w:rsidRPr="007A5C47" w:rsidRDefault="00CD3406" w:rsidP="005E3768">
      <w:pPr>
        <w:pStyle w:val="ListParagraph"/>
        <w:numPr>
          <w:ilvl w:val="0"/>
          <w:numId w:val="22"/>
        </w:numPr>
        <w:spacing w:before="240" w:line="360" w:lineRule="auto"/>
        <w:jc w:val="both"/>
        <w:rPr>
          <w:rFonts w:ascii="Arial" w:hAnsi="Arial" w:cs="Arial"/>
          <w:bCs/>
        </w:rPr>
      </w:pPr>
      <w:r w:rsidRPr="007A5C47">
        <w:rPr>
          <w:rFonts w:ascii="Arial" w:hAnsi="Arial" w:cs="Arial"/>
          <w:b/>
        </w:rPr>
        <w:t>Restored Collaboration (Participative):</w:t>
      </w:r>
      <w:r w:rsidRPr="007A5C47">
        <w:rPr>
          <w:rFonts w:ascii="Arial" w:hAnsi="Arial" w:cs="Arial"/>
          <w:bCs/>
        </w:rPr>
        <w:t xml:space="preserve"> The cooperation between the central government and the AACC in the Inter-territorial Council of the National Health System permitted making joint decisions, which overcame political division and provided a consistent strategy application, riding on the advantages of Participative Leadership (Brunet et al., 2023).</w:t>
      </w:r>
    </w:p>
    <w:p w14:paraId="7C60FEAC" w14:textId="77777777" w:rsidR="00CD3406" w:rsidRPr="00CD3406" w:rsidRDefault="00CD3406" w:rsidP="00CD3406">
      <w:pPr>
        <w:spacing w:before="240" w:line="360" w:lineRule="auto"/>
        <w:jc w:val="both"/>
        <w:rPr>
          <w:rFonts w:ascii="Arial" w:hAnsi="Arial" w:cs="Arial"/>
          <w:bCs/>
        </w:rPr>
      </w:pPr>
      <w:r w:rsidRPr="00CD3406">
        <w:rPr>
          <w:rFonts w:ascii="Arial" w:hAnsi="Arial" w:cs="Arial"/>
          <w:b/>
        </w:rPr>
        <w:t>Conclusion:</w:t>
      </w:r>
      <w:r w:rsidRPr="00CD3406">
        <w:rPr>
          <w:rFonts w:ascii="Arial" w:hAnsi="Arial" w:cs="Arial"/>
          <w:bCs/>
        </w:rPr>
        <w:t xml:space="preserve"> The case study of the Spanish leadership experience during the time of Minister Illa and the newcomer government has shown that leadership in the crisis situation is Situational in nature. The first practice of Laissez-Faire practice was catastrophic. The Autocratic shift that took place in the middle of the crisis was also expensive politically but needed to restore order. The last, effective Transactional style, which is based on the principles of clear task delegation and collaboration, demonstrated that it was possible to use the operational power of the decentralised system once a single, centrally secured approach was created, which proved to be the best in the conditions of long-term health outcomes (Marzo-Navarro et al., 2021). This experience underscores the importance of the political leadership having the ability to move in and out of styles: Transformational in conveying the sense of urgency, Autocratic in taking action at once and then back to Transacting in making the effort a long-term and collaborative effort.</w:t>
      </w:r>
    </w:p>
    <w:p w14:paraId="3016F95B" w14:textId="397C5838" w:rsidR="00CD3406" w:rsidRPr="007A5C47" w:rsidRDefault="00CD3406" w:rsidP="00CA3C93">
      <w:pPr>
        <w:pStyle w:val="Heading2"/>
      </w:pPr>
      <w:bookmarkStart w:id="32" w:name="_Toc216677903"/>
      <w:r w:rsidRPr="007A5C47">
        <w:lastRenderedPageBreak/>
        <w:t xml:space="preserve">3.2 South Korean Leadership Style: Transformational Transparency and Chung </w:t>
      </w:r>
      <w:proofErr w:type="spellStart"/>
      <w:r w:rsidRPr="007A5C47">
        <w:t>Sye-kyun</w:t>
      </w:r>
      <w:bookmarkEnd w:id="32"/>
      <w:proofErr w:type="spellEnd"/>
    </w:p>
    <w:p w14:paraId="7C68EF0C" w14:textId="77777777" w:rsidR="00CD3406" w:rsidRPr="00CD3406" w:rsidRDefault="00CD3406" w:rsidP="00CD3406">
      <w:pPr>
        <w:spacing w:before="240" w:line="360" w:lineRule="auto"/>
        <w:jc w:val="both"/>
        <w:rPr>
          <w:rFonts w:ascii="Arial" w:hAnsi="Arial" w:cs="Arial"/>
          <w:bCs/>
        </w:rPr>
      </w:pPr>
      <w:r w:rsidRPr="00CD3406">
        <w:rPr>
          <w:rFonts w:ascii="Arial" w:hAnsi="Arial" w:cs="Arial"/>
          <w:bCs/>
        </w:rPr>
        <w:t xml:space="preserve">The response of the South Koreans, which is based on a collaborative system of government with the Prime Minister, Chung </w:t>
      </w:r>
      <w:proofErr w:type="spellStart"/>
      <w:r w:rsidRPr="00CD3406">
        <w:rPr>
          <w:rFonts w:ascii="Arial" w:hAnsi="Arial" w:cs="Arial"/>
          <w:bCs/>
        </w:rPr>
        <w:t>Sye-kyun</w:t>
      </w:r>
      <w:proofErr w:type="spellEnd"/>
      <w:r w:rsidRPr="00CD3406">
        <w:rPr>
          <w:rFonts w:ascii="Arial" w:hAnsi="Arial" w:cs="Arial"/>
          <w:bCs/>
        </w:rPr>
        <w:t>, and the KDCA, is commonly considered a model for an effective response to a crisis (Choi, 2021). The leadership model was more of Transformational, as it extensively used the pillars of Transparency, Trust, and Ethical decision-making to achieve high rates of compliance with the population without the use of extreme coercion (Park et al., 2020).</w:t>
      </w:r>
    </w:p>
    <w:p w14:paraId="60A79B24" w14:textId="79E4AE79" w:rsidR="00CD3406" w:rsidRPr="007A5C47" w:rsidRDefault="00CD3406" w:rsidP="00AE6E23">
      <w:pPr>
        <w:pStyle w:val="Heading3"/>
      </w:pPr>
      <w:bookmarkStart w:id="33" w:name="_Toc216677904"/>
      <w:r w:rsidRPr="007A5C47">
        <w:t>3.2.1. Basic Leadership Style: Transformational and Principled</w:t>
      </w:r>
      <w:bookmarkEnd w:id="33"/>
    </w:p>
    <w:p w14:paraId="18F7909E" w14:textId="77777777" w:rsidR="00CD3406" w:rsidRPr="00CD3406" w:rsidRDefault="00CD3406" w:rsidP="00CD3406">
      <w:pPr>
        <w:spacing w:before="240" w:line="360" w:lineRule="auto"/>
        <w:jc w:val="both"/>
        <w:rPr>
          <w:rFonts w:ascii="Arial" w:hAnsi="Arial" w:cs="Arial"/>
          <w:bCs/>
        </w:rPr>
      </w:pPr>
      <w:r w:rsidRPr="00CD3406">
        <w:rPr>
          <w:rFonts w:ascii="Arial" w:hAnsi="Arial" w:cs="Arial"/>
          <w:bCs/>
        </w:rPr>
        <w:t xml:space="preserve">In the case of Transformational Leadership, the principles of Idealized Influence and Inspirational Motivation are relevant, making the concepts and words spoken by Prime Minister Chung </w:t>
      </w:r>
      <w:proofErr w:type="spellStart"/>
      <w:r w:rsidRPr="00CD3406">
        <w:rPr>
          <w:rFonts w:ascii="Arial" w:hAnsi="Arial" w:cs="Arial"/>
          <w:bCs/>
        </w:rPr>
        <w:t>Sye-kyun</w:t>
      </w:r>
      <w:proofErr w:type="spellEnd"/>
      <w:r w:rsidRPr="00CD3406">
        <w:rPr>
          <w:rFonts w:ascii="Arial" w:hAnsi="Arial" w:cs="Arial"/>
          <w:bCs/>
        </w:rPr>
        <w:t xml:space="preserve"> direct references to Transformational Leadership (Idealized Influence and Inspirational Motivation) (Kim et al., 2020).</w:t>
      </w:r>
    </w:p>
    <w:p w14:paraId="6C73BD63" w14:textId="77777777" w:rsidR="00CD3406" w:rsidRPr="007A5C47" w:rsidRDefault="00CD3406" w:rsidP="004A211F">
      <w:pPr>
        <w:pStyle w:val="ListParagraph"/>
        <w:numPr>
          <w:ilvl w:val="0"/>
          <w:numId w:val="23"/>
        </w:numPr>
        <w:spacing w:before="240" w:line="360" w:lineRule="auto"/>
        <w:jc w:val="both"/>
        <w:rPr>
          <w:rFonts w:ascii="Arial" w:hAnsi="Arial" w:cs="Arial"/>
          <w:bCs/>
        </w:rPr>
      </w:pPr>
      <w:r w:rsidRPr="007A5C47">
        <w:rPr>
          <w:rFonts w:ascii="Arial" w:hAnsi="Arial" w:cs="Arial"/>
          <w:b/>
        </w:rPr>
        <w:t>Idealised Influence (Building Trust):</w:t>
      </w:r>
      <w:r w:rsidRPr="007A5C47">
        <w:rPr>
          <w:rFonts w:ascii="Arial" w:hAnsi="Arial" w:cs="Arial"/>
          <w:bCs/>
        </w:rPr>
        <w:t xml:space="preserve"> The government gained credibility at the outset by being frank about the seriousness of the threat and sharing information on new cases, contact tracing, and locations at once (Rossi et al., 2022). This principled, ethical strategy generated a store of public trust, which is key to adherence to invasive policies such as the extensive contact tracing (Choi, 2021).</w:t>
      </w:r>
    </w:p>
    <w:p w14:paraId="2F355D73" w14:textId="77777777" w:rsidR="00CD3406" w:rsidRPr="007A5C47" w:rsidRDefault="00CD3406" w:rsidP="004A211F">
      <w:pPr>
        <w:pStyle w:val="ListParagraph"/>
        <w:numPr>
          <w:ilvl w:val="0"/>
          <w:numId w:val="23"/>
        </w:numPr>
        <w:spacing w:before="240" w:line="360" w:lineRule="auto"/>
        <w:jc w:val="both"/>
        <w:rPr>
          <w:rFonts w:ascii="Arial" w:hAnsi="Arial" w:cs="Arial"/>
          <w:bCs/>
        </w:rPr>
      </w:pPr>
      <w:r w:rsidRPr="007A5C47">
        <w:rPr>
          <w:rFonts w:ascii="Arial" w:hAnsi="Arial" w:cs="Arial"/>
          <w:b/>
        </w:rPr>
        <w:t>Inspirational Motivation:</w:t>
      </w:r>
      <w:r w:rsidRPr="007A5C47">
        <w:rPr>
          <w:rFonts w:ascii="Arial" w:hAnsi="Arial" w:cs="Arial"/>
          <w:bCs/>
        </w:rPr>
        <w:t xml:space="preserve"> The government was able to inspire the people to follow rigorous public health guidelines by presenting the reaction as a national endeavour and expressing reverence to the people, which represents a significant civic duty (Park et al., 2020). It enabled the nation to use social capital to achieve health outcomes for the population (Choi, 2021).</w:t>
      </w:r>
    </w:p>
    <w:p w14:paraId="2D4EE091" w14:textId="77777777" w:rsidR="00CD3406" w:rsidRPr="007A5C47" w:rsidRDefault="00CD3406" w:rsidP="004A211F">
      <w:pPr>
        <w:pStyle w:val="ListParagraph"/>
        <w:numPr>
          <w:ilvl w:val="0"/>
          <w:numId w:val="23"/>
        </w:numPr>
        <w:spacing w:before="240" w:line="360" w:lineRule="auto"/>
        <w:jc w:val="both"/>
        <w:rPr>
          <w:rFonts w:ascii="Arial" w:hAnsi="Arial" w:cs="Arial"/>
          <w:bCs/>
        </w:rPr>
      </w:pPr>
      <w:r w:rsidRPr="007A5C47">
        <w:rPr>
          <w:rFonts w:ascii="Arial" w:hAnsi="Arial" w:cs="Arial"/>
          <w:b/>
        </w:rPr>
        <w:t>Critical Analysis of Benefits (Transformational):</w:t>
      </w:r>
      <w:r w:rsidRPr="007A5C47">
        <w:rPr>
          <w:rFonts w:ascii="Arial" w:hAnsi="Arial" w:cs="Arial"/>
          <w:bCs/>
        </w:rPr>
        <w:t xml:space="preserve"> The benefits of this style during a crisis were that it was fast and did not result in economic collapse. The Transformational strategy resulted in a high level of voluntary compliance, thus making it possible to collect and test mass data to reduce the transmission, and the country kept the economy rather open, the so-called K-Quarantine model (Rossi et al., 2022). Moreover, the high level of transparency and national education, often seen as characteristics of Democratic/Participative Leadership, was utilised to ensure that the population felt informed and engaged in the national plan, leading to a swift readiness among the public for technological solutions (Park et al., 2020).</w:t>
      </w:r>
    </w:p>
    <w:p w14:paraId="4609E1B5" w14:textId="341F61CF" w:rsidR="00CD3406" w:rsidRPr="007A5C47" w:rsidRDefault="00CD3406" w:rsidP="004A211F">
      <w:pPr>
        <w:pStyle w:val="Heading3"/>
      </w:pPr>
      <w:bookmarkStart w:id="34" w:name="_Toc216677905"/>
      <w:r w:rsidRPr="007A5C47">
        <w:lastRenderedPageBreak/>
        <w:t>3.2.2 The Autocratic Support: dictatorial and deal Command</w:t>
      </w:r>
      <w:bookmarkEnd w:id="34"/>
    </w:p>
    <w:p w14:paraId="0424BE17" w14:textId="77777777" w:rsidR="00CD3406" w:rsidRPr="00CD3406" w:rsidRDefault="00CD3406" w:rsidP="00CD3406">
      <w:pPr>
        <w:spacing w:before="240" w:line="360" w:lineRule="auto"/>
        <w:jc w:val="both"/>
        <w:rPr>
          <w:rFonts w:ascii="Arial" w:hAnsi="Arial" w:cs="Arial"/>
          <w:bCs/>
        </w:rPr>
      </w:pPr>
      <w:r w:rsidRPr="00CD3406">
        <w:rPr>
          <w:rFonts w:ascii="Arial" w:hAnsi="Arial" w:cs="Arial"/>
          <w:bCs/>
        </w:rPr>
        <w:t>Although the frontal aspect was Transformational, the backbone of the response operation was based on the KDCA-led strong Directive (Situational) and Transactional leadership elements (Lee et al., 2021).</w:t>
      </w:r>
    </w:p>
    <w:p w14:paraId="109D29F6" w14:textId="77777777" w:rsidR="00CD3406" w:rsidRPr="00CD3406" w:rsidRDefault="00CD3406" w:rsidP="00CD3406">
      <w:pPr>
        <w:spacing w:before="240" w:line="360" w:lineRule="auto"/>
        <w:jc w:val="both"/>
        <w:rPr>
          <w:rFonts w:ascii="Arial" w:hAnsi="Arial" w:cs="Arial"/>
          <w:bCs/>
        </w:rPr>
      </w:pPr>
      <w:r w:rsidRPr="00CD3406">
        <w:rPr>
          <w:rFonts w:ascii="Arial" w:hAnsi="Arial" w:cs="Arial"/>
          <w:b/>
        </w:rPr>
        <w:t>Directive Command (KDCA):</w:t>
      </w:r>
      <w:r w:rsidRPr="00CD3406">
        <w:rPr>
          <w:rFonts w:ascii="Arial" w:hAnsi="Arial" w:cs="Arial"/>
          <w:bCs/>
        </w:rPr>
        <w:t xml:space="preserve"> KDCA had an Autocratic and transparent authority under the 2015 legal framework and could impose voluntary isolation and obtain sensitive personal information (Gopinathan, 2022). This directive kind of style was needed to take quick, non-negotiable action in the identification and containment of the outbreaks, and the health system could effectively handle the exception through a strict Transactional exchange (testing/tracing to maintain social freedom) (Park et al., 2020).</w:t>
      </w:r>
    </w:p>
    <w:p w14:paraId="785F7F48" w14:textId="77777777" w:rsidR="00CD3406" w:rsidRPr="00CD3406" w:rsidRDefault="00CD3406" w:rsidP="00CD3406">
      <w:pPr>
        <w:spacing w:before="240" w:line="360" w:lineRule="auto"/>
        <w:jc w:val="both"/>
        <w:rPr>
          <w:rFonts w:ascii="Arial" w:hAnsi="Arial" w:cs="Arial"/>
          <w:bCs/>
        </w:rPr>
      </w:pPr>
      <w:r w:rsidRPr="00CD3406">
        <w:rPr>
          <w:rFonts w:ascii="Arial" w:hAnsi="Arial" w:cs="Arial"/>
          <w:b/>
        </w:rPr>
        <w:t>Transactional Efficiency:</w:t>
      </w:r>
      <w:r w:rsidRPr="00CD3406">
        <w:rPr>
          <w:rFonts w:ascii="Arial" w:hAnsi="Arial" w:cs="Arial"/>
          <w:bCs/>
        </w:rPr>
        <w:t xml:space="preserve"> The government was a very efficient transactional agent, as it worked in coordination with the central state and private diagnostic firms. It has been able to acquire and distribute testing kits fast (Contingent Reward), with the national infrastructure fulfilling its job effectively (Kim et al., 2020).</w:t>
      </w:r>
    </w:p>
    <w:p w14:paraId="02A2E0D9" w14:textId="0F62FA80" w:rsidR="00CD3406" w:rsidRPr="007A5C47" w:rsidRDefault="00733B9F" w:rsidP="00007E5A">
      <w:pPr>
        <w:pStyle w:val="Heading3"/>
      </w:pPr>
      <w:bookmarkStart w:id="35" w:name="_Toc216677906"/>
      <w:r w:rsidRPr="007A5C47">
        <w:t>3.</w:t>
      </w:r>
      <w:r w:rsidR="00CD3406" w:rsidRPr="007A5C47">
        <w:t>2</w:t>
      </w:r>
      <w:r w:rsidRPr="007A5C47">
        <w:t>.3</w:t>
      </w:r>
      <w:r w:rsidR="00CD3406" w:rsidRPr="007A5C47">
        <w:t xml:space="preserve">: </w:t>
      </w:r>
      <w:r w:rsidR="00007E5A" w:rsidRPr="007A5C47">
        <w:t>Disadvantages and Challenges: Ethical and Cultural Overreach</w:t>
      </w:r>
      <w:bookmarkEnd w:id="35"/>
    </w:p>
    <w:p w14:paraId="3D98A9B1" w14:textId="77777777" w:rsidR="00CD3406" w:rsidRPr="00CD3406" w:rsidRDefault="00CD3406" w:rsidP="00CD3406">
      <w:pPr>
        <w:spacing w:before="240" w:line="360" w:lineRule="auto"/>
        <w:jc w:val="both"/>
        <w:rPr>
          <w:rFonts w:ascii="Arial" w:hAnsi="Arial" w:cs="Arial"/>
          <w:bCs/>
        </w:rPr>
      </w:pPr>
      <w:r w:rsidRPr="00CD3406">
        <w:rPr>
          <w:rFonts w:ascii="Arial" w:hAnsi="Arial" w:cs="Arial"/>
          <w:bCs/>
        </w:rPr>
        <w:t>The flaws of the South Korean model of leadership are more largely concentrated around the moral lines, reflecting the opposition between effectiveness and democracy (Gopinathan, 2022).</w:t>
      </w:r>
    </w:p>
    <w:p w14:paraId="24B2C25F" w14:textId="77777777" w:rsidR="00CD3406" w:rsidRPr="00BB26CB" w:rsidRDefault="00CD3406" w:rsidP="00BB26CB">
      <w:pPr>
        <w:pStyle w:val="ListParagraph"/>
        <w:numPr>
          <w:ilvl w:val="0"/>
          <w:numId w:val="24"/>
        </w:numPr>
        <w:spacing w:before="240" w:line="360" w:lineRule="auto"/>
        <w:jc w:val="both"/>
        <w:rPr>
          <w:rFonts w:ascii="Arial" w:hAnsi="Arial" w:cs="Arial"/>
          <w:bCs/>
        </w:rPr>
      </w:pPr>
      <w:r w:rsidRPr="00BB26CB">
        <w:rPr>
          <w:rFonts w:ascii="Arial" w:hAnsi="Arial" w:cs="Arial"/>
          <w:b/>
        </w:rPr>
        <w:t>Ethical Trade-offs (Privacy):</w:t>
      </w:r>
      <w:r w:rsidRPr="00BB26CB">
        <w:rPr>
          <w:rFonts w:ascii="Arial" w:hAnsi="Arial" w:cs="Arial"/>
          <w:bCs/>
        </w:rPr>
        <w:t xml:space="preserve"> The Transformational objective of securing the nation was realised by use of a very intrusive Directive system. Despite the effectiveness of mass gathering and public access to personal data, severe human rights and privacy issues arose (Lee et al., 2021). This situation presents an ethical issue because the success of the leadership arguably depended on practices that violated individual autonomy, indicating that Ethical Leadership was not effectively applied in the realm of privacy (Gopinathan, 2022).</w:t>
      </w:r>
    </w:p>
    <w:p w14:paraId="78D78389" w14:textId="4CE46EB7" w:rsidR="00CD3406" w:rsidRPr="00BB26CB" w:rsidRDefault="007A5C47" w:rsidP="00BB26CB">
      <w:pPr>
        <w:pStyle w:val="ListParagraph"/>
        <w:numPr>
          <w:ilvl w:val="0"/>
          <w:numId w:val="24"/>
        </w:numPr>
        <w:spacing w:before="240" w:line="360" w:lineRule="auto"/>
        <w:jc w:val="both"/>
        <w:rPr>
          <w:rFonts w:ascii="Arial" w:hAnsi="Arial" w:cs="Arial"/>
          <w:bCs/>
        </w:rPr>
      </w:pPr>
      <w:r w:rsidRPr="00BB26CB">
        <w:rPr>
          <w:rFonts w:ascii="Arial" w:hAnsi="Arial" w:cs="Arial"/>
          <w:b/>
        </w:rPr>
        <w:t>Stigmatisation (Lack of Individualised Consideration):</w:t>
      </w:r>
      <w:r w:rsidR="00CD3406" w:rsidRPr="00BB26CB">
        <w:rPr>
          <w:rFonts w:ascii="Arial" w:hAnsi="Arial" w:cs="Arial"/>
          <w:bCs/>
        </w:rPr>
        <w:t xml:space="preserve"> The dissemination of data in granular form as stimulated by the push towards transparency by the central leadership, in turn, resulted in stigmatisation and marginalisation of the infected indivi</w:t>
      </w:r>
      <w:r w:rsidR="00192C2C">
        <w:rPr>
          <w:rFonts w:ascii="Arial" w:hAnsi="Arial" w:cs="Arial"/>
          <w:bCs/>
        </w:rPr>
        <w:t>duals, as it lacked Individualis</w:t>
      </w:r>
      <w:r w:rsidR="00CD3406" w:rsidRPr="00BB26CB">
        <w:rPr>
          <w:rFonts w:ascii="Arial" w:hAnsi="Arial" w:cs="Arial"/>
          <w:bCs/>
        </w:rPr>
        <w:t>ed Consideration, which is one of the key components of Transformational theory towards the infected (Lee et al., 2021). This consequence implies that the pursuit of collective health outcomes sometimes took precedence over the interests of individuals.</w:t>
      </w:r>
    </w:p>
    <w:p w14:paraId="7EDE147A" w14:textId="77777777" w:rsidR="00CD3406" w:rsidRPr="00CD3406" w:rsidRDefault="00CD3406" w:rsidP="00CD3406">
      <w:pPr>
        <w:spacing w:before="240" w:line="360" w:lineRule="auto"/>
        <w:jc w:val="both"/>
        <w:rPr>
          <w:rFonts w:ascii="Arial" w:hAnsi="Arial" w:cs="Arial"/>
          <w:bCs/>
        </w:rPr>
      </w:pPr>
      <w:r w:rsidRPr="00CD3406">
        <w:rPr>
          <w:rFonts w:ascii="Arial" w:hAnsi="Arial" w:cs="Arial"/>
          <w:bCs/>
        </w:rPr>
        <w:lastRenderedPageBreak/>
        <w:t>Altogether, the South Korean government's implementation of the Transformational principles over the solid, Autocratic/Directive legal framework developed a nimble, efficient, and highly effective national reaction (Choi, 2021). The leadership was able to transform the health system and show that the existing centralised systems could be quickly and easily used to deliver positive health results, as long as people trusted them, despite the intricate ethical compromises associated with privacy (Rossi et al., 2022).</w:t>
      </w:r>
    </w:p>
    <w:p w14:paraId="28C49A50" w14:textId="1BA1623F" w:rsidR="00CD3406" w:rsidRPr="00CD3406" w:rsidRDefault="00CD3406" w:rsidP="00BB26CB">
      <w:pPr>
        <w:pStyle w:val="Heading2"/>
      </w:pPr>
      <w:bookmarkStart w:id="36" w:name="_Toc216677907"/>
      <w:r w:rsidRPr="00CD3406">
        <w:t>3.3 Canada Leadership Style: Justin Trudeau and Unifying Negotiation</w:t>
      </w:r>
      <w:bookmarkEnd w:id="36"/>
    </w:p>
    <w:p w14:paraId="1960AAA2" w14:textId="77777777" w:rsidR="00CD3406" w:rsidRPr="00CD3406" w:rsidRDefault="00CD3406" w:rsidP="00CD3406">
      <w:pPr>
        <w:spacing w:before="240" w:line="360" w:lineRule="auto"/>
        <w:jc w:val="both"/>
        <w:rPr>
          <w:rFonts w:ascii="Arial" w:hAnsi="Arial" w:cs="Arial"/>
          <w:bCs/>
        </w:rPr>
      </w:pPr>
      <w:r w:rsidRPr="00CD3406">
        <w:rPr>
          <w:rFonts w:ascii="Arial" w:hAnsi="Arial" w:cs="Arial"/>
          <w:bCs/>
        </w:rPr>
        <w:t>The reaction to the Coronavirus in Canada, led by Prime Minister Justin Trudeau, occurred within the boundaries of a highly decentralised federal system in which healthcare authority lies in the hands of 13 provincial and territorial (P/T) governments (McGrail, 2022). The leadership style of Trudeau was mainly unifying negotiation, which applied aspects of transformational theory and transactional theory to secure national unity in the sea of jurisdictional conflicts (</w:t>
      </w:r>
      <w:proofErr w:type="spellStart"/>
      <w:r w:rsidRPr="00CD3406">
        <w:rPr>
          <w:rFonts w:ascii="Arial" w:hAnsi="Arial" w:cs="Arial"/>
          <w:bCs/>
        </w:rPr>
        <w:t>Pestieau</w:t>
      </w:r>
      <w:proofErr w:type="spellEnd"/>
      <w:r w:rsidRPr="00CD3406">
        <w:rPr>
          <w:rFonts w:ascii="Arial" w:hAnsi="Arial" w:cs="Arial"/>
          <w:bCs/>
        </w:rPr>
        <w:t xml:space="preserve"> et al., 2020).</w:t>
      </w:r>
    </w:p>
    <w:p w14:paraId="2C7ECBD7" w14:textId="23E29A3F" w:rsidR="00CD3406" w:rsidRPr="00CD3406" w:rsidRDefault="00CD3406" w:rsidP="009E7C73">
      <w:pPr>
        <w:pStyle w:val="Heading3"/>
      </w:pPr>
      <w:bookmarkStart w:id="37" w:name="_Toc216677908"/>
      <w:r w:rsidRPr="00CD3406">
        <w:t>3.3.1 Style of Core Leadership: Transformational (Unifying) and Consultative</w:t>
      </w:r>
      <w:bookmarkEnd w:id="37"/>
    </w:p>
    <w:p w14:paraId="175EB96B" w14:textId="77777777" w:rsidR="00CD3406" w:rsidRPr="00CD3406" w:rsidRDefault="00CD3406" w:rsidP="00CD3406">
      <w:pPr>
        <w:spacing w:before="240" w:line="360" w:lineRule="auto"/>
        <w:jc w:val="both"/>
        <w:rPr>
          <w:rFonts w:ascii="Arial" w:hAnsi="Arial" w:cs="Arial"/>
          <w:bCs/>
        </w:rPr>
      </w:pPr>
      <w:r w:rsidRPr="00CD3406">
        <w:rPr>
          <w:rFonts w:ascii="Arial" w:hAnsi="Arial" w:cs="Arial"/>
          <w:bCs/>
        </w:rPr>
        <w:t>Their unification of disparate, sovereign-minded provincial leaders to a shared national objective was the major task of Trudeau. It involved the need to apply a Transformational style with an emphasis on Inspirational Motivation and Intellectual Stimulation (</w:t>
      </w:r>
      <w:proofErr w:type="spellStart"/>
      <w:r w:rsidRPr="00CD3406">
        <w:rPr>
          <w:rFonts w:ascii="Arial" w:hAnsi="Arial" w:cs="Arial"/>
          <w:bCs/>
        </w:rPr>
        <w:t>Pestieau</w:t>
      </w:r>
      <w:proofErr w:type="spellEnd"/>
      <w:r w:rsidRPr="00CD3406">
        <w:rPr>
          <w:rFonts w:ascii="Arial" w:hAnsi="Arial" w:cs="Arial"/>
          <w:bCs/>
        </w:rPr>
        <w:t xml:space="preserve"> et al., 2020).</w:t>
      </w:r>
    </w:p>
    <w:p w14:paraId="27FC0E32" w14:textId="77777777" w:rsidR="00CD3406" w:rsidRPr="009E7C73" w:rsidRDefault="00CD3406" w:rsidP="009E7C73">
      <w:pPr>
        <w:pStyle w:val="ListParagraph"/>
        <w:numPr>
          <w:ilvl w:val="0"/>
          <w:numId w:val="25"/>
        </w:numPr>
        <w:spacing w:before="240" w:line="360" w:lineRule="auto"/>
        <w:jc w:val="both"/>
        <w:rPr>
          <w:rFonts w:ascii="Arial" w:hAnsi="Arial" w:cs="Arial"/>
          <w:bCs/>
        </w:rPr>
      </w:pPr>
      <w:r w:rsidRPr="009E7C73">
        <w:rPr>
          <w:rFonts w:ascii="Arial" w:hAnsi="Arial" w:cs="Arial"/>
          <w:b/>
        </w:rPr>
        <w:t>Inspirational Motivation (National Vision):</w:t>
      </w:r>
      <w:r w:rsidRPr="009E7C73">
        <w:rPr>
          <w:rFonts w:ascii="Arial" w:hAnsi="Arial" w:cs="Arial"/>
          <w:bCs/>
        </w:rPr>
        <w:t xml:space="preserve"> Trudeau would repeatedly demonstrate a national vision of mutual sacrifice and strength (we are all in this journey together) as a form of creating a federal presence and driving people to feel confident in the face of uncertainty (McGrail, 2022). This rhetorical solidarity was necessary to overcome constitutional disunity and encourage people to adhere to various P/T regulations (</w:t>
      </w:r>
      <w:proofErr w:type="spellStart"/>
      <w:r w:rsidRPr="009E7C73">
        <w:rPr>
          <w:rFonts w:ascii="Arial" w:hAnsi="Arial" w:cs="Arial"/>
          <w:bCs/>
        </w:rPr>
        <w:t>Pestieau</w:t>
      </w:r>
      <w:proofErr w:type="spellEnd"/>
      <w:r w:rsidRPr="009E7C73">
        <w:rPr>
          <w:rFonts w:ascii="Arial" w:hAnsi="Arial" w:cs="Arial"/>
          <w:bCs/>
        </w:rPr>
        <w:t xml:space="preserve"> et al., 2020).</w:t>
      </w:r>
    </w:p>
    <w:p w14:paraId="0BB96338" w14:textId="77777777" w:rsidR="00CD3406" w:rsidRPr="009E7C73" w:rsidRDefault="00CD3406" w:rsidP="009E7C73">
      <w:pPr>
        <w:pStyle w:val="ListParagraph"/>
        <w:numPr>
          <w:ilvl w:val="0"/>
          <w:numId w:val="25"/>
        </w:numPr>
        <w:spacing w:before="240" w:line="360" w:lineRule="auto"/>
        <w:jc w:val="both"/>
        <w:rPr>
          <w:rFonts w:ascii="Arial" w:hAnsi="Arial" w:cs="Arial"/>
          <w:bCs/>
        </w:rPr>
      </w:pPr>
      <w:r w:rsidRPr="009E7C73">
        <w:rPr>
          <w:rFonts w:ascii="Arial" w:hAnsi="Arial" w:cs="Arial"/>
          <w:b/>
        </w:rPr>
        <w:t>Consultative/Participative:</w:t>
      </w:r>
      <w:r w:rsidRPr="009E7C73">
        <w:rPr>
          <w:rFonts w:ascii="Arial" w:hAnsi="Arial" w:cs="Arial"/>
          <w:bCs/>
        </w:rPr>
        <w:t xml:space="preserve"> In sharp contrast to a temporary autocratic centralisation of Spain, the style of Trudeau was a natural Consultative/Participative one. His leadership was based on sustained and top-level negotiation with P/T premiers (through First Ministers meetings) to manage the coordination of the strategies regarding borders, public health, and economic support (</w:t>
      </w:r>
      <w:proofErr w:type="spellStart"/>
      <w:r w:rsidRPr="009E7C73">
        <w:rPr>
          <w:rFonts w:ascii="Arial" w:hAnsi="Arial" w:cs="Arial"/>
          <w:bCs/>
        </w:rPr>
        <w:t>Pestieau</w:t>
      </w:r>
      <w:proofErr w:type="spellEnd"/>
      <w:r w:rsidRPr="009E7C73">
        <w:rPr>
          <w:rFonts w:ascii="Arial" w:hAnsi="Arial" w:cs="Arial"/>
          <w:bCs/>
        </w:rPr>
        <w:t xml:space="preserve"> et al., 2020). The Canadian constitutional set-up dictated this style, and thus, it was a kind of warranted Situational Leadership in which negotiation is the sole way to take action.</w:t>
      </w:r>
    </w:p>
    <w:p w14:paraId="622000A8" w14:textId="77777777" w:rsidR="00CD3406" w:rsidRPr="00CD3406" w:rsidRDefault="00CD3406" w:rsidP="00CD3406">
      <w:pPr>
        <w:spacing w:before="240" w:line="360" w:lineRule="auto"/>
        <w:jc w:val="both"/>
        <w:rPr>
          <w:rFonts w:ascii="Arial" w:hAnsi="Arial" w:cs="Arial"/>
          <w:b/>
        </w:rPr>
      </w:pPr>
      <w:r w:rsidRPr="00CD3406">
        <w:rPr>
          <w:rFonts w:ascii="Arial" w:hAnsi="Arial" w:cs="Arial"/>
          <w:b/>
        </w:rPr>
        <w:lastRenderedPageBreak/>
        <w:t>Critical Analysis of Benefits (Unifying negotiation):</w:t>
      </w:r>
    </w:p>
    <w:p w14:paraId="00C61868" w14:textId="77777777" w:rsidR="00CD3406" w:rsidRPr="00000498" w:rsidRDefault="00CD3406" w:rsidP="00000498">
      <w:pPr>
        <w:pStyle w:val="ListParagraph"/>
        <w:numPr>
          <w:ilvl w:val="0"/>
          <w:numId w:val="26"/>
        </w:numPr>
        <w:spacing w:before="240" w:line="360" w:lineRule="auto"/>
        <w:jc w:val="both"/>
        <w:rPr>
          <w:rFonts w:ascii="Arial" w:hAnsi="Arial" w:cs="Arial"/>
          <w:bCs/>
        </w:rPr>
      </w:pPr>
      <w:r w:rsidRPr="00000498">
        <w:rPr>
          <w:rFonts w:ascii="Arial" w:hAnsi="Arial" w:cs="Arial"/>
          <w:b/>
        </w:rPr>
        <w:t>Conflict mitigation:</w:t>
      </w:r>
      <w:r w:rsidRPr="00000498">
        <w:rPr>
          <w:rFonts w:ascii="Arial" w:hAnsi="Arial" w:cs="Arial"/>
          <w:bCs/>
        </w:rPr>
        <w:t xml:space="preserve"> With the focus on consultation, Trudeau was able to reduce overt political opposition between federal and provincial leaders, which would have resulted in an absolute stalemate of the policy-making process due to the wrangling over jurisdiction (McGrail, 2022). It enabled a certain amount of national ear on their side, especially regarding the economic support packages and the subsequent, successful, and unified approach to vaccine procurement (</w:t>
      </w:r>
      <w:proofErr w:type="spellStart"/>
      <w:r w:rsidRPr="00000498">
        <w:rPr>
          <w:rFonts w:ascii="Arial" w:hAnsi="Arial" w:cs="Arial"/>
          <w:bCs/>
        </w:rPr>
        <w:t>Pestieau</w:t>
      </w:r>
      <w:proofErr w:type="spellEnd"/>
      <w:r w:rsidRPr="00000498">
        <w:rPr>
          <w:rFonts w:ascii="Arial" w:hAnsi="Arial" w:cs="Arial"/>
          <w:bCs/>
        </w:rPr>
        <w:t xml:space="preserve"> et al., 2020).</w:t>
      </w:r>
    </w:p>
    <w:p w14:paraId="4AA30C6C" w14:textId="77777777" w:rsidR="00CD3406" w:rsidRPr="00000498" w:rsidRDefault="00CD3406" w:rsidP="00000498">
      <w:pPr>
        <w:pStyle w:val="ListParagraph"/>
        <w:numPr>
          <w:ilvl w:val="0"/>
          <w:numId w:val="26"/>
        </w:numPr>
        <w:spacing w:before="240" w:line="360" w:lineRule="auto"/>
        <w:jc w:val="both"/>
        <w:rPr>
          <w:rFonts w:ascii="Arial" w:hAnsi="Arial" w:cs="Arial"/>
          <w:bCs/>
        </w:rPr>
      </w:pPr>
      <w:r w:rsidRPr="00000498">
        <w:rPr>
          <w:rFonts w:ascii="Arial" w:hAnsi="Arial" w:cs="Arial"/>
          <w:b/>
        </w:rPr>
        <w:t>Local Legitimacy:</w:t>
      </w:r>
      <w:r w:rsidRPr="00000498">
        <w:rPr>
          <w:rFonts w:ascii="Arial" w:hAnsi="Arial" w:cs="Arial"/>
          <w:bCs/>
        </w:rPr>
        <w:t xml:space="preserve"> The Participative model made sure that the provincial leaders themselves owned their decisions, which usually augmented the legitimacy and acceptance of certain localised health steps (McGrail, 2022).</w:t>
      </w:r>
    </w:p>
    <w:p w14:paraId="6C205F61" w14:textId="23EA2633" w:rsidR="00CD3406" w:rsidRPr="00CD3406" w:rsidRDefault="00CD3406" w:rsidP="00000498">
      <w:pPr>
        <w:pStyle w:val="Heading3"/>
      </w:pPr>
      <w:bookmarkStart w:id="38" w:name="_Toc216677909"/>
      <w:r w:rsidRPr="00CD3406">
        <w:t>3.3.2. The Transactional Engine: Contingent Reward</w:t>
      </w:r>
      <w:bookmarkEnd w:id="38"/>
    </w:p>
    <w:p w14:paraId="30F7F0DE" w14:textId="77777777" w:rsidR="00CD3406" w:rsidRPr="00CD3406" w:rsidRDefault="00CD3406" w:rsidP="00CD3406">
      <w:pPr>
        <w:spacing w:before="240" w:line="360" w:lineRule="auto"/>
        <w:jc w:val="both"/>
        <w:rPr>
          <w:rFonts w:ascii="Arial" w:hAnsi="Arial" w:cs="Arial"/>
          <w:bCs/>
        </w:rPr>
      </w:pPr>
      <w:r w:rsidRPr="00CD3406">
        <w:rPr>
          <w:rFonts w:ascii="Arial" w:hAnsi="Arial" w:cs="Arial"/>
          <w:bCs/>
        </w:rPr>
        <w:t>The federal government employed Transactional Leadership mechanisms as a central mechanism to encourage provincial adherence to national objectives (McGrail, 2022).</w:t>
      </w:r>
    </w:p>
    <w:p w14:paraId="32E04C64" w14:textId="77777777" w:rsidR="00CD3406" w:rsidRPr="00000498" w:rsidRDefault="00CD3406" w:rsidP="00000498">
      <w:pPr>
        <w:pStyle w:val="ListParagraph"/>
        <w:numPr>
          <w:ilvl w:val="0"/>
          <w:numId w:val="27"/>
        </w:numPr>
        <w:spacing w:before="240" w:line="360" w:lineRule="auto"/>
        <w:jc w:val="both"/>
        <w:rPr>
          <w:rFonts w:ascii="Arial" w:hAnsi="Arial" w:cs="Arial"/>
          <w:bCs/>
        </w:rPr>
      </w:pPr>
      <w:r w:rsidRPr="00000498">
        <w:rPr>
          <w:rFonts w:ascii="Arial" w:hAnsi="Arial" w:cs="Arial"/>
          <w:b/>
        </w:rPr>
        <w:t>Contingent Reward:</w:t>
      </w:r>
      <w:r w:rsidRPr="00000498">
        <w:rPr>
          <w:rFonts w:ascii="Arial" w:hAnsi="Arial" w:cs="Arial"/>
          <w:bCs/>
        </w:rPr>
        <w:t xml:space="preserve"> The federal government offered tremendous financial aid, such as the Safe Restart Agreement and the purchase of PPE/vaccines for the provinces. It was a straightforward exchange of Transactional nature: federal resources (Reward) should be provided based on the provincial compliance with general national guidelines of public health (Performance) (</w:t>
      </w:r>
      <w:proofErr w:type="spellStart"/>
      <w:r w:rsidRPr="00000498">
        <w:rPr>
          <w:rFonts w:ascii="Arial" w:hAnsi="Arial" w:cs="Arial"/>
          <w:bCs/>
        </w:rPr>
        <w:t>Pestieau</w:t>
      </w:r>
      <w:proofErr w:type="spellEnd"/>
      <w:r w:rsidRPr="00000498">
        <w:rPr>
          <w:rFonts w:ascii="Arial" w:hAnsi="Arial" w:cs="Arial"/>
          <w:bCs/>
        </w:rPr>
        <w:t xml:space="preserve"> et al., 2020). This economic power enabled the federal leadership to defy its indirect health control.</w:t>
      </w:r>
    </w:p>
    <w:p w14:paraId="61DF66B4" w14:textId="77777777" w:rsidR="00CD3406" w:rsidRPr="00CD3406" w:rsidRDefault="00CD3406" w:rsidP="00CD3406">
      <w:pPr>
        <w:spacing w:before="240" w:line="360" w:lineRule="auto"/>
        <w:jc w:val="both"/>
        <w:rPr>
          <w:rFonts w:ascii="Arial" w:hAnsi="Arial" w:cs="Arial"/>
          <w:bCs/>
        </w:rPr>
      </w:pPr>
      <w:r w:rsidRPr="00CD3406">
        <w:rPr>
          <w:rFonts w:ascii="Arial" w:hAnsi="Arial" w:cs="Arial"/>
          <w:bCs/>
        </w:rPr>
        <w:t>Active Management by Exception was evident in how the federal government intervened by purchasing vaccines from the international market during critical shortages faced by provinces, demonstrating its role in situations where the provincial system was not effectively addressing the issue (McGrail, 2022).</w:t>
      </w:r>
    </w:p>
    <w:p w14:paraId="5273E114" w14:textId="37C82F91" w:rsidR="00CD3406" w:rsidRPr="00CD3406" w:rsidRDefault="00CD3406" w:rsidP="00000498">
      <w:pPr>
        <w:pStyle w:val="Heading3"/>
      </w:pPr>
      <w:bookmarkStart w:id="39" w:name="_Toc216677910"/>
      <w:r w:rsidRPr="00CD3406">
        <w:t xml:space="preserve">3.3.3 </w:t>
      </w:r>
      <w:r w:rsidR="00000498">
        <w:t>D</w:t>
      </w:r>
      <w:r w:rsidRPr="00CD3406">
        <w:t>rawbacks and difficulties Slowness and Inconsistency</w:t>
      </w:r>
      <w:bookmarkEnd w:id="39"/>
    </w:p>
    <w:p w14:paraId="428EA65D" w14:textId="77777777" w:rsidR="00CD3406" w:rsidRPr="00CD3406" w:rsidRDefault="00CD3406" w:rsidP="00CD3406">
      <w:pPr>
        <w:spacing w:before="240" w:line="360" w:lineRule="auto"/>
        <w:jc w:val="both"/>
        <w:rPr>
          <w:rFonts w:ascii="Arial" w:hAnsi="Arial" w:cs="Arial"/>
          <w:bCs/>
        </w:rPr>
      </w:pPr>
      <w:r w:rsidRPr="00CD3406">
        <w:rPr>
          <w:rFonts w:ascii="Arial" w:hAnsi="Arial" w:cs="Arial"/>
          <w:bCs/>
        </w:rPr>
        <w:t>The fact that an agreed-upon, consensus-based form of leadership was required created a great number of drawbacks to the national response (Canadian Public Health Association, 2021).</w:t>
      </w:r>
    </w:p>
    <w:p w14:paraId="75911F6A" w14:textId="77777777" w:rsidR="00CD3406" w:rsidRPr="00A94931" w:rsidRDefault="00CD3406" w:rsidP="00A94931">
      <w:pPr>
        <w:pStyle w:val="ListParagraph"/>
        <w:numPr>
          <w:ilvl w:val="0"/>
          <w:numId w:val="27"/>
        </w:numPr>
        <w:spacing w:before="240" w:line="360" w:lineRule="auto"/>
        <w:jc w:val="both"/>
        <w:rPr>
          <w:rFonts w:ascii="Arial" w:hAnsi="Arial" w:cs="Arial"/>
          <w:bCs/>
        </w:rPr>
      </w:pPr>
      <w:r w:rsidRPr="00A94931">
        <w:rPr>
          <w:rFonts w:ascii="Arial" w:hAnsi="Arial" w:cs="Arial"/>
          <w:b/>
        </w:rPr>
        <w:t>Inefficiency and Delays:</w:t>
      </w:r>
      <w:r w:rsidRPr="00A94931">
        <w:rPr>
          <w:rFonts w:ascii="Arial" w:hAnsi="Arial" w:cs="Arial"/>
          <w:bCs/>
        </w:rPr>
        <w:t xml:space="preserve"> A policy lag and inconsistency in actions such as testing, school closures, and inter-provincial travel restrictions were caused by the need to consult and reach an agreement with 13 different jurisdictions (McGrail, 2022). This is a necessary evil of decentralisation that brought about the fact that the response was </w:t>
      </w:r>
      <w:r w:rsidRPr="00A94931">
        <w:rPr>
          <w:rFonts w:ascii="Arial" w:hAnsi="Arial" w:cs="Arial"/>
          <w:bCs/>
        </w:rPr>
        <w:lastRenderedPageBreak/>
        <w:t>not perfect in nature and helped to make the initial vaccine rollout slow (</w:t>
      </w:r>
      <w:proofErr w:type="spellStart"/>
      <w:r w:rsidRPr="00A94931">
        <w:rPr>
          <w:rFonts w:ascii="Arial" w:hAnsi="Arial" w:cs="Arial"/>
          <w:bCs/>
        </w:rPr>
        <w:t>Pestieau</w:t>
      </w:r>
      <w:proofErr w:type="spellEnd"/>
      <w:r w:rsidRPr="00A94931">
        <w:rPr>
          <w:rFonts w:ascii="Arial" w:hAnsi="Arial" w:cs="Arial"/>
          <w:bCs/>
        </w:rPr>
        <w:t xml:space="preserve"> et al., 2020).</w:t>
      </w:r>
    </w:p>
    <w:p w14:paraId="5B6F1958" w14:textId="005927DB" w:rsidR="00CD3406" w:rsidRPr="00A94931" w:rsidRDefault="00A94931" w:rsidP="00A94931">
      <w:pPr>
        <w:pStyle w:val="ListParagraph"/>
        <w:numPr>
          <w:ilvl w:val="0"/>
          <w:numId w:val="27"/>
        </w:numPr>
        <w:spacing w:before="240" w:line="360" w:lineRule="auto"/>
        <w:jc w:val="both"/>
        <w:rPr>
          <w:rFonts w:ascii="Arial" w:hAnsi="Arial" w:cs="Arial"/>
          <w:bCs/>
        </w:rPr>
      </w:pPr>
      <w:r w:rsidRPr="00A94931">
        <w:rPr>
          <w:rFonts w:ascii="Arial" w:hAnsi="Arial" w:cs="Arial"/>
          <w:b/>
        </w:rPr>
        <w:t>Failure to Establish Unified Data:</w:t>
      </w:r>
      <w:r w:rsidR="00CD3406" w:rsidRPr="00A94931">
        <w:rPr>
          <w:rFonts w:ascii="Arial" w:hAnsi="Arial" w:cs="Arial"/>
          <w:bCs/>
        </w:rPr>
        <w:t xml:space="preserve"> The leaders were unable to compel a robust, cohesive, national data surveillance of public health (McGrail, 2022). This deficiency of Directive command capability implied various P/Ts had various metrics, and the federal government could not offer a single Intellectual Stimulation (data-driven strategy) to the rest of the country (Canadian Public Health Association, 2021). The above scenario was a compelling demonstration of the inability of Situational Leadership to adapt to the technical requirements of the pandemic despite the need to act, albeit politically, more Autocratically in command of data (McGrail, 2022).</w:t>
      </w:r>
    </w:p>
    <w:p w14:paraId="2ED2B65B" w14:textId="5282FEBB" w:rsidR="001703B2" w:rsidRPr="007A5C47" w:rsidRDefault="00CD3406" w:rsidP="00CD3406">
      <w:pPr>
        <w:spacing w:before="240" w:line="360" w:lineRule="auto"/>
        <w:jc w:val="both"/>
        <w:rPr>
          <w:rFonts w:ascii="Arial" w:hAnsi="Arial" w:cs="Arial"/>
          <w:bCs/>
        </w:rPr>
      </w:pPr>
      <w:r w:rsidRPr="00CD3406">
        <w:rPr>
          <w:rFonts w:ascii="Arial" w:hAnsi="Arial" w:cs="Arial"/>
          <w:bCs/>
        </w:rPr>
        <w:t>In summary, Prime Minister Trudeau's leadership exemplified high-wire Transformational negotiation, as he strategically utilised Transactional funds to integrate the disorganised health system (</w:t>
      </w:r>
      <w:proofErr w:type="spellStart"/>
      <w:r w:rsidRPr="00CD3406">
        <w:rPr>
          <w:rFonts w:ascii="Arial" w:hAnsi="Arial" w:cs="Arial"/>
          <w:bCs/>
        </w:rPr>
        <w:t>Pestieau</w:t>
      </w:r>
      <w:proofErr w:type="spellEnd"/>
      <w:r w:rsidRPr="00CD3406">
        <w:rPr>
          <w:rFonts w:ascii="Arial" w:hAnsi="Arial" w:cs="Arial"/>
          <w:bCs/>
        </w:rPr>
        <w:t xml:space="preserve"> et al., 2020). The style worked well to ensure that Canada remained politically stable and eventually provided a very effective vaccination programme but failed to counteract the innate slowness and inconsistency of the decentralised system of Canadian constitutional governance and produced a system that was frequently reactive and very slow to achieve proactive results (McGrail, 2022).</w:t>
      </w:r>
      <w:r w:rsidR="001703B2" w:rsidRPr="007A5C47">
        <w:rPr>
          <w:rFonts w:ascii="Arial" w:hAnsi="Arial" w:cs="Arial"/>
          <w:bCs/>
        </w:rPr>
        <w:br w:type="page"/>
      </w:r>
    </w:p>
    <w:p w14:paraId="64AA8278" w14:textId="77777777" w:rsidR="001703B2" w:rsidRPr="007A5C47" w:rsidRDefault="001703B2" w:rsidP="001703B2">
      <w:pPr>
        <w:pStyle w:val="Heading1"/>
      </w:pPr>
      <w:bookmarkStart w:id="40" w:name="_Toc216264214"/>
      <w:bookmarkStart w:id="41" w:name="_Toc216677911"/>
      <w:r w:rsidRPr="007A5C47">
        <w:lastRenderedPageBreak/>
        <w:t>4. Conclusion:</w:t>
      </w:r>
      <w:bookmarkEnd w:id="40"/>
      <w:bookmarkEnd w:id="41"/>
    </w:p>
    <w:p w14:paraId="7C5C2562" w14:textId="2A817B52" w:rsidR="001703B2" w:rsidRPr="0053783A" w:rsidRDefault="0053783A" w:rsidP="001703B2">
      <w:pPr>
        <w:spacing w:before="240" w:line="360" w:lineRule="auto"/>
        <w:jc w:val="both"/>
        <w:rPr>
          <w:rFonts w:ascii="Arial" w:hAnsi="Arial" w:cs="Arial"/>
          <w:lang w:val="en-US"/>
        </w:rPr>
      </w:pPr>
      <w:r w:rsidRPr="0053783A">
        <w:rPr>
          <w:rFonts w:ascii="Arial" w:hAnsi="Arial" w:cs="Arial"/>
          <w:lang w:val="en-US"/>
        </w:rPr>
        <w:t xml:space="preserve">The comparative analysis of the COVID-19 response in Spain, South Korea, and Canada makes an argumentative case that the efficacy in carrying out the crisis management is, essentially, moderated by the factor of how a country is governed and what leadership approach is adopted. The well-studied and highly </w:t>
      </w:r>
      <w:proofErr w:type="spellStart"/>
      <w:r w:rsidRPr="0053783A">
        <w:rPr>
          <w:rFonts w:ascii="Arial" w:hAnsi="Arial" w:cs="Arial"/>
          <w:lang w:val="en-US"/>
        </w:rPr>
        <w:t>centralised</w:t>
      </w:r>
      <w:proofErr w:type="spellEnd"/>
      <w:r w:rsidRPr="0053783A">
        <w:rPr>
          <w:rFonts w:ascii="Arial" w:hAnsi="Arial" w:cs="Arial"/>
          <w:lang w:val="en-US"/>
        </w:rPr>
        <w:t xml:space="preserve"> system in South Korea enabled its leadership (Chung </w:t>
      </w:r>
      <w:proofErr w:type="spellStart"/>
      <w:r w:rsidRPr="0053783A">
        <w:rPr>
          <w:rFonts w:ascii="Arial" w:hAnsi="Arial" w:cs="Arial"/>
          <w:lang w:val="en-US"/>
        </w:rPr>
        <w:t>Sye-kyun</w:t>
      </w:r>
      <w:proofErr w:type="spellEnd"/>
      <w:r w:rsidRPr="0053783A">
        <w:rPr>
          <w:rFonts w:ascii="Arial" w:hAnsi="Arial" w:cs="Arial"/>
          <w:lang w:val="en-US"/>
        </w:rPr>
        <w:t xml:space="preserve">) to act with decisiveness and data to ensure the crisis was contained quickly and without substantially disrupting the economy through transformational transparency and trust. On the other hand, the early disintegration was experienced in the two highly </w:t>
      </w:r>
      <w:proofErr w:type="spellStart"/>
      <w:r w:rsidRPr="0053783A">
        <w:rPr>
          <w:rFonts w:ascii="Arial" w:hAnsi="Arial" w:cs="Arial"/>
          <w:lang w:val="en-US"/>
        </w:rPr>
        <w:t>decentralised</w:t>
      </w:r>
      <w:proofErr w:type="spellEnd"/>
      <w:r w:rsidRPr="0053783A">
        <w:rPr>
          <w:rFonts w:ascii="Arial" w:hAnsi="Arial" w:cs="Arial"/>
          <w:lang w:val="en-US"/>
        </w:rPr>
        <w:t xml:space="preserve"> countries. The initial failure of Spain was caused by a Laissez-Faire leadership gap, where emergency leadership (Autocratic centralization) was needed to save lives, and finally, a successful transactional and collaborative approach was adopted for the vaccination effort. The multi-level system of governance in Canada required the continuity of Unifying/Negotiating Transformational style on the part of Prime Minister Trudeau, which was effective in the process of coordination of national procurement and in achieving the collective provincial agreement by the means of transaction but still led to slower and uneven provincial responses. The bottom line, though, was that despite the </w:t>
      </w:r>
      <w:proofErr w:type="spellStart"/>
      <w:r w:rsidRPr="0053783A">
        <w:rPr>
          <w:rFonts w:ascii="Arial" w:hAnsi="Arial" w:cs="Arial"/>
          <w:lang w:val="en-US"/>
        </w:rPr>
        <w:t>centralised</w:t>
      </w:r>
      <w:proofErr w:type="spellEnd"/>
      <w:r w:rsidRPr="0053783A">
        <w:rPr>
          <w:rFonts w:ascii="Arial" w:hAnsi="Arial" w:cs="Arial"/>
          <w:lang w:val="en-US"/>
        </w:rPr>
        <w:t xml:space="preserve"> system being conducive to overcoming bureaucratic fragmentation, the determinant of long-term success was the capacity of the leadership to be Situational i.e. dynamically change the way it approached the problem, whether through autocratic command or collaborative negotiation, to suit the demands of the specific stage of the crisis and the needs of the population at large through its own institutions</w:t>
      </w:r>
      <w:r w:rsidR="001703B2" w:rsidRPr="007A5C47">
        <w:rPr>
          <w:rFonts w:ascii="Arial" w:hAnsi="Arial" w:cs="Arial"/>
        </w:rPr>
        <w:t>.</w:t>
      </w:r>
      <w:r w:rsidR="001703B2" w:rsidRPr="007A5C47">
        <w:rPr>
          <w:rFonts w:ascii="Arial" w:hAnsi="Arial" w:cs="Arial"/>
        </w:rPr>
        <w:br w:type="page"/>
      </w:r>
    </w:p>
    <w:p w14:paraId="7613211A" w14:textId="77777777" w:rsidR="001703B2" w:rsidRPr="007A5C47" w:rsidRDefault="001703B2" w:rsidP="001703B2">
      <w:pPr>
        <w:pStyle w:val="Heading1"/>
      </w:pPr>
      <w:bookmarkStart w:id="42" w:name="_Toc216264215"/>
      <w:bookmarkStart w:id="43" w:name="_Toc216677912"/>
      <w:r w:rsidRPr="007A5C47">
        <w:lastRenderedPageBreak/>
        <w:t>Reference</w:t>
      </w:r>
      <w:bookmarkEnd w:id="42"/>
      <w:bookmarkEnd w:id="43"/>
    </w:p>
    <w:p w14:paraId="36D4ABD0" w14:textId="77777777" w:rsidR="00456596" w:rsidRPr="00456596" w:rsidRDefault="00456596" w:rsidP="00456596">
      <w:pPr>
        <w:pStyle w:val="NormalWeb"/>
        <w:spacing w:line="360" w:lineRule="auto"/>
        <w:rPr>
          <w:rFonts w:ascii="Arial" w:hAnsi="Arial" w:cs="Arial"/>
          <w:sz w:val="22"/>
          <w:szCs w:val="22"/>
          <w:lang w:val="en-US"/>
        </w:rPr>
      </w:pPr>
      <w:r w:rsidRPr="00456596">
        <w:rPr>
          <w:rFonts w:ascii="Arial" w:hAnsi="Arial" w:cs="Arial"/>
          <w:sz w:val="22"/>
          <w:szCs w:val="22"/>
          <w:lang w:val="en-US"/>
        </w:rPr>
        <w:t xml:space="preserve">Brunet, J. M., &amp; Hunter, S. (2021). Spain’s constitutional court rules Covid-19 state of alarm was unconstitutional. </w:t>
      </w:r>
      <w:proofErr w:type="spellStart"/>
      <w:r w:rsidRPr="00456596">
        <w:rPr>
          <w:rFonts w:ascii="Arial" w:hAnsi="Arial" w:cs="Arial"/>
          <w:i/>
          <w:iCs/>
          <w:sz w:val="22"/>
          <w:szCs w:val="22"/>
          <w:lang w:val="en-US"/>
        </w:rPr>
        <w:t>ConstitutionNet</w:t>
      </w:r>
      <w:proofErr w:type="spellEnd"/>
      <w:r w:rsidRPr="00456596">
        <w:rPr>
          <w:rFonts w:ascii="Arial" w:hAnsi="Arial" w:cs="Arial"/>
          <w:sz w:val="22"/>
          <w:szCs w:val="22"/>
          <w:lang w:val="en-US"/>
        </w:rPr>
        <w:t xml:space="preserve">. Available at: </w:t>
      </w:r>
      <w:hyperlink r:id="rId23" w:tgtFrame="_blank" w:history="1">
        <w:r w:rsidRPr="00456596">
          <w:rPr>
            <w:rStyle w:val="Hyperlink"/>
            <w:rFonts w:ascii="Arial" w:hAnsi="Arial" w:cs="Arial"/>
            <w:sz w:val="22"/>
            <w:szCs w:val="22"/>
            <w:lang w:val="en-US"/>
          </w:rPr>
          <w:t>https://constitutionnet.org/news/spains-constitutional-court-rules-covid-19-state-alarm-was-unconstitutional</w:t>
        </w:r>
      </w:hyperlink>
      <w:r w:rsidRPr="00456596">
        <w:rPr>
          <w:rFonts w:ascii="Arial" w:hAnsi="Arial" w:cs="Arial"/>
          <w:sz w:val="22"/>
          <w:szCs w:val="22"/>
          <w:lang w:val="en-US"/>
        </w:rPr>
        <w:t xml:space="preserve"> (Accessed: 15 December 2025).   </w:t>
      </w:r>
    </w:p>
    <w:p w14:paraId="17D01173" w14:textId="77777777" w:rsidR="00456596" w:rsidRPr="00456596" w:rsidRDefault="00456596" w:rsidP="00456596">
      <w:pPr>
        <w:pStyle w:val="NormalWeb"/>
        <w:spacing w:line="360" w:lineRule="auto"/>
        <w:rPr>
          <w:rFonts w:ascii="Arial" w:hAnsi="Arial" w:cs="Arial"/>
          <w:sz w:val="22"/>
          <w:szCs w:val="22"/>
          <w:lang w:val="en-US"/>
        </w:rPr>
      </w:pPr>
      <w:r w:rsidRPr="00456596">
        <w:rPr>
          <w:rFonts w:ascii="Arial" w:hAnsi="Arial" w:cs="Arial"/>
          <w:sz w:val="22"/>
          <w:szCs w:val="22"/>
          <w:lang w:val="en-US"/>
        </w:rPr>
        <w:t xml:space="preserve">Casula, C. &amp; Pazos-Vidal, S. (2023). Divided We Survive? Multilevel Governance during the COVID-19 Pandemic in Italy and Spain. </w:t>
      </w:r>
      <w:r w:rsidRPr="00456596">
        <w:rPr>
          <w:rFonts w:ascii="Arial" w:hAnsi="Arial" w:cs="Arial"/>
          <w:i/>
          <w:iCs/>
          <w:sz w:val="22"/>
          <w:szCs w:val="22"/>
          <w:lang w:val="en-US"/>
        </w:rPr>
        <w:t>Publius: The Journal of Federalism</w:t>
      </w:r>
      <w:r w:rsidRPr="00456596">
        <w:rPr>
          <w:rFonts w:ascii="Arial" w:hAnsi="Arial" w:cs="Arial"/>
          <w:sz w:val="22"/>
          <w:szCs w:val="22"/>
          <w:lang w:val="en-US"/>
        </w:rPr>
        <w:t xml:space="preserve">, 53(2), pp. 227–251. Available at: </w:t>
      </w:r>
      <w:hyperlink r:id="rId24" w:tgtFrame="_blank" w:history="1">
        <w:r w:rsidRPr="00456596">
          <w:rPr>
            <w:rStyle w:val="Hyperlink"/>
            <w:rFonts w:ascii="Arial" w:hAnsi="Arial" w:cs="Arial"/>
            <w:sz w:val="22"/>
            <w:szCs w:val="22"/>
            <w:lang w:val="en-US"/>
          </w:rPr>
          <w:t>https://academic.oup.com/publius/article/53/2/227/7034620</w:t>
        </w:r>
      </w:hyperlink>
      <w:r w:rsidRPr="00456596">
        <w:rPr>
          <w:rFonts w:ascii="Arial" w:hAnsi="Arial" w:cs="Arial"/>
          <w:sz w:val="22"/>
          <w:szCs w:val="22"/>
          <w:lang w:val="en-US"/>
        </w:rPr>
        <w:t xml:space="preserve"> (Accessed: 15 December 2025).</w:t>
      </w:r>
    </w:p>
    <w:p w14:paraId="243A15D0" w14:textId="77777777" w:rsidR="00456596" w:rsidRPr="00456596" w:rsidRDefault="00456596" w:rsidP="00456596">
      <w:pPr>
        <w:pStyle w:val="NormalWeb"/>
        <w:spacing w:line="360" w:lineRule="auto"/>
        <w:rPr>
          <w:rFonts w:ascii="Arial" w:hAnsi="Arial" w:cs="Arial"/>
          <w:sz w:val="22"/>
          <w:szCs w:val="22"/>
          <w:lang w:val="en-US"/>
        </w:rPr>
      </w:pPr>
      <w:r w:rsidRPr="00456596">
        <w:rPr>
          <w:rFonts w:ascii="Arial" w:hAnsi="Arial" w:cs="Arial"/>
          <w:sz w:val="22"/>
          <w:szCs w:val="22"/>
          <w:lang w:val="en-US"/>
        </w:rPr>
        <w:t xml:space="preserve">Gómez, J. M., Rueda, J. R., &amp; Sanguino, I. (2022). Spanish Healthcare Sector Management in the COVID-19 Crisis Under the Perspective of Austrian Economics and New-Institutional Economics. </w:t>
      </w:r>
      <w:r w:rsidRPr="00456596">
        <w:rPr>
          <w:rFonts w:ascii="Arial" w:hAnsi="Arial" w:cs="Arial"/>
          <w:i/>
          <w:iCs/>
          <w:sz w:val="22"/>
          <w:szCs w:val="22"/>
          <w:lang w:val="en-US"/>
        </w:rPr>
        <w:t>Frontiers in Public Health</w:t>
      </w:r>
      <w:r w:rsidRPr="00456596">
        <w:rPr>
          <w:rFonts w:ascii="Arial" w:hAnsi="Arial" w:cs="Arial"/>
          <w:sz w:val="22"/>
          <w:szCs w:val="22"/>
          <w:lang w:val="en-US"/>
        </w:rPr>
        <w:t xml:space="preserve">, 10. Available at: </w:t>
      </w:r>
      <w:hyperlink r:id="rId25" w:tgtFrame="_blank" w:history="1">
        <w:r w:rsidRPr="00456596">
          <w:rPr>
            <w:rStyle w:val="Hyperlink"/>
            <w:rFonts w:ascii="Arial" w:hAnsi="Arial" w:cs="Arial"/>
            <w:sz w:val="22"/>
            <w:szCs w:val="22"/>
            <w:lang w:val="en-US"/>
          </w:rPr>
          <w:t>https://www.frontiersin.org/journals/public-health/articles/10.3389/fpubh.2022.801525/full</w:t>
        </w:r>
      </w:hyperlink>
      <w:r w:rsidRPr="00456596">
        <w:rPr>
          <w:rFonts w:ascii="Arial" w:hAnsi="Arial" w:cs="Arial"/>
          <w:sz w:val="22"/>
          <w:szCs w:val="22"/>
          <w:lang w:val="en-US"/>
        </w:rPr>
        <w:t xml:space="preserve"> (Accessed: 15 December 2025).</w:t>
      </w:r>
    </w:p>
    <w:p w14:paraId="63638668" w14:textId="77777777" w:rsidR="00456596" w:rsidRPr="00456596" w:rsidRDefault="00456596" w:rsidP="00456596">
      <w:pPr>
        <w:pStyle w:val="NormalWeb"/>
        <w:spacing w:line="360" w:lineRule="auto"/>
        <w:rPr>
          <w:rFonts w:ascii="Arial" w:hAnsi="Arial" w:cs="Arial"/>
          <w:sz w:val="22"/>
          <w:szCs w:val="22"/>
          <w:lang w:val="en-US"/>
        </w:rPr>
      </w:pPr>
      <w:r w:rsidRPr="00456596">
        <w:rPr>
          <w:rFonts w:ascii="Arial" w:hAnsi="Arial" w:cs="Arial"/>
          <w:sz w:val="22"/>
          <w:szCs w:val="22"/>
          <w:lang w:val="en-US"/>
        </w:rPr>
        <w:t xml:space="preserve">Lara-Fontán, E., &amp; Rebollo, J. P. (2021). Spain: One Pandemic and Two Versions of the State of Alarm. </w:t>
      </w:r>
      <w:proofErr w:type="spellStart"/>
      <w:r w:rsidRPr="00456596">
        <w:rPr>
          <w:rFonts w:ascii="Arial" w:hAnsi="Arial" w:cs="Arial"/>
          <w:i/>
          <w:iCs/>
          <w:sz w:val="22"/>
          <w:szCs w:val="22"/>
          <w:lang w:val="en-US"/>
        </w:rPr>
        <w:t>Verfassungsblog</w:t>
      </w:r>
      <w:proofErr w:type="spellEnd"/>
      <w:r w:rsidRPr="00456596">
        <w:rPr>
          <w:rFonts w:ascii="Arial" w:hAnsi="Arial" w:cs="Arial"/>
          <w:sz w:val="22"/>
          <w:szCs w:val="22"/>
          <w:lang w:val="en-US"/>
        </w:rPr>
        <w:t xml:space="preserve">. Available at: </w:t>
      </w:r>
      <w:hyperlink r:id="rId26" w:tgtFrame="_blank" w:history="1">
        <w:r w:rsidRPr="00456596">
          <w:rPr>
            <w:rStyle w:val="Hyperlink"/>
            <w:rFonts w:ascii="Arial" w:hAnsi="Arial" w:cs="Arial"/>
            <w:sz w:val="22"/>
            <w:szCs w:val="22"/>
            <w:lang w:val="en-US"/>
          </w:rPr>
          <w:t>https://verfassungsblog.de/spain-one-pandemic-and-two-versions-of-the-state-of-alarm/</w:t>
        </w:r>
      </w:hyperlink>
      <w:r w:rsidRPr="00456596">
        <w:rPr>
          <w:rFonts w:ascii="Arial" w:hAnsi="Arial" w:cs="Arial"/>
          <w:sz w:val="22"/>
          <w:szCs w:val="22"/>
          <w:lang w:val="en-US"/>
        </w:rPr>
        <w:t xml:space="preserve"> (Accessed: 15 December 2025).</w:t>
      </w:r>
    </w:p>
    <w:p w14:paraId="7C28264F" w14:textId="77777777" w:rsidR="00456596" w:rsidRPr="00456596" w:rsidRDefault="00456596" w:rsidP="00456596">
      <w:pPr>
        <w:pStyle w:val="NormalWeb"/>
        <w:spacing w:line="360" w:lineRule="auto"/>
        <w:rPr>
          <w:rFonts w:ascii="Arial" w:hAnsi="Arial" w:cs="Arial"/>
          <w:sz w:val="22"/>
          <w:szCs w:val="22"/>
          <w:lang w:val="en-US"/>
        </w:rPr>
      </w:pPr>
      <w:r w:rsidRPr="00456596">
        <w:rPr>
          <w:rFonts w:ascii="Arial" w:hAnsi="Arial" w:cs="Arial"/>
          <w:sz w:val="22"/>
          <w:szCs w:val="22"/>
          <w:lang w:val="en-US"/>
        </w:rPr>
        <w:t xml:space="preserve">Navarro, V., Vivas, C., &amp; Vivas, C. (2022). The difficult resilience of the Spanish national health system in the XXI century: decentralization, austerity, and pandemics. </w:t>
      </w:r>
      <w:r w:rsidRPr="00456596">
        <w:rPr>
          <w:rFonts w:ascii="Arial" w:hAnsi="Arial" w:cs="Arial"/>
          <w:i/>
          <w:iCs/>
          <w:sz w:val="22"/>
          <w:szCs w:val="22"/>
          <w:lang w:val="en-US"/>
        </w:rPr>
        <w:t>Journal of Healthcare Quality Research</w:t>
      </w:r>
      <w:r w:rsidRPr="00456596">
        <w:rPr>
          <w:rFonts w:ascii="Arial" w:hAnsi="Arial" w:cs="Arial"/>
          <w:sz w:val="22"/>
          <w:szCs w:val="22"/>
          <w:lang w:val="en-US"/>
        </w:rPr>
        <w:t xml:space="preserve">, 37(2), pp. 83–90. Available at: </w:t>
      </w:r>
      <w:hyperlink r:id="rId27" w:tgtFrame="_blank" w:history="1">
        <w:r w:rsidRPr="00456596">
          <w:rPr>
            <w:rStyle w:val="Hyperlink"/>
            <w:rFonts w:ascii="Arial" w:hAnsi="Arial" w:cs="Arial"/>
            <w:sz w:val="22"/>
            <w:szCs w:val="22"/>
            <w:lang w:val="en-US"/>
          </w:rPr>
          <w:t>https://www.elsevier.es/en-revista-journal-healthcare-quality-research-257-articulo-the-difficult-resilience-spanish-national-S260364792200032X</w:t>
        </w:r>
      </w:hyperlink>
      <w:r w:rsidRPr="00456596">
        <w:rPr>
          <w:rFonts w:ascii="Arial" w:hAnsi="Arial" w:cs="Arial"/>
          <w:sz w:val="22"/>
          <w:szCs w:val="22"/>
          <w:lang w:val="en-US"/>
        </w:rPr>
        <w:t xml:space="preserve"> (Accessed: 15 December 2025).</w:t>
      </w:r>
    </w:p>
    <w:p w14:paraId="2B529F6F" w14:textId="77777777" w:rsidR="00456596" w:rsidRPr="00456596" w:rsidRDefault="00456596" w:rsidP="00456596">
      <w:pPr>
        <w:pStyle w:val="NormalWeb"/>
        <w:spacing w:line="360" w:lineRule="auto"/>
        <w:rPr>
          <w:rFonts w:ascii="Arial" w:hAnsi="Arial" w:cs="Arial"/>
          <w:sz w:val="22"/>
          <w:szCs w:val="22"/>
          <w:lang w:val="en-US"/>
        </w:rPr>
      </w:pPr>
      <w:r w:rsidRPr="00456596">
        <w:rPr>
          <w:rFonts w:ascii="Arial" w:hAnsi="Arial" w:cs="Arial"/>
          <w:sz w:val="22"/>
          <w:szCs w:val="22"/>
          <w:lang w:val="en-US"/>
        </w:rPr>
        <w:t xml:space="preserve">Sanidad.gob.es (2020) </w:t>
      </w:r>
      <w:r w:rsidRPr="00456596">
        <w:rPr>
          <w:rFonts w:ascii="Arial" w:hAnsi="Arial" w:cs="Arial"/>
          <w:i/>
          <w:iCs/>
          <w:sz w:val="22"/>
          <w:szCs w:val="22"/>
          <w:lang w:val="en-US"/>
        </w:rPr>
        <w:t>COVID-19 Vaccination Strategy in Spain Key Points</w:t>
      </w:r>
      <w:r w:rsidRPr="00456596">
        <w:rPr>
          <w:rFonts w:ascii="Arial" w:hAnsi="Arial" w:cs="Arial"/>
          <w:sz w:val="22"/>
          <w:szCs w:val="22"/>
          <w:lang w:val="en-US"/>
        </w:rPr>
        <w:t xml:space="preserve">. Available at: </w:t>
      </w:r>
      <w:hyperlink r:id="rId28" w:tgtFrame="_blank" w:history="1">
        <w:r w:rsidRPr="00456596">
          <w:rPr>
            <w:rStyle w:val="Hyperlink"/>
            <w:rFonts w:ascii="Arial" w:hAnsi="Arial" w:cs="Arial"/>
            <w:sz w:val="22"/>
            <w:szCs w:val="22"/>
            <w:lang w:val="en-US"/>
          </w:rPr>
          <w:t>https://www.sanidad.gob.es/gabinetePrensa/notaPrensa/pdf/24.11241120144436287.pdf</w:t>
        </w:r>
      </w:hyperlink>
      <w:r w:rsidRPr="00456596">
        <w:rPr>
          <w:rFonts w:ascii="Arial" w:hAnsi="Arial" w:cs="Arial"/>
          <w:sz w:val="22"/>
          <w:szCs w:val="22"/>
          <w:lang w:val="en-US"/>
        </w:rPr>
        <w:t xml:space="preserve"> (Accessed: 15 December 2025).</w:t>
      </w:r>
    </w:p>
    <w:p w14:paraId="1BBB2D2F" w14:textId="77777777" w:rsidR="00456596" w:rsidRPr="00456596" w:rsidRDefault="00456596" w:rsidP="00456596">
      <w:pPr>
        <w:pStyle w:val="NormalWeb"/>
        <w:spacing w:line="360" w:lineRule="auto"/>
        <w:rPr>
          <w:rFonts w:ascii="Arial" w:hAnsi="Arial" w:cs="Arial"/>
          <w:sz w:val="22"/>
          <w:szCs w:val="22"/>
          <w:lang w:val="en-US"/>
        </w:rPr>
      </w:pPr>
      <w:proofErr w:type="spellStart"/>
      <w:r w:rsidRPr="00456596">
        <w:rPr>
          <w:rFonts w:ascii="Arial" w:hAnsi="Arial" w:cs="Arial"/>
          <w:sz w:val="22"/>
          <w:szCs w:val="22"/>
          <w:lang w:val="en-US"/>
        </w:rPr>
        <w:t>Turón</w:t>
      </w:r>
      <w:proofErr w:type="spellEnd"/>
      <w:r w:rsidRPr="00456596">
        <w:rPr>
          <w:rFonts w:ascii="Arial" w:hAnsi="Arial" w:cs="Arial"/>
          <w:sz w:val="22"/>
          <w:szCs w:val="22"/>
          <w:lang w:val="en-US"/>
        </w:rPr>
        <w:t xml:space="preserve">, A., Altuzarra, A., Moreno-Jiménez, J. M., &amp; Navarro, J. (2022). Evolution of social mood in Spain throughout the COVID-19 vaccination process: A machine learning approach to tweets analysis. </w:t>
      </w:r>
      <w:r w:rsidRPr="00456596">
        <w:rPr>
          <w:rFonts w:ascii="Arial" w:hAnsi="Arial" w:cs="Arial"/>
          <w:i/>
          <w:iCs/>
          <w:sz w:val="22"/>
          <w:szCs w:val="22"/>
          <w:lang w:val="en-US"/>
        </w:rPr>
        <w:t>Public Health</w:t>
      </w:r>
      <w:r w:rsidRPr="00456596">
        <w:rPr>
          <w:rFonts w:ascii="Arial" w:hAnsi="Arial" w:cs="Arial"/>
          <w:sz w:val="22"/>
          <w:szCs w:val="22"/>
          <w:lang w:val="en-US"/>
        </w:rPr>
        <w:t xml:space="preserve">, 215, pp. 132–142. Available at: </w:t>
      </w:r>
      <w:hyperlink r:id="rId29" w:tgtFrame="_blank" w:history="1">
        <w:r w:rsidRPr="00456596">
          <w:rPr>
            <w:rStyle w:val="Hyperlink"/>
            <w:rFonts w:ascii="Arial" w:hAnsi="Arial" w:cs="Arial"/>
            <w:sz w:val="22"/>
            <w:szCs w:val="22"/>
            <w:lang w:val="en-US"/>
          </w:rPr>
          <w:t>https://www.researchgate.net/publication/366253084_Evolution_of_social_mood_in_Spain_throughout_the_COVID-</w:t>
        </w:r>
        <w:r w:rsidRPr="00456596">
          <w:rPr>
            <w:rStyle w:val="Hyperlink"/>
            <w:rFonts w:ascii="Arial" w:hAnsi="Arial" w:cs="Arial"/>
            <w:sz w:val="22"/>
            <w:szCs w:val="22"/>
            <w:lang w:val="en-US"/>
          </w:rPr>
          <w:lastRenderedPageBreak/>
          <w:t>19_vaccination_process_A_machine_learning_approach_to_tweets_analysis</w:t>
        </w:r>
      </w:hyperlink>
      <w:r w:rsidRPr="00456596">
        <w:rPr>
          <w:rFonts w:ascii="Arial" w:hAnsi="Arial" w:cs="Arial"/>
          <w:sz w:val="22"/>
          <w:szCs w:val="22"/>
          <w:lang w:val="en-US"/>
        </w:rPr>
        <w:t xml:space="preserve"> (Accessed: 15 December 2025).   </w:t>
      </w:r>
    </w:p>
    <w:p w14:paraId="37E1DE45" w14:textId="77777777" w:rsidR="001009BA" w:rsidRPr="001009BA" w:rsidRDefault="001009BA" w:rsidP="001009BA">
      <w:pPr>
        <w:pStyle w:val="NormalWeb"/>
        <w:spacing w:line="360" w:lineRule="auto"/>
        <w:rPr>
          <w:rFonts w:ascii="Arial" w:hAnsi="Arial" w:cs="Arial"/>
          <w:sz w:val="22"/>
          <w:szCs w:val="22"/>
          <w:lang w:val="en-US"/>
        </w:rPr>
      </w:pPr>
      <w:r w:rsidRPr="001009BA">
        <w:rPr>
          <w:rFonts w:ascii="Arial" w:hAnsi="Arial" w:cs="Arial"/>
          <w:sz w:val="22"/>
          <w:szCs w:val="22"/>
          <w:lang w:val="en-US"/>
        </w:rPr>
        <w:t xml:space="preserve">Canadian Public Health Association (2021) </w:t>
      </w:r>
      <w:r w:rsidRPr="001009BA">
        <w:rPr>
          <w:rFonts w:ascii="Arial" w:hAnsi="Arial" w:cs="Arial"/>
          <w:i/>
          <w:iCs/>
          <w:sz w:val="22"/>
          <w:szCs w:val="22"/>
          <w:lang w:val="en-US"/>
        </w:rPr>
        <w:t>Canada's initial response to the COVID-19 pandemic</w:t>
      </w:r>
      <w:r w:rsidRPr="001009BA">
        <w:rPr>
          <w:rFonts w:ascii="Arial" w:hAnsi="Arial" w:cs="Arial"/>
          <w:sz w:val="22"/>
          <w:szCs w:val="22"/>
          <w:lang w:val="en-US"/>
        </w:rPr>
        <w:t xml:space="preserve">. Available at: </w:t>
      </w:r>
      <w:hyperlink r:id="rId30" w:tgtFrame="_blank" w:history="1">
        <w:r w:rsidRPr="001009BA">
          <w:rPr>
            <w:rStyle w:val="Hyperlink"/>
            <w:rFonts w:ascii="Arial" w:hAnsi="Arial" w:cs="Arial"/>
            <w:sz w:val="22"/>
            <w:szCs w:val="22"/>
            <w:lang w:val="en-US"/>
          </w:rPr>
          <w:t>https://www.cpha.ca/sites/default/files/uploads/policy/positionstatements/2021-02-covid-19-initial-review-e.pdf</w:t>
        </w:r>
      </w:hyperlink>
      <w:r w:rsidRPr="001009BA">
        <w:rPr>
          <w:rFonts w:ascii="Arial" w:hAnsi="Arial" w:cs="Arial"/>
          <w:sz w:val="22"/>
          <w:szCs w:val="22"/>
          <w:lang w:val="en-US"/>
        </w:rPr>
        <w:t xml:space="preserve"> (Accessed: 15 December 2025).</w:t>
      </w:r>
    </w:p>
    <w:p w14:paraId="6F18C7EB" w14:textId="77777777" w:rsidR="001009BA" w:rsidRPr="001009BA" w:rsidRDefault="001009BA" w:rsidP="001009BA">
      <w:pPr>
        <w:pStyle w:val="NormalWeb"/>
        <w:spacing w:line="360" w:lineRule="auto"/>
        <w:rPr>
          <w:rFonts w:ascii="Arial" w:hAnsi="Arial" w:cs="Arial"/>
          <w:sz w:val="22"/>
          <w:szCs w:val="22"/>
          <w:lang w:val="en-US"/>
        </w:rPr>
      </w:pPr>
      <w:r w:rsidRPr="001009BA">
        <w:rPr>
          <w:rFonts w:ascii="Arial" w:hAnsi="Arial" w:cs="Arial"/>
          <w:sz w:val="22"/>
          <w:szCs w:val="22"/>
          <w:lang w:val="en-US"/>
        </w:rPr>
        <w:t xml:space="preserve">Gopinathan, S. (2022) Analysis of South Korea’s COVID-19 Response Strategy Using Schauer’s Values of Transparency. </w:t>
      </w:r>
      <w:r w:rsidRPr="001009BA">
        <w:rPr>
          <w:rFonts w:ascii="Arial" w:hAnsi="Arial" w:cs="Arial"/>
          <w:i/>
          <w:iCs/>
          <w:sz w:val="22"/>
          <w:szCs w:val="22"/>
          <w:lang w:val="en-US"/>
        </w:rPr>
        <w:t>Public Health Ethics</w:t>
      </w:r>
      <w:r w:rsidRPr="001009BA">
        <w:rPr>
          <w:rFonts w:ascii="Arial" w:hAnsi="Arial" w:cs="Arial"/>
          <w:sz w:val="22"/>
          <w:szCs w:val="22"/>
          <w:lang w:val="en-US"/>
        </w:rPr>
        <w:t xml:space="preserve">. Available at: </w:t>
      </w:r>
      <w:hyperlink r:id="rId31" w:tgtFrame="_blank" w:history="1">
        <w:r w:rsidRPr="001009BA">
          <w:rPr>
            <w:rStyle w:val="Hyperlink"/>
            <w:rFonts w:ascii="Arial" w:hAnsi="Arial" w:cs="Arial"/>
            <w:sz w:val="22"/>
            <w:szCs w:val="22"/>
            <w:lang w:val="en-US"/>
          </w:rPr>
          <w:t>https://academic.oup.com/phe/article/doi/10.1093/phe/phaf024/8367735</w:t>
        </w:r>
      </w:hyperlink>
      <w:r w:rsidRPr="001009BA">
        <w:rPr>
          <w:rFonts w:ascii="Arial" w:hAnsi="Arial" w:cs="Arial"/>
          <w:sz w:val="22"/>
          <w:szCs w:val="22"/>
          <w:lang w:val="en-US"/>
        </w:rPr>
        <w:t xml:space="preserve"> (Accessed: 15 December 2025).</w:t>
      </w:r>
    </w:p>
    <w:p w14:paraId="24BA6DD2" w14:textId="77777777" w:rsidR="001009BA" w:rsidRPr="001009BA" w:rsidRDefault="001009BA" w:rsidP="001009BA">
      <w:pPr>
        <w:pStyle w:val="NormalWeb"/>
        <w:spacing w:line="360" w:lineRule="auto"/>
        <w:rPr>
          <w:rFonts w:ascii="Arial" w:hAnsi="Arial" w:cs="Arial"/>
          <w:sz w:val="22"/>
          <w:szCs w:val="22"/>
          <w:lang w:val="en-US"/>
        </w:rPr>
      </w:pPr>
      <w:r w:rsidRPr="001009BA">
        <w:rPr>
          <w:rFonts w:ascii="Arial" w:hAnsi="Arial" w:cs="Arial"/>
          <w:sz w:val="22"/>
          <w:szCs w:val="22"/>
          <w:lang w:val="en-US"/>
        </w:rPr>
        <w:t xml:space="preserve">Kim, D. W., Choi, H., &amp; Lee, Y. Y. (2020) Korea's Early COVID-19 Response: Findings and Implications. </w:t>
      </w:r>
      <w:r w:rsidRPr="001009BA">
        <w:rPr>
          <w:rFonts w:ascii="Arial" w:hAnsi="Arial" w:cs="Arial"/>
          <w:i/>
          <w:iCs/>
          <w:sz w:val="22"/>
          <w:szCs w:val="22"/>
          <w:lang w:val="en-US"/>
        </w:rPr>
        <w:t>International Journal of Environmental Research and Public Health</w:t>
      </w:r>
      <w:r w:rsidRPr="001009BA">
        <w:rPr>
          <w:rFonts w:ascii="Arial" w:hAnsi="Arial" w:cs="Arial"/>
          <w:sz w:val="22"/>
          <w:szCs w:val="22"/>
          <w:lang w:val="en-US"/>
        </w:rPr>
        <w:t xml:space="preserve">, 18(16), 8316. Available at: </w:t>
      </w:r>
      <w:hyperlink r:id="rId32" w:tgtFrame="_blank" w:history="1">
        <w:r w:rsidRPr="001009BA">
          <w:rPr>
            <w:rStyle w:val="Hyperlink"/>
            <w:rFonts w:ascii="Arial" w:hAnsi="Arial" w:cs="Arial"/>
            <w:sz w:val="22"/>
            <w:szCs w:val="22"/>
            <w:lang w:val="en-US"/>
          </w:rPr>
          <w:t>https://www.mdpi.com/1660-4601/18/16/8316</w:t>
        </w:r>
      </w:hyperlink>
      <w:r w:rsidRPr="001009BA">
        <w:rPr>
          <w:rFonts w:ascii="Arial" w:hAnsi="Arial" w:cs="Arial"/>
          <w:sz w:val="22"/>
          <w:szCs w:val="22"/>
          <w:lang w:val="en-US"/>
        </w:rPr>
        <w:t xml:space="preserve"> (Accessed: 15 December 2025).</w:t>
      </w:r>
    </w:p>
    <w:p w14:paraId="1F13D70D" w14:textId="77777777" w:rsidR="001009BA" w:rsidRPr="001009BA" w:rsidRDefault="001009BA" w:rsidP="001009BA">
      <w:pPr>
        <w:pStyle w:val="NormalWeb"/>
        <w:spacing w:line="360" w:lineRule="auto"/>
        <w:rPr>
          <w:rFonts w:ascii="Arial" w:hAnsi="Arial" w:cs="Arial"/>
          <w:sz w:val="22"/>
          <w:szCs w:val="22"/>
          <w:lang w:val="en-US"/>
        </w:rPr>
      </w:pPr>
      <w:r w:rsidRPr="001009BA">
        <w:rPr>
          <w:rFonts w:ascii="Arial" w:hAnsi="Arial" w:cs="Arial"/>
          <w:sz w:val="22"/>
          <w:szCs w:val="22"/>
          <w:lang w:val="en-US"/>
        </w:rPr>
        <w:t xml:space="preserve">Lee, J. S., Han, M., &amp; Jun, Y. (2021) In </w:t>
      </w:r>
      <w:proofErr w:type="spellStart"/>
      <w:r w:rsidRPr="001009BA">
        <w:rPr>
          <w:rFonts w:ascii="Arial" w:hAnsi="Arial" w:cs="Arial"/>
          <w:sz w:val="22"/>
          <w:szCs w:val="22"/>
          <w:lang w:val="en-US"/>
        </w:rPr>
        <w:t>defence</w:t>
      </w:r>
      <w:proofErr w:type="spellEnd"/>
      <w:r w:rsidRPr="001009BA">
        <w:rPr>
          <w:rFonts w:ascii="Arial" w:hAnsi="Arial" w:cs="Arial"/>
          <w:sz w:val="22"/>
          <w:szCs w:val="22"/>
          <w:lang w:val="en-US"/>
        </w:rPr>
        <w:t xml:space="preserve"> of digital contact-tracing: human rights, South Korea and Covid-19. </w:t>
      </w:r>
      <w:r w:rsidRPr="001009BA">
        <w:rPr>
          <w:rFonts w:ascii="Arial" w:hAnsi="Arial" w:cs="Arial"/>
          <w:i/>
          <w:iCs/>
          <w:sz w:val="22"/>
          <w:szCs w:val="22"/>
          <w:lang w:val="en-US"/>
        </w:rPr>
        <w:t>International Journal of Privacy and Confidentiality</w:t>
      </w:r>
      <w:r w:rsidRPr="001009BA">
        <w:rPr>
          <w:rFonts w:ascii="Arial" w:hAnsi="Arial" w:cs="Arial"/>
          <w:sz w:val="22"/>
          <w:szCs w:val="22"/>
          <w:lang w:val="en-US"/>
        </w:rPr>
        <w:t xml:space="preserve">, 16(4), pp. 383-398. Available at: </w:t>
      </w:r>
      <w:hyperlink r:id="rId33" w:tgtFrame="_blank" w:history="1">
        <w:r w:rsidRPr="001009BA">
          <w:rPr>
            <w:rStyle w:val="Hyperlink"/>
            <w:rFonts w:ascii="Arial" w:hAnsi="Arial" w:cs="Arial"/>
            <w:sz w:val="22"/>
            <w:szCs w:val="22"/>
            <w:lang w:val="en-US"/>
          </w:rPr>
          <w:t>https://www.emerald.com/ijpcc/article/16/4/383/161638/In-defence-of-digital-contact-tracing-human-rights</w:t>
        </w:r>
      </w:hyperlink>
      <w:r w:rsidRPr="001009BA">
        <w:rPr>
          <w:rFonts w:ascii="Arial" w:hAnsi="Arial" w:cs="Arial"/>
          <w:sz w:val="22"/>
          <w:szCs w:val="22"/>
          <w:lang w:val="en-US"/>
        </w:rPr>
        <w:t xml:space="preserve"> (Accessed: 15 December 2025).</w:t>
      </w:r>
    </w:p>
    <w:p w14:paraId="572DC552" w14:textId="77777777" w:rsidR="001009BA" w:rsidRPr="001009BA" w:rsidRDefault="001009BA" w:rsidP="001009BA">
      <w:pPr>
        <w:pStyle w:val="NormalWeb"/>
        <w:spacing w:line="360" w:lineRule="auto"/>
        <w:rPr>
          <w:rFonts w:ascii="Arial" w:hAnsi="Arial" w:cs="Arial"/>
          <w:sz w:val="22"/>
          <w:szCs w:val="22"/>
          <w:lang w:val="en-US"/>
        </w:rPr>
      </w:pPr>
      <w:r w:rsidRPr="001009BA">
        <w:rPr>
          <w:rFonts w:ascii="Arial" w:hAnsi="Arial" w:cs="Arial"/>
          <w:sz w:val="22"/>
          <w:szCs w:val="22"/>
          <w:lang w:val="en-US"/>
        </w:rPr>
        <w:t xml:space="preserve">McGrail, K. M. (2022) Strengthening health care in Canada post-COVID-19 pandemic. </w:t>
      </w:r>
      <w:r w:rsidRPr="001009BA">
        <w:rPr>
          <w:rFonts w:ascii="Arial" w:hAnsi="Arial" w:cs="Arial"/>
          <w:i/>
          <w:iCs/>
          <w:sz w:val="22"/>
          <w:szCs w:val="22"/>
          <w:lang w:val="en-US"/>
        </w:rPr>
        <w:t>Facets</w:t>
      </w:r>
      <w:r w:rsidRPr="001009BA">
        <w:rPr>
          <w:rFonts w:ascii="Arial" w:hAnsi="Arial" w:cs="Arial"/>
          <w:sz w:val="22"/>
          <w:szCs w:val="22"/>
          <w:lang w:val="en-US"/>
        </w:rPr>
        <w:t xml:space="preserve">, 7(1), pp. 1104-1111. Available at: </w:t>
      </w:r>
      <w:hyperlink r:id="rId34" w:tgtFrame="_blank" w:history="1">
        <w:r w:rsidRPr="001009BA">
          <w:rPr>
            <w:rStyle w:val="Hyperlink"/>
            <w:rFonts w:ascii="Arial" w:hAnsi="Arial" w:cs="Arial"/>
            <w:sz w:val="22"/>
            <w:szCs w:val="22"/>
            <w:lang w:val="en-US"/>
          </w:rPr>
          <w:t>https://www.facetsjournal.com/doi/10.1139/facets-2022-0225</w:t>
        </w:r>
      </w:hyperlink>
      <w:r w:rsidRPr="001009BA">
        <w:rPr>
          <w:rFonts w:ascii="Arial" w:hAnsi="Arial" w:cs="Arial"/>
          <w:sz w:val="22"/>
          <w:szCs w:val="22"/>
          <w:lang w:val="en-US"/>
        </w:rPr>
        <w:t xml:space="preserve"> (Accessed: 15 December 2025).</w:t>
      </w:r>
    </w:p>
    <w:p w14:paraId="11F7AC17" w14:textId="77777777" w:rsidR="001009BA" w:rsidRPr="001009BA" w:rsidRDefault="001009BA" w:rsidP="001009BA">
      <w:pPr>
        <w:pStyle w:val="NormalWeb"/>
        <w:spacing w:line="360" w:lineRule="auto"/>
        <w:rPr>
          <w:rFonts w:ascii="Arial" w:hAnsi="Arial" w:cs="Arial"/>
          <w:sz w:val="22"/>
          <w:szCs w:val="22"/>
          <w:lang w:val="en-US"/>
        </w:rPr>
      </w:pPr>
      <w:r w:rsidRPr="001009BA">
        <w:rPr>
          <w:rFonts w:ascii="Arial" w:hAnsi="Arial" w:cs="Arial"/>
          <w:sz w:val="22"/>
          <w:szCs w:val="22"/>
          <w:lang w:val="en-US"/>
        </w:rPr>
        <w:t xml:space="preserve">Park, C., Choi, Y., &amp; Ko, Y. (2020) COVID-19 in South Korea: Lessons for developing countries. </w:t>
      </w:r>
      <w:r w:rsidRPr="001009BA">
        <w:rPr>
          <w:rFonts w:ascii="Arial" w:hAnsi="Arial" w:cs="Arial"/>
          <w:i/>
          <w:iCs/>
          <w:sz w:val="22"/>
          <w:szCs w:val="22"/>
          <w:lang w:val="en-US"/>
        </w:rPr>
        <w:t>Journal of Global Health</w:t>
      </w:r>
      <w:r w:rsidRPr="001009BA">
        <w:rPr>
          <w:rFonts w:ascii="Arial" w:hAnsi="Arial" w:cs="Arial"/>
          <w:sz w:val="22"/>
          <w:szCs w:val="22"/>
          <w:lang w:val="en-US"/>
        </w:rPr>
        <w:t xml:space="preserve">, 10(1), 010352. Available at: </w:t>
      </w:r>
      <w:hyperlink r:id="rId35" w:tgtFrame="_blank" w:history="1">
        <w:r w:rsidRPr="001009BA">
          <w:rPr>
            <w:rStyle w:val="Hyperlink"/>
            <w:rFonts w:ascii="Arial" w:hAnsi="Arial" w:cs="Arial"/>
            <w:sz w:val="22"/>
            <w:szCs w:val="22"/>
            <w:lang w:val="en-US"/>
          </w:rPr>
          <w:t>https://pmc.ncbi.nlm.nih.gov/articles/PMC7321039/</w:t>
        </w:r>
      </w:hyperlink>
      <w:r w:rsidRPr="001009BA">
        <w:rPr>
          <w:rFonts w:ascii="Arial" w:hAnsi="Arial" w:cs="Arial"/>
          <w:sz w:val="22"/>
          <w:szCs w:val="22"/>
          <w:lang w:val="en-US"/>
        </w:rPr>
        <w:t xml:space="preserve"> (Accessed: 15 December 2025).</w:t>
      </w:r>
    </w:p>
    <w:p w14:paraId="6591A4E7" w14:textId="77777777" w:rsidR="001009BA" w:rsidRPr="001009BA" w:rsidRDefault="001009BA" w:rsidP="001009BA">
      <w:pPr>
        <w:pStyle w:val="NormalWeb"/>
        <w:spacing w:line="360" w:lineRule="auto"/>
        <w:rPr>
          <w:rFonts w:ascii="Arial" w:hAnsi="Arial" w:cs="Arial"/>
          <w:sz w:val="22"/>
          <w:szCs w:val="22"/>
          <w:lang w:val="en-US"/>
        </w:rPr>
      </w:pPr>
      <w:proofErr w:type="spellStart"/>
      <w:r w:rsidRPr="001009BA">
        <w:rPr>
          <w:rFonts w:ascii="Arial" w:hAnsi="Arial" w:cs="Arial"/>
          <w:sz w:val="22"/>
          <w:szCs w:val="22"/>
          <w:lang w:val="en-US"/>
        </w:rPr>
        <w:t>Pestieau</w:t>
      </w:r>
      <w:proofErr w:type="spellEnd"/>
      <w:r w:rsidRPr="001009BA">
        <w:rPr>
          <w:rFonts w:ascii="Arial" w:hAnsi="Arial" w:cs="Arial"/>
          <w:sz w:val="22"/>
          <w:szCs w:val="22"/>
          <w:lang w:val="en-US"/>
        </w:rPr>
        <w:t xml:space="preserve">, P., De Laere, G. P. &amp; Maor, M. (2020) Trust, but customize: federalism’s impact on the Canadian COVID-19 response. </w:t>
      </w:r>
      <w:r w:rsidRPr="001009BA">
        <w:rPr>
          <w:rFonts w:ascii="Arial" w:hAnsi="Arial" w:cs="Arial"/>
          <w:i/>
          <w:iCs/>
          <w:sz w:val="22"/>
          <w:szCs w:val="22"/>
          <w:lang w:val="en-US"/>
        </w:rPr>
        <w:t>Policy and Society</w:t>
      </w:r>
      <w:r w:rsidRPr="001009BA">
        <w:rPr>
          <w:rFonts w:ascii="Arial" w:hAnsi="Arial" w:cs="Arial"/>
          <w:sz w:val="22"/>
          <w:szCs w:val="22"/>
          <w:lang w:val="en-US"/>
        </w:rPr>
        <w:t xml:space="preserve">, 39(3), pp. 382–392. Available at: </w:t>
      </w:r>
      <w:hyperlink r:id="rId36" w:tgtFrame="_blank" w:history="1">
        <w:r w:rsidRPr="001009BA">
          <w:rPr>
            <w:rStyle w:val="Hyperlink"/>
            <w:rFonts w:ascii="Arial" w:hAnsi="Arial" w:cs="Arial"/>
            <w:sz w:val="22"/>
            <w:szCs w:val="22"/>
            <w:lang w:val="en-US"/>
          </w:rPr>
          <w:t>https://academic.oup.com/policyandsociety/article/39/3/382/6407899</w:t>
        </w:r>
      </w:hyperlink>
      <w:r w:rsidRPr="001009BA">
        <w:rPr>
          <w:rFonts w:ascii="Arial" w:hAnsi="Arial" w:cs="Arial"/>
          <w:sz w:val="22"/>
          <w:szCs w:val="22"/>
          <w:lang w:val="en-US"/>
        </w:rPr>
        <w:t xml:space="preserve"> (Accessed: 15 December 2025).</w:t>
      </w:r>
    </w:p>
    <w:p w14:paraId="1F7014C0" w14:textId="77777777" w:rsidR="001009BA" w:rsidRPr="001009BA" w:rsidRDefault="001009BA" w:rsidP="001009BA">
      <w:pPr>
        <w:pStyle w:val="NormalWeb"/>
        <w:spacing w:line="360" w:lineRule="auto"/>
        <w:rPr>
          <w:rFonts w:ascii="Arial" w:hAnsi="Arial" w:cs="Arial"/>
          <w:sz w:val="22"/>
          <w:szCs w:val="22"/>
          <w:lang w:val="en-US"/>
        </w:rPr>
      </w:pPr>
      <w:r w:rsidRPr="001009BA">
        <w:rPr>
          <w:rFonts w:ascii="Arial" w:hAnsi="Arial" w:cs="Arial"/>
          <w:sz w:val="22"/>
          <w:szCs w:val="22"/>
          <w:lang w:val="en-US"/>
        </w:rPr>
        <w:t xml:space="preserve">Rossi, T. R. A., Rossi, D. L. and Dias, M. A. F. A. (2022) The response by South Korea to the COVID-19 pandemic: lessons learned and recommendations for policymakers. </w:t>
      </w:r>
      <w:proofErr w:type="spellStart"/>
      <w:r w:rsidRPr="001009BA">
        <w:rPr>
          <w:rFonts w:ascii="Arial" w:hAnsi="Arial" w:cs="Arial"/>
          <w:i/>
          <w:iCs/>
          <w:sz w:val="22"/>
          <w:szCs w:val="22"/>
          <w:lang w:val="en-US"/>
        </w:rPr>
        <w:t>Cadernos</w:t>
      </w:r>
      <w:proofErr w:type="spellEnd"/>
      <w:r w:rsidRPr="001009BA">
        <w:rPr>
          <w:rFonts w:ascii="Arial" w:hAnsi="Arial" w:cs="Arial"/>
          <w:i/>
          <w:iCs/>
          <w:sz w:val="22"/>
          <w:szCs w:val="22"/>
          <w:lang w:val="en-US"/>
        </w:rPr>
        <w:t xml:space="preserve"> de </w:t>
      </w:r>
      <w:proofErr w:type="spellStart"/>
      <w:r w:rsidRPr="001009BA">
        <w:rPr>
          <w:rFonts w:ascii="Arial" w:hAnsi="Arial" w:cs="Arial"/>
          <w:i/>
          <w:iCs/>
          <w:sz w:val="22"/>
          <w:szCs w:val="22"/>
          <w:lang w:val="en-US"/>
        </w:rPr>
        <w:t>Saúde</w:t>
      </w:r>
      <w:proofErr w:type="spellEnd"/>
      <w:r w:rsidRPr="001009BA">
        <w:rPr>
          <w:rFonts w:ascii="Arial" w:hAnsi="Arial" w:cs="Arial"/>
          <w:i/>
          <w:iCs/>
          <w:sz w:val="22"/>
          <w:szCs w:val="22"/>
          <w:lang w:val="en-US"/>
        </w:rPr>
        <w:t xml:space="preserve"> </w:t>
      </w:r>
      <w:proofErr w:type="spellStart"/>
      <w:r w:rsidRPr="001009BA">
        <w:rPr>
          <w:rFonts w:ascii="Arial" w:hAnsi="Arial" w:cs="Arial"/>
          <w:i/>
          <w:iCs/>
          <w:sz w:val="22"/>
          <w:szCs w:val="22"/>
          <w:lang w:val="en-US"/>
        </w:rPr>
        <w:t>Pública</w:t>
      </w:r>
      <w:proofErr w:type="spellEnd"/>
      <w:r w:rsidRPr="001009BA">
        <w:rPr>
          <w:rFonts w:ascii="Arial" w:hAnsi="Arial" w:cs="Arial"/>
          <w:sz w:val="22"/>
          <w:szCs w:val="22"/>
          <w:lang w:val="en-US"/>
        </w:rPr>
        <w:t xml:space="preserve">, 38(1), e00118621. Available at: </w:t>
      </w:r>
      <w:hyperlink r:id="rId37" w:tgtFrame="_blank" w:history="1">
        <w:r w:rsidRPr="001009BA">
          <w:rPr>
            <w:rStyle w:val="Hyperlink"/>
            <w:rFonts w:ascii="Arial" w:hAnsi="Arial" w:cs="Arial"/>
            <w:sz w:val="22"/>
            <w:szCs w:val="22"/>
            <w:lang w:val="en-US"/>
          </w:rPr>
          <w:t>https://www.scielo.br/j/csp/a/JLzpbwgffYKWL3HKc7Jw7Br/?format=pdf&amp;lang=en</w:t>
        </w:r>
      </w:hyperlink>
      <w:r w:rsidRPr="001009BA">
        <w:rPr>
          <w:rFonts w:ascii="Arial" w:hAnsi="Arial" w:cs="Arial"/>
          <w:sz w:val="22"/>
          <w:szCs w:val="22"/>
          <w:lang w:val="en-US"/>
        </w:rPr>
        <w:t xml:space="preserve"> (Accessed: 15 December 2025).</w:t>
      </w:r>
    </w:p>
    <w:p w14:paraId="1735ED8B" w14:textId="77777777" w:rsidR="00C84832" w:rsidRPr="00C84832" w:rsidRDefault="00C84832" w:rsidP="00C84832">
      <w:pPr>
        <w:pStyle w:val="NormalWeb"/>
        <w:spacing w:line="360" w:lineRule="auto"/>
        <w:rPr>
          <w:rFonts w:ascii="Arial" w:hAnsi="Arial" w:cs="Arial"/>
          <w:sz w:val="22"/>
          <w:szCs w:val="22"/>
          <w:lang w:val="en-US"/>
        </w:rPr>
      </w:pPr>
      <w:r w:rsidRPr="00C84832">
        <w:rPr>
          <w:rFonts w:ascii="Arial" w:hAnsi="Arial" w:cs="Arial"/>
          <w:sz w:val="22"/>
          <w:szCs w:val="22"/>
          <w:lang w:val="en-US"/>
        </w:rPr>
        <w:t xml:space="preserve">Brunet, J. M., Riera, M., &amp; </w:t>
      </w:r>
      <w:proofErr w:type="spellStart"/>
      <w:r w:rsidRPr="00C84832">
        <w:rPr>
          <w:rFonts w:ascii="Arial" w:hAnsi="Arial" w:cs="Arial"/>
          <w:sz w:val="22"/>
          <w:szCs w:val="22"/>
          <w:lang w:val="en-US"/>
        </w:rPr>
        <w:t>Saz</w:t>
      </w:r>
      <w:proofErr w:type="spellEnd"/>
      <w:r w:rsidRPr="00C84832">
        <w:rPr>
          <w:rFonts w:ascii="Arial" w:hAnsi="Arial" w:cs="Arial"/>
          <w:sz w:val="22"/>
          <w:szCs w:val="22"/>
          <w:lang w:val="en-US"/>
        </w:rPr>
        <w:t xml:space="preserve">, A. (2023) The resilience of the state of autonomies during the COVID-19 pandemic in Spain. </w:t>
      </w:r>
      <w:r w:rsidRPr="00C84832">
        <w:rPr>
          <w:rFonts w:ascii="Arial" w:hAnsi="Arial" w:cs="Arial"/>
          <w:i/>
          <w:iCs/>
          <w:sz w:val="22"/>
          <w:szCs w:val="22"/>
          <w:lang w:val="en-US"/>
        </w:rPr>
        <w:t>Regional &amp; Federal Studies</w:t>
      </w:r>
      <w:r w:rsidRPr="00C84832">
        <w:rPr>
          <w:rFonts w:ascii="Arial" w:hAnsi="Arial" w:cs="Arial"/>
          <w:sz w:val="22"/>
          <w:szCs w:val="22"/>
          <w:lang w:val="en-US"/>
        </w:rPr>
        <w:t xml:space="preserve">, 33(4), pp. 471–493. Available at: </w:t>
      </w:r>
      <w:hyperlink r:id="rId38" w:tgtFrame="_blank" w:history="1">
        <w:r w:rsidRPr="00C84832">
          <w:rPr>
            <w:rStyle w:val="Hyperlink"/>
            <w:rFonts w:ascii="Arial" w:hAnsi="Arial" w:cs="Arial"/>
            <w:sz w:val="22"/>
            <w:szCs w:val="22"/>
            <w:lang w:val="en-US"/>
          </w:rPr>
          <w:t>https://www.tandfonline.com/doi/full/10.1080/13597566.2023.2208035</w:t>
        </w:r>
      </w:hyperlink>
      <w:r w:rsidRPr="00C84832">
        <w:rPr>
          <w:rFonts w:ascii="Arial" w:hAnsi="Arial" w:cs="Arial"/>
          <w:sz w:val="22"/>
          <w:szCs w:val="22"/>
          <w:lang w:val="en-US"/>
        </w:rPr>
        <w:t xml:space="preserve"> (Accessed: 15 December 2025).</w:t>
      </w:r>
    </w:p>
    <w:p w14:paraId="4DEDD44A" w14:textId="77777777" w:rsidR="00C84832" w:rsidRPr="00C84832" w:rsidRDefault="00C84832" w:rsidP="00C84832">
      <w:pPr>
        <w:pStyle w:val="NormalWeb"/>
        <w:spacing w:line="360" w:lineRule="auto"/>
        <w:rPr>
          <w:rFonts w:ascii="Arial" w:hAnsi="Arial" w:cs="Arial"/>
          <w:sz w:val="22"/>
          <w:szCs w:val="22"/>
          <w:lang w:val="en-US"/>
        </w:rPr>
      </w:pPr>
      <w:r w:rsidRPr="00C84832">
        <w:rPr>
          <w:rFonts w:ascii="Arial" w:hAnsi="Arial" w:cs="Arial"/>
          <w:sz w:val="22"/>
          <w:szCs w:val="22"/>
          <w:lang w:val="en-US"/>
        </w:rPr>
        <w:t xml:space="preserve">Lara-Fontán, E., &amp; Rebollo, J. P. (2021) Spain: One Pandemic and Two Versions of the State of Alarm. </w:t>
      </w:r>
      <w:proofErr w:type="spellStart"/>
      <w:r w:rsidRPr="00C84832">
        <w:rPr>
          <w:rFonts w:ascii="Arial" w:hAnsi="Arial" w:cs="Arial"/>
          <w:i/>
          <w:iCs/>
          <w:sz w:val="22"/>
          <w:szCs w:val="22"/>
          <w:lang w:val="en-US"/>
        </w:rPr>
        <w:t>Verfassungsblog</w:t>
      </w:r>
      <w:proofErr w:type="spellEnd"/>
      <w:r w:rsidRPr="00C84832">
        <w:rPr>
          <w:rFonts w:ascii="Arial" w:hAnsi="Arial" w:cs="Arial"/>
          <w:sz w:val="22"/>
          <w:szCs w:val="22"/>
          <w:lang w:val="en-US"/>
        </w:rPr>
        <w:t xml:space="preserve">. Available at: </w:t>
      </w:r>
      <w:hyperlink r:id="rId39" w:tgtFrame="_blank" w:history="1">
        <w:r w:rsidRPr="00C84832">
          <w:rPr>
            <w:rStyle w:val="Hyperlink"/>
            <w:rFonts w:ascii="Arial" w:hAnsi="Arial" w:cs="Arial"/>
            <w:sz w:val="22"/>
            <w:szCs w:val="22"/>
            <w:lang w:val="en-US"/>
          </w:rPr>
          <w:t>https://verfassungsblog.de/spain-one-pandemic-and-two-versions-of-the-state-of-alarm/</w:t>
        </w:r>
      </w:hyperlink>
      <w:r w:rsidRPr="00C84832">
        <w:rPr>
          <w:rFonts w:ascii="Arial" w:hAnsi="Arial" w:cs="Arial"/>
          <w:sz w:val="22"/>
          <w:szCs w:val="22"/>
          <w:lang w:val="en-US"/>
        </w:rPr>
        <w:t xml:space="preserve"> (Accessed: 15 December 2025).</w:t>
      </w:r>
    </w:p>
    <w:p w14:paraId="37F607AE" w14:textId="77777777" w:rsidR="00C84832" w:rsidRPr="00C84832" w:rsidRDefault="00C84832" w:rsidP="00C84832">
      <w:pPr>
        <w:pStyle w:val="NormalWeb"/>
        <w:spacing w:line="360" w:lineRule="auto"/>
        <w:rPr>
          <w:rFonts w:ascii="Arial" w:hAnsi="Arial" w:cs="Arial"/>
          <w:sz w:val="22"/>
          <w:szCs w:val="22"/>
          <w:lang w:val="en-US"/>
        </w:rPr>
      </w:pPr>
      <w:r w:rsidRPr="00C84832">
        <w:rPr>
          <w:rFonts w:ascii="Arial" w:hAnsi="Arial" w:cs="Arial"/>
          <w:sz w:val="22"/>
          <w:szCs w:val="22"/>
          <w:lang w:val="en-US"/>
        </w:rPr>
        <w:t xml:space="preserve">Marzo-Navarro, M., Pedraja-Iglesias, M., &amp; Pérez-Sanz, L. (2021) The COVID-19 Crisis and the Role of Political Leadership in Spain. </w:t>
      </w:r>
      <w:r w:rsidRPr="00C84832">
        <w:rPr>
          <w:rFonts w:ascii="Arial" w:hAnsi="Arial" w:cs="Arial"/>
          <w:i/>
          <w:iCs/>
          <w:sz w:val="22"/>
          <w:szCs w:val="22"/>
          <w:lang w:val="en-US"/>
        </w:rPr>
        <w:t>Public Organization Review</w:t>
      </w:r>
      <w:r w:rsidRPr="00C84832">
        <w:rPr>
          <w:rFonts w:ascii="Arial" w:hAnsi="Arial" w:cs="Arial"/>
          <w:sz w:val="22"/>
          <w:szCs w:val="22"/>
          <w:lang w:val="en-US"/>
        </w:rPr>
        <w:t xml:space="preserve">, 21, pp. 647–665. Available at: </w:t>
      </w:r>
      <w:hyperlink r:id="rId40" w:tgtFrame="_blank" w:history="1">
        <w:r w:rsidRPr="00C84832">
          <w:rPr>
            <w:rStyle w:val="Hyperlink"/>
            <w:rFonts w:ascii="Arial" w:hAnsi="Arial" w:cs="Arial"/>
            <w:sz w:val="22"/>
            <w:szCs w:val="22"/>
            <w:lang w:val="en-US"/>
          </w:rPr>
          <w:t>https://link.springer.com/article/10.1007/s11115-021-00551-7</w:t>
        </w:r>
      </w:hyperlink>
      <w:r w:rsidRPr="00C84832">
        <w:rPr>
          <w:rFonts w:ascii="Arial" w:hAnsi="Arial" w:cs="Arial"/>
          <w:sz w:val="22"/>
          <w:szCs w:val="22"/>
          <w:lang w:val="en-US"/>
        </w:rPr>
        <w:t xml:space="preserve"> (Accessed: 15 December 2025).</w:t>
      </w:r>
    </w:p>
    <w:p w14:paraId="7B1A17FC" w14:textId="77777777" w:rsidR="00C84832" w:rsidRPr="00C84832" w:rsidRDefault="00C84832" w:rsidP="00C84832">
      <w:pPr>
        <w:pStyle w:val="NormalWeb"/>
        <w:spacing w:line="360" w:lineRule="auto"/>
        <w:rPr>
          <w:rFonts w:ascii="Arial" w:hAnsi="Arial" w:cs="Arial"/>
          <w:sz w:val="22"/>
          <w:szCs w:val="22"/>
          <w:lang w:val="en-US"/>
        </w:rPr>
      </w:pPr>
      <w:r w:rsidRPr="00C84832">
        <w:rPr>
          <w:rFonts w:ascii="Arial" w:hAnsi="Arial" w:cs="Arial"/>
          <w:sz w:val="22"/>
          <w:szCs w:val="22"/>
          <w:lang w:val="en-US"/>
        </w:rPr>
        <w:t xml:space="preserve">Choi, H. (2021) South Korea’s COVID-19 response: an evaluation and implications. </w:t>
      </w:r>
      <w:r w:rsidRPr="00C84832">
        <w:rPr>
          <w:rFonts w:ascii="Arial" w:hAnsi="Arial" w:cs="Arial"/>
          <w:i/>
          <w:iCs/>
          <w:sz w:val="22"/>
          <w:szCs w:val="22"/>
          <w:lang w:val="en-US"/>
        </w:rPr>
        <w:t>Global Health Research and Policy</w:t>
      </w:r>
      <w:r w:rsidRPr="00C84832">
        <w:rPr>
          <w:rFonts w:ascii="Arial" w:hAnsi="Arial" w:cs="Arial"/>
          <w:sz w:val="22"/>
          <w:szCs w:val="22"/>
          <w:lang w:val="en-US"/>
        </w:rPr>
        <w:t xml:space="preserve">, 6, 44. Available at: </w:t>
      </w:r>
      <w:hyperlink r:id="rId41" w:tgtFrame="_blank" w:history="1">
        <w:r w:rsidRPr="00C84832">
          <w:rPr>
            <w:rStyle w:val="Hyperlink"/>
            <w:rFonts w:ascii="Arial" w:hAnsi="Arial" w:cs="Arial"/>
            <w:sz w:val="22"/>
            <w:szCs w:val="22"/>
            <w:lang w:val="en-US"/>
          </w:rPr>
          <w:t>https://ghrp.biomedcentral.com/articles/10.1186/s41687-021-00277-w</w:t>
        </w:r>
      </w:hyperlink>
      <w:r w:rsidRPr="00C84832">
        <w:rPr>
          <w:rFonts w:ascii="Arial" w:hAnsi="Arial" w:cs="Arial"/>
          <w:sz w:val="22"/>
          <w:szCs w:val="22"/>
          <w:lang w:val="en-US"/>
        </w:rPr>
        <w:t xml:space="preserve"> (Accessed: 15 December 2025).</w:t>
      </w:r>
    </w:p>
    <w:p w14:paraId="1F0D5CD6" w14:textId="77777777" w:rsidR="00C84832" w:rsidRPr="00C84832" w:rsidRDefault="00C84832" w:rsidP="00C84832">
      <w:pPr>
        <w:pStyle w:val="NormalWeb"/>
        <w:spacing w:line="360" w:lineRule="auto"/>
        <w:rPr>
          <w:rFonts w:ascii="Arial" w:hAnsi="Arial" w:cs="Arial"/>
          <w:lang w:val="en-US"/>
        </w:rPr>
      </w:pPr>
    </w:p>
    <w:p w14:paraId="30284C61" w14:textId="15C161E1" w:rsidR="00212ED5" w:rsidRPr="007A5C47" w:rsidRDefault="00212ED5" w:rsidP="00456596">
      <w:pPr>
        <w:pStyle w:val="NormalWeb"/>
        <w:spacing w:line="360" w:lineRule="auto"/>
        <w:rPr>
          <w:rFonts w:ascii="Arial" w:hAnsi="Arial" w:cs="Arial"/>
        </w:rPr>
      </w:pPr>
    </w:p>
    <w:sectPr w:rsidR="00212ED5" w:rsidRPr="007A5C47" w:rsidSect="001703B2">
      <w:headerReference w:type="default" r:id="rId42"/>
      <w:footerReference w:type="default" r:id="rId43"/>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2DBADA" w14:textId="77777777" w:rsidR="00065E61" w:rsidRDefault="00065E61">
      <w:pPr>
        <w:spacing w:after="0" w:line="240" w:lineRule="auto"/>
      </w:pPr>
      <w:r>
        <w:separator/>
      </w:r>
    </w:p>
  </w:endnote>
  <w:endnote w:type="continuationSeparator" w:id="0">
    <w:p w14:paraId="4BFECC68" w14:textId="77777777" w:rsidR="00065E61" w:rsidRDefault="00065E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5545A" w14:textId="77777777" w:rsidR="001703B2" w:rsidRDefault="001703B2">
    <w:pPr>
      <w:pStyle w:val="Footer"/>
      <w:jc w:val="center"/>
    </w:pPr>
  </w:p>
  <w:p w14:paraId="3921C914" w14:textId="77777777" w:rsidR="001703B2" w:rsidRDefault="001703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5215848"/>
      <w:docPartObj>
        <w:docPartGallery w:val="Page Numbers (Bottom of Page)"/>
        <w:docPartUnique/>
      </w:docPartObj>
    </w:sdtPr>
    <w:sdtEndPr>
      <w:rPr>
        <w:noProof/>
      </w:rPr>
    </w:sdtEndPr>
    <w:sdtContent>
      <w:p w14:paraId="0AE0E6EB" w14:textId="3951B31F" w:rsidR="001703B2" w:rsidRDefault="001703B2">
        <w:pPr>
          <w:pStyle w:val="Footer"/>
          <w:jc w:val="center"/>
        </w:pPr>
        <w:r>
          <w:fldChar w:fldCharType="begin"/>
        </w:r>
        <w:r>
          <w:instrText xml:space="preserve"> PAGE   \* MERGEFORMAT </w:instrText>
        </w:r>
        <w:r>
          <w:fldChar w:fldCharType="separate"/>
        </w:r>
        <w:r w:rsidR="001F1274">
          <w:rPr>
            <w:noProof/>
          </w:rPr>
          <w:t>i</w:t>
        </w:r>
        <w:r>
          <w:rPr>
            <w:noProof/>
          </w:rPr>
          <w:fldChar w:fldCharType="end"/>
        </w:r>
      </w:p>
    </w:sdtContent>
  </w:sdt>
  <w:p w14:paraId="71078907" w14:textId="77777777" w:rsidR="001703B2" w:rsidRDefault="001703B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50201291"/>
      <w:docPartObj>
        <w:docPartGallery w:val="Page Numbers (Bottom of Page)"/>
        <w:docPartUnique/>
      </w:docPartObj>
    </w:sdtPr>
    <w:sdtEndPr>
      <w:rPr>
        <w:noProof/>
      </w:rPr>
    </w:sdtEndPr>
    <w:sdtContent>
      <w:p w14:paraId="3CEFD258" w14:textId="7EFA1EB6" w:rsidR="001703B2" w:rsidRDefault="001703B2">
        <w:pPr>
          <w:pStyle w:val="Footer"/>
          <w:jc w:val="right"/>
        </w:pPr>
        <w:r>
          <w:fldChar w:fldCharType="begin"/>
        </w:r>
        <w:r>
          <w:instrText xml:space="preserve"> PAGE   \* MERGEFORMAT </w:instrText>
        </w:r>
        <w:r>
          <w:fldChar w:fldCharType="separate"/>
        </w:r>
        <w:r w:rsidR="001F1274">
          <w:rPr>
            <w:noProof/>
          </w:rPr>
          <w:t>17</w:t>
        </w:r>
        <w:r>
          <w:rPr>
            <w:noProof/>
          </w:rPr>
          <w:fldChar w:fldCharType="end"/>
        </w:r>
      </w:p>
    </w:sdtContent>
  </w:sdt>
  <w:p w14:paraId="5765462B" w14:textId="77777777" w:rsidR="001703B2" w:rsidRDefault="001703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6551B3" w14:textId="77777777" w:rsidR="00065E61" w:rsidRDefault="00065E61">
      <w:pPr>
        <w:spacing w:after="0" w:line="240" w:lineRule="auto"/>
      </w:pPr>
      <w:r>
        <w:separator/>
      </w:r>
    </w:p>
  </w:footnote>
  <w:footnote w:type="continuationSeparator" w:id="0">
    <w:p w14:paraId="60C238A8" w14:textId="77777777" w:rsidR="00065E61" w:rsidRDefault="00065E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3AFCCA" w14:textId="77777777" w:rsidR="001703B2" w:rsidRDefault="001703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81B1E"/>
    <w:multiLevelType w:val="hybridMultilevel"/>
    <w:tmpl w:val="E474D1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7E61A0"/>
    <w:multiLevelType w:val="hybridMultilevel"/>
    <w:tmpl w:val="22F6A5D6"/>
    <w:lvl w:ilvl="0" w:tplc="DCD0D9EC">
      <w:start w:val="1"/>
      <w:numFmt w:val="low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9154E0C"/>
    <w:multiLevelType w:val="hybridMultilevel"/>
    <w:tmpl w:val="F4CA8AC2"/>
    <w:lvl w:ilvl="0" w:tplc="DCD0D9EC">
      <w:start w:val="1"/>
      <w:numFmt w:val="low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A890B06"/>
    <w:multiLevelType w:val="hybridMultilevel"/>
    <w:tmpl w:val="87C888D0"/>
    <w:lvl w:ilvl="0" w:tplc="DCD0D9EC">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2BAA66AC"/>
    <w:multiLevelType w:val="hybridMultilevel"/>
    <w:tmpl w:val="9F840C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D386EC5"/>
    <w:multiLevelType w:val="hybridMultilevel"/>
    <w:tmpl w:val="72BAD9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D537323"/>
    <w:multiLevelType w:val="hybridMultilevel"/>
    <w:tmpl w:val="2A989436"/>
    <w:lvl w:ilvl="0" w:tplc="DCD0D9EC">
      <w:start w:val="1"/>
      <w:numFmt w:val="low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50C4669"/>
    <w:multiLevelType w:val="hybridMultilevel"/>
    <w:tmpl w:val="BB7E79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CBE170A"/>
    <w:multiLevelType w:val="hybridMultilevel"/>
    <w:tmpl w:val="7FFEC6B2"/>
    <w:lvl w:ilvl="0" w:tplc="491AB9A8">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D592F40"/>
    <w:multiLevelType w:val="hybridMultilevel"/>
    <w:tmpl w:val="5E345300"/>
    <w:lvl w:ilvl="0" w:tplc="491AB9A8">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04E3250"/>
    <w:multiLevelType w:val="hybridMultilevel"/>
    <w:tmpl w:val="B14061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4F82173"/>
    <w:multiLevelType w:val="hybridMultilevel"/>
    <w:tmpl w:val="AD2E61E2"/>
    <w:lvl w:ilvl="0" w:tplc="491AB9A8">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548116E"/>
    <w:multiLevelType w:val="hybridMultilevel"/>
    <w:tmpl w:val="9F420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57F6536"/>
    <w:multiLevelType w:val="hybridMultilevel"/>
    <w:tmpl w:val="40682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7FB779C"/>
    <w:multiLevelType w:val="hybridMultilevel"/>
    <w:tmpl w:val="FDAEA748"/>
    <w:lvl w:ilvl="0" w:tplc="491AB9A8">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493ECD"/>
    <w:multiLevelType w:val="hybridMultilevel"/>
    <w:tmpl w:val="8B90ABAE"/>
    <w:lvl w:ilvl="0" w:tplc="CE96C92E">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95D03BE"/>
    <w:multiLevelType w:val="hybridMultilevel"/>
    <w:tmpl w:val="7B34E4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B912399"/>
    <w:multiLevelType w:val="hybridMultilevel"/>
    <w:tmpl w:val="B27004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0130EE8"/>
    <w:multiLevelType w:val="hybridMultilevel"/>
    <w:tmpl w:val="49ACCA2E"/>
    <w:lvl w:ilvl="0" w:tplc="491AB9A8">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24700D1"/>
    <w:multiLevelType w:val="hybridMultilevel"/>
    <w:tmpl w:val="91782A72"/>
    <w:lvl w:ilvl="0" w:tplc="DCD0D9EC">
      <w:start w:val="1"/>
      <w:numFmt w:val="low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5B769C4"/>
    <w:multiLevelType w:val="hybridMultilevel"/>
    <w:tmpl w:val="B61A97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B4E4CA3"/>
    <w:multiLevelType w:val="hybridMultilevel"/>
    <w:tmpl w:val="E5AEF22C"/>
    <w:lvl w:ilvl="0" w:tplc="DCD0D9EC">
      <w:start w:val="1"/>
      <w:numFmt w:val="low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5A04F86"/>
    <w:multiLevelType w:val="hybridMultilevel"/>
    <w:tmpl w:val="F6F23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5A50C39"/>
    <w:multiLevelType w:val="hybridMultilevel"/>
    <w:tmpl w:val="40E88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D644160"/>
    <w:multiLevelType w:val="hybridMultilevel"/>
    <w:tmpl w:val="89982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DE8003A"/>
    <w:multiLevelType w:val="hybridMultilevel"/>
    <w:tmpl w:val="B2224F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FA66723"/>
    <w:multiLevelType w:val="hybridMultilevel"/>
    <w:tmpl w:val="F05A46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7"/>
  </w:num>
  <w:num w:numId="3">
    <w:abstractNumId w:val="1"/>
  </w:num>
  <w:num w:numId="4">
    <w:abstractNumId w:val="21"/>
  </w:num>
  <w:num w:numId="5">
    <w:abstractNumId w:val="3"/>
  </w:num>
  <w:num w:numId="6">
    <w:abstractNumId w:val="2"/>
  </w:num>
  <w:num w:numId="7">
    <w:abstractNumId w:val="6"/>
  </w:num>
  <w:num w:numId="8">
    <w:abstractNumId w:val="9"/>
  </w:num>
  <w:num w:numId="9">
    <w:abstractNumId w:val="18"/>
  </w:num>
  <w:num w:numId="10">
    <w:abstractNumId w:val="14"/>
  </w:num>
  <w:num w:numId="11">
    <w:abstractNumId w:val="11"/>
  </w:num>
  <w:num w:numId="12">
    <w:abstractNumId w:val="8"/>
  </w:num>
  <w:num w:numId="13">
    <w:abstractNumId w:val="15"/>
  </w:num>
  <w:num w:numId="14">
    <w:abstractNumId w:val="12"/>
  </w:num>
  <w:num w:numId="15">
    <w:abstractNumId w:val="23"/>
  </w:num>
  <w:num w:numId="16">
    <w:abstractNumId w:val="0"/>
  </w:num>
  <w:num w:numId="17">
    <w:abstractNumId w:val="10"/>
  </w:num>
  <w:num w:numId="18">
    <w:abstractNumId w:val="25"/>
  </w:num>
  <w:num w:numId="19">
    <w:abstractNumId w:val="13"/>
  </w:num>
  <w:num w:numId="20">
    <w:abstractNumId w:val="22"/>
  </w:num>
  <w:num w:numId="21">
    <w:abstractNumId w:val="5"/>
  </w:num>
  <w:num w:numId="22">
    <w:abstractNumId w:val="20"/>
  </w:num>
  <w:num w:numId="23">
    <w:abstractNumId w:val="24"/>
  </w:num>
  <w:num w:numId="24">
    <w:abstractNumId w:val="16"/>
  </w:num>
  <w:num w:numId="25">
    <w:abstractNumId w:val="17"/>
  </w:num>
  <w:num w:numId="26">
    <w:abstractNumId w:val="26"/>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48B8"/>
    <w:rsid w:val="00000498"/>
    <w:rsid w:val="00007E5A"/>
    <w:rsid w:val="000113A3"/>
    <w:rsid w:val="000142E5"/>
    <w:rsid w:val="00047CD3"/>
    <w:rsid w:val="000648B8"/>
    <w:rsid w:val="00065E61"/>
    <w:rsid w:val="000D20C4"/>
    <w:rsid w:val="001009BA"/>
    <w:rsid w:val="001032D7"/>
    <w:rsid w:val="00142B5A"/>
    <w:rsid w:val="00145F8A"/>
    <w:rsid w:val="00153E20"/>
    <w:rsid w:val="001703B2"/>
    <w:rsid w:val="00192C2C"/>
    <w:rsid w:val="001C5FDA"/>
    <w:rsid w:val="001D5EF2"/>
    <w:rsid w:val="001F1274"/>
    <w:rsid w:val="00212ED5"/>
    <w:rsid w:val="00214739"/>
    <w:rsid w:val="002A69B0"/>
    <w:rsid w:val="002C4067"/>
    <w:rsid w:val="00304324"/>
    <w:rsid w:val="00361E3B"/>
    <w:rsid w:val="003C6E8E"/>
    <w:rsid w:val="003D6AAC"/>
    <w:rsid w:val="003E34A7"/>
    <w:rsid w:val="00456596"/>
    <w:rsid w:val="00474C5C"/>
    <w:rsid w:val="004A211F"/>
    <w:rsid w:val="004B00B3"/>
    <w:rsid w:val="00531F67"/>
    <w:rsid w:val="0053783A"/>
    <w:rsid w:val="00561C64"/>
    <w:rsid w:val="00591D27"/>
    <w:rsid w:val="005A0CE5"/>
    <w:rsid w:val="005E3768"/>
    <w:rsid w:val="00635803"/>
    <w:rsid w:val="00683489"/>
    <w:rsid w:val="006A3A87"/>
    <w:rsid w:val="006C305C"/>
    <w:rsid w:val="00711A78"/>
    <w:rsid w:val="00733B9F"/>
    <w:rsid w:val="00746141"/>
    <w:rsid w:val="00785252"/>
    <w:rsid w:val="00794206"/>
    <w:rsid w:val="007A5C47"/>
    <w:rsid w:val="00802CF1"/>
    <w:rsid w:val="008474F1"/>
    <w:rsid w:val="0087172F"/>
    <w:rsid w:val="00884663"/>
    <w:rsid w:val="00892BB9"/>
    <w:rsid w:val="009111E5"/>
    <w:rsid w:val="0095079B"/>
    <w:rsid w:val="0097292F"/>
    <w:rsid w:val="009A54C5"/>
    <w:rsid w:val="009E7C73"/>
    <w:rsid w:val="00A308F6"/>
    <w:rsid w:val="00A7047A"/>
    <w:rsid w:val="00A9444C"/>
    <w:rsid w:val="00A94931"/>
    <w:rsid w:val="00AC24F6"/>
    <w:rsid w:val="00AE6E23"/>
    <w:rsid w:val="00B3635F"/>
    <w:rsid w:val="00BB26CB"/>
    <w:rsid w:val="00BC1266"/>
    <w:rsid w:val="00BE0660"/>
    <w:rsid w:val="00BF7FB9"/>
    <w:rsid w:val="00C84832"/>
    <w:rsid w:val="00C95F86"/>
    <w:rsid w:val="00CA3C93"/>
    <w:rsid w:val="00CD3406"/>
    <w:rsid w:val="00CF7199"/>
    <w:rsid w:val="00D77CED"/>
    <w:rsid w:val="00D85587"/>
    <w:rsid w:val="00DB6C6F"/>
    <w:rsid w:val="00DB6E01"/>
    <w:rsid w:val="00DD2EBF"/>
    <w:rsid w:val="00E35F13"/>
    <w:rsid w:val="00E9427E"/>
    <w:rsid w:val="00EA4C23"/>
    <w:rsid w:val="00EC3DFE"/>
    <w:rsid w:val="00EE12D1"/>
    <w:rsid w:val="00EF1F71"/>
    <w:rsid w:val="00F00BF4"/>
    <w:rsid w:val="00F2169A"/>
    <w:rsid w:val="00F2485C"/>
    <w:rsid w:val="00F42DAE"/>
    <w:rsid w:val="00FA6540"/>
    <w:rsid w:val="00FC7C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39B26"/>
  <w15:chartTrackingRefBased/>
  <w15:docId w15:val="{97AE7243-6A81-4191-AF52-7B8EEE05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03B2"/>
    <w:pPr>
      <w:spacing w:after="200" w:line="276" w:lineRule="auto"/>
    </w:pPr>
    <w:rPr>
      <w:kern w:val="0"/>
      <w:sz w:val="22"/>
      <w:szCs w:val="22"/>
      <w:lang w:val="en-GB"/>
      <w14:ligatures w14:val="none"/>
    </w:rPr>
  </w:style>
  <w:style w:type="paragraph" w:styleId="Heading1">
    <w:name w:val="heading 1"/>
    <w:basedOn w:val="Normal"/>
    <w:next w:val="Normal"/>
    <w:link w:val="Heading1Char"/>
    <w:uiPriority w:val="9"/>
    <w:qFormat/>
    <w:rsid w:val="001703B2"/>
    <w:pPr>
      <w:keepNext/>
      <w:keepLines/>
      <w:spacing w:before="360" w:after="80"/>
      <w:outlineLvl w:val="0"/>
    </w:pPr>
    <w:rPr>
      <w:rFonts w:ascii="Arial" w:eastAsiaTheme="majorEastAsia" w:hAnsi="Arial" w:cstheme="majorBidi"/>
      <w:b/>
      <w:color w:val="000000" w:themeColor="text1"/>
      <w:sz w:val="32"/>
      <w:szCs w:val="40"/>
    </w:rPr>
  </w:style>
  <w:style w:type="paragraph" w:styleId="Heading2">
    <w:name w:val="heading 2"/>
    <w:basedOn w:val="Normal"/>
    <w:next w:val="Normal"/>
    <w:link w:val="Heading2Char"/>
    <w:uiPriority w:val="9"/>
    <w:unhideWhenUsed/>
    <w:qFormat/>
    <w:rsid w:val="00FA6540"/>
    <w:pPr>
      <w:keepNext/>
      <w:keepLines/>
      <w:spacing w:before="160" w:after="80"/>
      <w:outlineLvl w:val="1"/>
    </w:pPr>
    <w:rPr>
      <w:rFonts w:ascii="Arial" w:eastAsiaTheme="majorEastAsia" w:hAnsi="Arial" w:cstheme="majorBidi"/>
      <w:b/>
      <w:color w:val="000000" w:themeColor="text1"/>
      <w:sz w:val="28"/>
      <w:szCs w:val="32"/>
    </w:rPr>
  </w:style>
  <w:style w:type="paragraph" w:styleId="Heading3">
    <w:name w:val="heading 3"/>
    <w:basedOn w:val="Normal"/>
    <w:next w:val="Normal"/>
    <w:link w:val="Heading3Char"/>
    <w:uiPriority w:val="9"/>
    <w:unhideWhenUsed/>
    <w:qFormat/>
    <w:rsid w:val="008474F1"/>
    <w:pPr>
      <w:keepNext/>
      <w:keepLines/>
      <w:spacing w:before="160" w:after="80"/>
      <w:outlineLvl w:val="2"/>
    </w:pPr>
    <w:rPr>
      <w:rFonts w:ascii="Arial" w:eastAsiaTheme="majorEastAsia" w:hAnsi="Arial" w:cstheme="majorBidi"/>
      <w:b/>
      <w:color w:val="000000" w:themeColor="text1"/>
      <w:sz w:val="26"/>
      <w:szCs w:val="28"/>
    </w:rPr>
  </w:style>
  <w:style w:type="paragraph" w:styleId="Heading4">
    <w:name w:val="heading 4"/>
    <w:basedOn w:val="Normal"/>
    <w:next w:val="Normal"/>
    <w:link w:val="Heading4Char"/>
    <w:uiPriority w:val="9"/>
    <w:semiHidden/>
    <w:unhideWhenUsed/>
    <w:qFormat/>
    <w:rsid w:val="000648B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648B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648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48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48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48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03B2"/>
    <w:rPr>
      <w:rFonts w:ascii="Arial" w:eastAsiaTheme="majorEastAsia" w:hAnsi="Arial" w:cstheme="majorBidi"/>
      <w:b/>
      <w:color w:val="000000" w:themeColor="text1"/>
      <w:kern w:val="0"/>
      <w:sz w:val="32"/>
      <w:szCs w:val="40"/>
      <w:lang w:val="en-GB"/>
      <w14:ligatures w14:val="none"/>
    </w:rPr>
  </w:style>
  <w:style w:type="character" w:customStyle="1" w:styleId="Heading2Char">
    <w:name w:val="Heading 2 Char"/>
    <w:basedOn w:val="DefaultParagraphFont"/>
    <w:link w:val="Heading2"/>
    <w:uiPriority w:val="9"/>
    <w:rsid w:val="00FA6540"/>
    <w:rPr>
      <w:rFonts w:ascii="Arial" w:eastAsiaTheme="majorEastAsia" w:hAnsi="Arial" w:cstheme="majorBidi"/>
      <w:b/>
      <w:color w:val="000000" w:themeColor="text1"/>
      <w:kern w:val="0"/>
      <w:sz w:val="28"/>
      <w:szCs w:val="32"/>
      <w:lang w:val="en-GB"/>
      <w14:ligatures w14:val="none"/>
    </w:rPr>
  </w:style>
  <w:style w:type="character" w:customStyle="1" w:styleId="Heading3Char">
    <w:name w:val="Heading 3 Char"/>
    <w:basedOn w:val="DefaultParagraphFont"/>
    <w:link w:val="Heading3"/>
    <w:uiPriority w:val="9"/>
    <w:rsid w:val="008474F1"/>
    <w:rPr>
      <w:rFonts w:ascii="Arial" w:eastAsiaTheme="majorEastAsia" w:hAnsi="Arial" w:cstheme="majorBidi"/>
      <w:b/>
      <w:color w:val="000000" w:themeColor="text1"/>
      <w:kern w:val="0"/>
      <w:sz w:val="26"/>
      <w:szCs w:val="28"/>
      <w:lang w:val="en-GB"/>
      <w14:ligatures w14:val="none"/>
    </w:rPr>
  </w:style>
  <w:style w:type="character" w:customStyle="1" w:styleId="Heading4Char">
    <w:name w:val="Heading 4 Char"/>
    <w:basedOn w:val="DefaultParagraphFont"/>
    <w:link w:val="Heading4"/>
    <w:uiPriority w:val="9"/>
    <w:semiHidden/>
    <w:rsid w:val="000648B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648B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648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48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48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48B8"/>
    <w:rPr>
      <w:rFonts w:eastAsiaTheme="majorEastAsia" w:cstheme="majorBidi"/>
      <w:color w:val="272727" w:themeColor="text1" w:themeTint="D8"/>
    </w:rPr>
  </w:style>
  <w:style w:type="paragraph" w:styleId="Title">
    <w:name w:val="Title"/>
    <w:basedOn w:val="Normal"/>
    <w:next w:val="Normal"/>
    <w:link w:val="TitleChar"/>
    <w:uiPriority w:val="10"/>
    <w:qFormat/>
    <w:rsid w:val="000648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48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48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48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48B8"/>
    <w:pPr>
      <w:spacing w:before="160"/>
      <w:jc w:val="center"/>
    </w:pPr>
    <w:rPr>
      <w:i/>
      <w:iCs/>
      <w:color w:val="404040" w:themeColor="text1" w:themeTint="BF"/>
    </w:rPr>
  </w:style>
  <w:style w:type="character" w:customStyle="1" w:styleId="QuoteChar">
    <w:name w:val="Quote Char"/>
    <w:basedOn w:val="DefaultParagraphFont"/>
    <w:link w:val="Quote"/>
    <w:uiPriority w:val="29"/>
    <w:rsid w:val="000648B8"/>
    <w:rPr>
      <w:i/>
      <w:iCs/>
      <w:color w:val="404040" w:themeColor="text1" w:themeTint="BF"/>
    </w:rPr>
  </w:style>
  <w:style w:type="paragraph" w:styleId="ListParagraph">
    <w:name w:val="List Paragraph"/>
    <w:basedOn w:val="Normal"/>
    <w:uiPriority w:val="34"/>
    <w:qFormat/>
    <w:rsid w:val="000648B8"/>
    <w:pPr>
      <w:ind w:left="720"/>
      <w:contextualSpacing/>
    </w:pPr>
  </w:style>
  <w:style w:type="character" w:styleId="IntenseEmphasis">
    <w:name w:val="Intense Emphasis"/>
    <w:basedOn w:val="DefaultParagraphFont"/>
    <w:uiPriority w:val="21"/>
    <w:qFormat/>
    <w:rsid w:val="000648B8"/>
    <w:rPr>
      <w:i/>
      <w:iCs/>
      <w:color w:val="2F5496" w:themeColor="accent1" w:themeShade="BF"/>
    </w:rPr>
  </w:style>
  <w:style w:type="paragraph" w:styleId="IntenseQuote">
    <w:name w:val="Intense Quote"/>
    <w:basedOn w:val="Normal"/>
    <w:next w:val="Normal"/>
    <w:link w:val="IntenseQuoteChar"/>
    <w:uiPriority w:val="30"/>
    <w:qFormat/>
    <w:rsid w:val="000648B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648B8"/>
    <w:rPr>
      <w:i/>
      <w:iCs/>
      <w:color w:val="2F5496" w:themeColor="accent1" w:themeShade="BF"/>
    </w:rPr>
  </w:style>
  <w:style w:type="character" w:styleId="IntenseReference">
    <w:name w:val="Intense Reference"/>
    <w:basedOn w:val="DefaultParagraphFont"/>
    <w:uiPriority w:val="32"/>
    <w:qFormat/>
    <w:rsid w:val="000648B8"/>
    <w:rPr>
      <w:b/>
      <w:bCs/>
      <w:smallCaps/>
      <w:color w:val="2F5496" w:themeColor="accent1" w:themeShade="BF"/>
      <w:spacing w:val="5"/>
    </w:rPr>
  </w:style>
  <w:style w:type="paragraph" w:styleId="NormalWeb">
    <w:name w:val="Normal (Web)"/>
    <w:basedOn w:val="Normal"/>
    <w:uiPriority w:val="99"/>
    <w:unhideWhenUsed/>
    <w:rsid w:val="001703B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1703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03B2"/>
    <w:rPr>
      <w:kern w:val="0"/>
      <w:sz w:val="22"/>
      <w:szCs w:val="22"/>
      <w:lang w:val="en-GB"/>
      <w14:ligatures w14:val="none"/>
    </w:rPr>
  </w:style>
  <w:style w:type="paragraph" w:styleId="TOCHeading">
    <w:name w:val="TOC Heading"/>
    <w:basedOn w:val="Heading1"/>
    <w:next w:val="Normal"/>
    <w:uiPriority w:val="39"/>
    <w:unhideWhenUsed/>
    <w:qFormat/>
    <w:rsid w:val="001703B2"/>
    <w:pPr>
      <w:spacing w:before="480" w:after="0"/>
      <w:outlineLvl w:val="9"/>
    </w:pPr>
    <w:rPr>
      <w:bCs/>
      <w:sz w:val="28"/>
      <w:szCs w:val="28"/>
      <w:lang w:eastAsia="ja-JP"/>
    </w:rPr>
  </w:style>
  <w:style w:type="paragraph" w:styleId="TOC1">
    <w:name w:val="toc 1"/>
    <w:basedOn w:val="Normal"/>
    <w:next w:val="Normal"/>
    <w:autoRedefine/>
    <w:uiPriority w:val="39"/>
    <w:unhideWhenUsed/>
    <w:rsid w:val="001703B2"/>
    <w:pPr>
      <w:spacing w:after="100"/>
    </w:pPr>
  </w:style>
  <w:style w:type="character" w:styleId="Hyperlink">
    <w:name w:val="Hyperlink"/>
    <w:basedOn w:val="DefaultParagraphFont"/>
    <w:uiPriority w:val="99"/>
    <w:unhideWhenUsed/>
    <w:rsid w:val="001703B2"/>
    <w:rPr>
      <w:color w:val="0563C1" w:themeColor="hyperlink"/>
      <w:u w:val="single"/>
    </w:rPr>
  </w:style>
  <w:style w:type="paragraph" w:styleId="TOC2">
    <w:name w:val="toc 2"/>
    <w:basedOn w:val="Normal"/>
    <w:next w:val="Normal"/>
    <w:autoRedefine/>
    <w:uiPriority w:val="39"/>
    <w:unhideWhenUsed/>
    <w:rsid w:val="001703B2"/>
    <w:pPr>
      <w:spacing w:after="100"/>
      <w:ind w:left="220"/>
    </w:pPr>
  </w:style>
  <w:style w:type="paragraph" w:styleId="Caption">
    <w:name w:val="caption"/>
    <w:basedOn w:val="Normal"/>
    <w:next w:val="Normal"/>
    <w:uiPriority w:val="35"/>
    <w:unhideWhenUsed/>
    <w:qFormat/>
    <w:rsid w:val="001703B2"/>
    <w:pPr>
      <w:spacing w:line="240" w:lineRule="auto"/>
    </w:pPr>
    <w:rPr>
      <w:i/>
      <w:iCs/>
      <w:color w:val="44546A" w:themeColor="text2"/>
      <w:sz w:val="18"/>
      <w:szCs w:val="18"/>
    </w:rPr>
  </w:style>
  <w:style w:type="paragraph" w:styleId="TableofFigures">
    <w:name w:val="table of figures"/>
    <w:basedOn w:val="Normal"/>
    <w:next w:val="Normal"/>
    <w:uiPriority w:val="99"/>
    <w:unhideWhenUsed/>
    <w:rsid w:val="001703B2"/>
    <w:pPr>
      <w:spacing w:after="0"/>
    </w:pPr>
  </w:style>
  <w:style w:type="paragraph" w:styleId="TOC3">
    <w:name w:val="toc 3"/>
    <w:basedOn w:val="Normal"/>
    <w:next w:val="Normal"/>
    <w:autoRedefine/>
    <w:uiPriority w:val="39"/>
    <w:unhideWhenUsed/>
    <w:rsid w:val="001703B2"/>
    <w:pPr>
      <w:spacing w:after="100"/>
      <w:ind w:left="440"/>
    </w:pPr>
  </w:style>
  <w:style w:type="paragraph" w:styleId="Header">
    <w:name w:val="header"/>
    <w:basedOn w:val="Normal"/>
    <w:link w:val="HeaderChar"/>
    <w:uiPriority w:val="99"/>
    <w:unhideWhenUsed/>
    <w:rsid w:val="001703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03B2"/>
    <w:rPr>
      <w:kern w:val="0"/>
      <w:sz w:val="22"/>
      <w:szCs w:val="22"/>
      <w:lang w:val="en-GB"/>
      <w14:ligatures w14:val="none"/>
    </w:rPr>
  </w:style>
  <w:style w:type="table" w:styleId="TableGrid">
    <w:name w:val="Table Grid"/>
    <w:basedOn w:val="TableNormal"/>
    <w:uiPriority w:val="39"/>
    <w:rsid w:val="001703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0113A3"/>
    <w:rPr>
      <w:color w:val="605E5C"/>
      <w:shd w:val="clear" w:color="auto" w:fill="E1DFDD"/>
    </w:rPr>
  </w:style>
  <w:style w:type="character" w:styleId="FollowedHyperlink">
    <w:name w:val="FollowedHyperlink"/>
    <w:basedOn w:val="DefaultParagraphFont"/>
    <w:uiPriority w:val="99"/>
    <w:semiHidden/>
    <w:unhideWhenUsed/>
    <w:rsid w:val="003D6AA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5.png"/><Relationship Id="rId26" Type="http://schemas.openxmlformats.org/officeDocument/2006/relationships/hyperlink" Target="https://verfassungsblog.de/spain-one-pandemic-and-two-versions-of-the-state-of-alarm/" TargetMode="External"/><Relationship Id="rId39" Type="http://schemas.openxmlformats.org/officeDocument/2006/relationships/hyperlink" Target="https://verfassungsblog.de/spain-one-pandemic-and-two-versions-of-the-state-of-alarm/" TargetMode="External"/><Relationship Id="rId21" Type="http://schemas.openxmlformats.org/officeDocument/2006/relationships/hyperlink" Target="https://www.nytimes.com/2021/11/05/learning/word-of-the-day-laissez-faire.html" TargetMode="External"/><Relationship Id="rId34" Type="http://schemas.openxmlformats.org/officeDocument/2006/relationships/hyperlink" Target="https://www.facetsjournal.com/doi/10.1139/facets-2022-0225" TargetMode="External"/><Relationship Id="rId42" Type="http://schemas.openxmlformats.org/officeDocument/2006/relationships/header" Target="head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4.png"/><Relationship Id="rId29" Type="http://schemas.openxmlformats.org/officeDocument/2006/relationships/hyperlink" Target="https://www.researchgate.net/publication/366253084_Evolution_of_social_mood_in_Spain_throughout_the_COVID-19_vaccination_process_A_machine_learning_approach_to_tweets_analysi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hyperlink" Target="https://academic.oup.com/publius/article/53/2/227/7034620" TargetMode="External"/><Relationship Id="rId32" Type="http://schemas.openxmlformats.org/officeDocument/2006/relationships/hyperlink" Target="https://www.mdpi.com/1660-4601/18/16/8316" TargetMode="External"/><Relationship Id="rId37" Type="http://schemas.openxmlformats.org/officeDocument/2006/relationships/hyperlink" Target="https://www.scielo.br/j/csp/a/JLzpbwgffYKWL3HKc7Jw7Br/?format=pdf&amp;lang=en" TargetMode="External"/><Relationship Id="rId40" Type="http://schemas.openxmlformats.org/officeDocument/2006/relationships/hyperlink" Target="https://www.google.com/search?q=https://link.springer.com/article/10.1007/s11115-021-00551-7"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anidad.gob.es" TargetMode="External"/><Relationship Id="rId23" Type="http://schemas.openxmlformats.org/officeDocument/2006/relationships/hyperlink" Target="https://constitutionnet.org/news/spains-constitutional-court-rules-covid-19-state-alarm-was-unconstitutional" TargetMode="External"/><Relationship Id="rId28" Type="http://schemas.openxmlformats.org/officeDocument/2006/relationships/hyperlink" Target="https://www.sanidad.gob.es/gabinetePrensa/notaPrensa/pdf/24.11241120144436287.pdf" TargetMode="External"/><Relationship Id="rId36" Type="http://schemas.openxmlformats.org/officeDocument/2006/relationships/hyperlink" Target="https://academic.oup.com/policyandsociety/article/39/3/382/6407899" TargetMode="External"/><Relationship Id="rId10" Type="http://schemas.openxmlformats.org/officeDocument/2006/relationships/footer" Target="footer2.xml"/><Relationship Id="rId19" Type="http://schemas.openxmlformats.org/officeDocument/2006/relationships/hyperlink" Target="https://www.canada.ca/en/department-finance/programs/federal-transfers/major-federal-transfers.html" TargetMode="External"/><Relationship Id="rId31" Type="http://schemas.openxmlformats.org/officeDocument/2006/relationships/hyperlink" Target="https://academic.oup.com/phe/article/doi/10.1093/phe/phaf024/8367735"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anidad.gob.es" TargetMode="External"/><Relationship Id="rId22" Type="http://schemas.openxmlformats.org/officeDocument/2006/relationships/hyperlink" Target="http://Sanidad.gob.es" TargetMode="External"/><Relationship Id="rId27" Type="http://schemas.openxmlformats.org/officeDocument/2006/relationships/hyperlink" Target="https://www.elsevier.es/en-revista-journal-healthcare-quality-research-257-articulo-the-difficult-resilience-spanish-national-S260364792200032X" TargetMode="External"/><Relationship Id="rId30" Type="http://schemas.openxmlformats.org/officeDocument/2006/relationships/hyperlink" Target="https://www.cpha.ca/sites/default/files/uploads/policy/positionstatements/2021-02-covid-19-initial-review-e.pdf" TargetMode="External"/><Relationship Id="rId35" Type="http://schemas.openxmlformats.org/officeDocument/2006/relationships/hyperlink" Target="https://pmc.ncbi.nlm.nih.gov/articles/PMC7321039/" TargetMode="External"/><Relationship Id="rId43" Type="http://schemas.openxmlformats.org/officeDocument/2006/relationships/footer" Target="footer3.xml"/><Relationship Id="rId8" Type="http://schemas.microsoft.com/office/2007/relationships/hdphoto" Target="media/hdphoto1.wdp"/><Relationship Id="rId3" Type="http://schemas.openxmlformats.org/officeDocument/2006/relationships/settings" Target="settings.xml"/><Relationship Id="rId12" Type="http://schemas.openxmlformats.org/officeDocument/2006/relationships/hyperlink" Target="https://www.frontiersin.org/journals/public-health/articles/10.3389/fpubh.2022.801525/full" TargetMode="External"/><Relationship Id="rId17" Type="http://schemas.openxmlformats.org/officeDocument/2006/relationships/hyperlink" Target="https://www.mdpi.com/1660-4601/18/16/8316" TargetMode="External"/><Relationship Id="rId25" Type="http://schemas.openxmlformats.org/officeDocument/2006/relationships/hyperlink" Target="https://www.frontiersin.org/journals/public-health/articles/10.3389/fpubh.2022.801525/full" TargetMode="External"/><Relationship Id="rId33" Type="http://schemas.openxmlformats.org/officeDocument/2006/relationships/hyperlink" Target="https://www.emerald.com/ijpcc/article/16/4/383/161638/In-defence-of-digital-contact-tracing-human-rights" TargetMode="External"/><Relationship Id="rId38" Type="http://schemas.openxmlformats.org/officeDocument/2006/relationships/hyperlink" Target="https://www.google.com/search?q=https://www.tandfonline.com/doi/full/10.1080/13597566.2023.2208035" TargetMode="External"/><Relationship Id="rId20" Type="http://schemas.openxmlformats.org/officeDocument/2006/relationships/image" Target="media/image6.png"/><Relationship Id="rId41" Type="http://schemas.openxmlformats.org/officeDocument/2006/relationships/hyperlink" Target="https://www.google.com/search?q=https://ghrp.biomedcentral.com/articles/10.1186/s41687-021-00277-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TotalTime>
  <Pages>25</Pages>
  <Words>7893</Words>
  <Characters>44995</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TouchME</cp:lastModifiedBy>
  <cp:revision>124</cp:revision>
  <dcterms:created xsi:type="dcterms:W3CDTF">2025-12-14T18:13:00Z</dcterms:created>
  <dcterms:modified xsi:type="dcterms:W3CDTF">2025-12-15T13:31:00Z</dcterms:modified>
</cp:coreProperties>
</file>