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77711986"/>
        <w:docPartObj>
          <w:docPartGallery w:val="Cover Pages"/>
          <w:docPartUnique/>
        </w:docPartObj>
      </w:sdtPr>
      <w:sdtContent>
        <w:p w14:paraId="431B2218" w14:textId="75D39E1D" w:rsidR="00D71F8A" w:rsidRDefault="00D71F8A">
          <w:r>
            <w:rPr>
              <w:noProof/>
            </w:rPr>
            <mc:AlternateContent>
              <mc:Choice Requires="wpg">
                <w:drawing>
                  <wp:anchor distT="0" distB="0" distL="114300" distR="114300" simplePos="0" relativeHeight="251662336" behindDoc="0" locked="0" layoutInCell="1" allowOverlap="1" wp14:anchorId="02F7D46E" wp14:editId="789D2E0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5E9EAE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CBD865B" wp14:editId="40A6045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83AE05" w14:textId="49EC17F2" w:rsidR="00D71F8A" w:rsidRDefault="00D71F8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CBD865B"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E83AE05" w14:textId="49EC17F2" w:rsidR="00D71F8A" w:rsidRDefault="00D71F8A">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9D880E1" wp14:editId="01D520B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B7D38E" w14:textId="11544C10" w:rsidR="00D71F8A" w:rsidRDefault="00D71F8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Human Performance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33BAAFB" w14:textId="5218787A" w:rsidR="00D71F8A" w:rsidRDefault="00D71F8A">
                                    <w:pPr>
                                      <w:jc w:val="right"/>
                                      <w:rPr>
                                        <w:smallCaps/>
                                        <w:color w:val="404040" w:themeColor="text1" w:themeTint="BF"/>
                                        <w:sz w:val="36"/>
                                        <w:szCs w:val="36"/>
                                      </w:rPr>
                                    </w:pPr>
                                    <w:r w:rsidRPr="00D71F8A">
                                      <w:rPr>
                                        <w:color w:val="404040" w:themeColor="text1" w:themeTint="BF"/>
                                        <w:sz w:val="36"/>
                                        <w:szCs w:val="36"/>
                                      </w:rPr>
                                      <w:t>Critically evaluate how drug and alcohol consumption can influence performance on cognitive tasks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9D880E1"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2CB7D38E" w14:textId="11544C10" w:rsidR="00D71F8A" w:rsidRDefault="00D71F8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Human Performance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33BAAFB" w14:textId="5218787A" w:rsidR="00D71F8A" w:rsidRDefault="00D71F8A">
                              <w:pPr>
                                <w:jc w:val="right"/>
                                <w:rPr>
                                  <w:smallCaps/>
                                  <w:color w:val="404040" w:themeColor="text1" w:themeTint="BF"/>
                                  <w:sz w:val="36"/>
                                  <w:szCs w:val="36"/>
                                </w:rPr>
                              </w:pPr>
                              <w:r w:rsidRPr="00D71F8A">
                                <w:rPr>
                                  <w:color w:val="404040" w:themeColor="text1" w:themeTint="BF"/>
                                  <w:sz w:val="36"/>
                                  <w:szCs w:val="36"/>
                                </w:rPr>
                                <w:t>Critically evaluate how drug and alcohol consumption can influence performance on cognitive tasks</w:t>
                              </w:r>
                            </w:p>
                          </w:sdtContent>
                        </w:sdt>
                      </w:txbxContent>
                    </v:textbox>
                    <w10:wrap type="square" anchorx="page" anchory="page"/>
                  </v:shape>
                </w:pict>
              </mc:Fallback>
            </mc:AlternateContent>
          </w:r>
          <w:r>
            <w:t>Human</w:t>
          </w:r>
        </w:p>
        <w:p w14:paraId="7B9ABB61" w14:textId="5265B658" w:rsidR="00D71F8A" w:rsidRDefault="00D71F8A">
          <w:pPr>
            <w:rPr>
              <w:rFonts w:ascii="Times New Roman" w:hAnsi="Times New Roman"/>
              <w:sz w:val="24"/>
            </w:rPr>
          </w:pPr>
          <w:r>
            <w:rPr>
              <w:noProof/>
            </w:rPr>
            <mc:AlternateContent>
              <mc:Choice Requires="wps">
                <w:drawing>
                  <wp:anchor distT="0" distB="0" distL="114300" distR="114300" simplePos="0" relativeHeight="251660288" behindDoc="0" locked="0" layoutInCell="1" allowOverlap="1" wp14:anchorId="40FC2AAC" wp14:editId="231138E5">
                    <wp:simplePos x="0" y="0"/>
                    <wp:positionH relativeFrom="margin">
                      <wp:align>center</wp:align>
                    </wp:positionH>
                    <wp:positionV relativeFrom="page">
                      <wp:posOffset>8720455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962917" w14:textId="063F6A50" w:rsidR="00D71F8A" w:rsidRDefault="00D71F8A">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0FC2AAC" id="Text Box 152" o:spid="_x0000_s1028" type="#_x0000_t202" style="position:absolute;margin-left:0;margin-top:686.6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Z7J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" filled="f" stroked="f" strokeweight=".5pt">
                    <v:textbox inset="126pt,0,54pt,0">
                      <w:txbxContent>
                        <w:p w14:paraId="56962917" w14:textId="063F6A50" w:rsidR="00D71F8A" w:rsidRDefault="00D71F8A">
                          <w:pPr>
                            <w:pStyle w:val="NoSpacing"/>
                            <w:jc w:val="right"/>
                            <w:rPr>
                              <w:color w:val="595959" w:themeColor="text1" w:themeTint="A6"/>
                              <w:sz w:val="18"/>
                              <w:szCs w:val="18"/>
                            </w:rPr>
                          </w:pPr>
                        </w:p>
                      </w:txbxContent>
                    </v:textbox>
                    <w10:wrap type="square" anchorx="margin" anchory="page"/>
                  </v:shape>
                </w:pict>
              </mc:Fallback>
            </mc:AlternateContent>
          </w:r>
          <w:r>
            <w:br w:type="page"/>
          </w:r>
        </w:p>
      </w:sdtContent>
    </w:sdt>
    <w:p w14:paraId="27081918" w14:textId="59DFD928" w:rsidR="00483B91" w:rsidRDefault="00483B91" w:rsidP="00D71F8A">
      <w:pPr>
        <w:pStyle w:val="Uni"/>
        <w:rPr>
          <w:noProof/>
        </w:rPr>
      </w:pPr>
      <w:r>
        <w:rPr>
          <w:noProof/>
        </w:rPr>
        <w:lastRenderedPageBreak/>
        <w:t>This assignment will attempt to anser the questions posed in the title by looking at how the brain, its component structures, are stimulated when faced with a memory workload task. This will be done in the first instance by having a close look at how the brain functions when confronted with a memory workload task to highlight which areas are affected by neuronal activity through use of electroencepholagraphs and the event-related potentials are measured</w:t>
      </w:r>
      <w:r w:rsidR="00D71F8A">
        <w:rPr>
          <w:noProof/>
        </w:rPr>
        <w:t xml:space="preserve"> </w:t>
      </w:r>
      <w:sdt>
        <w:sdtPr>
          <w:rPr>
            <w:noProof/>
          </w:rPr>
          <w:id w:val="-2127606396"/>
          <w:citation/>
        </w:sdtPr>
        <w:sdtContent>
          <w:r w:rsidR="00D71F8A">
            <w:rPr>
              <w:noProof/>
            </w:rPr>
            <w:fldChar w:fldCharType="begin"/>
          </w:r>
          <w:r w:rsidR="00D71F8A">
            <w:rPr>
              <w:noProof/>
            </w:rPr>
            <w:instrText xml:space="preserve"> CITATION Beu96 \l 2057 </w:instrText>
          </w:r>
          <w:r w:rsidR="00D71F8A">
            <w:rPr>
              <w:noProof/>
            </w:rPr>
            <w:fldChar w:fldCharType="separate"/>
          </w:r>
          <w:r w:rsidR="00D71F8A">
            <w:rPr>
              <w:noProof/>
            </w:rPr>
            <w:t>(Beuzeron-Mangina J. H., 1996)</w:t>
          </w:r>
          <w:r w:rsidR="00D71F8A">
            <w:rPr>
              <w:noProof/>
            </w:rPr>
            <w:fldChar w:fldCharType="end"/>
          </w:r>
        </w:sdtContent>
      </w:sdt>
      <w:r>
        <w:rPr>
          <w:noProof/>
        </w:rPr>
        <w:t>. Secondly the assignment will look at how these areas and structures of the brain are affected by the consumption of alcohol in low and hazardous quantities</w:t>
      </w:r>
      <w:r w:rsidR="00D71F8A">
        <w:rPr>
          <w:noProof/>
        </w:rPr>
        <w:t xml:space="preserve"> </w:t>
      </w:r>
      <w:sdt>
        <w:sdtPr>
          <w:rPr>
            <w:noProof/>
          </w:rPr>
          <w:id w:val="1224880251"/>
          <w:citation/>
        </w:sdtPr>
        <w:sdtContent>
          <w:r w:rsidR="00D71F8A">
            <w:rPr>
              <w:noProof/>
            </w:rPr>
            <w:fldChar w:fldCharType="begin"/>
          </w:r>
          <w:r w:rsidR="00D71F8A">
            <w:rPr>
              <w:noProof/>
            </w:rPr>
            <w:instrText xml:space="preserve"> CITATION Sch19 \l 2057 </w:instrText>
          </w:r>
          <w:r w:rsidR="00D71F8A">
            <w:rPr>
              <w:noProof/>
            </w:rPr>
            <w:fldChar w:fldCharType="separate"/>
          </w:r>
          <w:r w:rsidR="00D71F8A">
            <w:rPr>
              <w:noProof/>
            </w:rPr>
            <w:t>(Schroder, Dousset, Noel, Kornreich, &amp; Campanella, 2019)</w:t>
          </w:r>
          <w:r w:rsidR="00D71F8A">
            <w:rPr>
              <w:noProof/>
            </w:rPr>
            <w:fldChar w:fldCharType="end"/>
          </w:r>
        </w:sdtContent>
      </w:sdt>
      <w:r>
        <w:rPr>
          <w:noProof/>
        </w:rPr>
        <w:t>. This will be followed then by the looking into the effects of delta9-tetrahydrocannabinol</w:t>
      </w:r>
      <w:r w:rsidR="00D71F8A">
        <w:rPr>
          <w:noProof/>
        </w:rPr>
        <w:t xml:space="preserve">, the primary psychoactive constituent of marijuana on the same processes </w:t>
      </w:r>
      <w:r w:rsidR="00D71F8A" w:rsidRPr="00D71F8A">
        <w:rPr>
          <w:noProof/>
        </w:rPr>
        <w:t>(Schroder, Dousset, Noel, Kornreich, &amp; Campanella, 2019)</w:t>
      </w:r>
      <w:r w:rsidR="00D71F8A">
        <w:rPr>
          <w:noProof/>
        </w:rPr>
        <w:t>.</w:t>
      </w:r>
    </w:p>
    <w:p w14:paraId="3946B21B" w14:textId="30DCF0A1" w:rsidR="0048370D" w:rsidRDefault="00B30CF6" w:rsidP="0048370D">
      <w:pPr>
        <w:pStyle w:val="Uni"/>
        <w:rPr>
          <w:noProof/>
        </w:rPr>
      </w:pPr>
      <w:r>
        <w:rPr>
          <w:noProof/>
        </w:rPr>
        <w:t>Beuzeron-Mangina</w:t>
      </w:r>
      <w:sdt>
        <w:sdtPr>
          <w:rPr>
            <w:noProof/>
          </w:rPr>
          <w:id w:val="926157055"/>
          <w:citation/>
        </w:sdtPr>
        <w:sdtContent>
          <w:r>
            <w:rPr>
              <w:noProof/>
            </w:rPr>
            <w:fldChar w:fldCharType="begin"/>
          </w:r>
          <w:r>
            <w:rPr>
              <w:noProof/>
            </w:rPr>
            <w:instrText xml:space="preserve">CITATION Beu96 \n  \t  \l 2057 </w:instrText>
          </w:r>
          <w:r>
            <w:rPr>
              <w:noProof/>
            </w:rPr>
            <w:fldChar w:fldCharType="separate"/>
          </w:r>
          <w:r>
            <w:rPr>
              <w:noProof/>
            </w:rPr>
            <w:t xml:space="preserve"> (1996)</w:t>
          </w:r>
          <w:r>
            <w:rPr>
              <w:noProof/>
            </w:rPr>
            <w:fldChar w:fldCharType="end"/>
          </w:r>
        </w:sdtContent>
      </w:sdt>
      <w:r>
        <w:rPr>
          <w:noProof/>
        </w:rPr>
        <w:t xml:space="preserve"> </w:t>
      </w:r>
      <w:r w:rsidR="0048370D">
        <w:rPr>
          <w:noProof/>
        </w:rPr>
        <w:t>set out to examine if memory workload paradigm with visually presented words by exploring three points. Firstly, which brain structures were involved with the memory workload tas</w:t>
      </w:r>
      <w:r w:rsidR="00CC024C">
        <w:rPr>
          <w:noProof/>
        </w:rPr>
        <w:t>k in patients having electrodes stereotaxically implanted at depth bilaterally in various intracerebral structures. Secondly, to examine whether latencies and amplitudes of workload could be demonstrated in intracerebral event-related potentials (ERPs). Thirdly, if the presence of load effect is found do the intracerebral ERP latencies and amplitudes vary with memory set size?</w:t>
      </w:r>
    </w:p>
    <w:p w14:paraId="6EB19247" w14:textId="2A2BFBCF" w:rsidR="0048370D" w:rsidRDefault="00CC024C" w:rsidP="00B30CF6">
      <w:pPr>
        <w:pStyle w:val="Uni"/>
        <w:rPr>
          <w:noProof/>
        </w:rPr>
      </w:pPr>
      <w:r>
        <w:rPr>
          <w:noProof/>
        </w:rPr>
        <w:t xml:space="preserve">To enable this </w:t>
      </w:r>
      <w:r>
        <w:rPr>
          <w:noProof/>
        </w:rPr>
        <w:t>Beuzeron-Mangina</w:t>
      </w:r>
      <w:sdt>
        <w:sdtPr>
          <w:rPr>
            <w:noProof/>
          </w:rPr>
          <w:id w:val="2015185278"/>
          <w:citation/>
        </w:sdtPr>
        <w:sdtContent>
          <w:r>
            <w:rPr>
              <w:noProof/>
            </w:rPr>
            <w:fldChar w:fldCharType="begin"/>
          </w:r>
          <w:r>
            <w:rPr>
              <w:noProof/>
            </w:rPr>
            <w:instrText xml:space="preserve">CITATION Beu96 \n  \t  \l 2057 </w:instrText>
          </w:r>
          <w:r>
            <w:rPr>
              <w:noProof/>
            </w:rPr>
            <w:fldChar w:fldCharType="separate"/>
          </w:r>
          <w:r>
            <w:rPr>
              <w:noProof/>
            </w:rPr>
            <w:t xml:space="preserve"> (1996)</w:t>
          </w:r>
          <w:r>
            <w:rPr>
              <w:noProof/>
            </w:rPr>
            <w:fldChar w:fldCharType="end"/>
          </w:r>
        </w:sdtContent>
      </w:sdt>
      <w:r>
        <w:rPr>
          <w:noProof/>
        </w:rPr>
        <w:t xml:space="preserve"> recruited patients with intractable epilepsy </w:t>
      </w:r>
      <w:r w:rsidR="007F57BA">
        <w:rPr>
          <w:noProof/>
        </w:rPr>
        <w:t>(i</w:t>
      </w:r>
      <w:r>
        <w:rPr>
          <w:noProof/>
        </w:rPr>
        <w:t>ntractable epilepsy is a seizure disorder where patients cannot get their seizures under control with regular treatment</w:t>
      </w:r>
      <w:r w:rsidR="007F57BA">
        <w:rPr>
          <w:noProof/>
        </w:rPr>
        <w:t xml:space="preserve">). The Intracarotid Amobarbital test was carried out to identify the dominant hemisphere for language, all seven subjects had left hemisphere dominance. </w:t>
      </w:r>
    </w:p>
    <w:p w14:paraId="746804AB" w14:textId="2BF8C357" w:rsidR="007F57BA" w:rsidRDefault="007F57BA" w:rsidP="00A52C6B">
      <w:pPr>
        <w:pStyle w:val="Uni"/>
        <w:rPr>
          <w:noProof/>
        </w:rPr>
      </w:pPr>
      <w:r>
        <w:rPr>
          <w:noProof/>
        </w:rPr>
        <w:t xml:space="preserve">The </w:t>
      </w:r>
      <w:r w:rsidR="00A52C6B">
        <w:rPr>
          <w:noProof/>
        </w:rPr>
        <w:t xml:space="preserve">Memory Workload Paradigm </w:t>
      </w:r>
      <w:sdt>
        <w:sdtPr>
          <w:rPr>
            <w:noProof/>
          </w:rPr>
          <w:id w:val="1467543459"/>
          <w:citation/>
        </w:sdtPr>
        <w:sdtContent>
          <w:r w:rsidR="00A52C6B">
            <w:rPr>
              <w:noProof/>
            </w:rPr>
            <w:fldChar w:fldCharType="begin"/>
          </w:r>
          <w:r w:rsidR="00A52C6B">
            <w:instrText xml:space="preserve"> CITATION Beu90 \l 2057 </w:instrText>
          </w:r>
          <w:r w:rsidR="00A52C6B">
            <w:rPr>
              <w:noProof/>
            </w:rPr>
            <w:fldChar w:fldCharType="separate"/>
          </w:r>
          <w:r w:rsidR="00A52C6B">
            <w:rPr>
              <w:noProof/>
            </w:rPr>
            <w:t>(Beuzeron-Mangina J. H., 1990)</w:t>
          </w:r>
          <w:r w:rsidR="00A52C6B">
            <w:rPr>
              <w:noProof/>
            </w:rPr>
            <w:fldChar w:fldCharType="end"/>
          </w:r>
        </w:sdtContent>
      </w:sdt>
      <w:r w:rsidR="00A52C6B">
        <w:rPr>
          <w:noProof/>
        </w:rPr>
        <w:t xml:space="preserve">, was based on the </w:t>
      </w:r>
      <w:r>
        <w:rPr>
          <w:noProof/>
        </w:rPr>
        <w:t xml:space="preserve">workload task was based on Sternberg’s </w:t>
      </w:r>
      <w:sdt>
        <w:sdtPr>
          <w:rPr>
            <w:noProof/>
          </w:rPr>
          <w:id w:val="-11381379"/>
          <w:citation/>
        </w:sdtPr>
        <w:sdtContent>
          <w:r>
            <w:rPr>
              <w:noProof/>
            </w:rPr>
            <w:fldChar w:fldCharType="begin"/>
          </w:r>
          <w:r w:rsidR="00373D86">
            <w:rPr>
              <w:noProof/>
            </w:rPr>
            <w:instrText xml:space="preserve">CITATION Ste66 \n  \t  \m Ste67 \n  \t  \l 2057 </w:instrText>
          </w:r>
          <w:r>
            <w:rPr>
              <w:noProof/>
            </w:rPr>
            <w:fldChar w:fldCharType="separate"/>
          </w:r>
          <w:r w:rsidR="00373D86">
            <w:rPr>
              <w:noProof/>
            </w:rPr>
            <w:t>(1966; 1967)</w:t>
          </w:r>
          <w:r>
            <w:rPr>
              <w:noProof/>
            </w:rPr>
            <w:fldChar w:fldCharType="end"/>
          </w:r>
        </w:sdtContent>
      </w:sdt>
      <w:r w:rsidR="00A52C6B">
        <w:rPr>
          <w:noProof/>
        </w:rPr>
        <w:t xml:space="preserve">, and was the first time it had been used </w:t>
      </w:r>
      <w:r w:rsidR="00A52C6B">
        <w:rPr>
          <w:noProof/>
        </w:rPr>
        <w:lastRenderedPageBreak/>
        <w:t>with intracerebral recordings. There were 2000 words in the full set consisting of three, four, five and six letters. The target words were presented with the constraint that non-target words would separate them by between two and five instances to reduce the ability for the paricipant to guess when the target words would be presented. The word frequency was the same for both target and non-target words. Target words that appeared on the monitor were registered by the participant by rasising the right index finger and non-target the left index finger.</w:t>
      </w:r>
      <w:r w:rsidR="00B4476B">
        <w:rPr>
          <w:noProof/>
        </w:rPr>
        <w:t xml:space="preserve"> The electrodes depth was based on Digital Subtraction Angiogrpahy (a fluoroscopy </w:t>
      </w:r>
      <w:r w:rsidR="005A79EA">
        <w:rPr>
          <w:noProof/>
        </w:rPr>
        <w:t>guided neurointervention technique</w:t>
      </w:r>
      <w:r w:rsidR="00B4476B">
        <w:rPr>
          <w:noProof/>
        </w:rPr>
        <w:t>), that includes Stereoscopic Angiography (magnification of the vessels) and Magnetic Resonance imaging for accurate placement. The outcome of the study was that three limbic structures only were involved in memory workload tasks, the left and right amygdalae and left posterior hippocampus, this included both target and non-target words</w:t>
      </w:r>
      <w:sdt>
        <w:sdtPr>
          <w:rPr>
            <w:noProof/>
          </w:rPr>
          <w:id w:val="-1515921188"/>
          <w:citation/>
        </w:sdtPr>
        <w:sdtContent>
          <w:r w:rsidR="005A79EA">
            <w:rPr>
              <w:noProof/>
            </w:rPr>
            <w:fldChar w:fldCharType="begin"/>
          </w:r>
          <w:r w:rsidR="005A79EA">
            <w:rPr>
              <w:noProof/>
            </w:rPr>
            <w:instrText xml:space="preserve"> CITATION Beu96 \l 2057 </w:instrText>
          </w:r>
          <w:r w:rsidR="005A79EA">
            <w:rPr>
              <w:noProof/>
            </w:rPr>
            <w:fldChar w:fldCharType="separate"/>
          </w:r>
          <w:r w:rsidR="005A79EA">
            <w:rPr>
              <w:noProof/>
            </w:rPr>
            <w:t xml:space="preserve"> (Beuzeron-Mangina J. H., 1996)</w:t>
          </w:r>
          <w:r w:rsidR="005A79EA">
            <w:rPr>
              <w:noProof/>
            </w:rPr>
            <w:fldChar w:fldCharType="end"/>
          </w:r>
        </w:sdtContent>
      </w:sdt>
      <w:r w:rsidR="00B4476B">
        <w:rPr>
          <w:noProof/>
        </w:rPr>
        <w:t>.</w:t>
      </w:r>
    </w:p>
    <w:p w14:paraId="249E2D8B" w14:textId="073602EC" w:rsidR="00DC7358" w:rsidRDefault="005A79EA" w:rsidP="00A52C6B">
      <w:pPr>
        <w:pStyle w:val="Uni"/>
      </w:pPr>
      <w:r>
        <w:rPr>
          <w:noProof/>
        </w:rPr>
        <w:t>Schroder, Dousset, Noel, Kornreich, &amp; Campanella</w:t>
      </w:r>
      <w:sdt>
        <w:sdtPr>
          <w:id w:val="-1671325358"/>
          <w:citation/>
        </w:sdtPr>
        <w:sdtContent>
          <w:r>
            <w:fldChar w:fldCharType="begin"/>
          </w:r>
          <w:r>
            <w:instrText xml:space="preserve">CITATION Sch19 \n  \t  \l 2057 </w:instrText>
          </w:r>
          <w:r>
            <w:fldChar w:fldCharType="separate"/>
          </w:r>
          <w:r>
            <w:rPr>
              <w:noProof/>
            </w:rPr>
            <w:t xml:space="preserve"> (2019)</w:t>
          </w:r>
          <w:r>
            <w:fldChar w:fldCharType="end"/>
          </w:r>
        </w:sdtContent>
      </w:sdt>
      <w:r>
        <w:t xml:space="preserve"> screened 120 students from University of Brussels Faculty of Psychology, the aim was to obtain two groups of participants who only had differences in their alcohol consumption patterns. The participants were selected using self-reports that highlighted periods per week of consumption and when consuming alcohol how much.</w:t>
      </w:r>
      <w:r w:rsidR="00DC7358">
        <w:t xml:space="preserve"> Using the definition of binge drinking used in European countries, participants who consumed six or more standard alcoholic drinks (standard equates to 10g of Alcohol </w:t>
      </w:r>
      <w:sdt>
        <w:sdtPr>
          <w:id w:val="-1253585282"/>
          <w:citation/>
        </w:sdtPr>
        <w:sdtContent>
          <w:r w:rsidR="00DC7358">
            <w:fldChar w:fldCharType="begin"/>
          </w:r>
          <w:r w:rsidR="00DC7358">
            <w:instrText xml:space="preserve"> CITATION Sch19 \l 2057 </w:instrText>
          </w:r>
          <w:r w:rsidR="00DC7358">
            <w:fldChar w:fldCharType="separate"/>
          </w:r>
          <w:r w:rsidR="00DC7358">
            <w:rPr>
              <w:noProof/>
            </w:rPr>
            <w:t>(Schroder, Dousset, Noel, Kornreich, &amp; Campanella, 2019)</w:t>
          </w:r>
          <w:r w:rsidR="00DC7358">
            <w:fldChar w:fldCharType="end"/>
          </w:r>
        </w:sdtContent>
      </w:sdt>
      <w:r w:rsidR="00DC7358">
        <w:t xml:space="preserve">) on one occasion at the rate of two or more drinks per hour, three to four times a week were classified as hazardous drinkers whist those who consumed on occasions of one to 30 days per month but no more than 5 standard drinks per session at a maximum of  two per hour were classed as controls </w:t>
      </w:r>
      <w:sdt>
        <w:sdtPr>
          <w:id w:val="-1028177970"/>
          <w:citation/>
        </w:sdtPr>
        <w:sdtContent>
          <w:r w:rsidR="00DC7358">
            <w:fldChar w:fldCharType="begin"/>
          </w:r>
          <w:r w:rsidR="00DC7358">
            <w:instrText xml:space="preserve"> CITATION Sch19 \l 2057 </w:instrText>
          </w:r>
          <w:r w:rsidR="00DC7358">
            <w:fldChar w:fldCharType="separate"/>
          </w:r>
          <w:r w:rsidR="00DC7358">
            <w:rPr>
              <w:noProof/>
            </w:rPr>
            <w:t>(Schroder, Dousset, Noel, Kornreich, &amp; Campanella, 2019)</w:t>
          </w:r>
          <w:r w:rsidR="00DC7358">
            <w:fldChar w:fldCharType="end"/>
          </w:r>
        </w:sdtContent>
      </w:sdt>
      <w:r w:rsidR="00DC7358">
        <w:t xml:space="preserve">. </w:t>
      </w:r>
    </w:p>
    <w:p w14:paraId="016A9B94" w14:textId="531B9EEC" w:rsidR="005A79EA" w:rsidRDefault="005A79EA" w:rsidP="00A52C6B">
      <w:pPr>
        <w:pStyle w:val="Uni"/>
      </w:pPr>
      <w:r>
        <w:t xml:space="preserve">An </w:t>
      </w:r>
      <w:r w:rsidR="00C457B7">
        <w:t xml:space="preserve">electroencephalography activity was recorded using a quick cap mounted with 32 electrodes to measure ERP over three trials of visual N-back </w:t>
      </w:r>
      <w:sdt>
        <w:sdtPr>
          <w:id w:val="652499037"/>
          <w:citation/>
        </w:sdtPr>
        <w:sdtContent>
          <w:r w:rsidR="00C457B7">
            <w:fldChar w:fldCharType="begin"/>
          </w:r>
          <w:r w:rsidR="00C457B7">
            <w:instrText xml:space="preserve"> CITATION Kir58 \l 2057 </w:instrText>
          </w:r>
          <w:r w:rsidR="00C457B7">
            <w:fldChar w:fldCharType="separate"/>
          </w:r>
          <w:r w:rsidR="00C457B7">
            <w:rPr>
              <w:noProof/>
            </w:rPr>
            <w:t>(Kirchner, 1958)</w:t>
          </w:r>
          <w:r w:rsidR="00C457B7">
            <w:fldChar w:fldCharType="end"/>
          </w:r>
        </w:sdtContent>
      </w:sdt>
      <w:r w:rsidR="00C457B7">
        <w:t xml:space="preserve"> working </w:t>
      </w:r>
      <w:r w:rsidR="00C457B7">
        <w:lastRenderedPageBreak/>
        <w:t>memory task</w:t>
      </w:r>
      <w:r w:rsidR="00DC7358">
        <w:t>. The two groups were similar in terms of age, gender, depression, anxiety and impulsivity.</w:t>
      </w:r>
    </w:p>
    <w:p w14:paraId="65AC97F4" w14:textId="19AF3DE5" w:rsidR="00DC7358" w:rsidRDefault="00DC7358" w:rsidP="00A52C6B">
      <w:pPr>
        <w:pStyle w:val="Uni"/>
      </w:pPr>
      <w:r>
        <w:t xml:space="preserve">Previous n-back studies have not reported </w:t>
      </w:r>
      <w:r w:rsidR="001031F4">
        <w:t>significance in either healthy or excessive drinkers. Although, there were variations found indexing compensatory neural processes during the variation of cognitive load</w:t>
      </w:r>
      <w:r w:rsidR="00957E03">
        <w:t xml:space="preserve"> </w:t>
      </w:r>
      <w:sdt>
        <w:sdtPr>
          <w:id w:val="1861924453"/>
          <w:citation/>
        </w:sdtPr>
        <w:sdtContent>
          <w:r w:rsidR="00957E03">
            <w:fldChar w:fldCharType="begin"/>
          </w:r>
          <w:r w:rsidR="00957E03">
            <w:instrText xml:space="preserve"> CITATION Cla17 \l 2057  \m Cre10 \m Cre \m Pfe01 \m Squ11</w:instrText>
          </w:r>
          <w:r w:rsidR="00957E03">
            <w:fldChar w:fldCharType="separate"/>
          </w:r>
          <w:r w:rsidR="00957E03">
            <w:rPr>
              <w:noProof/>
            </w:rPr>
            <w:t>(Clark, Lawlor-Savage, &amp; Goghari, 2017; Crego, et al., 2010; Crews, et al., 2005; Pfefferbaum, et al., 2001; Squeglia, Schweinsburg, Pulido, &amp; Tapert, 2011)</w:t>
          </w:r>
          <w:r w:rsidR="00957E03">
            <w:fldChar w:fldCharType="end"/>
          </w:r>
        </w:sdtContent>
      </w:sdt>
      <w:r w:rsidR="00957E03">
        <w:t xml:space="preserve">. These differences in neural activity are observable throughout when electrophysiological measures are used </w:t>
      </w:r>
      <w:sdt>
        <w:sdtPr>
          <w:id w:val="329190043"/>
          <w:citation/>
        </w:sdtPr>
        <w:sdtContent>
          <w:r w:rsidR="008348F9">
            <w:fldChar w:fldCharType="begin"/>
          </w:r>
          <w:r w:rsidR="008348F9">
            <w:instrText xml:space="preserve"> CITATION All08 \l 2057  \m Eva11 \m Kra95 \m Mis03 \m Pra11</w:instrText>
          </w:r>
          <w:r w:rsidR="008348F9">
            <w:fldChar w:fldCharType="separate"/>
          </w:r>
          <w:r w:rsidR="008348F9">
            <w:rPr>
              <w:noProof/>
            </w:rPr>
            <w:t>(Allison &amp; Polich, 2008; Evans, Selinger, &amp; Pollack, 2011; Kramer, Trejo, &amp; Humphrey, 1995; Missonnier, et al., 2003; Pratt, Willoughby, &amp; Swick, 2011)</w:t>
          </w:r>
          <w:r w:rsidR="008348F9">
            <w:fldChar w:fldCharType="end"/>
          </w:r>
        </w:sdtContent>
      </w:sdt>
      <w:r w:rsidR="008348F9">
        <w:t xml:space="preserve">. It also came to light that for the first time that N2 and N3-back tasks had placed and increase memory load on both light and hazardous drinkers </w:t>
      </w:r>
      <w:sdt>
        <w:sdtPr>
          <w:id w:val="-121150042"/>
          <w:citation/>
        </w:sdtPr>
        <w:sdtContent>
          <w:r w:rsidR="008348F9">
            <w:fldChar w:fldCharType="begin"/>
          </w:r>
          <w:r w:rsidR="008348F9">
            <w:instrText xml:space="preserve"> CITATION Sch19 \l 2057 </w:instrText>
          </w:r>
          <w:r w:rsidR="008348F9">
            <w:fldChar w:fldCharType="separate"/>
          </w:r>
          <w:r w:rsidR="008348F9">
            <w:rPr>
              <w:noProof/>
            </w:rPr>
            <w:t>(Schroder, Dousset, Noel, Kornreich, &amp; Campanella, 2019)</w:t>
          </w:r>
          <w:r w:rsidR="008348F9">
            <w:fldChar w:fldCharType="end"/>
          </w:r>
        </w:sdtContent>
      </w:sdt>
      <w:r w:rsidR="008348F9">
        <w:t>.</w:t>
      </w:r>
    </w:p>
    <w:p w14:paraId="18B45503" w14:textId="1D251231" w:rsidR="00D71F8A" w:rsidRDefault="00D71F8A" w:rsidP="00A52C6B">
      <w:pPr>
        <w:pStyle w:val="Uni"/>
      </w:pPr>
      <w:r>
        <w:t xml:space="preserve">The frontal cortex and hippocampus have an abundance of cannabinoid receptors </w:t>
      </w:r>
      <w:sdt>
        <w:sdtPr>
          <w:id w:val="-941759621"/>
          <w:citation/>
        </w:sdtPr>
        <w:sdtContent>
          <w:r>
            <w:fldChar w:fldCharType="begin"/>
          </w:r>
          <w:r>
            <w:instrText xml:space="preserve"> CITATION Han04 \l 2057 </w:instrText>
          </w:r>
          <w:r>
            <w:fldChar w:fldCharType="separate"/>
          </w:r>
          <w:r>
            <w:rPr>
              <w:noProof/>
            </w:rPr>
            <w:t>(Han, Smith, &amp; Gevins, 2004)</w:t>
          </w:r>
          <w:r>
            <w:fldChar w:fldCharType="end"/>
          </w:r>
        </w:sdtContent>
      </w:sdt>
      <w:r>
        <w:t xml:space="preserve">. </w:t>
      </w:r>
    </w:p>
    <w:p w14:paraId="40EAA7AE" w14:textId="77777777" w:rsidR="00D71F8A" w:rsidRDefault="00D71F8A" w:rsidP="00D71F8A">
      <w:pPr>
        <w:pStyle w:val="Uni"/>
      </w:pPr>
      <w:r>
        <w:t>The interesting thing that has been highlighted in both these studies</w:t>
      </w:r>
      <w:r w:rsidRPr="008348F9">
        <w:t xml:space="preserve"> </w:t>
      </w:r>
      <w:proofErr w:type="spellStart"/>
      <w:r w:rsidRPr="008348F9">
        <w:t>Beuzeron-Mangina</w:t>
      </w:r>
      <w:proofErr w:type="spellEnd"/>
      <w:r w:rsidRPr="008348F9">
        <w:t xml:space="preserve"> J. H.</w:t>
      </w:r>
      <w:r>
        <w:t xml:space="preserve">  </w:t>
      </w:r>
      <w:sdt>
        <w:sdtPr>
          <w:id w:val="-600484823"/>
          <w:citation/>
        </w:sdtPr>
        <w:sdtContent>
          <w:r>
            <w:fldChar w:fldCharType="begin"/>
          </w:r>
          <w:r>
            <w:instrText xml:space="preserve">CITATION Beu96 \n  \t  \l 2057 </w:instrText>
          </w:r>
          <w:r>
            <w:fldChar w:fldCharType="separate"/>
          </w:r>
          <w:r>
            <w:rPr>
              <w:noProof/>
            </w:rPr>
            <w:t>(1996)</w:t>
          </w:r>
          <w:r>
            <w:fldChar w:fldCharType="end"/>
          </w:r>
        </w:sdtContent>
      </w:sdt>
      <w:r>
        <w:t xml:space="preserve"> and</w:t>
      </w:r>
      <w:r w:rsidRPr="008348F9">
        <w:t xml:space="preserve"> Schroder, </w:t>
      </w:r>
      <w:proofErr w:type="spellStart"/>
      <w:r w:rsidRPr="008348F9">
        <w:t>Dousset</w:t>
      </w:r>
      <w:proofErr w:type="spellEnd"/>
      <w:r w:rsidRPr="008348F9">
        <w:t xml:space="preserve">, Noel, </w:t>
      </w:r>
      <w:proofErr w:type="spellStart"/>
      <w:r w:rsidRPr="008348F9">
        <w:t>Kornreich</w:t>
      </w:r>
      <w:proofErr w:type="spellEnd"/>
      <w:r w:rsidRPr="008348F9">
        <w:t>, &amp; Campanella</w:t>
      </w:r>
      <w:r>
        <w:t xml:space="preserve"> </w:t>
      </w:r>
      <w:sdt>
        <w:sdtPr>
          <w:id w:val="1526974172"/>
          <w:citation/>
        </w:sdtPr>
        <w:sdtContent>
          <w:r>
            <w:fldChar w:fldCharType="begin"/>
          </w:r>
          <w:r>
            <w:instrText xml:space="preserve">CITATION Sch19 \n  \t  \l 2057 </w:instrText>
          </w:r>
          <w:r>
            <w:fldChar w:fldCharType="separate"/>
          </w:r>
          <w:r>
            <w:rPr>
              <w:noProof/>
            </w:rPr>
            <w:t>(2019)</w:t>
          </w:r>
          <w:r>
            <w:fldChar w:fldCharType="end"/>
          </w:r>
        </w:sdtContent>
      </w:sdt>
      <w:r>
        <w:t xml:space="preserve"> is the extent to which the brain appears to alter the firing of synapses in an attempt to correct the invasion of alcohol and the effect it has on the relevant brain structures.</w:t>
      </w:r>
    </w:p>
    <w:p w14:paraId="3237A889" w14:textId="49DE3EAD" w:rsidR="00D71F8A" w:rsidRDefault="00D71F8A">
      <w:pPr>
        <w:rPr>
          <w:rFonts w:ascii="Times New Roman" w:hAnsi="Times New Roman"/>
          <w:sz w:val="24"/>
        </w:rPr>
      </w:pPr>
      <w:r>
        <w:br w:type="page"/>
      </w:r>
    </w:p>
    <w:sdt>
      <w:sdtPr>
        <w:id w:val="160699793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0CDA473" w14:textId="26BA30E9" w:rsidR="00D71F8A" w:rsidRPr="00F66C6A" w:rsidRDefault="00D71F8A">
          <w:pPr>
            <w:pStyle w:val="Heading1"/>
            <w:rPr>
              <w:rFonts w:ascii="Times New Roman" w:hAnsi="Times New Roman" w:cs="Times New Roman"/>
              <w:b/>
              <w:bCs/>
              <w:color w:val="auto"/>
              <w:sz w:val="24"/>
              <w:szCs w:val="24"/>
            </w:rPr>
          </w:pPr>
          <w:r w:rsidRPr="00F66C6A">
            <w:rPr>
              <w:rFonts w:ascii="Times New Roman" w:hAnsi="Times New Roman" w:cs="Times New Roman"/>
              <w:b/>
              <w:bCs/>
              <w:color w:val="auto"/>
              <w:sz w:val="24"/>
              <w:szCs w:val="24"/>
            </w:rPr>
            <w:t>References</w:t>
          </w:r>
          <w:bookmarkStart w:id="0" w:name="_GoBack"/>
          <w:bookmarkEnd w:id="0"/>
        </w:p>
        <w:p w14:paraId="4FF332E9" w14:textId="77777777" w:rsidR="00F66C6A" w:rsidRPr="00F66C6A" w:rsidRDefault="00F66C6A" w:rsidP="00F66C6A">
          <w:pPr>
            <w:rPr>
              <w:lang w:val="en-US"/>
            </w:rPr>
          </w:pPr>
        </w:p>
        <w:sdt>
          <w:sdtPr>
            <w:id w:val="-573587230"/>
            <w:bibliography/>
          </w:sdtPr>
          <w:sdtContent>
            <w:p w14:paraId="5FE4B753" w14:textId="77777777" w:rsidR="00D71F8A" w:rsidRDefault="00D71F8A" w:rsidP="00D71F8A">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Allison, B. Z., &amp; Polich, J. (2008). Workload assessment of computer gaming using a single-stimulus event-related potential paradigm. </w:t>
              </w:r>
              <w:r>
                <w:rPr>
                  <w:i/>
                  <w:iCs/>
                  <w:noProof/>
                  <w:lang w:val="en-US"/>
                </w:rPr>
                <w:t>Biological Psychology, 77</w:t>
              </w:r>
              <w:r>
                <w:rPr>
                  <w:noProof/>
                  <w:lang w:val="en-US"/>
                </w:rPr>
                <w:t>(3), 277-283.</w:t>
              </w:r>
            </w:p>
            <w:p w14:paraId="6459DB78" w14:textId="77777777" w:rsidR="00D71F8A" w:rsidRDefault="00D71F8A" w:rsidP="00D71F8A">
              <w:pPr>
                <w:pStyle w:val="Bibliography"/>
                <w:ind w:left="720" w:hanging="720"/>
                <w:rPr>
                  <w:noProof/>
                  <w:lang w:val="en-US"/>
                </w:rPr>
              </w:pPr>
              <w:r>
                <w:rPr>
                  <w:noProof/>
                  <w:lang w:val="en-US"/>
                </w:rPr>
                <w:t xml:space="preserve">Beuzeron-Mangina, J. H. (1990). </w:t>
              </w:r>
              <w:r>
                <w:rPr>
                  <w:i/>
                  <w:iCs/>
                  <w:noProof/>
                  <w:lang w:val="en-US"/>
                </w:rPr>
                <w:t>Memory Workload Paradigm with visually presented words.</w:t>
              </w:r>
              <w:r>
                <w:rPr>
                  <w:noProof/>
                  <w:lang w:val="en-US"/>
                </w:rPr>
                <w:t xml:space="preserve"> Montreal, Canada: McGill University .</w:t>
              </w:r>
            </w:p>
            <w:p w14:paraId="66456F25" w14:textId="1ED64B27" w:rsidR="00D71F8A" w:rsidRDefault="00D71F8A" w:rsidP="00D71F8A">
              <w:pPr>
                <w:pStyle w:val="Bibliography"/>
                <w:ind w:left="720" w:hanging="720"/>
                <w:rPr>
                  <w:noProof/>
                  <w:lang w:val="en-US"/>
                </w:rPr>
              </w:pPr>
              <w:r>
                <w:rPr>
                  <w:noProof/>
                  <w:lang w:val="en-US"/>
                </w:rPr>
                <w:t xml:space="preserve">Beuzeron-Mangina, J. H. (1996). Intracerebral event-related potentials during memory workload . </w:t>
              </w:r>
              <w:r>
                <w:rPr>
                  <w:i/>
                  <w:iCs/>
                  <w:noProof/>
                  <w:lang w:val="en-US"/>
                </w:rPr>
                <w:t>International Journal of Psychophysiology, 22</w:t>
              </w:r>
              <w:r>
                <w:rPr>
                  <w:noProof/>
                  <w:lang w:val="en-US"/>
                </w:rPr>
                <w:t>(1), 9-23.</w:t>
              </w:r>
            </w:p>
            <w:p w14:paraId="10C5D581" w14:textId="77777777" w:rsidR="00D71F8A" w:rsidRDefault="00D71F8A" w:rsidP="00D71F8A">
              <w:pPr>
                <w:pStyle w:val="Bibliography"/>
                <w:ind w:left="720" w:hanging="720"/>
                <w:rPr>
                  <w:noProof/>
                  <w:lang w:val="en-US"/>
                </w:rPr>
              </w:pPr>
              <w:r>
                <w:rPr>
                  <w:noProof/>
                  <w:lang w:val="en-US"/>
                </w:rPr>
                <w:t xml:space="preserve">Clark, C. M., Lawlor-Savage, I., &amp; Goghari, V. M. (2017). Functional brain activation associated with working memory training and transfer. </w:t>
              </w:r>
              <w:r>
                <w:rPr>
                  <w:i/>
                  <w:iCs/>
                  <w:noProof/>
                  <w:lang w:val="en-US"/>
                </w:rPr>
                <w:t>Behavioural Brain Research, 334</w:t>
              </w:r>
              <w:r>
                <w:rPr>
                  <w:noProof/>
                  <w:lang w:val="en-US"/>
                </w:rPr>
                <w:t>, 34-49.</w:t>
              </w:r>
            </w:p>
            <w:p w14:paraId="109C8165" w14:textId="77777777" w:rsidR="00D71F8A" w:rsidRDefault="00D71F8A" w:rsidP="00D71F8A">
              <w:pPr>
                <w:pStyle w:val="Bibliography"/>
                <w:ind w:left="720" w:hanging="720"/>
                <w:rPr>
                  <w:noProof/>
                  <w:lang w:val="en-US"/>
                </w:rPr>
              </w:pPr>
              <w:r>
                <w:rPr>
                  <w:noProof/>
                  <w:lang w:val="en-US"/>
                </w:rPr>
                <w:t xml:space="preserve">Crego, A., Rodriquez-Holguin, S., Parada, M., Mota, N., Corral, M., &amp; Cadaveira, F. (2010). Reduced anterior prefrontal cortex activation in young binge drinkers during a visual working memory task. </w:t>
              </w:r>
              <w:r>
                <w:rPr>
                  <w:i/>
                  <w:iCs/>
                  <w:noProof/>
                  <w:lang w:val="en-US"/>
                </w:rPr>
                <w:t>Drug and Alcohol Dependence, 109</w:t>
              </w:r>
              <w:r>
                <w:rPr>
                  <w:noProof/>
                  <w:lang w:val="en-US"/>
                </w:rPr>
                <w:t>(1), 45-56.</w:t>
              </w:r>
            </w:p>
            <w:p w14:paraId="5F1CB6C3" w14:textId="77777777" w:rsidR="00D71F8A" w:rsidRDefault="00D71F8A" w:rsidP="00D71F8A">
              <w:pPr>
                <w:pStyle w:val="Bibliography"/>
                <w:ind w:left="720" w:hanging="720"/>
                <w:rPr>
                  <w:noProof/>
                  <w:lang w:val="en-US"/>
                </w:rPr>
              </w:pPr>
              <w:r>
                <w:rPr>
                  <w:noProof/>
                  <w:lang w:val="en-US"/>
                </w:rPr>
                <w:t xml:space="preserve">Crews, F. T., Buckley, T., Dodd, P. R., Ende, G., Foley, N., Harper, C., . . . Sullivan, E. (2005). Alchoholic neurobiology: changes in dependence and recovery. </w:t>
              </w:r>
              <w:r>
                <w:rPr>
                  <w:i/>
                  <w:iCs/>
                  <w:noProof/>
                  <w:lang w:val="en-US"/>
                </w:rPr>
                <w:t>Alcoholism: Clinical and Experimental Research, 29</w:t>
              </w:r>
              <w:r>
                <w:rPr>
                  <w:noProof/>
                  <w:lang w:val="en-US"/>
                </w:rPr>
                <w:t>(8), 1504-1513.</w:t>
              </w:r>
            </w:p>
            <w:p w14:paraId="6B9C4415" w14:textId="77777777" w:rsidR="00D71F8A" w:rsidRDefault="00D71F8A" w:rsidP="00D71F8A">
              <w:pPr>
                <w:pStyle w:val="Bibliography"/>
                <w:ind w:left="720" w:hanging="720"/>
                <w:rPr>
                  <w:noProof/>
                  <w:lang w:val="en-US"/>
                </w:rPr>
              </w:pPr>
              <w:r>
                <w:rPr>
                  <w:noProof/>
                  <w:lang w:val="en-US"/>
                </w:rPr>
                <w:t xml:space="preserve">Evans, H., Selinger, C., &amp; Pollack, S. D. (2011). P300 as a measure of processing capacity in auditory adn visual domains in specific language impariment. </w:t>
              </w:r>
              <w:r>
                <w:rPr>
                  <w:i/>
                  <w:iCs/>
                  <w:noProof/>
                  <w:lang w:val="en-US"/>
                </w:rPr>
                <w:t>Brain Research, 1389</w:t>
              </w:r>
              <w:r>
                <w:rPr>
                  <w:noProof/>
                  <w:lang w:val="en-US"/>
                </w:rPr>
                <w:t>(10), 93-102.</w:t>
              </w:r>
            </w:p>
            <w:p w14:paraId="64ECD363" w14:textId="77777777" w:rsidR="00D71F8A" w:rsidRDefault="00D71F8A" w:rsidP="00D71F8A">
              <w:pPr>
                <w:pStyle w:val="Bibliography"/>
                <w:ind w:left="720" w:hanging="720"/>
                <w:rPr>
                  <w:noProof/>
                  <w:lang w:val="en-US"/>
                </w:rPr>
              </w:pPr>
              <w:r>
                <w:rPr>
                  <w:noProof/>
                  <w:lang w:val="en-US"/>
                </w:rPr>
                <w:t xml:space="preserve">Han, A. B., Smith, M. E., &amp; Gevins, A. (2004). Effects of marijuana on neurophysiological signals of working. </w:t>
              </w:r>
              <w:r>
                <w:rPr>
                  <w:i/>
                  <w:iCs/>
                  <w:noProof/>
                  <w:lang w:val="en-US"/>
                </w:rPr>
                <w:t>Psychopharmacology, 176</w:t>
              </w:r>
              <w:r>
                <w:rPr>
                  <w:noProof/>
                  <w:lang w:val="en-US"/>
                </w:rPr>
                <w:t>(2), 214-222.</w:t>
              </w:r>
            </w:p>
            <w:p w14:paraId="6C765D3F" w14:textId="77777777" w:rsidR="00D71F8A" w:rsidRDefault="00D71F8A" w:rsidP="00D71F8A">
              <w:pPr>
                <w:pStyle w:val="Bibliography"/>
                <w:ind w:left="720" w:hanging="720"/>
                <w:rPr>
                  <w:noProof/>
                  <w:lang w:val="en-US"/>
                </w:rPr>
              </w:pPr>
              <w:r>
                <w:rPr>
                  <w:noProof/>
                  <w:lang w:val="en-US"/>
                </w:rPr>
                <w:t xml:space="preserve">Kirchner, W. K. (1958). Age differences in short-term retention of rapidly changing information. </w:t>
              </w:r>
              <w:r>
                <w:rPr>
                  <w:i/>
                  <w:iCs/>
                  <w:noProof/>
                  <w:lang w:val="en-US"/>
                </w:rPr>
                <w:t>Journal of Experimental Psychology, 55</w:t>
              </w:r>
              <w:r>
                <w:rPr>
                  <w:noProof/>
                  <w:lang w:val="en-US"/>
                </w:rPr>
                <w:t>(4), 352-358.</w:t>
              </w:r>
            </w:p>
            <w:p w14:paraId="13E42364" w14:textId="77777777" w:rsidR="00D71F8A" w:rsidRDefault="00D71F8A" w:rsidP="00D71F8A">
              <w:pPr>
                <w:pStyle w:val="Bibliography"/>
                <w:ind w:left="720" w:hanging="720"/>
                <w:rPr>
                  <w:noProof/>
                  <w:lang w:val="en-US"/>
                </w:rPr>
              </w:pPr>
              <w:r>
                <w:rPr>
                  <w:noProof/>
                  <w:lang w:val="en-US"/>
                </w:rPr>
                <w:t xml:space="preserve">Kramer, A. F., Trejo, L. J., &amp; Humphrey, D. (1995). Assessment of mental workload with task-irrelevant auditory probes. </w:t>
              </w:r>
              <w:r>
                <w:rPr>
                  <w:i/>
                  <w:iCs/>
                  <w:noProof/>
                  <w:lang w:val="en-US"/>
                </w:rPr>
                <w:t>Biological Psychology, 40</w:t>
              </w:r>
              <w:r>
                <w:rPr>
                  <w:noProof/>
                  <w:lang w:val="en-US"/>
                </w:rPr>
                <w:t>(1-2), 83-100.</w:t>
              </w:r>
            </w:p>
            <w:p w14:paraId="322E5D37" w14:textId="77777777" w:rsidR="00D71F8A" w:rsidRDefault="00D71F8A" w:rsidP="00D71F8A">
              <w:pPr>
                <w:pStyle w:val="Bibliography"/>
                <w:ind w:left="720" w:hanging="720"/>
                <w:rPr>
                  <w:noProof/>
                  <w:lang w:val="en-US"/>
                </w:rPr>
              </w:pPr>
              <w:r>
                <w:rPr>
                  <w:noProof/>
                  <w:lang w:val="en-US"/>
                </w:rPr>
                <w:t xml:space="preserve">Missonnier, P., Leonards, U., Gold, G., Palix, J., Ibanez, V., &amp; Giannakopoulos, P. (2003). A new electrophysicological index for working memory load in humans. </w:t>
              </w:r>
              <w:r>
                <w:rPr>
                  <w:i/>
                  <w:iCs/>
                  <w:noProof/>
                  <w:lang w:val="en-US"/>
                </w:rPr>
                <w:t>NeuroReport, 14</w:t>
              </w:r>
              <w:r>
                <w:rPr>
                  <w:noProof/>
                  <w:lang w:val="en-US"/>
                </w:rPr>
                <w:t>(11), 1451-1455.</w:t>
              </w:r>
            </w:p>
            <w:p w14:paraId="37BACF10" w14:textId="77777777" w:rsidR="00D71F8A" w:rsidRDefault="00D71F8A" w:rsidP="00D71F8A">
              <w:pPr>
                <w:pStyle w:val="Bibliography"/>
                <w:ind w:left="720" w:hanging="720"/>
                <w:rPr>
                  <w:noProof/>
                  <w:lang w:val="en-US"/>
                </w:rPr>
              </w:pPr>
              <w:r>
                <w:rPr>
                  <w:noProof/>
                  <w:lang w:val="en-US"/>
                </w:rPr>
                <w:t xml:space="preserve">Pfefferbaum, A., Desmond, J. E., Galloway, C., Menon, V., Glover, G. H., &amp; Sullivan, E. V. (2001). Reorganization of frontal systems used by alcoholics for spatial working memory: An fMRI study. </w:t>
              </w:r>
              <w:r>
                <w:rPr>
                  <w:i/>
                  <w:iCs/>
                  <w:noProof/>
                  <w:lang w:val="en-US"/>
                </w:rPr>
                <w:t>NeuroImage, 14</w:t>
              </w:r>
              <w:r>
                <w:rPr>
                  <w:noProof/>
                  <w:lang w:val="en-US"/>
                </w:rPr>
                <w:t>(1), 7-20.</w:t>
              </w:r>
            </w:p>
            <w:p w14:paraId="14A6689D" w14:textId="77777777" w:rsidR="00D71F8A" w:rsidRDefault="00D71F8A" w:rsidP="00D71F8A">
              <w:pPr>
                <w:pStyle w:val="Bibliography"/>
                <w:ind w:left="720" w:hanging="720"/>
                <w:rPr>
                  <w:noProof/>
                  <w:lang w:val="en-US"/>
                </w:rPr>
              </w:pPr>
              <w:r>
                <w:rPr>
                  <w:noProof/>
                  <w:lang w:val="en-US"/>
                </w:rPr>
                <w:t xml:space="preserve">Pratt, N., Willoughby, A., &amp; Swick, D. (2011). Effects of working memory load on visual selective attention: Behavioral and electrophysiological evidence. </w:t>
              </w:r>
              <w:r>
                <w:rPr>
                  <w:i/>
                  <w:iCs/>
                  <w:noProof/>
                  <w:lang w:val="en-US"/>
                </w:rPr>
                <w:t>Frontiers in Human Neuroscience, 5</w:t>
              </w:r>
              <w:r>
                <w:rPr>
                  <w:noProof/>
                  <w:lang w:val="en-US"/>
                </w:rPr>
                <w:t>, 1-9.</w:t>
              </w:r>
            </w:p>
            <w:p w14:paraId="4F0813AB" w14:textId="77777777" w:rsidR="00D71F8A" w:rsidRDefault="00D71F8A" w:rsidP="00D71F8A">
              <w:pPr>
                <w:pStyle w:val="Bibliography"/>
                <w:ind w:left="720" w:hanging="720"/>
                <w:rPr>
                  <w:noProof/>
                  <w:lang w:val="en-US"/>
                </w:rPr>
              </w:pPr>
              <w:r>
                <w:rPr>
                  <w:noProof/>
                  <w:lang w:val="en-US"/>
                </w:rPr>
                <w:t xml:space="preserve">Schroder, E., Dousset, C., Noel, X., Kornreich, C., &amp; Campanella, S. (2019). Increased Neural Activity in Hazardous Drinkers During High Workload in a Visual Working Memory Task: A Preliminary Assessment Through Event-Related Potentials. </w:t>
              </w:r>
              <w:r>
                <w:rPr>
                  <w:i/>
                  <w:iCs/>
                  <w:noProof/>
                  <w:lang w:val="en-US"/>
                </w:rPr>
                <w:t>Frontiers in Psychiatry, 10</w:t>
              </w:r>
              <w:r>
                <w:rPr>
                  <w:noProof/>
                  <w:lang w:val="en-US"/>
                </w:rPr>
                <w:t>. doi:10.3389/fpsyt.2019.00248</w:t>
              </w:r>
            </w:p>
            <w:p w14:paraId="03E76FA6" w14:textId="77777777" w:rsidR="00D71F8A" w:rsidRDefault="00D71F8A" w:rsidP="00D71F8A">
              <w:pPr>
                <w:pStyle w:val="Bibliography"/>
                <w:ind w:left="720" w:hanging="720"/>
                <w:rPr>
                  <w:noProof/>
                  <w:lang w:val="en-US"/>
                </w:rPr>
              </w:pPr>
              <w:r>
                <w:rPr>
                  <w:noProof/>
                  <w:lang w:val="en-US"/>
                </w:rPr>
                <w:lastRenderedPageBreak/>
                <w:t xml:space="preserve">Squeglia, I. M., Schweinsburg, A. D., Pulido, C., &amp; Tapert, S. F. (2011). Adolescent binge drinking linked to abnormal spatial working memory brain activation: Differential gender effects. </w:t>
              </w:r>
              <w:r>
                <w:rPr>
                  <w:i/>
                  <w:iCs/>
                  <w:noProof/>
                  <w:lang w:val="en-US"/>
                </w:rPr>
                <w:t>Alcoholism: Clinical and Experimental Research, 35</w:t>
              </w:r>
              <w:r>
                <w:rPr>
                  <w:noProof/>
                  <w:lang w:val="en-US"/>
                </w:rPr>
                <w:t>(10), 1831-1841.</w:t>
              </w:r>
            </w:p>
            <w:p w14:paraId="60B2F5B1" w14:textId="77777777" w:rsidR="00D71F8A" w:rsidRDefault="00D71F8A" w:rsidP="00D71F8A">
              <w:pPr>
                <w:pStyle w:val="Bibliography"/>
                <w:ind w:left="720" w:hanging="720"/>
                <w:rPr>
                  <w:noProof/>
                  <w:lang w:val="en-US"/>
                </w:rPr>
              </w:pPr>
              <w:r>
                <w:rPr>
                  <w:noProof/>
                  <w:lang w:val="en-US"/>
                </w:rPr>
                <w:t xml:space="preserve">Sternberg, S. (1966). High-speed scanning in human memory. </w:t>
              </w:r>
              <w:r>
                <w:rPr>
                  <w:i/>
                  <w:iCs/>
                  <w:noProof/>
                  <w:lang w:val="en-US"/>
                </w:rPr>
                <w:t>Science, 153</w:t>
              </w:r>
              <w:r>
                <w:rPr>
                  <w:noProof/>
                  <w:lang w:val="en-US"/>
                </w:rPr>
                <w:t>(3736), 652-654.</w:t>
              </w:r>
            </w:p>
            <w:p w14:paraId="4C885E98" w14:textId="77777777" w:rsidR="00D71F8A" w:rsidRDefault="00D71F8A" w:rsidP="00D71F8A">
              <w:pPr>
                <w:pStyle w:val="Bibliography"/>
                <w:ind w:left="720" w:hanging="720"/>
                <w:rPr>
                  <w:noProof/>
                  <w:lang w:val="en-US"/>
                </w:rPr>
              </w:pPr>
              <w:r>
                <w:rPr>
                  <w:noProof/>
                  <w:lang w:val="en-US"/>
                </w:rPr>
                <w:t xml:space="preserve">Sternberg, S. (1967). Two operations in character recognition: some evidence from reaction-time measurements. </w:t>
              </w:r>
              <w:r>
                <w:rPr>
                  <w:i/>
                  <w:iCs/>
                  <w:noProof/>
                  <w:lang w:val="en-US"/>
                </w:rPr>
                <w:t>Percpetion and psychophysics, 2</w:t>
              </w:r>
              <w:r>
                <w:rPr>
                  <w:noProof/>
                  <w:lang w:val="en-US"/>
                </w:rPr>
                <w:t>, 45-53.</w:t>
              </w:r>
            </w:p>
            <w:p w14:paraId="6C2A8606" w14:textId="252255DC" w:rsidR="00D71F8A" w:rsidRDefault="00D71F8A" w:rsidP="00D71F8A">
              <w:r>
                <w:rPr>
                  <w:b/>
                  <w:bCs/>
                  <w:noProof/>
                </w:rPr>
                <w:fldChar w:fldCharType="end"/>
              </w:r>
            </w:p>
          </w:sdtContent>
        </w:sdt>
      </w:sdtContent>
    </w:sdt>
    <w:p w14:paraId="6E1754DA" w14:textId="77777777" w:rsidR="00D71F8A" w:rsidRPr="00B30CF6" w:rsidRDefault="00D71F8A" w:rsidP="00A52C6B">
      <w:pPr>
        <w:pStyle w:val="Uni"/>
      </w:pPr>
    </w:p>
    <w:sectPr w:rsidR="00D71F8A" w:rsidRPr="00B30CF6" w:rsidSect="00D71F8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350836" w14:textId="77777777" w:rsidR="00D71F8A" w:rsidRDefault="00D71F8A" w:rsidP="00D71F8A">
      <w:pPr>
        <w:spacing w:after="0" w:line="240" w:lineRule="auto"/>
      </w:pPr>
      <w:r>
        <w:separator/>
      </w:r>
    </w:p>
  </w:endnote>
  <w:endnote w:type="continuationSeparator" w:id="0">
    <w:p w14:paraId="0C42CB62" w14:textId="77777777" w:rsidR="00D71F8A" w:rsidRDefault="00D71F8A" w:rsidP="00D71F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8E3512" w14:textId="77777777" w:rsidR="00D71F8A" w:rsidRDefault="00D71F8A" w:rsidP="00D71F8A">
      <w:pPr>
        <w:spacing w:after="0" w:line="240" w:lineRule="auto"/>
      </w:pPr>
      <w:r>
        <w:separator/>
      </w:r>
    </w:p>
  </w:footnote>
  <w:footnote w:type="continuationSeparator" w:id="0">
    <w:p w14:paraId="22B8A6C1" w14:textId="77777777" w:rsidR="00D71F8A" w:rsidRDefault="00D71F8A" w:rsidP="00D71F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ABE"/>
    <w:rsid w:val="001031F4"/>
    <w:rsid w:val="0020592C"/>
    <w:rsid w:val="002B424E"/>
    <w:rsid w:val="00373D86"/>
    <w:rsid w:val="00436ABE"/>
    <w:rsid w:val="0048370D"/>
    <w:rsid w:val="00483B91"/>
    <w:rsid w:val="005A79EA"/>
    <w:rsid w:val="005E5D3A"/>
    <w:rsid w:val="007F57BA"/>
    <w:rsid w:val="008348F9"/>
    <w:rsid w:val="00957E03"/>
    <w:rsid w:val="00A52C6B"/>
    <w:rsid w:val="00B30CF6"/>
    <w:rsid w:val="00B4476B"/>
    <w:rsid w:val="00C41F4C"/>
    <w:rsid w:val="00C457B7"/>
    <w:rsid w:val="00CC024C"/>
    <w:rsid w:val="00D71F8A"/>
    <w:rsid w:val="00DC7358"/>
    <w:rsid w:val="00DC7B85"/>
    <w:rsid w:val="00E333C2"/>
    <w:rsid w:val="00F66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36DF9"/>
  <w15:chartTrackingRefBased/>
  <w15:docId w15:val="{81A11134-9039-4B95-89B5-767D43C55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F4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ni">
    <w:name w:val="Uni"/>
    <w:basedOn w:val="Normal"/>
    <w:link w:val="UniChar"/>
    <w:qFormat/>
    <w:rsid w:val="005E5D3A"/>
    <w:pPr>
      <w:spacing w:line="480" w:lineRule="auto"/>
      <w:ind w:firstLine="720"/>
    </w:pPr>
    <w:rPr>
      <w:rFonts w:ascii="Times New Roman" w:hAnsi="Times New Roman"/>
      <w:sz w:val="24"/>
    </w:rPr>
  </w:style>
  <w:style w:type="character" w:customStyle="1" w:styleId="UniChar">
    <w:name w:val="Uni Char"/>
    <w:basedOn w:val="DefaultParagraphFont"/>
    <w:link w:val="Uni"/>
    <w:rsid w:val="005E5D3A"/>
    <w:rPr>
      <w:rFonts w:ascii="Times New Roman" w:hAnsi="Times New Roman"/>
      <w:sz w:val="24"/>
    </w:rPr>
  </w:style>
  <w:style w:type="character" w:customStyle="1" w:styleId="Heading1Char">
    <w:name w:val="Heading 1 Char"/>
    <w:basedOn w:val="DefaultParagraphFont"/>
    <w:link w:val="Heading1"/>
    <w:uiPriority w:val="9"/>
    <w:rsid w:val="00C41F4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41F4C"/>
  </w:style>
  <w:style w:type="paragraph" w:styleId="FootnoteText">
    <w:name w:val="footnote text"/>
    <w:basedOn w:val="Normal"/>
    <w:link w:val="FootnoteTextChar"/>
    <w:uiPriority w:val="99"/>
    <w:semiHidden/>
    <w:unhideWhenUsed/>
    <w:rsid w:val="00D71F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71F8A"/>
    <w:rPr>
      <w:sz w:val="20"/>
      <w:szCs w:val="20"/>
    </w:rPr>
  </w:style>
  <w:style w:type="character" w:styleId="FootnoteReference">
    <w:name w:val="footnote reference"/>
    <w:basedOn w:val="DefaultParagraphFont"/>
    <w:uiPriority w:val="99"/>
    <w:semiHidden/>
    <w:unhideWhenUsed/>
    <w:rsid w:val="00D71F8A"/>
    <w:rPr>
      <w:vertAlign w:val="superscript"/>
    </w:rPr>
  </w:style>
  <w:style w:type="paragraph" w:styleId="NoSpacing">
    <w:name w:val="No Spacing"/>
    <w:link w:val="NoSpacingChar"/>
    <w:uiPriority w:val="1"/>
    <w:qFormat/>
    <w:rsid w:val="00D71F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71F8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37853">
      <w:bodyDiv w:val="1"/>
      <w:marLeft w:val="0"/>
      <w:marRight w:val="0"/>
      <w:marTop w:val="0"/>
      <w:marBottom w:val="0"/>
      <w:divBdr>
        <w:top w:val="none" w:sz="0" w:space="0" w:color="auto"/>
        <w:left w:val="none" w:sz="0" w:space="0" w:color="auto"/>
        <w:bottom w:val="none" w:sz="0" w:space="0" w:color="auto"/>
        <w:right w:val="none" w:sz="0" w:space="0" w:color="auto"/>
      </w:divBdr>
    </w:div>
    <w:div w:id="104152205">
      <w:bodyDiv w:val="1"/>
      <w:marLeft w:val="0"/>
      <w:marRight w:val="0"/>
      <w:marTop w:val="0"/>
      <w:marBottom w:val="0"/>
      <w:divBdr>
        <w:top w:val="none" w:sz="0" w:space="0" w:color="auto"/>
        <w:left w:val="none" w:sz="0" w:space="0" w:color="auto"/>
        <w:bottom w:val="none" w:sz="0" w:space="0" w:color="auto"/>
        <w:right w:val="none" w:sz="0" w:space="0" w:color="auto"/>
      </w:divBdr>
    </w:div>
    <w:div w:id="110631649">
      <w:bodyDiv w:val="1"/>
      <w:marLeft w:val="0"/>
      <w:marRight w:val="0"/>
      <w:marTop w:val="0"/>
      <w:marBottom w:val="0"/>
      <w:divBdr>
        <w:top w:val="none" w:sz="0" w:space="0" w:color="auto"/>
        <w:left w:val="none" w:sz="0" w:space="0" w:color="auto"/>
        <w:bottom w:val="none" w:sz="0" w:space="0" w:color="auto"/>
        <w:right w:val="none" w:sz="0" w:space="0" w:color="auto"/>
      </w:divBdr>
    </w:div>
    <w:div w:id="146557077">
      <w:bodyDiv w:val="1"/>
      <w:marLeft w:val="0"/>
      <w:marRight w:val="0"/>
      <w:marTop w:val="0"/>
      <w:marBottom w:val="0"/>
      <w:divBdr>
        <w:top w:val="none" w:sz="0" w:space="0" w:color="auto"/>
        <w:left w:val="none" w:sz="0" w:space="0" w:color="auto"/>
        <w:bottom w:val="none" w:sz="0" w:space="0" w:color="auto"/>
        <w:right w:val="none" w:sz="0" w:space="0" w:color="auto"/>
      </w:divBdr>
    </w:div>
    <w:div w:id="147678282">
      <w:bodyDiv w:val="1"/>
      <w:marLeft w:val="0"/>
      <w:marRight w:val="0"/>
      <w:marTop w:val="0"/>
      <w:marBottom w:val="0"/>
      <w:divBdr>
        <w:top w:val="none" w:sz="0" w:space="0" w:color="auto"/>
        <w:left w:val="none" w:sz="0" w:space="0" w:color="auto"/>
        <w:bottom w:val="none" w:sz="0" w:space="0" w:color="auto"/>
        <w:right w:val="none" w:sz="0" w:space="0" w:color="auto"/>
      </w:divBdr>
    </w:div>
    <w:div w:id="209810285">
      <w:bodyDiv w:val="1"/>
      <w:marLeft w:val="0"/>
      <w:marRight w:val="0"/>
      <w:marTop w:val="0"/>
      <w:marBottom w:val="0"/>
      <w:divBdr>
        <w:top w:val="none" w:sz="0" w:space="0" w:color="auto"/>
        <w:left w:val="none" w:sz="0" w:space="0" w:color="auto"/>
        <w:bottom w:val="none" w:sz="0" w:space="0" w:color="auto"/>
        <w:right w:val="none" w:sz="0" w:space="0" w:color="auto"/>
      </w:divBdr>
    </w:div>
    <w:div w:id="229120564">
      <w:bodyDiv w:val="1"/>
      <w:marLeft w:val="0"/>
      <w:marRight w:val="0"/>
      <w:marTop w:val="0"/>
      <w:marBottom w:val="0"/>
      <w:divBdr>
        <w:top w:val="none" w:sz="0" w:space="0" w:color="auto"/>
        <w:left w:val="none" w:sz="0" w:space="0" w:color="auto"/>
        <w:bottom w:val="none" w:sz="0" w:space="0" w:color="auto"/>
        <w:right w:val="none" w:sz="0" w:space="0" w:color="auto"/>
      </w:divBdr>
    </w:div>
    <w:div w:id="238759791">
      <w:bodyDiv w:val="1"/>
      <w:marLeft w:val="0"/>
      <w:marRight w:val="0"/>
      <w:marTop w:val="0"/>
      <w:marBottom w:val="0"/>
      <w:divBdr>
        <w:top w:val="none" w:sz="0" w:space="0" w:color="auto"/>
        <w:left w:val="none" w:sz="0" w:space="0" w:color="auto"/>
        <w:bottom w:val="none" w:sz="0" w:space="0" w:color="auto"/>
        <w:right w:val="none" w:sz="0" w:space="0" w:color="auto"/>
      </w:divBdr>
    </w:div>
    <w:div w:id="257833153">
      <w:bodyDiv w:val="1"/>
      <w:marLeft w:val="0"/>
      <w:marRight w:val="0"/>
      <w:marTop w:val="0"/>
      <w:marBottom w:val="0"/>
      <w:divBdr>
        <w:top w:val="none" w:sz="0" w:space="0" w:color="auto"/>
        <w:left w:val="none" w:sz="0" w:space="0" w:color="auto"/>
        <w:bottom w:val="none" w:sz="0" w:space="0" w:color="auto"/>
        <w:right w:val="none" w:sz="0" w:space="0" w:color="auto"/>
      </w:divBdr>
    </w:div>
    <w:div w:id="309482920">
      <w:bodyDiv w:val="1"/>
      <w:marLeft w:val="0"/>
      <w:marRight w:val="0"/>
      <w:marTop w:val="0"/>
      <w:marBottom w:val="0"/>
      <w:divBdr>
        <w:top w:val="none" w:sz="0" w:space="0" w:color="auto"/>
        <w:left w:val="none" w:sz="0" w:space="0" w:color="auto"/>
        <w:bottom w:val="none" w:sz="0" w:space="0" w:color="auto"/>
        <w:right w:val="none" w:sz="0" w:space="0" w:color="auto"/>
      </w:divBdr>
    </w:div>
    <w:div w:id="310913663">
      <w:bodyDiv w:val="1"/>
      <w:marLeft w:val="0"/>
      <w:marRight w:val="0"/>
      <w:marTop w:val="0"/>
      <w:marBottom w:val="0"/>
      <w:divBdr>
        <w:top w:val="none" w:sz="0" w:space="0" w:color="auto"/>
        <w:left w:val="none" w:sz="0" w:space="0" w:color="auto"/>
        <w:bottom w:val="none" w:sz="0" w:space="0" w:color="auto"/>
        <w:right w:val="none" w:sz="0" w:space="0" w:color="auto"/>
      </w:divBdr>
    </w:div>
    <w:div w:id="326833871">
      <w:bodyDiv w:val="1"/>
      <w:marLeft w:val="0"/>
      <w:marRight w:val="0"/>
      <w:marTop w:val="0"/>
      <w:marBottom w:val="0"/>
      <w:divBdr>
        <w:top w:val="none" w:sz="0" w:space="0" w:color="auto"/>
        <w:left w:val="none" w:sz="0" w:space="0" w:color="auto"/>
        <w:bottom w:val="none" w:sz="0" w:space="0" w:color="auto"/>
        <w:right w:val="none" w:sz="0" w:space="0" w:color="auto"/>
      </w:divBdr>
    </w:div>
    <w:div w:id="329068327">
      <w:bodyDiv w:val="1"/>
      <w:marLeft w:val="0"/>
      <w:marRight w:val="0"/>
      <w:marTop w:val="0"/>
      <w:marBottom w:val="0"/>
      <w:divBdr>
        <w:top w:val="none" w:sz="0" w:space="0" w:color="auto"/>
        <w:left w:val="none" w:sz="0" w:space="0" w:color="auto"/>
        <w:bottom w:val="none" w:sz="0" w:space="0" w:color="auto"/>
        <w:right w:val="none" w:sz="0" w:space="0" w:color="auto"/>
      </w:divBdr>
    </w:div>
    <w:div w:id="341663499">
      <w:bodyDiv w:val="1"/>
      <w:marLeft w:val="0"/>
      <w:marRight w:val="0"/>
      <w:marTop w:val="0"/>
      <w:marBottom w:val="0"/>
      <w:divBdr>
        <w:top w:val="none" w:sz="0" w:space="0" w:color="auto"/>
        <w:left w:val="none" w:sz="0" w:space="0" w:color="auto"/>
        <w:bottom w:val="none" w:sz="0" w:space="0" w:color="auto"/>
        <w:right w:val="none" w:sz="0" w:space="0" w:color="auto"/>
      </w:divBdr>
    </w:div>
    <w:div w:id="380986698">
      <w:bodyDiv w:val="1"/>
      <w:marLeft w:val="0"/>
      <w:marRight w:val="0"/>
      <w:marTop w:val="0"/>
      <w:marBottom w:val="0"/>
      <w:divBdr>
        <w:top w:val="none" w:sz="0" w:space="0" w:color="auto"/>
        <w:left w:val="none" w:sz="0" w:space="0" w:color="auto"/>
        <w:bottom w:val="none" w:sz="0" w:space="0" w:color="auto"/>
        <w:right w:val="none" w:sz="0" w:space="0" w:color="auto"/>
      </w:divBdr>
    </w:div>
    <w:div w:id="410586752">
      <w:bodyDiv w:val="1"/>
      <w:marLeft w:val="0"/>
      <w:marRight w:val="0"/>
      <w:marTop w:val="0"/>
      <w:marBottom w:val="0"/>
      <w:divBdr>
        <w:top w:val="none" w:sz="0" w:space="0" w:color="auto"/>
        <w:left w:val="none" w:sz="0" w:space="0" w:color="auto"/>
        <w:bottom w:val="none" w:sz="0" w:space="0" w:color="auto"/>
        <w:right w:val="none" w:sz="0" w:space="0" w:color="auto"/>
      </w:divBdr>
    </w:div>
    <w:div w:id="450713746">
      <w:bodyDiv w:val="1"/>
      <w:marLeft w:val="0"/>
      <w:marRight w:val="0"/>
      <w:marTop w:val="0"/>
      <w:marBottom w:val="0"/>
      <w:divBdr>
        <w:top w:val="none" w:sz="0" w:space="0" w:color="auto"/>
        <w:left w:val="none" w:sz="0" w:space="0" w:color="auto"/>
        <w:bottom w:val="none" w:sz="0" w:space="0" w:color="auto"/>
        <w:right w:val="none" w:sz="0" w:space="0" w:color="auto"/>
      </w:divBdr>
    </w:div>
    <w:div w:id="456029261">
      <w:bodyDiv w:val="1"/>
      <w:marLeft w:val="0"/>
      <w:marRight w:val="0"/>
      <w:marTop w:val="0"/>
      <w:marBottom w:val="0"/>
      <w:divBdr>
        <w:top w:val="none" w:sz="0" w:space="0" w:color="auto"/>
        <w:left w:val="none" w:sz="0" w:space="0" w:color="auto"/>
        <w:bottom w:val="none" w:sz="0" w:space="0" w:color="auto"/>
        <w:right w:val="none" w:sz="0" w:space="0" w:color="auto"/>
      </w:divBdr>
    </w:div>
    <w:div w:id="457069045">
      <w:bodyDiv w:val="1"/>
      <w:marLeft w:val="0"/>
      <w:marRight w:val="0"/>
      <w:marTop w:val="0"/>
      <w:marBottom w:val="0"/>
      <w:divBdr>
        <w:top w:val="none" w:sz="0" w:space="0" w:color="auto"/>
        <w:left w:val="none" w:sz="0" w:space="0" w:color="auto"/>
        <w:bottom w:val="none" w:sz="0" w:space="0" w:color="auto"/>
        <w:right w:val="none" w:sz="0" w:space="0" w:color="auto"/>
      </w:divBdr>
    </w:div>
    <w:div w:id="504515955">
      <w:bodyDiv w:val="1"/>
      <w:marLeft w:val="0"/>
      <w:marRight w:val="0"/>
      <w:marTop w:val="0"/>
      <w:marBottom w:val="0"/>
      <w:divBdr>
        <w:top w:val="none" w:sz="0" w:space="0" w:color="auto"/>
        <w:left w:val="none" w:sz="0" w:space="0" w:color="auto"/>
        <w:bottom w:val="none" w:sz="0" w:space="0" w:color="auto"/>
        <w:right w:val="none" w:sz="0" w:space="0" w:color="auto"/>
      </w:divBdr>
    </w:div>
    <w:div w:id="575096581">
      <w:bodyDiv w:val="1"/>
      <w:marLeft w:val="0"/>
      <w:marRight w:val="0"/>
      <w:marTop w:val="0"/>
      <w:marBottom w:val="0"/>
      <w:divBdr>
        <w:top w:val="none" w:sz="0" w:space="0" w:color="auto"/>
        <w:left w:val="none" w:sz="0" w:space="0" w:color="auto"/>
        <w:bottom w:val="none" w:sz="0" w:space="0" w:color="auto"/>
        <w:right w:val="none" w:sz="0" w:space="0" w:color="auto"/>
      </w:divBdr>
    </w:div>
    <w:div w:id="604188381">
      <w:bodyDiv w:val="1"/>
      <w:marLeft w:val="0"/>
      <w:marRight w:val="0"/>
      <w:marTop w:val="0"/>
      <w:marBottom w:val="0"/>
      <w:divBdr>
        <w:top w:val="none" w:sz="0" w:space="0" w:color="auto"/>
        <w:left w:val="none" w:sz="0" w:space="0" w:color="auto"/>
        <w:bottom w:val="none" w:sz="0" w:space="0" w:color="auto"/>
        <w:right w:val="none" w:sz="0" w:space="0" w:color="auto"/>
      </w:divBdr>
    </w:div>
    <w:div w:id="617689226">
      <w:bodyDiv w:val="1"/>
      <w:marLeft w:val="0"/>
      <w:marRight w:val="0"/>
      <w:marTop w:val="0"/>
      <w:marBottom w:val="0"/>
      <w:divBdr>
        <w:top w:val="none" w:sz="0" w:space="0" w:color="auto"/>
        <w:left w:val="none" w:sz="0" w:space="0" w:color="auto"/>
        <w:bottom w:val="none" w:sz="0" w:space="0" w:color="auto"/>
        <w:right w:val="none" w:sz="0" w:space="0" w:color="auto"/>
      </w:divBdr>
    </w:div>
    <w:div w:id="619261968">
      <w:bodyDiv w:val="1"/>
      <w:marLeft w:val="0"/>
      <w:marRight w:val="0"/>
      <w:marTop w:val="0"/>
      <w:marBottom w:val="0"/>
      <w:divBdr>
        <w:top w:val="none" w:sz="0" w:space="0" w:color="auto"/>
        <w:left w:val="none" w:sz="0" w:space="0" w:color="auto"/>
        <w:bottom w:val="none" w:sz="0" w:space="0" w:color="auto"/>
        <w:right w:val="none" w:sz="0" w:space="0" w:color="auto"/>
      </w:divBdr>
    </w:div>
    <w:div w:id="638144681">
      <w:bodyDiv w:val="1"/>
      <w:marLeft w:val="0"/>
      <w:marRight w:val="0"/>
      <w:marTop w:val="0"/>
      <w:marBottom w:val="0"/>
      <w:divBdr>
        <w:top w:val="none" w:sz="0" w:space="0" w:color="auto"/>
        <w:left w:val="none" w:sz="0" w:space="0" w:color="auto"/>
        <w:bottom w:val="none" w:sz="0" w:space="0" w:color="auto"/>
        <w:right w:val="none" w:sz="0" w:space="0" w:color="auto"/>
      </w:divBdr>
    </w:div>
    <w:div w:id="679350770">
      <w:bodyDiv w:val="1"/>
      <w:marLeft w:val="0"/>
      <w:marRight w:val="0"/>
      <w:marTop w:val="0"/>
      <w:marBottom w:val="0"/>
      <w:divBdr>
        <w:top w:val="none" w:sz="0" w:space="0" w:color="auto"/>
        <w:left w:val="none" w:sz="0" w:space="0" w:color="auto"/>
        <w:bottom w:val="none" w:sz="0" w:space="0" w:color="auto"/>
        <w:right w:val="none" w:sz="0" w:space="0" w:color="auto"/>
      </w:divBdr>
    </w:div>
    <w:div w:id="688221007">
      <w:bodyDiv w:val="1"/>
      <w:marLeft w:val="0"/>
      <w:marRight w:val="0"/>
      <w:marTop w:val="0"/>
      <w:marBottom w:val="0"/>
      <w:divBdr>
        <w:top w:val="none" w:sz="0" w:space="0" w:color="auto"/>
        <w:left w:val="none" w:sz="0" w:space="0" w:color="auto"/>
        <w:bottom w:val="none" w:sz="0" w:space="0" w:color="auto"/>
        <w:right w:val="none" w:sz="0" w:space="0" w:color="auto"/>
      </w:divBdr>
    </w:div>
    <w:div w:id="821237666">
      <w:bodyDiv w:val="1"/>
      <w:marLeft w:val="0"/>
      <w:marRight w:val="0"/>
      <w:marTop w:val="0"/>
      <w:marBottom w:val="0"/>
      <w:divBdr>
        <w:top w:val="none" w:sz="0" w:space="0" w:color="auto"/>
        <w:left w:val="none" w:sz="0" w:space="0" w:color="auto"/>
        <w:bottom w:val="none" w:sz="0" w:space="0" w:color="auto"/>
        <w:right w:val="none" w:sz="0" w:space="0" w:color="auto"/>
      </w:divBdr>
    </w:div>
    <w:div w:id="858928922">
      <w:bodyDiv w:val="1"/>
      <w:marLeft w:val="0"/>
      <w:marRight w:val="0"/>
      <w:marTop w:val="0"/>
      <w:marBottom w:val="0"/>
      <w:divBdr>
        <w:top w:val="none" w:sz="0" w:space="0" w:color="auto"/>
        <w:left w:val="none" w:sz="0" w:space="0" w:color="auto"/>
        <w:bottom w:val="none" w:sz="0" w:space="0" w:color="auto"/>
        <w:right w:val="none" w:sz="0" w:space="0" w:color="auto"/>
      </w:divBdr>
    </w:div>
    <w:div w:id="891504833">
      <w:bodyDiv w:val="1"/>
      <w:marLeft w:val="0"/>
      <w:marRight w:val="0"/>
      <w:marTop w:val="0"/>
      <w:marBottom w:val="0"/>
      <w:divBdr>
        <w:top w:val="none" w:sz="0" w:space="0" w:color="auto"/>
        <w:left w:val="none" w:sz="0" w:space="0" w:color="auto"/>
        <w:bottom w:val="none" w:sz="0" w:space="0" w:color="auto"/>
        <w:right w:val="none" w:sz="0" w:space="0" w:color="auto"/>
      </w:divBdr>
    </w:div>
    <w:div w:id="912541897">
      <w:bodyDiv w:val="1"/>
      <w:marLeft w:val="0"/>
      <w:marRight w:val="0"/>
      <w:marTop w:val="0"/>
      <w:marBottom w:val="0"/>
      <w:divBdr>
        <w:top w:val="none" w:sz="0" w:space="0" w:color="auto"/>
        <w:left w:val="none" w:sz="0" w:space="0" w:color="auto"/>
        <w:bottom w:val="none" w:sz="0" w:space="0" w:color="auto"/>
        <w:right w:val="none" w:sz="0" w:space="0" w:color="auto"/>
      </w:divBdr>
    </w:div>
    <w:div w:id="947782397">
      <w:bodyDiv w:val="1"/>
      <w:marLeft w:val="0"/>
      <w:marRight w:val="0"/>
      <w:marTop w:val="0"/>
      <w:marBottom w:val="0"/>
      <w:divBdr>
        <w:top w:val="none" w:sz="0" w:space="0" w:color="auto"/>
        <w:left w:val="none" w:sz="0" w:space="0" w:color="auto"/>
        <w:bottom w:val="none" w:sz="0" w:space="0" w:color="auto"/>
        <w:right w:val="none" w:sz="0" w:space="0" w:color="auto"/>
      </w:divBdr>
    </w:div>
    <w:div w:id="1003170055">
      <w:bodyDiv w:val="1"/>
      <w:marLeft w:val="0"/>
      <w:marRight w:val="0"/>
      <w:marTop w:val="0"/>
      <w:marBottom w:val="0"/>
      <w:divBdr>
        <w:top w:val="none" w:sz="0" w:space="0" w:color="auto"/>
        <w:left w:val="none" w:sz="0" w:space="0" w:color="auto"/>
        <w:bottom w:val="none" w:sz="0" w:space="0" w:color="auto"/>
        <w:right w:val="none" w:sz="0" w:space="0" w:color="auto"/>
      </w:divBdr>
    </w:div>
    <w:div w:id="1004211529">
      <w:bodyDiv w:val="1"/>
      <w:marLeft w:val="0"/>
      <w:marRight w:val="0"/>
      <w:marTop w:val="0"/>
      <w:marBottom w:val="0"/>
      <w:divBdr>
        <w:top w:val="none" w:sz="0" w:space="0" w:color="auto"/>
        <w:left w:val="none" w:sz="0" w:space="0" w:color="auto"/>
        <w:bottom w:val="none" w:sz="0" w:space="0" w:color="auto"/>
        <w:right w:val="none" w:sz="0" w:space="0" w:color="auto"/>
      </w:divBdr>
    </w:div>
    <w:div w:id="1009214624">
      <w:bodyDiv w:val="1"/>
      <w:marLeft w:val="0"/>
      <w:marRight w:val="0"/>
      <w:marTop w:val="0"/>
      <w:marBottom w:val="0"/>
      <w:divBdr>
        <w:top w:val="none" w:sz="0" w:space="0" w:color="auto"/>
        <w:left w:val="none" w:sz="0" w:space="0" w:color="auto"/>
        <w:bottom w:val="none" w:sz="0" w:space="0" w:color="auto"/>
        <w:right w:val="none" w:sz="0" w:space="0" w:color="auto"/>
      </w:divBdr>
    </w:div>
    <w:div w:id="1010793179">
      <w:bodyDiv w:val="1"/>
      <w:marLeft w:val="0"/>
      <w:marRight w:val="0"/>
      <w:marTop w:val="0"/>
      <w:marBottom w:val="0"/>
      <w:divBdr>
        <w:top w:val="none" w:sz="0" w:space="0" w:color="auto"/>
        <w:left w:val="none" w:sz="0" w:space="0" w:color="auto"/>
        <w:bottom w:val="none" w:sz="0" w:space="0" w:color="auto"/>
        <w:right w:val="none" w:sz="0" w:space="0" w:color="auto"/>
      </w:divBdr>
    </w:div>
    <w:div w:id="1084111092">
      <w:bodyDiv w:val="1"/>
      <w:marLeft w:val="0"/>
      <w:marRight w:val="0"/>
      <w:marTop w:val="0"/>
      <w:marBottom w:val="0"/>
      <w:divBdr>
        <w:top w:val="none" w:sz="0" w:space="0" w:color="auto"/>
        <w:left w:val="none" w:sz="0" w:space="0" w:color="auto"/>
        <w:bottom w:val="none" w:sz="0" w:space="0" w:color="auto"/>
        <w:right w:val="none" w:sz="0" w:space="0" w:color="auto"/>
      </w:divBdr>
    </w:div>
    <w:div w:id="1123232956">
      <w:bodyDiv w:val="1"/>
      <w:marLeft w:val="0"/>
      <w:marRight w:val="0"/>
      <w:marTop w:val="0"/>
      <w:marBottom w:val="0"/>
      <w:divBdr>
        <w:top w:val="none" w:sz="0" w:space="0" w:color="auto"/>
        <w:left w:val="none" w:sz="0" w:space="0" w:color="auto"/>
        <w:bottom w:val="none" w:sz="0" w:space="0" w:color="auto"/>
        <w:right w:val="none" w:sz="0" w:space="0" w:color="auto"/>
      </w:divBdr>
    </w:div>
    <w:div w:id="1168329395">
      <w:bodyDiv w:val="1"/>
      <w:marLeft w:val="0"/>
      <w:marRight w:val="0"/>
      <w:marTop w:val="0"/>
      <w:marBottom w:val="0"/>
      <w:divBdr>
        <w:top w:val="none" w:sz="0" w:space="0" w:color="auto"/>
        <w:left w:val="none" w:sz="0" w:space="0" w:color="auto"/>
        <w:bottom w:val="none" w:sz="0" w:space="0" w:color="auto"/>
        <w:right w:val="none" w:sz="0" w:space="0" w:color="auto"/>
      </w:divBdr>
    </w:div>
    <w:div w:id="1178736668">
      <w:bodyDiv w:val="1"/>
      <w:marLeft w:val="0"/>
      <w:marRight w:val="0"/>
      <w:marTop w:val="0"/>
      <w:marBottom w:val="0"/>
      <w:divBdr>
        <w:top w:val="none" w:sz="0" w:space="0" w:color="auto"/>
        <w:left w:val="none" w:sz="0" w:space="0" w:color="auto"/>
        <w:bottom w:val="none" w:sz="0" w:space="0" w:color="auto"/>
        <w:right w:val="none" w:sz="0" w:space="0" w:color="auto"/>
      </w:divBdr>
    </w:div>
    <w:div w:id="1189367051">
      <w:bodyDiv w:val="1"/>
      <w:marLeft w:val="0"/>
      <w:marRight w:val="0"/>
      <w:marTop w:val="0"/>
      <w:marBottom w:val="0"/>
      <w:divBdr>
        <w:top w:val="none" w:sz="0" w:space="0" w:color="auto"/>
        <w:left w:val="none" w:sz="0" w:space="0" w:color="auto"/>
        <w:bottom w:val="none" w:sz="0" w:space="0" w:color="auto"/>
        <w:right w:val="none" w:sz="0" w:space="0" w:color="auto"/>
      </w:divBdr>
    </w:div>
    <w:div w:id="1192260222">
      <w:bodyDiv w:val="1"/>
      <w:marLeft w:val="0"/>
      <w:marRight w:val="0"/>
      <w:marTop w:val="0"/>
      <w:marBottom w:val="0"/>
      <w:divBdr>
        <w:top w:val="none" w:sz="0" w:space="0" w:color="auto"/>
        <w:left w:val="none" w:sz="0" w:space="0" w:color="auto"/>
        <w:bottom w:val="none" w:sz="0" w:space="0" w:color="auto"/>
        <w:right w:val="none" w:sz="0" w:space="0" w:color="auto"/>
      </w:divBdr>
    </w:div>
    <w:div w:id="1241133031">
      <w:bodyDiv w:val="1"/>
      <w:marLeft w:val="0"/>
      <w:marRight w:val="0"/>
      <w:marTop w:val="0"/>
      <w:marBottom w:val="0"/>
      <w:divBdr>
        <w:top w:val="none" w:sz="0" w:space="0" w:color="auto"/>
        <w:left w:val="none" w:sz="0" w:space="0" w:color="auto"/>
        <w:bottom w:val="none" w:sz="0" w:space="0" w:color="auto"/>
        <w:right w:val="none" w:sz="0" w:space="0" w:color="auto"/>
      </w:divBdr>
    </w:div>
    <w:div w:id="1286691210">
      <w:bodyDiv w:val="1"/>
      <w:marLeft w:val="0"/>
      <w:marRight w:val="0"/>
      <w:marTop w:val="0"/>
      <w:marBottom w:val="0"/>
      <w:divBdr>
        <w:top w:val="none" w:sz="0" w:space="0" w:color="auto"/>
        <w:left w:val="none" w:sz="0" w:space="0" w:color="auto"/>
        <w:bottom w:val="none" w:sz="0" w:space="0" w:color="auto"/>
        <w:right w:val="none" w:sz="0" w:space="0" w:color="auto"/>
      </w:divBdr>
    </w:div>
    <w:div w:id="1303970399">
      <w:bodyDiv w:val="1"/>
      <w:marLeft w:val="0"/>
      <w:marRight w:val="0"/>
      <w:marTop w:val="0"/>
      <w:marBottom w:val="0"/>
      <w:divBdr>
        <w:top w:val="none" w:sz="0" w:space="0" w:color="auto"/>
        <w:left w:val="none" w:sz="0" w:space="0" w:color="auto"/>
        <w:bottom w:val="none" w:sz="0" w:space="0" w:color="auto"/>
        <w:right w:val="none" w:sz="0" w:space="0" w:color="auto"/>
      </w:divBdr>
    </w:div>
    <w:div w:id="1348018957">
      <w:bodyDiv w:val="1"/>
      <w:marLeft w:val="0"/>
      <w:marRight w:val="0"/>
      <w:marTop w:val="0"/>
      <w:marBottom w:val="0"/>
      <w:divBdr>
        <w:top w:val="none" w:sz="0" w:space="0" w:color="auto"/>
        <w:left w:val="none" w:sz="0" w:space="0" w:color="auto"/>
        <w:bottom w:val="none" w:sz="0" w:space="0" w:color="auto"/>
        <w:right w:val="none" w:sz="0" w:space="0" w:color="auto"/>
      </w:divBdr>
    </w:div>
    <w:div w:id="1376661294">
      <w:bodyDiv w:val="1"/>
      <w:marLeft w:val="0"/>
      <w:marRight w:val="0"/>
      <w:marTop w:val="0"/>
      <w:marBottom w:val="0"/>
      <w:divBdr>
        <w:top w:val="none" w:sz="0" w:space="0" w:color="auto"/>
        <w:left w:val="none" w:sz="0" w:space="0" w:color="auto"/>
        <w:bottom w:val="none" w:sz="0" w:space="0" w:color="auto"/>
        <w:right w:val="none" w:sz="0" w:space="0" w:color="auto"/>
      </w:divBdr>
    </w:div>
    <w:div w:id="1407993330">
      <w:bodyDiv w:val="1"/>
      <w:marLeft w:val="0"/>
      <w:marRight w:val="0"/>
      <w:marTop w:val="0"/>
      <w:marBottom w:val="0"/>
      <w:divBdr>
        <w:top w:val="none" w:sz="0" w:space="0" w:color="auto"/>
        <w:left w:val="none" w:sz="0" w:space="0" w:color="auto"/>
        <w:bottom w:val="none" w:sz="0" w:space="0" w:color="auto"/>
        <w:right w:val="none" w:sz="0" w:space="0" w:color="auto"/>
      </w:divBdr>
    </w:div>
    <w:div w:id="1409382325">
      <w:bodyDiv w:val="1"/>
      <w:marLeft w:val="0"/>
      <w:marRight w:val="0"/>
      <w:marTop w:val="0"/>
      <w:marBottom w:val="0"/>
      <w:divBdr>
        <w:top w:val="none" w:sz="0" w:space="0" w:color="auto"/>
        <w:left w:val="none" w:sz="0" w:space="0" w:color="auto"/>
        <w:bottom w:val="none" w:sz="0" w:space="0" w:color="auto"/>
        <w:right w:val="none" w:sz="0" w:space="0" w:color="auto"/>
      </w:divBdr>
    </w:div>
    <w:div w:id="1424570051">
      <w:bodyDiv w:val="1"/>
      <w:marLeft w:val="0"/>
      <w:marRight w:val="0"/>
      <w:marTop w:val="0"/>
      <w:marBottom w:val="0"/>
      <w:divBdr>
        <w:top w:val="none" w:sz="0" w:space="0" w:color="auto"/>
        <w:left w:val="none" w:sz="0" w:space="0" w:color="auto"/>
        <w:bottom w:val="none" w:sz="0" w:space="0" w:color="auto"/>
        <w:right w:val="none" w:sz="0" w:space="0" w:color="auto"/>
      </w:divBdr>
    </w:div>
    <w:div w:id="1434083719">
      <w:bodyDiv w:val="1"/>
      <w:marLeft w:val="0"/>
      <w:marRight w:val="0"/>
      <w:marTop w:val="0"/>
      <w:marBottom w:val="0"/>
      <w:divBdr>
        <w:top w:val="none" w:sz="0" w:space="0" w:color="auto"/>
        <w:left w:val="none" w:sz="0" w:space="0" w:color="auto"/>
        <w:bottom w:val="none" w:sz="0" w:space="0" w:color="auto"/>
        <w:right w:val="none" w:sz="0" w:space="0" w:color="auto"/>
      </w:divBdr>
    </w:div>
    <w:div w:id="1491404832">
      <w:bodyDiv w:val="1"/>
      <w:marLeft w:val="0"/>
      <w:marRight w:val="0"/>
      <w:marTop w:val="0"/>
      <w:marBottom w:val="0"/>
      <w:divBdr>
        <w:top w:val="none" w:sz="0" w:space="0" w:color="auto"/>
        <w:left w:val="none" w:sz="0" w:space="0" w:color="auto"/>
        <w:bottom w:val="none" w:sz="0" w:space="0" w:color="auto"/>
        <w:right w:val="none" w:sz="0" w:space="0" w:color="auto"/>
      </w:divBdr>
    </w:div>
    <w:div w:id="1572159321">
      <w:bodyDiv w:val="1"/>
      <w:marLeft w:val="0"/>
      <w:marRight w:val="0"/>
      <w:marTop w:val="0"/>
      <w:marBottom w:val="0"/>
      <w:divBdr>
        <w:top w:val="none" w:sz="0" w:space="0" w:color="auto"/>
        <w:left w:val="none" w:sz="0" w:space="0" w:color="auto"/>
        <w:bottom w:val="none" w:sz="0" w:space="0" w:color="auto"/>
        <w:right w:val="none" w:sz="0" w:space="0" w:color="auto"/>
      </w:divBdr>
    </w:div>
    <w:div w:id="1611737944">
      <w:bodyDiv w:val="1"/>
      <w:marLeft w:val="0"/>
      <w:marRight w:val="0"/>
      <w:marTop w:val="0"/>
      <w:marBottom w:val="0"/>
      <w:divBdr>
        <w:top w:val="none" w:sz="0" w:space="0" w:color="auto"/>
        <w:left w:val="none" w:sz="0" w:space="0" w:color="auto"/>
        <w:bottom w:val="none" w:sz="0" w:space="0" w:color="auto"/>
        <w:right w:val="none" w:sz="0" w:space="0" w:color="auto"/>
      </w:divBdr>
    </w:div>
    <w:div w:id="1628244502">
      <w:bodyDiv w:val="1"/>
      <w:marLeft w:val="0"/>
      <w:marRight w:val="0"/>
      <w:marTop w:val="0"/>
      <w:marBottom w:val="0"/>
      <w:divBdr>
        <w:top w:val="none" w:sz="0" w:space="0" w:color="auto"/>
        <w:left w:val="none" w:sz="0" w:space="0" w:color="auto"/>
        <w:bottom w:val="none" w:sz="0" w:space="0" w:color="auto"/>
        <w:right w:val="none" w:sz="0" w:space="0" w:color="auto"/>
      </w:divBdr>
    </w:div>
    <w:div w:id="1652446613">
      <w:bodyDiv w:val="1"/>
      <w:marLeft w:val="0"/>
      <w:marRight w:val="0"/>
      <w:marTop w:val="0"/>
      <w:marBottom w:val="0"/>
      <w:divBdr>
        <w:top w:val="none" w:sz="0" w:space="0" w:color="auto"/>
        <w:left w:val="none" w:sz="0" w:space="0" w:color="auto"/>
        <w:bottom w:val="none" w:sz="0" w:space="0" w:color="auto"/>
        <w:right w:val="none" w:sz="0" w:space="0" w:color="auto"/>
      </w:divBdr>
    </w:div>
    <w:div w:id="1724791461">
      <w:bodyDiv w:val="1"/>
      <w:marLeft w:val="0"/>
      <w:marRight w:val="0"/>
      <w:marTop w:val="0"/>
      <w:marBottom w:val="0"/>
      <w:divBdr>
        <w:top w:val="none" w:sz="0" w:space="0" w:color="auto"/>
        <w:left w:val="none" w:sz="0" w:space="0" w:color="auto"/>
        <w:bottom w:val="none" w:sz="0" w:space="0" w:color="auto"/>
        <w:right w:val="none" w:sz="0" w:space="0" w:color="auto"/>
      </w:divBdr>
    </w:div>
    <w:div w:id="1756514843">
      <w:bodyDiv w:val="1"/>
      <w:marLeft w:val="0"/>
      <w:marRight w:val="0"/>
      <w:marTop w:val="0"/>
      <w:marBottom w:val="0"/>
      <w:divBdr>
        <w:top w:val="none" w:sz="0" w:space="0" w:color="auto"/>
        <w:left w:val="none" w:sz="0" w:space="0" w:color="auto"/>
        <w:bottom w:val="none" w:sz="0" w:space="0" w:color="auto"/>
        <w:right w:val="none" w:sz="0" w:space="0" w:color="auto"/>
      </w:divBdr>
    </w:div>
    <w:div w:id="1791510074">
      <w:bodyDiv w:val="1"/>
      <w:marLeft w:val="0"/>
      <w:marRight w:val="0"/>
      <w:marTop w:val="0"/>
      <w:marBottom w:val="0"/>
      <w:divBdr>
        <w:top w:val="none" w:sz="0" w:space="0" w:color="auto"/>
        <w:left w:val="none" w:sz="0" w:space="0" w:color="auto"/>
        <w:bottom w:val="none" w:sz="0" w:space="0" w:color="auto"/>
        <w:right w:val="none" w:sz="0" w:space="0" w:color="auto"/>
      </w:divBdr>
    </w:div>
    <w:div w:id="1807233708">
      <w:bodyDiv w:val="1"/>
      <w:marLeft w:val="0"/>
      <w:marRight w:val="0"/>
      <w:marTop w:val="0"/>
      <w:marBottom w:val="0"/>
      <w:divBdr>
        <w:top w:val="none" w:sz="0" w:space="0" w:color="auto"/>
        <w:left w:val="none" w:sz="0" w:space="0" w:color="auto"/>
        <w:bottom w:val="none" w:sz="0" w:space="0" w:color="auto"/>
        <w:right w:val="none" w:sz="0" w:space="0" w:color="auto"/>
      </w:divBdr>
    </w:div>
    <w:div w:id="1936590718">
      <w:bodyDiv w:val="1"/>
      <w:marLeft w:val="0"/>
      <w:marRight w:val="0"/>
      <w:marTop w:val="0"/>
      <w:marBottom w:val="0"/>
      <w:divBdr>
        <w:top w:val="none" w:sz="0" w:space="0" w:color="auto"/>
        <w:left w:val="none" w:sz="0" w:space="0" w:color="auto"/>
        <w:bottom w:val="none" w:sz="0" w:space="0" w:color="auto"/>
        <w:right w:val="none" w:sz="0" w:space="0" w:color="auto"/>
      </w:divBdr>
    </w:div>
    <w:div w:id="1981953809">
      <w:bodyDiv w:val="1"/>
      <w:marLeft w:val="0"/>
      <w:marRight w:val="0"/>
      <w:marTop w:val="0"/>
      <w:marBottom w:val="0"/>
      <w:divBdr>
        <w:top w:val="none" w:sz="0" w:space="0" w:color="auto"/>
        <w:left w:val="none" w:sz="0" w:space="0" w:color="auto"/>
        <w:bottom w:val="none" w:sz="0" w:space="0" w:color="auto"/>
        <w:right w:val="none" w:sz="0" w:space="0" w:color="auto"/>
      </w:divBdr>
    </w:div>
    <w:div w:id="1992905131">
      <w:bodyDiv w:val="1"/>
      <w:marLeft w:val="0"/>
      <w:marRight w:val="0"/>
      <w:marTop w:val="0"/>
      <w:marBottom w:val="0"/>
      <w:divBdr>
        <w:top w:val="none" w:sz="0" w:space="0" w:color="auto"/>
        <w:left w:val="none" w:sz="0" w:space="0" w:color="auto"/>
        <w:bottom w:val="none" w:sz="0" w:space="0" w:color="auto"/>
        <w:right w:val="none" w:sz="0" w:space="0" w:color="auto"/>
      </w:divBdr>
    </w:div>
    <w:div w:id="2027750018">
      <w:bodyDiv w:val="1"/>
      <w:marLeft w:val="0"/>
      <w:marRight w:val="0"/>
      <w:marTop w:val="0"/>
      <w:marBottom w:val="0"/>
      <w:divBdr>
        <w:top w:val="none" w:sz="0" w:space="0" w:color="auto"/>
        <w:left w:val="none" w:sz="0" w:space="0" w:color="auto"/>
        <w:bottom w:val="none" w:sz="0" w:space="0" w:color="auto"/>
        <w:right w:val="none" w:sz="0" w:space="0" w:color="auto"/>
      </w:divBdr>
    </w:div>
    <w:div w:id="2135176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Beu96</b:Tag>
    <b:SourceType>JournalArticle</b:SourceType>
    <b:Guid>{8EA5A375-523E-44AE-95EC-F0A78DA879DA}</b:Guid>
    <b:Title>Intracerebral event-related potentials during memory workload </b:Title>
    <b:JournalName>International Journal of Psychophysiology</b:JournalName>
    <b:Year>1996</b:Year>
    <b:Pages>9-23</b:Pages>
    <b:Author>
      <b:Author>
        <b:NameList>
          <b:Person>
            <b:Last>Beuzeron-Mangina</b:Last>
            <b:Middle>Helen</b:Middle>
            <b:First>J</b:First>
          </b:Person>
        </b:NameList>
      </b:Author>
    </b:Author>
    <b:Volume>22</b:Volume>
    <b:Issue>1</b:Issue>
    <b:RefOrder>1</b:RefOrder>
  </b:Source>
  <b:Source>
    <b:Tag>Sch19</b:Tag>
    <b:SourceType>JournalArticle</b:SourceType>
    <b:Guid>{FBD2DA80-C8D5-4D3B-8CCA-5E99B2EFF97E}</b:Guid>
    <b:Title>Increased Neural Activity in Hazardous Drinkers During High Workload in a Visual Working Memory Task: A Preliminary Assessment Through Event-Related Potentials</b:Title>
    <b:JournalName>Frontiers in Psychiatry</b:JournalName>
    <b:Year>2019</b:Year>
    <b:Volume>10</b:Volume>
    <b:DOI>10.3389/fpsyt.2019.00248</b:DOI>
    <b:Author>
      <b:Author>
        <b:NameList>
          <b:Person>
            <b:Last>Schroder</b:Last>
            <b:First>Elisa</b:First>
          </b:Person>
          <b:Person>
            <b:Last>Dousset</b:Last>
            <b:First>Clemence</b:First>
          </b:Person>
          <b:Person>
            <b:Last>Noel</b:Last>
            <b:First>Xavier</b:First>
          </b:Person>
          <b:Person>
            <b:Last>Kornreich</b:Last>
            <b:First>Charles</b:First>
          </b:Person>
          <b:Person>
            <b:Last>Campanella</b:Last>
            <b:First>Salvatore</b:First>
          </b:Person>
        </b:NameList>
      </b:Author>
    </b:Author>
    <b:RefOrder>2</b:RefOrder>
  </b:Source>
  <b:Source>
    <b:Tag>Han04</b:Tag>
    <b:SourceType>JournalArticle</b:SourceType>
    <b:Guid>{A402B8C6-144B-4883-B643-DA6786EBC6BA}</b:Guid>
    <b:Title>Effects of marijuana on neurophysiological signals of working</b:Title>
    <b:JournalName>Psychopharmacology</b:JournalName>
    <b:Year>2004</b:Year>
    <b:Pages>214-222</b:Pages>
    <b:Volume>176</b:Volume>
    <b:Issue>2</b:Issue>
    <b:Author>
      <b:Author>
        <b:NameList>
          <b:Person>
            <b:Last>Han</b:Last>
            <b:Middle>B</b:Middle>
            <b:First>Aaron</b:First>
          </b:Person>
          <b:Person>
            <b:Last>Smith</b:Last>
            <b:Middle>E</b:Middle>
            <b:First>Michael</b:First>
          </b:Person>
          <b:Person>
            <b:Last>Gevins</b:Last>
            <b:First>Alan</b:First>
          </b:Person>
        </b:NameList>
      </b:Author>
    </b:Author>
    <b:RefOrder>17</b:RefOrder>
  </b:Source>
  <b:Source>
    <b:Tag>Ste67</b:Tag>
    <b:SourceType>JournalArticle</b:SourceType>
    <b:Guid>{FFC571D6-023B-4961-BEFE-24A17384E871}</b:Guid>
    <b:Title>Two operations in character recognition: some evidence from reaction-time measurements</b:Title>
    <b:JournalName>Percpetion and psychophysics</b:JournalName>
    <b:Year>1967</b:Year>
    <b:Pages>45-53</b:Pages>
    <b:Author>
      <b:Author>
        <b:NameList>
          <b:Person>
            <b:Last>Sternberg</b:Last>
            <b:First>S</b:First>
          </b:Person>
        </b:NameList>
      </b:Author>
    </b:Author>
    <b:Volume>2</b:Volume>
    <b:RefOrder>5</b:RefOrder>
  </b:Source>
  <b:Source>
    <b:Tag>Ste66</b:Tag>
    <b:SourceType>JournalArticle</b:SourceType>
    <b:Guid>{4C7FBB75-5153-4C14-8F6C-77AD7D8AC382}</b:Guid>
    <b:Title>High-speed scanning in human memory</b:Title>
    <b:JournalName>Science</b:JournalName>
    <b:Year>1966</b:Year>
    <b:Pages>652-654</b:Pages>
    <b:Author>
      <b:Author>
        <b:NameList>
          <b:Person>
            <b:Last>Sternberg</b:Last>
            <b:First>S</b:First>
          </b:Person>
        </b:NameList>
      </b:Author>
    </b:Author>
    <b:Volume>153</b:Volume>
    <b:Issue>3736</b:Issue>
    <b:RefOrder>4</b:RefOrder>
  </b:Source>
  <b:Source>
    <b:Tag>Beu90</b:Tag>
    <b:SourceType>Book</b:SourceType>
    <b:Guid>{7AFAFF87-95E8-4FAC-9378-07A536645FC9}</b:Guid>
    <b:Title>Memory Workload Paradigm with visually presented words</b:Title>
    <b:Year>1990</b:Year>
    <b:City>Montreal</b:City>
    <b:Publisher>McGill University </b:Publisher>
    <b:Author>
      <b:Author>
        <b:NameList>
          <b:Person>
            <b:Last>Beuzeron-Mangina</b:Last>
            <b:Middle>H</b:Middle>
            <b:First>J</b:First>
          </b:Person>
        </b:NameList>
      </b:Author>
    </b:Author>
    <b:CountryRegion>Canada</b:CountryRegion>
    <b:RefOrder>3</b:RefOrder>
  </b:Source>
  <b:Source>
    <b:Tag>Kir58</b:Tag>
    <b:SourceType>JournalArticle</b:SourceType>
    <b:Guid>{6B9B2C28-0A01-4818-AA8D-E8B6AA95A68F}</b:Guid>
    <b:Title>Age differences in short-term retention of rapidly changing information</b:Title>
    <b:Year>1958</b:Year>
    <b:JournalName>Journal of Experimental Psychology</b:JournalName>
    <b:Pages>352-358</b:Pages>
    <b:Volume>55</b:Volume>
    <b:Issue>4</b:Issue>
    <b:Author>
      <b:Author>
        <b:NameList>
          <b:Person>
            <b:Last>Kirchner</b:Last>
            <b:Middle>K</b:Middle>
            <b:First>Wayne</b:First>
          </b:Person>
        </b:NameList>
      </b:Author>
    </b:Author>
    <b:RefOrder>6</b:RefOrder>
  </b:Source>
  <b:Source>
    <b:Tag>Pfe01</b:Tag>
    <b:SourceType>JournalArticle</b:SourceType>
    <b:Guid>{E1D9AFEB-5BB0-4B6A-A4B0-85833CB30DCA}</b:Guid>
    <b:Title>Reorganization of frontal systems used by alcoholics for spatial working memory: An fMRI study</b:Title>
    <b:JournalName>NeuroImage</b:JournalName>
    <b:Year>2001</b:Year>
    <b:Pages>7-20</b:Pages>
    <b:Author>
      <b:Author>
        <b:NameList>
          <b:Person>
            <b:Last>Pfefferbaum</b:Last>
            <b:First>A</b:First>
          </b:Person>
          <b:Person>
            <b:Last>Desmond</b:Last>
            <b:Middle>E</b:Middle>
            <b:First>J</b:First>
          </b:Person>
          <b:Person>
            <b:Last>Galloway</b:Last>
            <b:First>C</b:First>
          </b:Person>
          <b:Person>
            <b:Last>Menon</b:Last>
            <b:First>V</b:First>
          </b:Person>
          <b:Person>
            <b:Last>Glover</b:Last>
            <b:Middle>H</b:Middle>
            <b:First>G</b:First>
          </b:Person>
          <b:Person>
            <b:Last>Sullivan</b:Last>
            <b:Middle>V</b:Middle>
            <b:First>E</b:First>
          </b:Person>
        </b:NameList>
      </b:Author>
    </b:Author>
    <b:Volume>14</b:Volume>
    <b:Issue>1</b:Issue>
    <b:RefOrder>10</b:RefOrder>
  </b:Source>
  <b:Source>
    <b:Tag>Cre</b:Tag>
    <b:SourceType>JournalArticle</b:SourceType>
    <b:Guid>{E73F3859-3CAD-464D-8A3A-296326AAC82A}</b:Guid>
    <b:Title>Alchoholic neurobiology: changes in dependence and recovery</b:Title>
    <b:Author>
      <b:Author>
        <b:NameList>
          <b:Person>
            <b:Last>Crews</b:Last>
            <b:Middle>T</b:Middle>
            <b:First>Fulton</b:First>
          </b:Person>
          <b:Person>
            <b:Last>Buckley</b:Last>
            <b:First>Tracey</b:First>
          </b:Person>
          <b:Person>
            <b:Last>Dodd</b:Last>
            <b:Middle>R</b:Middle>
            <b:First>Peter</b:First>
          </b:Person>
          <b:Person>
            <b:Last>Ende</b:Last>
            <b:First>Gabriele</b:First>
          </b:Person>
          <b:Person>
            <b:Last>Foley</b:Last>
            <b:First>Nina</b:First>
          </b:Person>
          <b:Person>
            <b:Last>Harper</b:Last>
            <b:First>Clive</b:First>
          </b:Person>
          <b:Person>
            <b:Last>He</b:Last>
            <b:First>Jun</b:First>
          </b:Person>
          <b:Person>
            <b:Last>Innes</b:Last>
            <b:First>David</b:First>
          </b:Person>
          <b:Person>
            <b:Last>Loh</b:Last>
            <b:First>El-Wui</b:First>
          </b:Person>
          <b:Person>
            <b:Last>Pfefferbaum</b:Last>
            <b:First>Adolf</b:First>
          </b:Person>
          <b:Person>
            <b:Last>Zou</b:Last>
            <b:First>Jian</b:First>
          </b:Person>
          <b:Person>
            <b:Last>Sullivan</b:Last>
            <b:First>Edith</b:First>
          </b:Person>
        </b:NameList>
      </b:Author>
    </b:Author>
    <b:JournalName>Alcoholism: Clinical and Experimental Research</b:JournalName>
    <b:Year>2005</b:Year>
    <b:Pages>1504-1513</b:Pages>
    <b:Volume>29</b:Volume>
    <b:Issue>8</b:Issue>
    <b:RefOrder>9</b:RefOrder>
  </b:Source>
  <b:Source>
    <b:Tag>Cla17</b:Tag>
    <b:SourceType>JournalArticle</b:SourceType>
    <b:Guid>{E7ECFD36-6961-493F-B17C-0B081E5EB0D4}</b:Guid>
    <b:Title>Functional brain activation associated with working memory training and transfer</b:Title>
    <b:JournalName>Behavioural Brain Research</b:JournalName>
    <b:Year>2017</b:Year>
    <b:Pages>34-49</b:Pages>
    <b:Author>
      <b:Author>
        <b:NameList>
          <b:Person>
            <b:Last>Clark</b:Last>
            <b:Middle>M</b:Middle>
            <b:First>C</b:First>
          </b:Person>
          <b:Person>
            <b:Last>Lawlor-Savage</b:Last>
            <b:First>I</b:First>
          </b:Person>
          <b:Person>
            <b:Last>Goghari</b:Last>
            <b:Middle>M</b:Middle>
            <b:First>V</b:First>
          </b:Person>
        </b:NameList>
      </b:Author>
    </b:Author>
    <b:Volume>334</b:Volume>
    <b:RefOrder>7</b:RefOrder>
  </b:Source>
  <b:Source>
    <b:Tag>Cre10</b:Tag>
    <b:SourceType>JournalArticle</b:SourceType>
    <b:Guid>{0E49C080-2A81-41D4-9165-014909E191D0}</b:Guid>
    <b:Title>Reduced anterior prefrontal cortex activation in young binge drinkers during a visual working memory task</b:Title>
    <b:JournalName>Drug and Alcohol Dependence</b:JournalName>
    <b:Year>2010</b:Year>
    <b:Pages>45-56</b:Pages>
    <b:Author>
      <b:Author>
        <b:NameList>
          <b:Person>
            <b:Last>Crego</b:Last>
            <b:First>A</b:First>
          </b:Person>
          <b:Person>
            <b:Last>Rodriquez-Holguin</b:Last>
            <b:First>S</b:First>
          </b:Person>
          <b:Person>
            <b:Last>Parada</b:Last>
            <b:First>M</b:First>
          </b:Person>
          <b:Person>
            <b:Last>Mota</b:Last>
            <b:First>N</b:First>
          </b:Person>
          <b:Person>
            <b:Last>Corral</b:Last>
            <b:First>M</b:First>
          </b:Person>
          <b:Person>
            <b:Last>Cadaveira</b:Last>
            <b:First>F</b:First>
          </b:Person>
        </b:NameList>
      </b:Author>
    </b:Author>
    <b:Volume>109</b:Volume>
    <b:Issue>1</b:Issue>
    <b:RefOrder>8</b:RefOrder>
  </b:Source>
  <b:Source>
    <b:Tag>Squ11</b:Tag>
    <b:SourceType>JournalArticle</b:SourceType>
    <b:Guid>{76459132-E4E5-4D3B-969B-B42AE894274E}</b:Guid>
    <b:Title>Adolescent binge drinking linked to abnormal spatial working memory brain activation: Differential gender effects</b:Title>
    <b:JournalName>Alcoholism: Clinical and Experimental Research</b:JournalName>
    <b:Year>2011</b:Year>
    <b:Pages>1831-1841</b:Pages>
    <b:Author>
      <b:Author>
        <b:NameList>
          <b:Person>
            <b:Last>Squeglia</b:Last>
            <b:Middle>M</b:Middle>
            <b:First>I</b:First>
          </b:Person>
          <b:Person>
            <b:Last>Schweinsburg</b:Last>
            <b:Middle>D</b:Middle>
            <b:First>A</b:First>
          </b:Person>
          <b:Person>
            <b:Last>Pulido</b:Last>
            <b:First>C</b:First>
          </b:Person>
          <b:Person>
            <b:Last>Tapert</b:Last>
            <b:Middle>F</b:Middle>
            <b:First>S</b:First>
          </b:Person>
        </b:NameList>
      </b:Author>
    </b:Author>
    <b:Volume>35</b:Volume>
    <b:Issue>10</b:Issue>
    <b:RefOrder>11</b:RefOrder>
  </b:Source>
  <b:Source>
    <b:Tag>Pra11</b:Tag>
    <b:SourceType>JournalArticle</b:SourceType>
    <b:Guid>{CD7A312F-9DFD-4813-A570-5A1C22E41849}</b:Guid>
    <b:Title>Effects of working memory load on visual selective attention: Behavioral and electrophysiological evidence</b:Title>
    <b:JournalName>Frontiers in Human Neuroscience</b:JournalName>
    <b:Year>2011</b:Year>
    <b:Pages>1-9</b:Pages>
    <b:Author>
      <b:Author>
        <b:NameList>
          <b:Person>
            <b:Last>Pratt</b:Last>
            <b:First>N</b:First>
          </b:Person>
          <b:Person>
            <b:Last>Willoughby</b:Last>
            <b:First>A</b:First>
          </b:Person>
          <b:Person>
            <b:Last>Swick</b:Last>
            <b:First>D</b:First>
          </b:Person>
        </b:NameList>
      </b:Author>
    </b:Author>
    <b:Volume>5</b:Volume>
    <b:RefOrder>16</b:RefOrder>
  </b:Source>
  <b:Source>
    <b:Tag>All08</b:Tag>
    <b:SourceType>JournalArticle</b:SourceType>
    <b:Guid>{141D70C0-0C7F-440D-9167-373979CEB4F0}</b:Guid>
    <b:Title>Workload assessment of computer gaming using a single-stimulus event-related potential paradigm</b:Title>
    <b:JournalName>Biological Psychology</b:JournalName>
    <b:Year>2008</b:Year>
    <b:Pages>277-283</b:Pages>
    <b:Author>
      <b:Author>
        <b:NameList>
          <b:Person>
            <b:Last>Allison</b:Last>
            <b:Middle>Z</b:Middle>
            <b:First>B</b:First>
          </b:Person>
          <b:Person>
            <b:Last>Polich</b:Last>
            <b:First>J</b:First>
          </b:Person>
        </b:NameList>
      </b:Author>
    </b:Author>
    <b:Volume>77</b:Volume>
    <b:Issue>3</b:Issue>
    <b:RefOrder>12</b:RefOrder>
  </b:Source>
  <b:Source>
    <b:Tag>Kra95</b:Tag>
    <b:SourceType>JournalArticle</b:SourceType>
    <b:Guid>{A58C9DA4-7FE4-416E-876A-982839BC46ED}</b:Guid>
    <b:Title>Assessment of mental workload with task-irrelevant auditory probes</b:Title>
    <b:JournalName>Biological Psychology</b:JournalName>
    <b:Year>1995</b:Year>
    <b:Pages>83-100</b:Pages>
    <b:Author>
      <b:Author>
        <b:NameList>
          <b:Person>
            <b:Last>Kramer</b:Last>
            <b:Middle>F</b:Middle>
            <b:First>A</b:First>
          </b:Person>
          <b:Person>
            <b:Last>Trejo</b:Last>
            <b:Middle>J</b:Middle>
            <b:First>L</b:First>
          </b:Person>
          <b:Person>
            <b:Last>Humphrey</b:Last>
            <b:First>D</b:First>
          </b:Person>
        </b:NameList>
      </b:Author>
    </b:Author>
    <b:Volume>40</b:Volume>
    <b:Issue>1-2</b:Issue>
    <b:RefOrder>14</b:RefOrder>
  </b:Source>
  <b:Source>
    <b:Tag>Mis03</b:Tag>
    <b:SourceType>JournalArticle</b:SourceType>
    <b:Guid>{B4452066-793C-486F-8390-7CFAE8B6719F}</b:Guid>
    <b:Title>A new electrophysicological index for working memory load in humans</b:Title>
    <b:JournalName>NeuroReport</b:JournalName>
    <b:Year>2003</b:Year>
    <b:Pages>1451-1455</b:Pages>
    <b:Author>
      <b:Author>
        <b:NameList>
          <b:Person>
            <b:Last>Missonnier</b:Last>
            <b:First>P</b:First>
          </b:Person>
          <b:Person>
            <b:Last>Leonards</b:Last>
            <b:First>U</b:First>
          </b:Person>
          <b:Person>
            <b:Last>Gold</b:Last>
            <b:First>G</b:First>
          </b:Person>
          <b:Person>
            <b:Last>Palix</b:Last>
            <b:First>J</b:First>
          </b:Person>
          <b:Person>
            <b:Last>Ibanez</b:Last>
            <b:First>V</b:First>
          </b:Person>
          <b:Person>
            <b:Last>Giannakopoulos</b:Last>
            <b:Middle>P</b:Middle>
          </b:Person>
        </b:NameList>
      </b:Author>
    </b:Author>
    <b:Volume>14</b:Volume>
    <b:Issue>11</b:Issue>
    <b:RefOrder>15</b:RefOrder>
  </b:Source>
  <b:Source>
    <b:Tag>Eva11</b:Tag>
    <b:SourceType>JournalArticle</b:SourceType>
    <b:Guid>{AA5E7204-0FFD-4A28-9C4A-F4A6D298636E}</b:Guid>
    <b:Title>P300 as a measure of processing capacity in auditory adn visual domains in specific language impariment.</b:Title>
    <b:JournalName>Brain Research</b:JournalName>
    <b:Year>2011</b:Year>
    <b:Pages>93-102</b:Pages>
    <b:Author>
      <b:Author>
        <b:NameList>
          <b:Person>
            <b:Last>Evans</b:Last>
            <b:First>H</b:First>
          </b:Person>
          <b:Person>
            <b:Last>Selinger</b:Last>
            <b:First>C</b:First>
          </b:Person>
          <b:Person>
            <b:Last>Pollack</b:Last>
            <b:Middle>D</b:Middle>
            <b:First>S</b:First>
          </b:Person>
        </b:NameList>
      </b:Author>
    </b:Author>
    <b:Volume>1389</b:Volume>
    <b:Issue>10</b:Issue>
    <b:RefOrder>13</b:RefOrder>
  </b:Source>
</b:Sources>
</file>

<file path=customXml/itemProps1.xml><?xml version="1.0" encoding="utf-8"?>
<ds:datastoreItem xmlns:ds="http://schemas.openxmlformats.org/officeDocument/2006/customXml" ds:itemID="{FC208463-33BC-4C8E-B688-28D2B3438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1403</Words>
  <Characters>8003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Performance</dc:title>
  <dc:subject>Critically evaluate how drug and alcohol consumption can influence performance on cognitive tasks</dc:subject>
  <dc:creator>Sean Morgan</dc:creator>
  <cp:keywords/>
  <dc:description/>
  <cp:lastModifiedBy>Student</cp:lastModifiedBy>
  <cp:revision>2</cp:revision>
  <dcterms:created xsi:type="dcterms:W3CDTF">2019-12-10T23:51:00Z</dcterms:created>
  <dcterms:modified xsi:type="dcterms:W3CDTF">2019-12-10T23:51:00Z</dcterms:modified>
</cp:coreProperties>
</file>