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51A71E" w14:textId="5B86FC12" w:rsidR="005560C9" w:rsidRDefault="005560C9" w:rsidP="005560C9">
      <w:pPr>
        <w:shd w:val="clear" w:color="auto" w:fill="FFFFFF"/>
        <w:spacing w:before="100" w:beforeAutospacing="1" w:after="100" w:afterAutospacing="1" w:line="240" w:lineRule="auto"/>
        <w:outlineLvl w:val="0"/>
        <w:rPr>
          <w:rFonts w:ascii="GT America" w:eastAsia="Times New Roman" w:hAnsi="GT America" w:cs="Times New Roman"/>
          <w:b/>
          <w:bCs/>
          <w:color w:val="282828"/>
          <w:spacing w:val="-4"/>
          <w:kern w:val="36"/>
          <w:sz w:val="48"/>
          <w:szCs w:val="48"/>
          <w:lang w:eastAsia="en-GB"/>
        </w:rPr>
      </w:pPr>
      <w:r>
        <w:fldChar w:fldCharType="begin"/>
      </w:r>
      <w:r>
        <w:instrText xml:space="preserve"> HYPERLINK "https://hbr.org/2018/07/4-ways-to-create-a-learning-culture-on-your-team?utm_source=facebook&amp;utm_campaign=hbr&amp;utm_medium=social&amp;fbclid=IwAR0EzTFgPvTeo5BId7uDierCy-1MNIs4vYt1KS8i5tnME70fqODbCv64qmM" </w:instrText>
      </w:r>
      <w:r>
        <w:fldChar w:fldCharType="separate"/>
      </w:r>
      <w:r>
        <w:rPr>
          <w:rStyle w:val="Hyperlink"/>
        </w:rPr>
        <w:t>https://hbr.org/2018/07/4-ways-to-create-a-learning-culture-on-your-team?utm_source=facebook&amp;utm_campaign=hbr&amp;utm_medium=social&amp;fbclid=IwAR0EzTFgPvTeo5BId7uDierCy-1MNIs4vYt1KS8i5tnME70fqODbCv64qmM</w:t>
      </w:r>
      <w:r>
        <w:fldChar w:fldCharType="end"/>
      </w:r>
    </w:p>
    <w:p w14:paraId="129AD035" w14:textId="0C9A2A33" w:rsidR="005560C9" w:rsidRPr="005560C9" w:rsidRDefault="005560C9" w:rsidP="005560C9">
      <w:pPr>
        <w:shd w:val="clear" w:color="auto" w:fill="FFFFFF"/>
        <w:spacing w:before="100" w:beforeAutospacing="1" w:after="100" w:afterAutospacing="1" w:line="240" w:lineRule="auto"/>
        <w:outlineLvl w:val="0"/>
        <w:rPr>
          <w:rFonts w:ascii="GT America" w:eastAsia="Times New Roman" w:hAnsi="GT America" w:cs="Times New Roman"/>
          <w:b/>
          <w:bCs/>
          <w:color w:val="282828"/>
          <w:spacing w:val="-4"/>
          <w:kern w:val="36"/>
          <w:sz w:val="48"/>
          <w:szCs w:val="48"/>
          <w:lang w:eastAsia="en-GB"/>
        </w:rPr>
      </w:pPr>
      <w:r w:rsidRPr="005560C9">
        <w:rPr>
          <w:rFonts w:ascii="GT America" w:eastAsia="Times New Roman" w:hAnsi="GT America" w:cs="Times New Roman"/>
          <w:b/>
          <w:bCs/>
          <w:color w:val="282828"/>
          <w:spacing w:val="-4"/>
          <w:kern w:val="36"/>
          <w:sz w:val="48"/>
          <w:szCs w:val="48"/>
          <w:lang w:eastAsia="en-GB"/>
        </w:rPr>
        <w:t>4 Ways to Create a Learning Culture on Your Team</w:t>
      </w:r>
    </w:p>
    <w:p w14:paraId="583244C3" w14:textId="77777777" w:rsidR="005560C9" w:rsidRPr="005560C9" w:rsidRDefault="005560C9" w:rsidP="005560C9">
      <w:pPr>
        <w:shd w:val="clear" w:color="auto" w:fill="FFFFFF"/>
        <w:spacing w:after="0" w:line="240" w:lineRule="auto"/>
        <w:ind w:left="720"/>
        <w:rPr>
          <w:rFonts w:ascii="inherit" w:eastAsia="Times New Roman" w:hAnsi="inherit" w:cs="Times New Roman"/>
          <w:color w:val="282828"/>
          <w:sz w:val="24"/>
          <w:szCs w:val="24"/>
          <w:lang w:eastAsia="en-GB"/>
        </w:rPr>
      </w:pPr>
      <w:r w:rsidRPr="005560C9">
        <w:rPr>
          <w:rFonts w:ascii="inherit" w:eastAsia="Times New Roman" w:hAnsi="inherit" w:cs="Times New Roman"/>
          <w:color w:val="282828"/>
          <w:sz w:val="24"/>
          <w:szCs w:val="24"/>
          <w:lang w:eastAsia="en-GB"/>
        </w:rPr>
        <w:t>by </w:t>
      </w:r>
    </w:p>
    <w:p w14:paraId="1B84DFEF" w14:textId="77777777" w:rsidR="005560C9" w:rsidRPr="005560C9" w:rsidRDefault="005560C9" w:rsidP="005560C9">
      <w:pPr>
        <w:numPr>
          <w:ilvl w:val="0"/>
          <w:numId w:val="1"/>
        </w:numPr>
        <w:shd w:val="clear" w:color="auto" w:fill="FFFFFF"/>
        <w:spacing w:after="0" w:line="240" w:lineRule="auto"/>
        <w:rPr>
          <w:rFonts w:ascii="inherit" w:eastAsia="Times New Roman" w:hAnsi="inherit" w:cs="Times New Roman"/>
          <w:color w:val="282828"/>
          <w:sz w:val="24"/>
          <w:szCs w:val="24"/>
          <w:lang w:eastAsia="en-GB"/>
        </w:rPr>
      </w:pPr>
      <w:hyperlink r:id="rId5" w:history="1">
        <w:r w:rsidRPr="005560C9">
          <w:rPr>
            <w:rFonts w:ascii="inherit" w:eastAsia="Times New Roman" w:hAnsi="inherit" w:cs="Times New Roman"/>
            <w:color w:val="0000FF"/>
            <w:sz w:val="24"/>
            <w:szCs w:val="24"/>
            <w:u w:val="single"/>
            <w:lang w:eastAsia="en-GB"/>
          </w:rPr>
          <w:t>Tomas Chamorro-</w:t>
        </w:r>
        <w:proofErr w:type="spellStart"/>
        <w:r w:rsidRPr="005560C9">
          <w:rPr>
            <w:rFonts w:ascii="inherit" w:eastAsia="Times New Roman" w:hAnsi="inherit" w:cs="Times New Roman"/>
            <w:color w:val="0000FF"/>
            <w:sz w:val="24"/>
            <w:szCs w:val="24"/>
            <w:u w:val="single"/>
            <w:lang w:eastAsia="en-GB"/>
          </w:rPr>
          <w:t>Premuzic</w:t>
        </w:r>
        <w:proofErr w:type="spellEnd"/>
      </w:hyperlink>
    </w:p>
    <w:p w14:paraId="538F874D" w14:textId="77777777" w:rsidR="005560C9" w:rsidRPr="005560C9" w:rsidRDefault="005560C9" w:rsidP="005560C9">
      <w:pPr>
        <w:shd w:val="clear" w:color="auto" w:fill="FFFFFF"/>
        <w:spacing w:after="0" w:line="240" w:lineRule="auto"/>
        <w:ind w:left="720"/>
        <w:rPr>
          <w:rFonts w:ascii="inherit" w:eastAsia="Times New Roman" w:hAnsi="inherit" w:cs="Times New Roman"/>
          <w:color w:val="282828"/>
          <w:sz w:val="24"/>
          <w:szCs w:val="24"/>
          <w:lang w:eastAsia="en-GB"/>
        </w:rPr>
      </w:pPr>
      <w:r w:rsidRPr="005560C9">
        <w:rPr>
          <w:rFonts w:ascii="inherit" w:eastAsia="Times New Roman" w:hAnsi="inherit" w:cs="Times New Roman"/>
          <w:color w:val="282828"/>
          <w:sz w:val="24"/>
          <w:szCs w:val="24"/>
          <w:lang w:eastAsia="en-GB"/>
        </w:rPr>
        <w:t> and </w:t>
      </w:r>
    </w:p>
    <w:p w14:paraId="444666A5" w14:textId="77777777" w:rsidR="005560C9" w:rsidRPr="005560C9" w:rsidRDefault="005560C9" w:rsidP="005560C9">
      <w:pPr>
        <w:numPr>
          <w:ilvl w:val="0"/>
          <w:numId w:val="1"/>
        </w:numPr>
        <w:shd w:val="clear" w:color="auto" w:fill="FFFFFF"/>
        <w:spacing w:after="0" w:line="240" w:lineRule="auto"/>
        <w:rPr>
          <w:rFonts w:ascii="inherit" w:eastAsia="Times New Roman" w:hAnsi="inherit" w:cs="Times New Roman"/>
          <w:color w:val="282828"/>
          <w:sz w:val="24"/>
          <w:szCs w:val="24"/>
          <w:lang w:eastAsia="en-GB"/>
        </w:rPr>
      </w:pPr>
      <w:hyperlink r:id="rId6" w:history="1">
        <w:r w:rsidRPr="005560C9">
          <w:rPr>
            <w:rFonts w:ascii="inherit" w:eastAsia="Times New Roman" w:hAnsi="inherit" w:cs="Times New Roman"/>
            <w:color w:val="0000FF"/>
            <w:sz w:val="24"/>
            <w:szCs w:val="24"/>
            <w:u w:val="single"/>
            <w:lang w:eastAsia="en-GB"/>
          </w:rPr>
          <w:t>Josh Bersin</w:t>
        </w:r>
      </w:hyperlink>
    </w:p>
    <w:p w14:paraId="5BDCA154" w14:textId="77777777" w:rsidR="005560C9" w:rsidRPr="005560C9" w:rsidRDefault="005560C9" w:rsidP="005560C9">
      <w:pPr>
        <w:shd w:val="clear" w:color="auto" w:fill="FFFFFF"/>
        <w:spacing w:after="0" w:line="240" w:lineRule="auto"/>
        <w:rPr>
          <w:rFonts w:ascii="GT America" w:eastAsia="Times New Roman" w:hAnsi="GT America" w:cs="Times New Roman"/>
          <w:color w:val="282828"/>
          <w:sz w:val="24"/>
          <w:szCs w:val="24"/>
          <w:lang w:eastAsia="en-GB"/>
        </w:rPr>
      </w:pPr>
      <w:r w:rsidRPr="005560C9">
        <w:rPr>
          <w:rFonts w:ascii="GT America" w:eastAsia="Times New Roman" w:hAnsi="GT America" w:cs="Times New Roman"/>
          <w:color w:val="282828"/>
          <w:sz w:val="24"/>
          <w:szCs w:val="24"/>
          <w:lang w:eastAsia="en-GB"/>
        </w:rPr>
        <w:t>July 12, 2018</w:t>
      </w:r>
    </w:p>
    <w:p w14:paraId="14C74A9E" w14:textId="77777777" w:rsidR="005560C9" w:rsidRPr="005560C9" w:rsidRDefault="005560C9" w:rsidP="005560C9">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5560C9">
        <w:rPr>
          <w:rFonts w:ascii="Lava Std" w:eastAsia="Times New Roman" w:hAnsi="Lava Std" w:cs="Times New Roman"/>
          <w:color w:val="282828"/>
          <w:spacing w:val="-2"/>
          <w:sz w:val="24"/>
          <w:szCs w:val="24"/>
          <w:lang w:eastAsia="en-GB"/>
        </w:rPr>
        <w:t>Technology is disrupting every industry and area of life, and work is no exception. One of the main career implications of the digital revolution is a shift in demand for human expertise. For instance, LinkedIn’s talent </w:t>
      </w:r>
      <w:hyperlink r:id="rId7" w:history="1">
        <w:r w:rsidRPr="005560C9">
          <w:rPr>
            <w:rFonts w:ascii="Lava Std" w:eastAsia="Times New Roman" w:hAnsi="Lava Std" w:cs="Times New Roman"/>
            <w:color w:val="0787B1"/>
            <w:spacing w:val="-2"/>
            <w:sz w:val="24"/>
            <w:szCs w:val="24"/>
            <w:u w:val="single"/>
            <w:lang w:eastAsia="en-GB"/>
          </w:rPr>
          <w:t>research shows</w:t>
        </w:r>
      </w:hyperlink>
      <w:r w:rsidRPr="005560C9">
        <w:rPr>
          <w:rFonts w:ascii="Lava Std" w:eastAsia="Times New Roman" w:hAnsi="Lava Std" w:cs="Times New Roman"/>
          <w:color w:val="282828"/>
          <w:spacing w:val="-2"/>
          <w:sz w:val="24"/>
          <w:szCs w:val="24"/>
          <w:lang w:eastAsia="en-GB"/>
        </w:rPr>
        <w:t> that half of today’s most in-demand skills weren’t even on the list three years ago.</w:t>
      </w:r>
    </w:p>
    <w:p w14:paraId="3C864A4B" w14:textId="77777777" w:rsidR="005560C9" w:rsidRPr="005560C9" w:rsidRDefault="005560C9" w:rsidP="005560C9">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5560C9">
        <w:rPr>
          <w:rFonts w:ascii="Lava Std" w:eastAsia="Times New Roman" w:hAnsi="Lava Std" w:cs="Times New Roman"/>
          <w:color w:val="282828"/>
          <w:spacing w:val="-2"/>
          <w:sz w:val="24"/>
          <w:szCs w:val="24"/>
          <w:lang w:eastAsia="en-GB"/>
        </w:rPr>
        <w:t>As a result, there is now a premium on intellectual curiosity and </w:t>
      </w:r>
      <w:hyperlink r:id="rId8" w:history="1">
        <w:r w:rsidRPr="005560C9">
          <w:rPr>
            <w:rFonts w:ascii="Lava Std" w:eastAsia="Times New Roman" w:hAnsi="Lava Std" w:cs="Times New Roman"/>
            <w:color w:val="0787B1"/>
            <w:spacing w:val="-2"/>
            <w:sz w:val="24"/>
            <w:szCs w:val="24"/>
            <w:u w:val="single"/>
            <w:lang w:eastAsia="en-GB"/>
          </w:rPr>
          <w:t>learnability</w:t>
        </w:r>
      </w:hyperlink>
      <w:r w:rsidRPr="005560C9">
        <w:rPr>
          <w:rFonts w:ascii="Lava Std" w:eastAsia="Times New Roman" w:hAnsi="Lava Std" w:cs="Times New Roman"/>
          <w:color w:val="282828"/>
          <w:spacing w:val="-2"/>
          <w:sz w:val="24"/>
          <w:szCs w:val="24"/>
          <w:lang w:eastAsia="en-GB"/>
        </w:rPr>
        <w:t xml:space="preserve">, the desire and ability to quickly grow and adapt one’s skill set to remain employable. What you know is less relevant than what you may </w:t>
      </w:r>
      <w:proofErr w:type="gramStart"/>
      <w:r w:rsidRPr="005560C9">
        <w:rPr>
          <w:rFonts w:ascii="Lava Std" w:eastAsia="Times New Roman" w:hAnsi="Lava Std" w:cs="Times New Roman"/>
          <w:color w:val="282828"/>
          <w:spacing w:val="-2"/>
          <w:sz w:val="24"/>
          <w:szCs w:val="24"/>
          <w:lang w:eastAsia="en-GB"/>
        </w:rPr>
        <w:t>learn, and</w:t>
      </w:r>
      <w:proofErr w:type="gramEnd"/>
      <w:r w:rsidRPr="005560C9">
        <w:rPr>
          <w:rFonts w:ascii="Lava Std" w:eastAsia="Times New Roman" w:hAnsi="Lava Std" w:cs="Times New Roman"/>
          <w:color w:val="282828"/>
          <w:spacing w:val="-2"/>
          <w:sz w:val="24"/>
          <w:szCs w:val="24"/>
          <w:lang w:eastAsia="en-GB"/>
        </w:rPr>
        <w:t xml:space="preserve"> knowing the answer to questions is less critical than having the ability to ask the right questions in the first place. Unsurprisingly, employers such as Google, American Express, and Bridgewater Associates make learning an integral part of their talent management systems. As a Bersin report </w:t>
      </w:r>
      <w:hyperlink r:id="rId9" w:history="1">
        <w:r w:rsidRPr="005560C9">
          <w:rPr>
            <w:rFonts w:ascii="Lava Std" w:eastAsia="Times New Roman" w:hAnsi="Lava Std" w:cs="Times New Roman"/>
            <w:color w:val="0787B1"/>
            <w:spacing w:val="-2"/>
            <w:sz w:val="24"/>
            <w:szCs w:val="24"/>
            <w:u w:val="single"/>
            <w:lang w:eastAsia="en-GB"/>
          </w:rPr>
          <w:t>pointed</w:t>
        </w:r>
      </w:hyperlink>
      <w:r w:rsidRPr="005560C9">
        <w:rPr>
          <w:rFonts w:ascii="Lava Std" w:eastAsia="Times New Roman" w:hAnsi="Lava Std" w:cs="Times New Roman"/>
          <w:color w:val="282828"/>
          <w:spacing w:val="-2"/>
          <w:sz w:val="24"/>
          <w:szCs w:val="24"/>
          <w:lang w:eastAsia="en-GB"/>
        </w:rPr>
        <w:t> out: “The single biggest driver of business impact is the strength of an organization’s learning culture.”</w:t>
      </w:r>
    </w:p>
    <w:p w14:paraId="291E13FD" w14:textId="77777777" w:rsidR="005560C9" w:rsidRPr="005560C9" w:rsidRDefault="005560C9" w:rsidP="005560C9">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5560C9">
        <w:rPr>
          <w:rFonts w:ascii="Lava Std" w:eastAsia="Times New Roman" w:hAnsi="Lava Std" w:cs="Times New Roman"/>
          <w:color w:val="282828"/>
          <w:spacing w:val="-2"/>
          <w:sz w:val="24"/>
          <w:szCs w:val="24"/>
          <w:lang w:eastAsia="en-GB"/>
        </w:rPr>
        <w:t>However, true learning cultures, defined by CEB as “a culture that supports an open mindset, an independent quest for knowledge, and shared learning directed toward the mission and goals of the organization,” are still the exception rather than the norm. </w:t>
      </w:r>
      <w:hyperlink r:id="rId10" w:history="1">
        <w:r w:rsidRPr="005560C9">
          <w:rPr>
            <w:rFonts w:ascii="Lava Std" w:eastAsia="Times New Roman" w:hAnsi="Lava Std" w:cs="Times New Roman"/>
            <w:color w:val="0787B1"/>
            <w:spacing w:val="-2"/>
            <w:sz w:val="24"/>
            <w:szCs w:val="24"/>
            <w:u w:val="single"/>
            <w:lang w:eastAsia="en-GB"/>
          </w:rPr>
          <w:t>Recent research</w:t>
        </w:r>
      </w:hyperlink>
      <w:r w:rsidRPr="005560C9">
        <w:rPr>
          <w:rFonts w:ascii="Lava Std" w:eastAsia="Times New Roman" w:hAnsi="Lava Std" w:cs="Times New Roman"/>
          <w:color w:val="282828"/>
          <w:spacing w:val="-2"/>
          <w:sz w:val="24"/>
          <w:szCs w:val="24"/>
          <w:lang w:eastAsia="en-GB"/>
        </w:rPr>
        <w:t xml:space="preserve"> found that only 10% of organizations have managed to create them, with just 20% of employees demonstrating effective learning </w:t>
      </w:r>
      <w:proofErr w:type="spellStart"/>
      <w:r w:rsidRPr="005560C9">
        <w:rPr>
          <w:rFonts w:ascii="Lava Std" w:eastAsia="Times New Roman" w:hAnsi="Lava Std" w:cs="Times New Roman"/>
          <w:color w:val="282828"/>
          <w:spacing w:val="-2"/>
          <w:sz w:val="24"/>
          <w:szCs w:val="24"/>
          <w:lang w:eastAsia="en-GB"/>
        </w:rPr>
        <w:t>behaviors</w:t>
      </w:r>
      <w:proofErr w:type="spellEnd"/>
      <w:r w:rsidRPr="005560C9">
        <w:rPr>
          <w:rFonts w:ascii="Lava Std" w:eastAsia="Times New Roman" w:hAnsi="Lava Std" w:cs="Times New Roman"/>
          <w:color w:val="282828"/>
          <w:spacing w:val="-2"/>
          <w:sz w:val="24"/>
          <w:szCs w:val="24"/>
          <w:lang w:eastAsia="en-GB"/>
        </w:rPr>
        <w:t xml:space="preserve"> at work. Research by </w:t>
      </w:r>
      <w:hyperlink r:id="rId11" w:history="1">
        <w:r w:rsidRPr="005560C9">
          <w:rPr>
            <w:rFonts w:ascii="Lava Std" w:eastAsia="Times New Roman" w:hAnsi="Lava Std" w:cs="Times New Roman"/>
            <w:color w:val="0787B1"/>
            <w:spacing w:val="-2"/>
            <w:sz w:val="24"/>
            <w:szCs w:val="24"/>
            <w:u w:val="single"/>
            <w:lang w:eastAsia="en-GB"/>
          </w:rPr>
          <w:t>Bersin</w:t>
        </w:r>
      </w:hyperlink>
      <w:r w:rsidRPr="005560C9">
        <w:rPr>
          <w:rFonts w:ascii="Lava Std" w:eastAsia="Times New Roman" w:hAnsi="Lava Std" w:cs="Times New Roman"/>
          <w:color w:val="282828"/>
          <w:spacing w:val="-2"/>
          <w:sz w:val="24"/>
          <w:szCs w:val="24"/>
          <w:lang w:eastAsia="en-GB"/>
        </w:rPr>
        <w:t> examined the issue of learning culture in great detail and found that companies who effectively nurture their workforce’s desire to learn are at least 30% more likely to be market leaders in their industries over an extended period of time.</w:t>
      </w:r>
    </w:p>
    <w:p w14:paraId="01F19AF2" w14:textId="77777777" w:rsidR="005560C9" w:rsidRPr="005560C9" w:rsidRDefault="005560C9" w:rsidP="005560C9">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5560C9">
        <w:rPr>
          <w:rFonts w:ascii="Lava Std" w:eastAsia="Times New Roman" w:hAnsi="Lava Std" w:cs="Times New Roman"/>
          <w:color w:val="282828"/>
          <w:spacing w:val="-2"/>
          <w:sz w:val="24"/>
          <w:szCs w:val="24"/>
          <w:lang w:eastAsia="en-GB"/>
        </w:rPr>
        <w:t>Here are four science-based recommendations to help you create a learning culture on your team or in your organization:</w:t>
      </w:r>
    </w:p>
    <w:p w14:paraId="2CD1D4B6" w14:textId="77777777" w:rsidR="005560C9" w:rsidRPr="005560C9" w:rsidRDefault="005560C9" w:rsidP="005560C9">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5560C9">
        <w:rPr>
          <w:rFonts w:ascii="Lava Std" w:eastAsia="Times New Roman" w:hAnsi="Lava Std" w:cs="Times New Roman"/>
          <w:b/>
          <w:bCs/>
          <w:color w:val="282828"/>
          <w:spacing w:val="-2"/>
          <w:sz w:val="24"/>
          <w:szCs w:val="24"/>
          <w:lang w:eastAsia="en-GB"/>
        </w:rPr>
        <w:t>Reward continuous learning.</w:t>
      </w:r>
      <w:r w:rsidRPr="005560C9">
        <w:rPr>
          <w:rFonts w:ascii="Lava Std" w:eastAsia="Times New Roman" w:hAnsi="Lava Std" w:cs="Times New Roman"/>
          <w:color w:val="282828"/>
          <w:spacing w:val="-2"/>
          <w:sz w:val="24"/>
          <w:szCs w:val="24"/>
          <w:lang w:eastAsia="en-GB"/>
        </w:rPr>
        <w:t xml:space="preserve"> It is impossible to trigger deliberate changes in your team’s or organization’s culture unless you actually put in place formal reward systems to entice them — and even then there is no guarantee you will achieve change unless the rewards are effective. Sadly, even when managers understand the importance of learning — at least in theory — they are often more interested in boosting short-term results and performance, which can be an enemy of learning. </w:t>
      </w:r>
      <w:proofErr w:type="gramStart"/>
      <w:r w:rsidRPr="005560C9">
        <w:rPr>
          <w:rFonts w:ascii="Lava Std" w:eastAsia="Times New Roman" w:hAnsi="Lava Std" w:cs="Times New Roman"/>
          <w:color w:val="282828"/>
          <w:spacing w:val="-2"/>
          <w:sz w:val="24"/>
          <w:szCs w:val="24"/>
          <w:lang w:eastAsia="en-GB"/>
        </w:rPr>
        <w:t>By definition, performance</w:t>
      </w:r>
      <w:proofErr w:type="gramEnd"/>
      <w:r w:rsidRPr="005560C9">
        <w:rPr>
          <w:rFonts w:ascii="Lava Std" w:eastAsia="Times New Roman" w:hAnsi="Lava Std" w:cs="Times New Roman"/>
          <w:color w:val="282828"/>
          <w:spacing w:val="-2"/>
          <w:sz w:val="24"/>
          <w:szCs w:val="24"/>
          <w:lang w:eastAsia="en-GB"/>
        </w:rPr>
        <w:t xml:space="preserve"> is highest when we are not learning. Equally, it is hard for employees to find the necessary time and space to learn when they are asked to maximize results, efficiency, and productivity. A </w:t>
      </w:r>
      <w:r w:rsidRPr="005560C9">
        <w:rPr>
          <w:rFonts w:ascii="Lava Std" w:eastAsia="Times New Roman" w:hAnsi="Lava Std" w:cs="Times New Roman"/>
          <w:color w:val="282828"/>
          <w:spacing w:val="-2"/>
          <w:sz w:val="24"/>
          <w:szCs w:val="24"/>
          <w:lang w:eastAsia="en-GB"/>
        </w:rPr>
        <w:lastRenderedPageBreak/>
        <w:t>report by Bersin </w:t>
      </w:r>
      <w:hyperlink r:id="rId12" w:history="1">
        <w:r w:rsidRPr="005560C9">
          <w:rPr>
            <w:rFonts w:ascii="Lava Std" w:eastAsia="Times New Roman" w:hAnsi="Lava Std" w:cs="Times New Roman"/>
            <w:color w:val="0787B1"/>
            <w:spacing w:val="-2"/>
            <w:sz w:val="24"/>
            <w:szCs w:val="24"/>
            <w:u w:val="single"/>
            <w:lang w:eastAsia="en-GB"/>
          </w:rPr>
          <w:t>found</w:t>
        </w:r>
      </w:hyperlink>
      <w:r w:rsidRPr="005560C9">
        <w:rPr>
          <w:rFonts w:ascii="Lava Std" w:eastAsia="Times New Roman" w:hAnsi="Lava Std" w:cs="Times New Roman"/>
          <w:color w:val="282828"/>
          <w:spacing w:val="-2"/>
          <w:sz w:val="24"/>
          <w:szCs w:val="24"/>
          <w:lang w:eastAsia="en-GB"/>
        </w:rPr>
        <w:t> that among the more than 700 organizations studied, the average employee had only 24 minutes a week for formal learning. Note that rewarding curiosity is not just about praising and promoting those who display an effort to learn and develop; it’s also about creating a climate that nurtures critical thinking, where challenging authority and speaking up are encouraged, even if it means creating discord. This is particularly important if you want your team to produce </w:t>
      </w:r>
      <w:hyperlink r:id="rId13" w:history="1">
        <w:r w:rsidRPr="005560C9">
          <w:rPr>
            <w:rFonts w:ascii="Lava Std" w:eastAsia="Times New Roman" w:hAnsi="Lava Std" w:cs="Times New Roman"/>
            <w:color w:val="0787B1"/>
            <w:spacing w:val="-2"/>
            <w:sz w:val="24"/>
            <w:szCs w:val="24"/>
            <w:u w:val="single"/>
            <w:lang w:eastAsia="en-GB"/>
          </w:rPr>
          <w:t>something innovative</w:t>
        </w:r>
      </w:hyperlink>
      <w:r w:rsidRPr="005560C9">
        <w:rPr>
          <w:rFonts w:ascii="Lava Std" w:eastAsia="Times New Roman" w:hAnsi="Lava Std" w:cs="Times New Roman"/>
          <w:color w:val="282828"/>
          <w:spacing w:val="-2"/>
          <w:sz w:val="24"/>
          <w:szCs w:val="24"/>
          <w:lang w:eastAsia="en-GB"/>
        </w:rPr>
        <w:t>.</w:t>
      </w:r>
    </w:p>
    <w:p w14:paraId="08DA16B3" w14:textId="77777777" w:rsidR="005560C9" w:rsidRPr="005560C9" w:rsidRDefault="005560C9" w:rsidP="005560C9">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5560C9">
        <w:rPr>
          <w:rFonts w:ascii="Lava Std" w:eastAsia="Times New Roman" w:hAnsi="Lava Std" w:cs="Times New Roman"/>
          <w:b/>
          <w:bCs/>
          <w:color w:val="282828"/>
          <w:spacing w:val="-2"/>
          <w:sz w:val="24"/>
          <w:szCs w:val="24"/>
          <w:lang w:eastAsia="en-GB"/>
        </w:rPr>
        <w:t>Give meaningful and constructive feedback. </w:t>
      </w:r>
      <w:r w:rsidRPr="005560C9">
        <w:rPr>
          <w:rFonts w:ascii="Lava Std" w:eastAsia="Times New Roman" w:hAnsi="Lava Std" w:cs="Times New Roman"/>
          <w:color w:val="282828"/>
          <w:spacing w:val="-2"/>
          <w:sz w:val="24"/>
          <w:szCs w:val="24"/>
          <w:lang w:eastAsia="en-GB"/>
        </w:rPr>
        <w:t>In an age where many organizations focus their developmental interventions on “strengths,” and feel-good approaches to management have substituted “flaws” and “weaknesses” with the popular euphemism of “opportunities,” it is easy to forget the value of negative feedback. However, it is hard to improve on anything when you are unaware of your limitations, fully satisfied with your potential, or unjustifiably pleased with yourself. Although one of the best ways to improve employees’ performance is to tell them what they are </w:t>
      </w:r>
      <w:hyperlink r:id="rId14" w:history="1">
        <w:r w:rsidRPr="005560C9">
          <w:rPr>
            <w:rFonts w:ascii="Lava Std" w:eastAsia="Times New Roman" w:hAnsi="Lava Std" w:cs="Times New Roman"/>
            <w:color w:val="0787B1"/>
            <w:spacing w:val="-2"/>
            <w:sz w:val="24"/>
            <w:szCs w:val="24"/>
            <w:u w:val="single"/>
            <w:lang w:eastAsia="en-GB"/>
          </w:rPr>
          <w:t>doing wrong</w:t>
        </w:r>
      </w:hyperlink>
      <w:r w:rsidRPr="005560C9">
        <w:rPr>
          <w:rFonts w:ascii="Lava Std" w:eastAsia="Times New Roman" w:hAnsi="Lava Std" w:cs="Times New Roman"/>
          <w:color w:val="282828"/>
          <w:spacing w:val="-2"/>
          <w:sz w:val="24"/>
          <w:szCs w:val="24"/>
          <w:lang w:eastAsia="en-GB"/>
        </w:rPr>
        <w:t>, managers often avoid difficult conversations, so they end up providing more positive than negative feedback. This is particularly problematic when it comes to curiosity and learning, since the best way to trigger curiosity is to highlight a </w:t>
      </w:r>
      <w:hyperlink r:id="rId15" w:history="1">
        <w:r w:rsidRPr="005560C9">
          <w:rPr>
            <w:rFonts w:ascii="Lava Std" w:eastAsia="Times New Roman" w:hAnsi="Lava Std" w:cs="Times New Roman"/>
            <w:color w:val="0787B1"/>
            <w:spacing w:val="-2"/>
            <w:sz w:val="24"/>
            <w:szCs w:val="24"/>
            <w:u w:val="single"/>
            <w:lang w:eastAsia="en-GB"/>
          </w:rPr>
          <w:t>knowledge gap</w:t>
        </w:r>
      </w:hyperlink>
      <w:r w:rsidRPr="005560C9">
        <w:rPr>
          <w:rFonts w:ascii="Lava Std" w:eastAsia="Times New Roman" w:hAnsi="Lava Std" w:cs="Times New Roman"/>
          <w:color w:val="282828"/>
          <w:spacing w:val="-2"/>
          <w:sz w:val="24"/>
          <w:szCs w:val="24"/>
          <w:lang w:eastAsia="en-GB"/>
        </w:rPr>
        <w:t> — that is, making people aware of what they don’t know, especially if that makes them feel uncomfortable. Note that people are </w:t>
      </w:r>
      <w:hyperlink r:id="rId16" w:history="1">
        <w:r w:rsidRPr="005560C9">
          <w:rPr>
            <w:rFonts w:ascii="Lava Std" w:eastAsia="Times New Roman" w:hAnsi="Lava Std" w:cs="Times New Roman"/>
            <w:color w:val="0787B1"/>
            <w:spacing w:val="-2"/>
            <w:sz w:val="24"/>
            <w:szCs w:val="24"/>
            <w:u w:val="single"/>
            <w:lang w:eastAsia="en-GB"/>
          </w:rPr>
          <w:t>generally unaware</w:t>
        </w:r>
      </w:hyperlink>
      <w:r w:rsidRPr="005560C9">
        <w:rPr>
          <w:rFonts w:ascii="Lava Std" w:eastAsia="Times New Roman" w:hAnsi="Lava Std" w:cs="Times New Roman"/>
          <w:color w:val="282828"/>
          <w:spacing w:val="-2"/>
          <w:sz w:val="24"/>
          <w:szCs w:val="24"/>
          <w:lang w:eastAsia="en-GB"/>
        </w:rPr>
        <w:t> of their ignorance and limitations, especially when they are not very competent, so guidance and feedback from others is critical to helping them improve. However, negative feedback must be provided in a constructive and delicate way — it is a true art — as people are generally </w:t>
      </w:r>
      <w:hyperlink r:id="rId17" w:history="1">
        <w:r w:rsidRPr="005560C9">
          <w:rPr>
            <w:rFonts w:ascii="Lava Std" w:eastAsia="Times New Roman" w:hAnsi="Lava Std" w:cs="Times New Roman"/>
            <w:color w:val="0787B1"/>
            <w:spacing w:val="-2"/>
            <w:sz w:val="24"/>
            <w:szCs w:val="24"/>
            <w:u w:val="single"/>
            <w:lang w:eastAsia="en-GB"/>
          </w:rPr>
          <w:t>less receptive</w:t>
        </w:r>
      </w:hyperlink>
      <w:r w:rsidRPr="005560C9">
        <w:rPr>
          <w:rFonts w:ascii="Lava Std" w:eastAsia="Times New Roman" w:hAnsi="Lava Std" w:cs="Times New Roman"/>
          <w:color w:val="282828"/>
          <w:spacing w:val="-2"/>
          <w:sz w:val="24"/>
          <w:szCs w:val="24"/>
          <w:lang w:eastAsia="en-GB"/>
        </w:rPr>
        <w:t> of it than of praise and appreciation, especially in </w:t>
      </w:r>
      <w:hyperlink r:id="rId18" w:history="1">
        <w:r w:rsidRPr="005560C9">
          <w:rPr>
            <w:rFonts w:ascii="Lava Std" w:eastAsia="Times New Roman" w:hAnsi="Lava Std" w:cs="Times New Roman"/>
            <w:color w:val="0787B1"/>
            <w:spacing w:val="-2"/>
            <w:sz w:val="24"/>
            <w:szCs w:val="24"/>
            <w:u w:val="single"/>
            <w:lang w:eastAsia="en-GB"/>
          </w:rPr>
          <w:t>individualistic</w:t>
        </w:r>
      </w:hyperlink>
      <w:r w:rsidRPr="005560C9">
        <w:rPr>
          <w:rFonts w:ascii="Lava Std" w:eastAsia="Times New Roman" w:hAnsi="Lava Std" w:cs="Times New Roman"/>
          <w:color w:val="282828"/>
          <w:spacing w:val="-2"/>
          <w:sz w:val="24"/>
          <w:szCs w:val="24"/>
          <w:lang w:eastAsia="en-GB"/>
        </w:rPr>
        <w:t> (aka narcissistic) cultures.</w:t>
      </w:r>
    </w:p>
    <w:p w14:paraId="31A58D92" w14:textId="77777777" w:rsidR="005560C9" w:rsidRPr="005560C9" w:rsidRDefault="005560C9" w:rsidP="005560C9">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5560C9">
        <w:rPr>
          <w:rFonts w:ascii="Lava Std" w:eastAsia="Times New Roman" w:hAnsi="Lava Std" w:cs="Times New Roman"/>
          <w:b/>
          <w:bCs/>
          <w:color w:val="282828"/>
          <w:spacing w:val="-2"/>
          <w:sz w:val="24"/>
          <w:szCs w:val="24"/>
          <w:lang w:eastAsia="en-GB"/>
        </w:rPr>
        <w:t>Lead by example.</w:t>
      </w:r>
      <w:r w:rsidRPr="005560C9">
        <w:rPr>
          <w:rFonts w:ascii="Lava Std" w:eastAsia="Times New Roman" w:hAnsi="Lava Std" w:cs="Times New Roman"/>
          <w:color w:val="282828"/>
          <w:spacing w:val="-2"/>
          <w:sz w:val="24"/>
          <w:szCs w:val="24"/>
          <w:lang w:eastAsia="en-GB"/>
        </w:rPr>
        <w:t xml:space="preserve"> Another critical driver of employee learning is what you, as a manager or leader, </w:t>
      </w:r>
      <w:proofErr w:type="gramStart"/>
      <w:r w:rsidRPr="005560C9">
        <w:rPr>
          <w:rFonts w:ascii="Lava Std" w:eastAsia="Times New Roman" w:hAnsi="Lava Std" w:cs="Times New Roman"/>
          <w:color w:val="282828"/>
          <w:spacing w:val="-2"/>
          <w:sz w:val="24"/>
          <w:szCs w:val="24"/>
          <w:lang w:eastAsia="en-GB"/>
        </w:rPr>
        <w:t>actually do</w:t>
      </w:r>
      <w:proofErr w:type="gramEnd"/>
      <w:r w:rsidRPr="005560C9">
        <w:rPr>
          <w:rFonts w:ascii="Lava Std" w:eastAsia="Times New Roman" w:hAnsi="Lava Std" w:cs="Times New Roman"/>
          <w:color w:val="282828"/>
          <w:spacing w:val="-2"/>
          <w:sz w:val="24"/>
          <w:szCs w:val="24"/>
          <w:lang w:eastAsia="en-GB"/>
        </w:rPr>
        <w:t>. As illustrated by the </w:t>
      </w:r>
      <w:hyperlink r:id="rId19" w:history="1">
        <w:r w:rsidRPr="005560C9">
          <w:rPr>
            <w:rFonts w:ascii="Lava Std" w:eastAsia="Times New Roman" w:hAnsi="Lava Std" w:cs="Times New Roman"/>
            <w:color w:val="0787B1"/>
            <w:spacing w:val="-2"/>
            <w:sz w:val="24"/>
            <w:szCs w:val="24"/>
            <w:u w:val="single"/>
            <w:lang w:eastAsia="en-GB"/>
          </w:rPr>
          <w:t>leadership value chain model</w:t>
        </w:r>
      </w:hyperlink>
      <w:r w:rsidRPr="005560C9">
        <w:rPr>
          <w:rFonts w:ascii="Lava Std" w:eastAsia="Times New Roman" w:hAnsi="Lava Std" w:cs="Times New Roman"/>
          <w:color w:val="282828"/>
          <w:spacing w:val="-2"/>
          <w:sz w:val="24"/>
          <w:szCs w:val="24"/>
          <w:lang w:eastAsia="en-GB"/>
        </w:rPr>
        <w:t xml:space="preserve">, leaders’ </w:t>
      </w:r>
      <w:proofErr w:type="spellStart"/>
      <w:r w:rsidRPr="005560C9">
        <w:rPr>
          <w:rFonts w:ascii="Lava Std" w:eastAsia="Times New Roman" w:hAnsi="Lava Std" w:cs="Times New Roman"/>
          <w:color w:val="282828"/>
          <w:spacing w:val="-2"/>
          <w:sz w:val="24"/>
          <w:szCs w:val="24"/>
          <w:lang w:eastAsia="en-GB"/>
        </w:rPr>
        <w:t>behaviors</w:t>
      </w:r>
      <w:proofErr w:type="spellEnd"/>
      <w:r w:rsidRPr="005560C9">
        <w:rPr>
          <w:rFonts w:ascii="Lava Std" w:eastAsia="Times New Roman" w:hAnsi="Lava Std" w:cs="Times New Roman"/>
          <w:color w:val="282828"/>
          <w:spacing w:val="-2"/>
          <w:sz w:val="24"/>
          <w:szCs w:val="24"/>
          <w:lang w:eastAsia="en-GB"/>
        </w:rPr>
        <w:t xml:space="preserve"> — particularly what they routinely do — have a strong influence on the </w:t>
      </w:r>
      <w:proofErr w:type="spellStart"/>
      <w:r w:rsidRPr="005560C9">
        <w:rPr>
          <w:rFonts w:ascii="Lava Std" w:eastAsia="Times New Roman" w:hAnsi="Lava Std" w:cs="Times New Roman"/>
          <w:color w:val="282828"/>
          <w:spacing w:val="-2"/>
          <w:sz w:val="24"/>
          <w:szCs w:val="24"/>
          <w:lang w:eastAsia="en-GB"/>
        </w:rPr>
        <w:t>behavior</w:t>
      </w:r>
      <w:proofErr w:type="spellEnd"/>
      <w:r w:rsidRPr="005560C9">
        <w:rPr>
          <w:rFonts w:ascii="Lava Std" w:eastAsia="Times New Roman" w:hAnsi="Lava Std" w:cs="Times New Roman"/>
          <w:color w:val="282828"/>
          <w:spacing w:val="-2"/>
          <w:sz w:val="24"/>
          <w:szCs w:val="24"/>
          <w:lang w:eastAsia="en-GB"/>
        </w:rPr>
        <w:t xml:space="preserve"> and performance of their teams. And the more </w:t>
      </w:r>
      <w:hyperlink r:id="rId20" w:history="1">
        <w:r w:rsidRPr="005560C9">
          <w:rPr>
            <w:rFonts w:ascii="Lava Std" w:eastAsia="Times New Roman" w:hAnsi="Lava Std" w:cs="Times New Roman"/>
            <w:color w:val="0787B1"/>
            <w:spacing w:val="-2"/>
            <w:sz w:val="24"/>
            <w:szCs w:val="24"/>
            <w:u w:val="single"/>
            <w:lang w:eastAsia="en-GB"/>
          </w:rPr>
          <w:t>senior</w:t>
        </w:r>
      </w:hyperlink>
      <w:r w:rsidRPr="005560C9">
        <w:rPr>
          <w:rFonts w:ascii="Lava Std" w:eastAsia="Times New Roman" w:hAnsi="Lava Std" w:cs="Times New Roman"/>
          <w:color w:val="282828"/>
          <w:spacing w:val="-2"/>
          <w:sz w:val="24"/>
          <w:szCs w:val="24"/>
          <w:lang w:eastAsia="en-GB"/>
        </w:rPr>
        <w:t xml:space="preserve"> that leaders are, the more impactful their </w:t>
      </w:r>
      <w:proofErr w:type="spellStart"/>
      <w:r w:rsidRPr="005560C9">
        <w:rPr>
          <w:rFonts w:ascii="Lava Std" w:eastAsia="Times New Roman" w:hAnsi="Lava Std" w:cs="Times New Roman"/>
          <w:color w:val="282828"/>
          <w:spacing w:val="-2"/>
          <w:sz w:val="24"/>
          <w:szCs w:val="24"/>
          <w:lang w:eastAsia="en-GB"/>
        </w:rPr>
        <w:t>behaviors</w:t>
      </w:r>
      <w:proofErr w:type="spellEnd"/>
      <w:r w:rsidRPr="005560C9">
        <w:rPr>
          <w:rFonts w:ascii="Lava Std" w:eastAsia="Times New Roman" w:hAnsi="Lava Std" w:cs="Times New Roman"/>
          <w:color w:val="282828"/>
          <w:spacing w:val="-2"/>
          <w:sz w:val="24"/>
          <w:szCs w:val="24"/>
          <w:lang w:eastAsia="en-GB"/>
        </w:rPr>
        <w:t xml:space="preserve"> will be on the rest of the organization. Accordingly, if you want to nurture your team’s curiosity or unlock learning in your organization, you should practice what you preach. Start by displaying some learning and unlocking your own curiosity. It is a sort of Kantian imperative: </w:t>
      </w:r>
      <w:proofErr w:type="gramStart"/>
      <w:r w:rsidRPr="005560C9">
        <w:rPr>
          <w:rFonts w:ascii="Lava Std" w:eastAsia="Times New Roman" w:hAnsi="Lava Std" w:cs="Times New Roman"/>
          <w:color w:val="282828"/>
          <w:spacing w:val="-2"/>
          <w:sz w:val="24"/>
          <w:szCs w:val="24"/>
          <w:lang w:eastAsia="en-GB"/>
        </w:rPr>
        <w:t>Don’t</w:t>
      </w:r>
      <w:proofErr w:type="gramEnd"/>
      <w:r w:rsidRPr="005560C9">
        <w:rPr>
          <w:rFonts w:ascii="Lava Std" w:eastAsia="Times New Roman" w:hAnsi="Lava Std" w:cs="Times New Roman"/>
          <w:color w:val="282828"/>
          <w:spacing w:val="-2"/>
          <w:sz w:val="24"/>
          <w:szCs w:val="24"/>
          <w:lang w:eastAsia="en-GB"/>
        </w:rPr>
        <w:t xml:space="preserve"> ask your employees to do what you don’t do yourself. If you want people to read more, then read — and make others aware of your voracious reading habits (share your </w:t>
      </w:r>
      <w:proofErr w:type="spellStart"/>
      <w:r w:rsidRPr="005560C9">
        <w:rPr>
          <w:rFonts w:ascii="Lava Std" w:eastAsia="Times New Roman" w:hAnsi="Lava Std" w:cs="Times New Roman"/>
          <w:color w:val="282828"/>
          <w:spacing w:val="-2"/>
          <w:sz w:val="24"/>
          <w:szCs w:val="24"/>
          <w:lang w:eastAsia="en-GB"/>
        </w:rPr>
        <w:t>favorite</w:t>
      </w:r>
      <w:proofErr w:type="spellEnd"/>
      <w:r w:rsidRPr="005560C9">
        <w:rPr>
          <w:rFonts w:ascii="Lava Std" w:eastAsia="Times New Roman" w:hAnsi="Lava Std" w:cs="Times New Roman"/>
          <w:color w:val="282828"/>
          <w:spacing w:val="-2"/>
          <w:sz w:val="24"/>
          <w:szCs w:val="24"/>
          <w:lang w:eastAsia="en-GB"/>
        </w:rPr>
        <w:t xml:space="preserve"> books or most recent learnings with them). If you want them to take on novel and challenging tasks, then take on novel and challenging tasks yourself. For example, learn a new skill, volunteer to work on something unrelated to your main job, or take on tasks outside your comfort zone even if you are not good at it — you will be able to show that with a bit of curiosity and discipline you can get better, and this should inspire others. And if you want them to question the status quo and be critical and nonconformist, then </w:t>
      </w:r>
      <w:proofErr w:type="gramStart"/>
      <w:r w:rsidRPr="005560C9">
        <w:rPr>
          <w:rFonts w:ascii="Lava Std" w:eastAsia="Times New Roman" w:hAnsi="Lava Std" w:cs="Times New Roman"/>
          <w:color w:val="282828"/>
          <w:spacing w:val="-2"/>
          <w:sz w:val="24"/>
          <w:szCs w:val="24"/>
          <w:lang w:eastAsia="en-GB"/>
        </w:rPr>
        <w:t>don’t</w:t>
      </w:r>
      <w:proofErr w:type="gramEnd"/>
      <w:r w:rsidRPr="005560C9">
        <w:rPr>
          <w:rFonts w:ascii="Lava Std" w:eastAsia="Times New Roman" w:hAnsi="Lava Std" w:cs="Times New Roman"/>
          <w:color w:val="282828"/>
          <w:spacing w:val="-2"/>
          <w:sz w:val="24"/>
          <w:szCs w:val="24"/>
          <w:lang w:eastAsia="en-GB"/>
        </w:rPr>
        <w:t xml:space="preserve"> be a sucker for order and rules!</w:t>
      </w:r>
    </w:p>
    <w:p w14:paraId="3734EAE3" w14:textId="77777777" w:rsidR="005560C9" w:rsidRPr="005560C9" w:rsidRDefault="005560C9" w:rsidP="005560C9">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5560C9">
        <w:rPr>
          <w:rFonts w:ascii="Lava Std" w:eastAsia="Times New Roman" w:hAnsi="Lava Std" w:cs="Times New Roman"/>
          <w:b/>
          <w:bCs/>
          <w:color w:val="282828"/>
          <w:spacing w:val="-2"/>
          <w:sz w:val="24"/>
          <w:szCs w:val="24"/>
          <w:lang w:eastAsia="en-GB"/>
        </w:rPr>
        <w:t>Hire curious people.</w:t>
      </w:r>
      <w:r w:rsidRPr="005560C9">
        <w:rPr>
          <w:rFonts w:ascii="Lava Std" w:eastAsia="Times New Roman" w:hAnsi="Lava Std" w:cs="Times New Roman"/>
          <w:color w:val="282828"/>
          <w:spacing w:val="-2"/>
          <w:sz w:val="24"/>
          <w:szCs w:val="24"/>
          <w:lang w:eastAsia="en-GB"/>
        </w:rPr>
        <w:t xml:space="preserve"> Too often with big management problems, we focus on training and development while undermining the importance of proper selection. But the reality is that </w:t>
      </w:r>
      <w:proofErr w:type="gramStart"/>
      <w:r w:rsidRPr="005560C9">
        <w:rPr>
          <w:rFonts w:ascii="Lava Std" w:eastAsia="Times New Roman" w:hAnsi="Lava Std" w:cs="Times New Roman"/>
          <w:color w:val="282828"/>
          <w:spacing w:val="-2"/>
          <w:sz w:val="24"/>
          <w:szCs w:val="24"/>
          <w:lang w:eastAsia="en-GB"/>
        </w:rPr>
        <w:t>it’s</w:t>
      </w:r>
      <w:proofErr w:type="gramEnd"/>
      <w:r w:rsidRPr="005560C9">
        <w:rPr>
          <w:rFonts w:ascii="Lava Std" w:eastAsia="Times New Roman" w:hAnsi="Lava Std" w:cs="Times New Roman"/>
          <w:color w:val="282828"/>
          <w:spacing w:val="-2"/>
          <w:sz w:val="24"/>
          <w:szCs w:val="24"/>
          <w:lang w:eastAsia="en-GB"/>
        </w:rPr>
        <w:t xml:space="preserve"> easier to prevent and predict than to fix and change. When selection works, </w:t>
      </w:r>
      <w:proofErr w:type="gramStart"/>
      <w:r w:rsidRPr="005560C9">
        <w:rPr>
          <w:rFonts w:ascii="Lava Std" w:eastAsia="Times New Roman" w:hAnsi="Lava Std" w:cs="Times New Roman"/>
          <w:color w:val="282828"/>
          <w:spacing w:val="-2"/>
          <w:sz w:val="24"/>
          <w:szCs w:val="24"/>
          <w:lang w:eastAsia="en-GB"/>
        </w:rPr>
        <w:t>there’s</w:t>
      </w:r>
      <w:proofErr w:type="gramEnd"/>
      <w:r w:rsidRPr="005560C9">
        <w:rPr>
          <w:rFonts w:ascii="Lava Std" w:eastAsia="Times New Roman" w:hAnsi="Lava Std" w:cs="Times New Roman"/>
          <w:color w:val="282828"/>
          <w:spacing w:val="-2"/>
          <w:sz w:val="24"/>
          <w:szCs w:val="24"/>
          <w:lang w:eastAsia="en-GB"/>
        </w:rPr>
        <w:t xml:space="preserve"> far less need for training and development, and good selection makes training and development much more effective because it is easier to augment potential than to go against someone’s nature. Learning and curiosity are no exception: If you hire people who are naturally curious, and maximize the fit between their interests and the role they are in, you will not have to worry so much about their willingness to learn or be on their case </w:t>
      </w:r>
      <w:r w:rsidRPr="005560C9">
        <w:rPr>
          <w:rFonts w:ascii="Lava Std" w:eastAsia="Times New Roman" w:hAnsi="Lava Std" w:cs="Times New Roman"/>
          <w:color w:val="282828"/>
          <w:spacing w:val="-2"/>
          <w:sz w:val="24"/>
          <w:szCs w:val="24"/>
          <w:lang w:eastAsia="en-GB"/>
        </w:rPr>
        <w:lastRenderedPageBreak/>
        <w:t>to unlock their curiosity. Fortunately, </w:t>
      </w:r>
      <w:hyperlink r:id="rId21" w:history="1">
        <w:r w:rsidRPr="005560C9">
          <w:rPr>
            <w:rFonts w:ascii="Lava Std" w:eastAsia="Times New Roman" w:hAnsi="Lava Std" w:cs="Times New Roman"/>
            <w:color w:val="0787B1"/>
            <w:spacing w:val="-2"/>
            <w:sz w:val="24"/>
            <w:szCs w:val="24"/>
            <w:u w:val="single"/>
            <w:lang w:eastAsia="en-GB"/>
          </w:rPr>
          <w:t>meta-analytic studies</w:t>
        </w:r>
      </w:hyperlink>
      <w:r w:rsidRPr="005560C9">
        <w:rPr>
          <w:rFonts w:ascii="Lava Std" w:eastAsia="Times New Roman" w:hAnsi="Lava Std" w:cs="Times New Roman"/>
          <w:color w:val="282828"/>
          <w:spacing w:val="-2"/>
          <w:sz w:val="24"/>
          <w:szCs w:val="24"/>
          <w:lang w:eastAsia="en-GB"/>
        </w:rPr>
        <w:t> provide a detailed catalogue of traits — and their corresponding measures — that increase an individual’s propensity to learn and develop intellectually, even after adulthood. And there is a well-established science to predicting people’s probability of displaying such traits (for example, personality assessments measuring openness to new experience, tolerance for ambiguity, critical thinking, and inquisitiveness). Likewise, </w:t>
      </w:r>
      <w:hyperlink r:id="rId22" w:history="1">
        <w:r w:rsidRPr="005560C9">
          <w:rPr>
            <w:rFonts w:ascii="Lava Std" w:eastAsia="Times New Roman" w:hAnsi="Lava Std" w:cs="Times New Roman"/>
            <w:color w:val="0787B1"/>
            <w:spacing w:val="-2"/>
            <w:sz w:val="24"/>
            <w:szCs w:val="24"/>
            <w:u w:val="single"/>
            <w:lang w:eastAsia="en-GB"/>
          </w:rPr>
          <w:t>decades of research</w:t>
        </w:r>
      </w:hyperlink>
      <w:r w:rsidRPr="005560C9">
        <w:rPr>
          <w:rFonts w:ascii="Lava Std" w:eastAsia="Times New Roman" w:hAnsi="Lava Std" w:cs="Times New Roman"/>
          <w:color w:val="282828"/>
          <w:spacing w:val="-2"/>
          <w:sz w:val="24"/>
          <w:szCs w:val="24"/>
          <w:lang w:eastAsia="en-GB"/>
        </w:rPr>
        <w:t> into vocational interests show that aligning people’s drive and interests to the characteristics of the job and culture of the organization tends to increase not just their motivation to learn but also their performance.</w:t>
      </w:r>
    </w:p>
    <w:p w14:paraId="0423DFEF" w14:textId="77777777" w:rsidR="005560C9" w:rsidRPr="005560C9" w:rsidRDefault="005560C9" w:rsidP="005560C9">
      <w:pPr>
        <w:shd w:val="clear" w:color="auto" w:fill="FFFFFF"/>
        <w:spacing w:before="100" w:beforeAutospacing="1" w:after="100" w:afterAutospacing="1" w:line="240" w:lineRule="auto"/>
        <w:rPr>
          <w:rFonts w:ascii="Lava Std" w:eastAsia="Times New Roman" w:hAnsi="Lava Std" w:cs="Times New Roman"/>
          <w:color w:val="282828"/>
          <w:spacing w:val="-2"/>
          <w:sz w:val="24"/>
          <w:szCs w:val="24"/>
          <w:lang w:eastAsia="en-GB"/>
        </w:rPr>
      </w:pPr>
      <w:r w:rsidRPr="005560C9">
        <w:rPr>
          <w:rFonts w:ascii="Lava Std" w:eastAsia="Times New Roman" w:hAnsi="Lava Std" w:cs="Times New Roman"/>
          <w:color w:val="282828"/>
          <w:spacing w:val="-2"/>
          <w:sz w:val="24"/>
          <w:szCs w:val="24"/>
          <w:lang w:eastAsia="en-GB"/>
        </w:rPr>
        <w:t xml:space="preserve">In sum, if you want to nurture curiosity and learning in your employees, </w:t>
      </w:r>
      <w:proofErr w:type="gramStart"/>
      <w:r w:rsidRPr="005560C9">
        <w:rPr>
          <w:rFonts w:ascii="Lava Std" w:eastAsia="Times New Roman" w:hAnsi="Lava Std" w:cs="Times New Roman"/>
          <w:color w:val="282828"/>
          <w:spacing w:val="-2"/>
          <w:sz w:val="24"/>
          <w:szCs w:val="24"/>
          <w:lang w:eastAsia="en-GB"/>
        </w:rPr>
        <w:t>there’s</w:t>
      </w:r>
      <w:proofErr w:type="gramEnd"/>
      <w:r w:rsidRPr="005560C9">
        <w:rPr>
          <w:rFonts w:ascii="Lava Std" w:eastAsia="Times New Roman" w:hAnsi="Lava Std" w:cs="Times New Roman"/>
          <w:color w:val="282828"/>
          <w:spacing w:val="-2"/>
          <w:sz w:val="24"/>
          <w:szCs w:val="24"/>
          <w:lang w:eastAsia="en-GB"/>
        </w:rPr>
        <w:t xml:space="preserve"> no need to rely on your organization’s formal learning and development programs. Reinforcing positive learning </w:t>
      </w:r>
      <w:proofErr w:type="spellStart"/>
      <w:r w:rsidRPr="005560C9">
        <w:rPr>
          <w:rFonts w:ascii="Lava Std" w:eastAsia="Times New Roman" w:hAnsi="Lava Std" w:cs="Times New Roman"/>
          <w:color w:val="282828"/>
          <w:spacing w:val="-2"/>
          <w:sz w:val="24"/>
          <w:szCs w:val="24"/>
          <w:lang w:eastAsia="en-GB"/>
        </w:rPr>
        <w:t>behaviors</w:t>
      </w:r>
      <w:proofErr w:type="spellEnd"/>
      <w:r w:rsidRPr="005560C9">
        <w:rPr>
          <w:rFonts w:ascii="Lava Std" w:eastAsia="Times New Roman" w:hAnsi="Lava Std" w:cs="Times New Roman"/>
          <w:color w:val="282828"/>
          <w:spacing w:val="-2"/>
          <w:sz w:val="24"/>
          <w:szCs w:val="24"/>
          <w:lang w:eastAsia="en-GB"/>
        </w:rPr>
        <w:t>, giving constructive and critical feedback to align employees’ efforts with the right learning goals, showcasing your own curiosity, and hiring people with high learnability and a </w:t>
      </w:r>
      <w:hyperlink r:id="rId23" w:history="1">
        <w:r w:rsidRPr="005560C9">
          <w:rPr>
            <w:rFonts w:ascii="Lava Std" w:eastAsia="Times New Roman" w:hAnsi="Lava Std" w:cs="Times New Roman"/>
            <w:color w:val="0787B1"/>
            <w:spacing w:val="-2"/>
            <w:sz w:val="24"/>
            <w:szCs w:val="24"/>
            <w:u w:val="single"/>
            <w:lang w:eastAsia="en-GB"/>
          </w:rPr>
          <w:t>hungry mind</w:t>
        </w:r>
      </w:hyperlink>
      <w:r w:rsidRPr="005560C9">
        <w:rPr>
          <w:rFonts w:ascii="Lava Std" w:eastAsia="Times New Roman" w:hAnsi="Lava Std" w:cs="Times New Roman"/>
          <w:color w:val="282828"/>
          <w:spacing w:val="-2"/>
          <w:sz w:val="24"/>
          <w:szCs w:val="24"/>
          <w:lang w:eastAsia="en-GB"/>
        </w:rPr>
        <w:t> are all likely to create a stronger learning culture within your team and your organization.</w:t>
      </w:r>
    </w:p>
    <w:p w14:paraId="5A27E707" w14:textId="77777777" w:rsidR="00E6238B" w:rsidRDefault="00E6238B"/>
    <w:sectPr w:rsidR="00E623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T America">
    <w:altName w:val="Cambria"/>
    <w:panose1 w:val="00000000000000000000"/>
    <w:charset w:val="00"/>
    <w:family w:val="roman"/>
    <w:notTrueType/>
    <w:pitch w:val="default"/>
  </w:font>
  <w:font w:name="inherit">
    <w:altName w:val="Cambria"/>
    <w:panose1 w:val="00000000000000000000"/>
    <w:charset w:val="00"/>
    <w:family w:val="roman"/>
    <w:notTrueType/>
    <w:pitch w:val="default"/>
  </w:font>
  <w:font w:name="Lava Std">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F72897"/>
    <w:multiLevelType w:val="multilevel"/>
    <w:tmpl w:val="B262E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AD1BFE"/>
    <w:multiLevelType w:val="multilevel"/>
    <w:tmpl w:val="1CF06B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316126"/>
    <w:multiLevelType w:val="multilevel"/>
    <w:tmpl w:val="703E5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AC42BE9"/>
    <w:multiLevelType w:val="multilevel"/>
    <w:tmpl w:val="8A7AC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60C9"/>
    <w:rsid w:val="005560C9"/>
    <w:rsid w:val="00E623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3FB8E2"/>
  <w15:chartTrackingRefBased/>
  <w15:docId w15:val="{181CA5C8-D7B4-4CF9-9B8B-63EF6DF379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5560C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81518491">
      <w:bodyDiv w:val="1"/>
      <w:marLeft w:val="0"/>
      <w:marRight w:val="0"/>
      <w:marTop w:val="0"/>
      <w:marBottom w:val="0"/>
      <w:divBdr>
        <w:top w:val="none" w:sz="0" w:space="0" w:color="auto"/>
        <w:left w:val="none" w:sz="0" w:space="0" w:color="auto"/>
        <w:bottom w:val="none" w:sz="0" w:space="0" w:color="auto"/>
        <w:right w:val="none" w:sz="0" w:space="0" w:color="auto"/>
      </w:divBdr>
      <w:divsChild>
        <w:div w:id="2096780221">
          <w:marLeft w:val="0"/>
          <w:marRight w:val="0"/>
          <w:marTop w:val="0"/>
          <w:marBottom w:val="0"/>
          <w:divBdr>
            <w:top w:val="none" w:sz="0" w:space="0" w:color="auto"/>
            <w:left w:val="none" w:sz="0" w:space="0" w:color="auto"/>
            <w:bottom w:val="none" w:sz="0" w:space="0" w:color="auto"/>
            <w:right w:val="none" w:sz="0" w:space="0" w:color="auto"/>
          </w:divBdr>
          <w:divsChild>
            <w:div w:id="1772387824">
              <w:marLeft w:val="0"/>
              <w:marRight w:val="0"/>
              <w:marTop w:val="0"/>
              <w:marBottom w:val="0"/>
              <w:divBdr>
                <w:top w:val="none" w:sz="0" w:space="0" w:color="auto"/>
                <w:left w:val="none" w:sz="0" w:space="0" w:color="auto"/>
                <w:bottom w:val="none" w:sz="0" w:space="0" w:color="auto"/>
                <w:right w:val="none" w:sz="0" w:space="0" w:color="auto"/>
              </w:divBdr>
              <w:divsChild>
                <w:div w:id="238831911">
                  <w:marLeft w:val="0"/>
                  <w:marRight w:val="0"/>
                  <w:marTop w:val="0"/>
                  <w:marBottom w:val="0"/>
                  <w:divBdr>
                    <w:top w:val="none" w:sz="0" w:space="0" w:color="auto"/>
                    <w:left w:val="none" w:sz="0" w:space="0" w:color="auto"/>
                    <w:bottom w:val="none" w:sz="0" w:space="0" w:color="auto"/>
                    <w:right w:val="none" w:sz="0" w:space="0" w:color="auto"/>
                  </w:divBdr>
                </w:div>
                <w:div w:id="1816986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015084">
          <w:marLeft w:val="0"/>
          <w:marRight w:val="0"/>
          <w:marTop w:val="0"/>
          <w:marBottom w:val="0"/>
          <w:divBdr>
            <w:top w:val="none" w:sz="0" w:space="0" w:color="auto"/>
            <w:left w:val="none" w:sz="0" w:space="0" w:color="auto"/>
            <w:bottom w:val="none" w:sz="0" w:space="0" w:color="auto"/>
            <w:right w:val="none" w:sz="0" w:space="0" w:color="auto"/>
          </w:divBdr>
          <w:divsChild>
            <w:div w:id="1216046861">
              <w:marLeft w:val="0"/>
              <w:marRight w:val="0"/>
              <w:marTop w:val="0"/>
              <w:marBottom w:val="0"/>
              <w:divBdr>
                <w:top w:val="none" w:sz="0" w:space="0" w:color="auto"/>
                <w:left w:val="none" w:sz="0" w:space="0" w:color="auto"/>
                <w:bottom w:val="none" w:sz="0" w:space="0" w:color="auto"/>
                <w:right w:val="none" w:sz="0" w:space="0" w:color="auto"/>
              </w:divBdr>
              <w:divsChild>
                <w:div w:id="1342856227">
                  <w:marLeft w:val="3798"/>
                  <w:marRight w:val="0"/>
                  <w:marTop w:val="0"/>
                  <w:marBottom w:val="0"/>
                  <w:divBdr>
                    <w:top w:val="none" w:sz="0" w:space="0" w:color="auto"/>
                    <w:left w:val="none" w:sz="0" w:space="0" w:color="auto"/>
                    <w:bottom w:val="none" w:sz="0" w:space="0" w:color="auto"/>
                    <w:right w:val="none" w:sz="0" w:space="0" w:color="auto"/>
                  </w:divBdr>
                  <w:divsChild>
                    <w:div w:id="1404793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8544947">
          <w:marLeft w:val="0"/>
          <w:marRight w:val="0"/>
          <w:marTop w:val="0"/>
          <w:marBottom w:val="0"/>
          <w:divBdr>
            <w:top w:val="none" w:sz="0" w:space="0" w:color="auto"/>
            <w:left w:val="none" w:sz="0" w:space="0" w:color="auto"/>
            <w:bottom w:val="none" w:sz="0" w:space="0" w:color="auto"/>
            <w:right w:val="none" w:sz="0" w:space="0" w:color="auto"/>
          </w:divBdr>
          <w:divsChild>
            <w:div w:id="1853643255">
              <w:marLeft w:val="3798"/>
              <w:marRight w:val="0"/>
              <w:marTop w:val="0"/>
              <w:marBottom w:val="0"/>
              <w:divBdr>
                <w:top w:val="none" w:sz="0" w:space="0" w:color="auto"/>
                <w:left w:val="none" w:sz="0" w:space="0" w:color="auto"/>
                <w:bottom w:val="none" w:sz="0" w:space="0" w:color="auto"/>
                <w:right w:val="none" w:sz="0" w:space="0" w:color="auto"/>
              </w:divBdr>
              <w:divsChild>
                <w:div w:id="1885361098">
                  <w:marLeft w:val="0"/>
                  <w:marRight w:val="-5664"/>
                  <w:marTop w:val="0"/>
                  <w:marBottom w:val="0"/>
                  <w:divBdr>
                    <w:top w:val="none" w:sz="0" w:space="0" w:color="auto"/>
                    <w:left w:val="none" w:sz="0" w:space="0" w:color="auto"/>
                    <w:bottom w:val="none" w:sz="0" w:space="0" w:color="auto"/>
                    <w:right w:val="none" w:sz="0" w:space="0" w:color="auto"/>
                  </w:divBdr>
                  <w:divsChild>
                    <w:div w:id="906918823">
                      <w:marLeft w:val="0"/>
                      <w:marRight w:val="0"/>
                      <w:marTop w:val="0"/>
                      <w:marBottom w:val="0"/>
                      <w:divBdr>
                        <w:top w:val="none" w:sz="0" w:space="0" w:color="auto"/>
                        <w:left w:val="none" w:sz="0" w:space="0" w:color="auto"/>
                        <w:bottom w:val="none" w:sz="0" w:space="0" w:color="auto"/>
                        <w:right w:val="none" w:sz="0" w:space="0" w:color="auto"/>
                      </w:divBdr>
                      <w:divsChild>
                        <w:div w:id="902373403">
                          <w:marLeft w:val="0"/>
                          <w:marRight w:val="0"/>
                          <w:marTop w:val="0"/>
                          <w:marBottom w:val="0"/>
                          <w:divBdr>
                            <w:top w:val="none" w:sz="0" w:space="0" w:color="auto"/>
                            <w:left w:val="none" w:sz="0" w:space="0" w:color="auto"/>
                            <w:bottom w:val="none" w:sz="0" w:space="0" w:color="auto"/>
                            <w:right w:val="none" w:sz="0" w:space="0" w:color="auto"/>
                          </w:divBdr>
                          <w:divsChild>
                            <w:div w:id="903949567">
                              <w:marLeft w:val="0"/>
                              <w:marRight w:val="0"/>
                              <w:marTop w:val="0"/>
                              <w:marBottom w:val="0"/>
                              <w:divBdr>
                                <w:top w:val="none" w:sz="0" w:space="0" w:color="auto"/>
                                <w:left w:val="none" w:sz="0" w:space="0" w:color="auto"/>
                                <w:bottom w:val="none" w:sz="0" w:space="0" w:color="auto"/>
                                <w:right w:val="none" w:sz="0" w:space="0" w:color="auto"/>
                              </w:divBdr>
                              <w:divsChild>
                                <w:div w:id="1857302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5212871">
                      <w:marLeft w:val="0"/>
                      <w:marRight w:val="0"/>
                      <w:marTop w:val="0"/>
                      <w:marBottom w:val="0"/>
                      <w:divBdr>
                        <w:top w:val="none" w:sz="0" w:space="0" w:color="auto"/>
                        <w:left w:val="none" w:sz="0" w:space="0" w:color="auto"/>
                        <w:bottom w:val="none" w:sz="0" w:space="0" w:color="auto"/>
                        <w:right w:val="none" w:sz="0" w:space="0" w:color="auto"/>
                      </w:divBdr>
                      <w:divsChild>
                        <w:div w:id="124589754">
                          <w:marLeft w:val="0"/>
                          <w:marRight w:val="0"/>
                          <w:marTop w:val="0"/>
                          <w:marBottom w:val="0"/>
                          <w:divBdr>
                            <w:top w:val="none" w:sz="0" w:space="0" w:color="auto"/>
                            <w:left w:val="none" w:sz="0" w:space="0" w:color="auto"/>
                            <w:bottom w:val="none" w:sz="0" w:space="0" w:color="auto"/>
                            <w:right w:val="none" w:sz="0" w:space="0" w:color="auto"/>
                          </w:divBdr>
                          <w:divsChild>
                            <w:div w:id="1096708911">
                              <w:marLeft w:val="0"/>
                              <w:marRight w:val="0"/>
                              <w:marTop w:val="0"/>
                              <w:marBottom w:val="0"/>
                              <w:divBdr>
                                <w:top w:val="none" w:sz="0" w:space="0" w:color="auto"/>
                                <w:left w:val="none" w:sz="0" w:space="0" w:color="auto"/>
                                <w:bottom w:val="none" w:sz="0" w:space="0" w:color="auto"/>
                                <w:right w:val="none" w:sz="0" w:space="0" w:color="auto"/>
                              </w:divBdr>
                              <w:divsChild>
                                <w:div w:id="1339312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9251942">
                      <w:marLeft w:val="0"/>
                      <w:marRight w:val="0"/>
                      <w:marTop w:val="0"/>
                      <w:marBottom w:val="0"/>
                      <w:divBdr>
                        <w:top w:val="none" w:sz="0" w:space="0" w:color="auto"/>
                        <w:left w:val="none" w:sz="0" w:space="0" w:color="auto"/>
                        <w:bottom w:val="none" w:sz="0" w:space="0" w:color="auto"/>
                        <w:right w:val="none" w:sz="0" w:space="0" w:color="auto"/>
                      </w:divBdr>
                      <w:divsChild>
                        <w:div w:id="1040664959">
                          <w:marLeft w:val="0"/>
                          <w:marRight w:val="0"/>
                          <w:marTop w:val="0"/>
                          <w:marBottom w:val="0"/>
                          <w:divBdr>
                            <w:top w:val="none" w:sz="0" w:space="0" w:color="auto"/>
                            <w:left w:val="none" w:sz="0" w:space="0" w:color="auto"/>
                            <w:bottom w:val="none" w:sz="0" w:space="0" w:color="auto"/>
                            <w:right w:val="none" w:sz="0" w:space="0" w:color="auto"/>
                          </w:divBdr>
                          <w:divsChild>
                            <w:div w:id="71896236">
                              <w:marLeft w:val="0"/>
                              <w:marRight w:val="0"/>
                              <w:marTop w:val="0"/>
                              <w:marBottom w:val="0"/>
                              <w:divBdr>
                                <w:top w:val="none" w:sz="0" w:space="0" w:color="auto"/>
                                <w:left w:val="none" w:sz="0" w:space="0" w:color="auto"/>
                                <w:bottom w:val="none" w:sz="0" w:space="0" w:color="auto"/>
                                <w:right w:val="none" w:sz="0" w:space="0" w:color="auto"/>
                              </w:divBdr>
                              <w:divsChild>
                                <w:div w:id="1622027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7402339">
                  <w:marLeft w:val="0"/>
                  <w:marRight w:val="0"/>
                  <w:marTop w:val="0"/>
                  <w:marBottom w:val="0"/>
                  <w:divBdr>
                    <w:top w:val="none" w:sz="0" w:space="0" w:color="auto"/>
                    <w:left w:val="none" w:sz="0" w:space="0" w:color="auto"/>
                    <w:bottom w:val="none" w:sz="0" w:space="0" w:color="auto"/>
                    <w:right w:val="none" w:sz="0" w:space="0" w:color="auto"/>
                  </w:divBdr>
                  <w:divsChild>
                    <w:div w:id="452527425">
                      <w:marLeft w:val="0"/>
                      <w:marRight w:val="0"/>
                      <w:marTop w:val="0"/>
                      <w:marBottom w:val="0"/>
                      <w:divBdr>
                        <w:top w:val="none" w:sz="0" w:space="0" w:color="auto"/>
                        <w:left w:val="none" w:sz="0" w:space="0" w:color="auto"/>
                        <w:bottom w:val="none" w:sz="0" w:space="0" w:color="auto"/>
                        <w:right w:val="none" w:sz="0" w:space="0" w:color="auto"/>
                      </w:divBdr>
                    </w:div>
                    <w:div w:id="112213230">
                      <w:marLeft w:val="0"/>
                      <w:marRight w:val="0"/>
                      <w:marTop w:val="0"/>
                      <w:marBottom w:val="0"/>
                      <w:divBdr>
                        <w:top w:val="none" w:sz="0" w:space="0" w:color="auto"/>
                        <w:left w:val="none" w:sz="0" w:space="0" w:color="auto"/>
                        <w:bottom w:val="none" w:sz="0" w:space="0" w:color="auto"/>
                        <w:right w:val="none" w:sz="0" w:space="0" w:color="auto"/>
                      </w:divBdr>
                      <w:divsChild>
                        <w:div w:id="744717691">
                          <w:marLeft w:val="0"/>
                          <w:marRight w:val="0"/>
                          <w:marTop w:val="0"/>
                          <w:marBottom w:val="0"/>
                          <w:divBdr>
                            <w:top w:val="none" w:sz="0" w:space="0" w:color="auto"/>
                            <w:left w:val="none" w:sz="0" w:space="0" w:color="auto"/>
                            <w:bottom w:val="none" w:sz="0" w:space="0" w:color="auto"/>
                            <w:right w:val="none" w:sz="0" w:space="0" w:color="auto"/>
                          </w:divBdr>
                          <w:divsChild>
                            <w:div w:id="880556641">
                              <w:marLeft w:val="0"/>
                              <w:marRight w:val="0"/>
                              <w:marTop w:val="0"/>
                              <w:marBottom w:val="0"/>
                              <w:divBdr>
                                <w:top w:val="none" w:sz="0" w:space="0" w:color="auto"/>
                                <w:left w:val="none" w:sz="0" w:space="0" w:color="auto"/>
                                <w:bottom w:val="none" w:sz="0" w:space="0" w:color="auto"/>
                                <w:right w:val="none" w:sz="0" w:space="0" w:color="auto"/>
                              </w:divBdr>
                              <w:divsChild>
                                <w:div w:id="1997341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npowergroup.com/workforce-insights/expertise/learnability-quotient" TargetMode="External"/><Relationship Id="rId13" Type="http://schemas.openxmlformats.org/officeDocument/2006/relationships/hyperlink" Target="https://hbr.org/2018/06/too-much-team-harmony-can-kill-creativity" TargetMode="External"/><Relationship Id="rId18" Type="http://schemas.openxmlformats.org/officeDocument/2006/relationships/hyperlink" Target="http://psycnet.apa.org/buy/1991-23978-001" TargetMode="External"/><Relationship Id="rId3" Type="http://schemas.openxmlformats.org/officeDocument/2006/relationships/settings" Target="settings.xml"/><Relationship Id="rId21" Type="http://schemas.openxmlformats.org/officeDocument/2006/relationships/hyperlink" Target="http://www.hungrymindlab.com/wp-content/uploads/2015/10/von-Stumm-and-Ackerman-2012.pdf" TargetMode="External"/><Relationship Id="rId7" Type="http://schemas.openxmlformats.org/officeDocument/2006/relationships/hyperlink" Target="https://learning.linkedin.com/blog/top-skills/the-skills-companies-need-most-in-2018--and-the-courses-to-get-t" TargetMode="External"/><Relationship Id="rId12" Type="http://schemas.openxmlformats.org/officeDocument/2006/relationships/hyperlink" Target="https://joshbersin.com/2018/06/a-new-paradigm-for-corporate-training-learning-in-the-flow-of-work/" TargetMode="External"/><Relationship Id="rId17" Type="http://schemas.openxmlformats.org/officeDocument/2006/relationships/hyperlink" Target="http://psycnet.apa.org/record/2010-06018-009"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psycnet.apa.org/buy/1999-15054-002" TargetMode="External"/><Relationship Id="rId20" Type="http://schemas.openxmlformats.org/officeDocument/2006/relationships/hyperlink" Target="https://link.springer.com/referenceworkentry/10.1057%2F978-1-349-94848-2_785-1" TargetMode="External"/><Relationship Id="rId1" Type="http://schemas.openxmlformats.org/officeDocument/2006/relationships/numbering" Target="numbering.xml"/><Relationship Id="rId6" Type="http://schemas.openxmlformats.org/officeDocument/2006/relationships/hyperlink" Target="https://hbr.org/search?term=josh%20bersin" TargetMode="External"/><Relationship Id="rId11" Type="http://schemas.openxmlformats.org/officeDocument/2006/relationships/hyperlink" Target="https://joshbersin.com/2010/06/how-to-build-a-high-impact-learning-culture/" TargetMode="External"/><Relationship Id="rId24" Type="http://schemas.openxmlformats.org/officeDocument/2006/relationships/fontTable" Target="fontTable.xml"/><Relationship Id="rId5" Type="http://schemas.openxmlformats.org/officeDocument/2006/relationships/hyperlink" Target="https://hbr.org/search?term=tomas%20chamorro-premuzic" TargetMode="External"/><Relationship Id="rId15" Type="http://schemas.openxmlformats.org/officeDocument/2006/relationships/hyperlink" Target="http://drjlitman.net/wp-content/uploads/2013/11/Litman-Hutchins-Russon-2005.pdf" TargetMode="External"/><Relationship Id="rId23" Type="http://schemas.openxmlformats.org/officeDocument/2006/relationships/hyperlink" Target="http://journals.sagepub.com/doi/abs/10.1177/1745691611421204" TargetMode="External"/><Relationship Id="rId10" Type="http://schemas.openxmlformats.org/officeDocument/2006/relationships/hyperlink" Target="https://www.shrm.org/hr-today/news/hr-magazine/pages/0515-learning-culture.aspx" TargetMode="External"/><Relationship Id="rId19" Type="http://schemas.openxmlformats.org/officeDocument/2006/relationships/hyperlink" Target="http://kaplandevries.com/images/uploads/LeadershipValueChain_TPMJ2010.pdf" TargetMode="External"/><Relationship Id="rId4" Type="http://schemas.openxmlformats.org/officeDocument/2006/relationships/webSettings" Target="webSettings.xml"/><Relationship Id="rId9" Type="http://schemas.openxmlformats.org/officeDocument/2006/relationships/hyperlink" Target="https://www.shrm.org/hr-today/news/hr-magazine/pages/0515-learning-culture.aspx" TargetMode="External"/><Relationship Id="rId14" Type="http://schemas.openxmlformats.org/officeDocument/2006/relationships/hyperlink" Target="https://faculty.chicagobooth.edu/ayelet.fishbach/research/FEF%20Compass%202010.pdf" TargetMode="External"/><Relationship Id="rId22" Type="http://schemas.openxmlformats.org/officeDocument/2006/relationships/hyperlink" Target="https://education.illinois.edu/docs/default-source/edpsy-documents/rounds-pub.pdf?sfvrsn=8eb1b786_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1472</Words>
  <Characters>8394</Characters>
  <Application>Microsoft Office Word</Application>
  <DocSecurity>0</DocSecurity>
  <Lines>69</Lines>
  <Paragraphs>19</Paragraphs>
  <ScaleCrop>false</ScaleCrop>
  <Company/>
  <LinksUpToDate>false</LinksUpToDate>
  <CharactersWithSpaces>9847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Rees</dc:creator>
  <cp:keywords/>
  <dc:description/>
  <cp:lastModifiedBy>Deborah Rees</cp:lastModifiedBy>
  <cp:revision>1</cp:revision>
  <dcterms:created xsi:type="dcterms:W3CDTF">2020-08-17T14:45:00Z</dcterms:created>
  <dcterms:modified xsi:type="dcterms:W3CDTF">2020-08-17T14:47:00Z</dcterms:modified>
</cp:coreProperties>
</file>