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208F" w:rsidRDefault="009346EC" w:rsidP="009346EC">
      <w:pPr>
        <w:tabs>
          <w:tab w:val="left" w:pos="1691"/>
        </w:tabs>
      </w:pPr>
      <w:r>
        <w:t xml:space="preserve">Self-defence is the most common defence to homicide, defending their self or others (the individual for whom the murder took place, they must be able to testify with reasons.). </w:t>
      </w:r>
      <w:proofErr w:type="gramStart"/>
      <w:r>
        <w:t>Or</w:t>
      </w:r>
      <w:proofErr w:type="gramEnd"/>
      <w:r>
        <w:t xml:space="preserve"> if the murder took place accidentally, for example, a group went hunting, and one man tripped over, and accidentally the trigger went off, and killed another member of the group of hunters. Which other group members can testify. The role of the crown prosecutor (CPS full test) plays major part in gathering evidence, alongside the police with their PACE codes, particularly PACE act 1984, section 24a and section 24a (1) where the police do not need arrest warrant, to arrest a suspect where a suspect committed an indictable offence (legislation.gov.uk, 2011). </w:t>
      </w:r>
    </w:p>
    <w:p w:rsidR="009346EC" w:rsidRDefault="009346EC" w:rsidP="009346EC">
      <w:pPr>
        <w:tabs>
          <w:tab w:val="left" w:pos="1691"/>
        </w:tabs>
      </w:pPr>
      <w:proofErr w:type="gramStart"/>
      <w:r>
        <w:t>To understand the criminal law, one will have to understand Mens rea (the criminal mind that cannot be seen), and actus reus (the physical act that can be seen), On the other hand, there is strict liability, which exist in both criminal, and tort law for minor crime not major, for crimes where one did not mean to commit, and where prosecution is not required to prove Mens rea (LexisNexis, 2003)).</w:t>
      </w:r>
      <w:proofErr w:type="gramEnd"/>
      <w:r>
        <w:t xml:space="preserve"> </w:t>
      </w:r>
      <w:proofErr w:type="gramStart"/>
      <w:r>
        <w:t>both elements are required for homicide, in the case of unlawful killing of a human by another human, for which the rules will kick in for the investigation, charge and punishment for the crime, the chain of causation is when you have established a unlawful act, you will need to prove that the act led to harm of the victim, taking the factual and legal causation into consideration.</w:t>
      </w:r>
      <w:proofErr w:type="gramEnd"/>
      <w:r>
        <w:t xml:space="preserve"> on the other hand, the chain can be broken, if there are any intervening act, thus the defendant will not be liable for the concerned crime, Prior to 2009 provocation used to be used for defence, which has been changed to loss of control in CJA2009. Pre-planned crime cannot use loss of control as defence anymore (http://www.e-lawresources.co.uk/R-v-Ahluwalia.php).  </w:t>
      </w:r>
      <w:proofErr w:type="gramStart"/>
      <w:r>
        <w:t xml:space="preserve">There may to be cases, where the defendant will not be diagnosed from "abnormality of mind" within the section 2, ("a state of mind so different from that of ordinary human beings, that the reasonable man would term it abnormal" </w:t>
      </w:r>
      <w:proofErr w:type="spellStart"/>
      <w:r>
        <w:t>Reg</w:t>
      </w:r>
      <w:proofErr w:type="spellEnd"/>
      <w:r>
        <w:t xml:space="preserve"> v Byrne [1960] 2 Q.B. 396, 403), may nevertheless show mental characteristics,(temporary or permanent) which the jury, may think should be taken into consideration for the purposes of the provocation defence.</w:t>
      </w:r>
      <w:proofErr w:type="gramEnd"/>
      <w:r>
        <w:t xml:space="preserve"> (</w:t>
      </w:r>
      <w:proofErr w:type="gramStart"/>
      <w:r>
        <w:t>house</w:t>
      </w:r>
      <w:proofErr w:type="gramEnd"/>
      <w:r>
        <w:t xml:space="preserve"> of lords, 2023) These kinds of the reasons are why changes </w:t>
      </w:r>
      <w:proofErr w:type="gramStart"/>
      <w:r>
        <w:t>were needed</w:t>
      </w:r>
      <w:proofErr w:type="gramEnd"/>
      <w:r>
        <w:t xml:space="preserve">. However, the disadvantage of the new law is that it will be much harder to prove, it will require assessment of exactly how a similar parson with of the same sex and age would react in an indistinguishable situation, some argues that it is fairer as the provocation will have to </w:t>
      </w:r>
      <w:proofErr w:type="gramStart"/>
      <w:r>
        <w:t>be proved</w:t>
      </w:r>
      <w:proofErr w:type="gramEnd"/>
      <w:r>
        <w:t xml:space="preserve">. However, gender bias was often brought to attention by the critics and society, and the </w:t>
      </w:r>
      <w:proofErr w:type="gramStart"/>
      <w:r>
        <w:t>trigger which</w:t>
      </w:r>
      <w:proofErr w:type="gramEnd"/>
      <w:r>
        <w:t xml:space="preserve"> led to loss of control of the defendant, and whether the defendant genuinely lost control. Partial defence supplemented by section 3 of the 1957 Act known as provocation in under common law without this defence a defendant would otherwise be guilty of murder. </w:t>
      </w:r>
      <w:proofErr w:type="gramStart"/>
      <w:r>
        <w:t>but</w:t>
      </w:r>
      <w:proofErr w:type="gramEnd"/>
      <w:r>
        <w:t xml:space="preserve"> with the provocation defence, the charge of murder would have been reduced to manslaughter. </w:t>
      </w:r>
      <w:proofErr w:type="gramStart"/>
      <w:r>
        <w:t>loss</w:t>
      </w:r>
      <w:proofErr w:type="gramEnd"/>
      <w:r>
        <w:t xml:space="preserve"> of control could have been provoked by things said or done, or in some cases both. </w:t>
      </w:r>
      <w:proofErr w:type="gramStart"/>
      <w:r>
        <w:t>But</w:t>
      </w:r>
      <w:proofErr w:type="gramEnd"/>
      <w:r>
        <w:t xml:space="preserve"> section 56 came in and abolished the common law defence of provocation and replaced it with the section 54 and 55 “loss of control”. For the loss of self-control, the criteria in Section 54 will need to be met (legislation.gov.uk, 2011).  </w:t>
      </w:r>
      <w:bookmarkStart w:id="0" w:name="_GoBack"/>
      <w:bookmarkEnd w:id="0"/>
      <w:proofErr w:type="gramStart"/>
      <w:r>
        <w:t>Basic understanding of the principles like understanding the principles and rules governing criminal law is important, if a murder (unlawful killing of one human by another) takes place, a murder may be reduced down to manslaughter guilt, e.g. where a dependent is insane, where partial defence applies as loss of control, on the other hand if all elements are proven to cause death or GBH, a partial defence may be raised by diminished responsibility (CPS, 2023).</w:t>
      </w:r>
      <w:proofErr w:type="gramEnd"/>
      <w:r>
        <w:t xml:space="preserve"> One cannot ask for a complete defence like self-defence. (Legislation.Gov.UK, 2009) which constitute partial defences to murder, and result in a conviction for manslaughter the crime of murder is committed, where a person with sound mind, unlawfully kills (not self-defence or other justified killing) a human being, </w:t>
      </w:r>
      <w:r>
        <w:lastRenderedPageBreak/>
        <w:t xml:space="preserve">born alive and breathing through their own lungs, under the King's Peace with intent to kill or cause grievous bodily harm. </w:t>
      </w:r>
      <w:r w:rsidR="00A2208F">
        <w:t xml:space="preserve"> </w:t>
      </w:r>
      <w:proofErr w:type="gramStart"/>
      <w:r>
        <w:t>under</w:t>
      </w:r>
      <w:proofErr w:type="gramEnd"/>
      <w:r>
        <w:t xml:space="preserve"> common law where laws are made by judges, the most obvious crimes under this law are manslaughter and murder. on the other hand, crimes like theft and most other violence or crime that a criminal commit, which he did not mean to commit, will be looked at under the criminal law, without having to prove Mens rea in court by the prosecutor. Offences and knowledge of the rules of evidence and procedure still applies. Replacing the partial defence of provocation (which was gender bias often used by men) with loss of control defence by Coroners and justice act 2009, was a significant improvement. There was a need for change as provocation defence was at times unfair to the victim, and it did not take into consideration the painful experience of domestic violence, prolonged abuse, in society, or what </w:t>
      </w:r>
      <w:proofErr w:type="gramStart"/>
      <w:r>
        <w:t>an abused women</w:t>
      </w:r>
      <w:proofErr w:type="gramEnd"/>
      <w:r>
        <w:t xml:space="preserve"> might do. </w:t>
      </w:r>
      <w:proofErr w:type="gramStart"/>
      <w:r>
        <w:t>introducing</w:t>
      </w:r>
      <w:proofErr w:type="gramEnd"/>
      <w:r>
        <w:t xml:space="preserve"> loss of control defence leading to homicide, is proving to serve much balanced and just justice to the victim and public with fair evidence. </w:t>
      </w:r>
      <w:proofErr w:type="gramStart"/>
      <w:r>
        <w:t>considering</w:t>
      </w:r>
      <w:proofErr w:type="gramEnd"/>
      <w:r>
        <w:t xml:space="preserve"> the actus reus elements of Loss of control introduced in 2009. On the other hand, to prove loss of control is very difficult. As it requires the defendant to have list self-control and the loss of control has a qualifying trigger, and if a normal person in a comparable situation would react the same way. Under the </w:t>
      </w:r>
      <w:proofErr w:type="gramStart"/>
      <w:r>
        <w:t>Previous</w:t>
      </w:r>
      <w:proofErr w:type="gramEnd"/>
      <w:r>
        <w:t xml:space="preserve"> law of provocation defence was unfair, as it used to take into consideration things like, the situation and temperament of the moment, and the provocation had to be serious enough to get someone to lose self-control. The CJA2009 </w:t>
      </w:r>
      <w:proofErr w:type="gramStart"/>
      <w:r>
        <w:t>The</w:t>
      </w:r>
      <w:proofErr w:type="gramEnd"/>
      <w:r>
        <w:t xml:space="preserve"> loss of control is argued by many to be fairer, as it considers the defendants circumstances and experience. As one may agree that Mens rea is required to be present, which will show the mental state of intention of the defendant, which we know as the guilty mind requires planning, if this can be proved alongside the Actus </w:t>
      </w:r>
      <w:proofErr w:type="gramStart"/>
      <w:r>
        <w:t>reus</w:t>
      </w:r>
      <w:proofErr w:type="gramEnd"/>
      <w:r>
        <w:t xml:space="preserve"> which is the Physical side of the act of the homicide. </w:t>
      </w:r>
      <w:proofErr w:type="gramStart"/>
      <w:r>
        <w:t>as</w:t>
      </w:r>
      <w:proofErr w:type="gramEnd"/>
      <w:r>
        <w:t xml:space="preserve"> we have seen and heard a lot from the Stephen Lawrence inquiry, his mother, Baroness Lawrence is continually active in the upper house (gov.uk, 1999). </w:t>
      </w:r>
    </w:p>
    <w:p w:rsidR="00A2208F" w:rsidRDefault="00A2208F" w:rsidP="009346EC">
      <w:pPr>
        <w:tabs>
          <w:tab w:val="left" w:pos="1691"/>
        </w:tabs>
      </w:pPr>
      <w:proofErr w:type="gramStart"/>
      <w:r w:rsidRPr="00A2208F">
        <w:t>In domestic violence</w:t>
      </w:r>
      <w:r>
        <w:t>,</w:t>
      </w:r>
      <w:r w:rsidRPr="00A2208F">
        <w:t xml:space="preserve"> it will consider gender and age, however, others would argue that the new law is complex, and it might be hard for the jury to follow</w:t>
      </w:r>
      <w:r>
        <w:t>,</w:t>
      </w:r>
      <w:r w:rsidRPr="00A2208F">
        <w:t xml:space="preserve"> the legal causation consistently, This will have to carry on with on-going discussion and improvement on public safety, rights of defendant, rights of victims, community involvement and proportionality of punishment, with case studies, further reforms may be needed to make it easier to understand and its effectiveness in domestic violence, mental health to ser</w:t>
      </w:r>
      <w:r>
        <w:t>ve a more just and fair justice.</w:t>
      </w:r>
      <w:proofErr w:type="gramEnd"/>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Pr="00CD35F1" w:rsidRDefault="009346EC" w:rsidP="009346EC">
      <w:pPr>
        <w:tabs>
          <w:tab w:val="left" w:pos="1691"/>
        </w:tabs>
      </w:pPr>
      <w:r>
        <w:t>Site name: LexisNexis Page: Strict liability up</w:t>
      </w:r>
      <w:r w:rsidR="00A2208F">
        <w:t xml:space="preserve">dated 2003, Accessed 19/11/2023. </w:t>
      </w:r>
      <w:r>
        <w:t xml:space="preserve">Available online: </w:t>
      </w:r>
      <w:r w:rsidRPr="00A2208F">
        <w:rPr>
          <w:i/>
        </w:rPr>
        <w:t xml:space="preserve">https://www.lexisnexis.co.uk/legal/guidance/strict-liability </w:t>
      </w:r>
    </w:p>
    <w:p w:rsidR="009346EC" w:rsidRDefault="009346EC" w:rsidP="009346EC">
      <w:pPr>
        <w:tabs>
          <w:tab w:val="left" w:pos="1691"/>
        </w:tabs>
      </w:pPr>
      <w:proofErr w:type="gramStart"/>
      <w:r>
        <w:t>Site Name: CPS Page: Homicide: Murder, manslaughter, infanticide and causing or allowing the death or serious injury of a child or vulnerable adult</w:t>
      </w:r>
      <w:r w:rsidR="00AA1DD7">
        <w:t>.</w:t>
      </w:r>
      <w:proofErr w:type="gramEnd"/>
      <w:r>
        <w:t xml:space="preserve"> Updated: </w:t>
      </w:r>
      <w:r w:rsidR="00AA1DD7">
        <w:t xml:space="preserve">05/10/2023 Accessed: 19/11/2023. </w:t>
      </w:r>
      <w:r>
        <w:t xml:space="preserve">Available online: </w:t>
      </w:r>
      <w:r w:rsidRPr="00AA1DD7">
        <w:rPr>
          <w:i/>
        </w:rPr>
        <w:t>https://www.cps.gov.uk/legal-guidance/homicide-murder-manslaughter-infanticide-and-causing-or-allowing-death-or-serious</w:t>
      </w:r>
      <w:r>
        <w:t xml:space="preserve"> </w:t>
      </w:r>
    </w:p>
    <w:p w:rsidR="009346EC" w:rsidRDefault="009346EC" w:rsidP="009346EC">
      <w:pPr>
        <w:tabs>
          <w:tab w:val="left" w:pos="1691"/>
        </w:tabs>
      </w:pPr>
      <w:proofErr w:type="gramStart"/>
      <w:r>
        <w:t>Site Name: legislation.gov.uk page</w:t>
      </w:r>
      <w:r w:rsidR="00AA1DD7">
        <w:t>: Coroners and Justice Act 2009.</w:t>
      </w:r>
      <w:proofErr w:type="gramEnd"/>
      <w:r w:rsidR="00AA1DD7">
        <w:t xml:space="preserve"> </w:t>
      </w:r>
      <w:proofErr w:type="gramStart"/>
      <w:r>
        <w:t>Up</w:t>
      </w:r>
      <w:r w:rsidR="00AA1DD7">
        <w:t>dated: 2009 Accessed 19/11/2023.</w:t>
      </w:r>
      <w:proofErr w:type="gramEnd"/>
      <w:r w:rsidR="00AA1DD7">
        <w:t xml:space="preserve"> Available online: </w:t>
      </w:r>
      <w:r w:rsidRPr="00AA1DD7">
        <w:rPr>
          <w:i/>
        </w:rPr>
        <w:lastRenderedPageBreak/>
        <w:t>https://www.legislation.gov.uk/ukpga/2009/25/part/2/chapter/1/crossheading/partial-defence-to-murder-diminished-responsibility</w:t>
      </w:r>
      <w:r>
        <w:t xml:space="preserve"> </w:t>
      </w:r>
    </w:p>
    <w:p w:rsidR="009346EC" w:rsidRDefault="009346EC" w:rsidP="009346EC">
      <w:pPr>
        <w:tabs>
          <w:tab w:val="left" w:pos="1691"/>
        </w:tabs>
      </w:pPr>
      <w:proofErr w:type="gramStart"/>
      <w:r>
        <w:t>Site Name: Gov.uk Pag</w:t>
      </w:r>
      <w:r w:rsidR="00AA1DD7">
        <w:t>e: The Stephen Lawrence Inquiry.</w:t>
      </w:r>
      <w:proofErr w:type="gramEnd"/>
      <w:r w:rsidR="00AA1DD7">
        <w:t xml:space="preserve"> </w:t>
      </w:r>
      <w:r>
        <w:t>Updated: Feb</w:t>
      </w:r>
      <w:r w:rsidR="00AA1DD7">
        <w:t xml:space="preserve">ruary 1999 </w:t>
      </w:r>
      <w:proofErr w:type="gramStart"/>
      <w:r w:rsidR="00AA1DD7">
        <w:t>Accessed:</w:t>
      </w:r>
      <w:proofErr w:type="gramEnd"/>
      <w:r w:rsidR="00AA1DD7">
        <w:t xml:space="preserve"> 19/11/2023. </w:t>
      </w:r>
      <w:r>
        <w:t xml:space="preserve">Available online: </w:t>
      </w:r>
      <w:r w:rsidRPr="00AA1DD7">
        <w:rPr>
          <w:i/>
        </w:rPr>
        <w:t>https://assets.publishing.service.gov.uk/media/5a7c2af540f0b645ba3c7202/4262.pdf</w:t>
      </w:r>
      <w:r>
        <w:t xml:space="preserve"> </w:t>
      </w:r>
    </w:p>
    <w:p w:rsidR="00A2208F" w:rsidRDefault="00A2208F" w:rsidP="009346EC">
      <w:pPr>
        <w:tabs>
          <w:tab w:val="left" w:pos="1691"/>
        </w:tabs>
      </w:pPr>
    </w:p>
    <w:p w:rsidR="00A2208F" w:rsidRDefault="009346EC" w:rsidP="009346EC">
      <w:pPr>
        <w:tabs>
          <w:tab w:val="left" w:pos="1691"/>
        </w:tabs>
      </w:pPr>
      <w:r>
        <w:t xml:space="preserve">legislation.gov.uk CJA2009 updated 2011 accessed 19/11/2023 </w:t>
      </w:r>
      <w:r w:rsidRPr="00A2208F">
        <w:rPr>
          <w:i/>
        </w:rPr>
        <w:t>https://www.legislation.gov.uk/ukpga/2009/25/notes/division/5/1/2/1/3</w:t>
      </w:r>
      <w:r>
        <w:tab/>
        <w:t xml:space="preserve"> </w:t>
      </w:r>
    </w:p>
    <w:p w:rsidR="009346EC" w:rsidRDefault="009346EC" w:rsidP="009346EC">
      <w:pPr>
        <w:tabs>
          <w:tab w:val="left" w:pos="1691"/>
        </w:tabs>
      </w:pPr>
      <w:proofErr w:type="gramStart"/>
      <w:r>
        <w:t>page</w:t>
      </w:r>
      <w:proofErr w:type="gramEnd"/>
      <w:r>
        <w:t xml:space="preserve">: Judgments - Regina v. Smith (On Appeal from The Court of Appeal (Criminal Division)) updated 2023, accessed 24/11/2023available online: </w:t>
      </w:r>
      <w:r w:rsidRPr="00A2208F">
        <w:rPr>
          <w:i/>
        </w:rPr>
        <w:t>https://publications.parliament.uk/pa/ld199900/ldjudgmt/jd000727/smith-3.htm</w:t>
      </w:r>
      <w:r>
        <w:t xml:space="preserve"> </w:t>
      </w:r>
    </w:p>
    <w:p w:rsidR="009346EC" w:rsidRDefault="009346EC" w:rsidP="009346EC">
      <w:pPr>
        <w:tabs>
          <w:tab w:val="left" w:pos="1691"/>
        </w:tabs>
      </w:pPr>
      <w:r>
        <w:t xml:space="preserve"> </w:t>
      </w:r>
      <w:proofErr w:type="gramStart"/>
      <w:r>
        <w:t>page</w:t>
      </w:r>
      <w:proofErr w:type="gramEnd"/>
      <w:r>
        <w:t>: Police and Criminal Evidence Act 1984 upd</w:t>
      </w:r>
      <w:r w:rsidR="00A2208F">
        <w:t xml:space="preserve">ated: 2011 Accessed: 24/11/2023. </w:t>
      </w:r>
      <w:proofErr w:type="gramStart"/>
      <w:r>
        <w:t>available</w:t>
      </w:r>
      <w:proofErr w:type="gramEnd"/>
      <w:r>
        <w:t xml:space="preserve"> online: </w:t>
      </w:r>
      <w:r w:rsidRPr="00A2208F">
        <w:rPr>
          <w:i/>
        </w:rPr>
        <w:t>https://www.legislation.gov.uk/ukpga/1984/60/section/24AS</w:t>
      </w:r>
      <w:r>
        <w:t xml:space="preserve"> </w:t>
      </w:r>
    </w:p>
    <w:p w:rsidR="009346EC" w:rsidRDefault="009346EC" w:rsidP="009346EC">
      <w:pPr>
        <w:tabs>
          <w:tab w:val="left" w:pos="1691"/>
        </w:tabs>
      </w:pPr>
    </w:p>
    <w:p w:rsidR="006C47FB" w:rsidRPr="00DB1DFB" w:rsidRDefault="009346EC" w:rsidP="009346EC">
      <w:pPr>
        <w:tabs>
          <w:tab w:val="left" w:pos="1691"/>
        </w:tabs>
      </w:pPr>
      <w:r>
        <w:t xml:space="preserve">Web page: Homicide Murder, manslaughter, infanticide and causing or allowing the death or serious injury of a child or vulnerable adult </w:t>
      </w:r>
      <w:proofErr w:type="gramStart"/>
      <w:r>
        <w:t>upd</w:t>
      </w:r>
      <w:r w:rsidR="00A2208F">
        <w:t>ated:</w:t>
      </w:r>
      <w:proofErr w:type="gramEnd"/>
      <w:r w:rsidR="00A2208F">
        <w:t xml:space="preserve"> 2022 Accessed: 24/11/2023. </w:t>
      </w:r>
      <w:r>
        <w:t xml:space="preserve">Available online: </w:t>
      </w:r>
      <w:r w:rsidRPr="00A2208F">
        <w:rPr>
          <w:i/>
        </w:rPr>
        <w:t>https://www.cps.gov.uk/legal-guidance/homicide-murder-manslaughter-infanticide-and-causing-or-allowing-death-or-serious</w:t>
      </w:r>
    </w:p>
    <w:sectPr w:rsidR="006C47FB" w:rsidRPr="00DB1D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259B3" w:rsidRDefault="00F259B3" w:rsidP="006C47FB">
      <w:pPr>
        <w:spacing w:after="0" w:line="240" w:lineRule="auto"/>
      </w:pPr>
      <w:r>
        <w:separator/>
      </w:r>
    </w:p>
  </w:endnote>
  <w:endnote w:type="continuationSeparator" w:id="0">
    <w:p w:rsidR="00F259B3" w:rsidRDefault="00F259B3" w:rsidP="006C4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259B3" w:rsidRDefault="00F259B3" w:rsidP="006C47FB">
      <w:pPr>
        <w:spacing w:after="0" w:line="240" w:lineRule="auto"/>
      </w:pPr>
      <w:r>
        <w:separator/>
      </w:r>
    </w:p>
  </w:footnote>
  <w:footnote w:type="continuationSeparator" w:id="0">
    <w:p w:rsidR="00F259B3" w:rsidRDefault="00F259B3" w:rsidP="006C47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66029"/>
    <w:multiLevelType w:val="multilevel"/>
    <w:tmpl w:val="BF56E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5A5003"/>
    <w:multiLevelType w:val="multilevel"/>
    <w:tmpl w:val="7F72A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4F06F6"/>
    <w:multiLevelType w:val="multilevel"/>
    <w:tmpl w:val="86E8F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3D47FC3"/>
    <w:multiLevelType w:val="multilevel"/>
    <w:tmpl w:val="5A40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3442FCB"/>
    <w:multiLevelType w:val="multilevel"/>
    <w:tmpl w:val="9AB45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C02717D"/>
    <w:multiLevelType w:val="multilevel"/>
    <w:tmpl w:val="4544C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80544E9"/>
    <w:multiLevelType w:val="multilevel"/>
    <w:tmpl w:val="D2021E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E6F6733"/>
    <w:multiLevelType w:val="multilevel"/>
    <w:tmpl w:val="AFAAC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F1C6251"/>
    <w:multiLevelType w:val="multilevel"/>
    <w:tmpl w:val="FEC69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69D2889"/>
    <w:multiLevelType w:val="multilevel"/>
    <w:tmpl w:val="8F02E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8"/>
  </w:num>
  <w:num w:numId="3">
    <w:abstractNumId w:val="9"/>
  </w:num>
  <w:num w:numId="4">
    <w:abstractNumId w:val="5"/>
  </w:num>
  <w:num w:numId="5">
    <w:abstractNumId w:val="4"/>
  </w:num>
  <w:num w:numId="6">
    <w:abstractNumId w:val="2"/>
  </w:num>
  <w:num w:numId="7">
    <w:abstractNumId w:val="0"/>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2C0"/>
    <w:rsid w:val="00007281"/>
    <w:rsid w:val="00034DE6"/>
    <w:rsid w:val="0006738A"/>
    <w:rsid w:val="00093B27"/>
    <w:rsid w:val="000E4312"/>
    <w:rsid w:val="001A1381"/>
    <w:rsid w:val="002D046E"/>
    <w:rsid w:val="002E2051"/>
    <w:rsid w:val="002E2D19"/>
    <w:rsid w:val="00361D93"/>
    <w:rsid w:val="00390301"/>
    <w:rsid w:val="0041573D"/>
    <w:rsid w:val="004505F8"/>
    <w:rsid w:val="0048380C"/>
    <w:rsid w:val="004A0E8A"/>
    <w:rsid w:val="004D0287"/>
    <w:rsid w:val="006524D3"/>
    <w:rsid w:val="00693218"/>
    <w:rsid w:val="006C0091"/>
    <w:rsid w:val="006C47FB"/>
    <w:rsid w:val="006C73B0"/>
    <w:rsid w:val="006E50A8"/>
    <w:rsid w:val="00741306"/>
    <w:rsid w:val="00760B02"/>
    <w:rsid w:val="007D2B58"/>
    <w:rsid w:val="007D4C41"/>
    <w:rsid w:val="008C454E"/>
    <w:rsid w:val="008E7245"/>
    <w:rsid w:val="00922088"/>
    <w:rsid w:val="009346EC"/>
    <w:rsid w:val="00971FD8"/>
    <w:rsid w:val="00994003"/>
    <w:rsid w:val="00A1784F"/>
    <w:rsid w:val="00A2208F"/>
    <w:rsid w:val="00AA1DD7"/>
    <w:rsid w:val="00BB2E01"/>
    <w:rsid w:val="00BC7DAB"/>
    <w:rsid w:val="00BD2B01"/>
    <w:rsid w:val="00C7384C"/>
    <w:rsid w:val="00CD35F1"/>
    <w:rsid w:val="00D23D7D"/>
    <w:rsid w:val="00D247A6"/>
    <w:rsid w:val="00D35AE3"/>
    <w:rsid w:val="00D375A3"/>
    <w:rsid w:val="00D572C0"/>
    <w:rsid w:val="00D71D30"/>
    <w:rsid w:val="00DB1DFB"/>
    <w:rsid w:val="00DB3DD5"/>
    <w:rsid w:val="00DB3EDA"/>
    <w:rsid w:val="00DC1279"/>
    <w:rsid w:val="00E0286D"/>
    <w:rsid w:val="00E05CC1"/>
    <w:rsid w:val="00E57A17"/>
    <w:rsid w:val="00E935FC"/>
    <w:rsid w:val="00EA355A"/>
    <w:rsid w:val="00EA51A8"/>
    <w:rsid w:val="00EB0088"/>
    <w:rsid w:val="00EB572E"/>
    <w:rsid w:val="00F259B3"/>
    <w:rsid w:val="00F277BF"/>
    <w:rsid w:val="00F67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0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C0091"/>
    <w:rPr>
      <w:b/>
      <w:bCs/>
    </w:rPr>
  </w:style>
  <w:style w:type="paragraph" w:styleId="BalloonText">
    <w:name w:val="Balloon Text"/>
    <w:basedOn w:val="Normal"/>
    <w:link w:val="BalloonTextChar"/>
    <w:uiPriority w:val="99"/>
    <w:semiHidden/>
    <w:unhideWhenUsed/>
    <w:rsid w:val="00EB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character" w:styleId="Hyperlink">
    <w:name w:val="Hyperlink"/>
    <w:basedOn w:val="DefaultParagraphFont"/>
    <w:uiPriority w:val="99"/>
    <w:unhideWhenUsed/>
    <w:rsid w:val="00EA355A"/>
    <w:rPr>
      <w:color w:val="0000FF" w:themeColor="hyperlink"/>
      <w:u w:val="single"/>
    </w:rPr>
  </w:style>
  <w:style w:type="paragraph" w:styleId="Header">
    <w:name w:val="header"/>
    <w:basedOn w:val="Normal"/>
    <w:link w:val="HeaderChar"/>
    <w:uiPriority w:val="99"/>
    <w:unhideWhenUsed/>
    <w:rsid w:val="006C4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FB"/>
  </w:style>
  <w:style w:type="paragraph" w:styleId="Footer">
    <w:name w:val="footer"/>
    <w:basedOn w:val="Normal"/>
    <w:link w:val="FooterChar"/>
    <w:uiPriority w:val="99"/>
    <w:unhideWhenUsed/>
    <w:rsid w:val="006C4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F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0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C0091"/>
    <w:rPr>
      <w:b/>
      <w:bCs/>
    </w:rPr>
  </w:style>
  <w:style w:type="paragraph" w:styleId="BalloonText">
    <w:name w:val="Balloon Text"/>
    <w:basedOn w:val="Normal"/>
    <w:link w:val="BalloonTextChar"/>
    <w:uiPriority w:val="99"/>
    <w:semiHidden/>
    <w:unhideWhenUsed/>
    <w:rsid w:val="00EB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character" w:styleId="Hyperlink">
    <w:name w:val="Hyperlink"/>
    <w:basedOn w:val="DefaultParagraphFont"/>
    <w:uiPriority w:val="99"/>
    <w:unhideWhenUsed/>
    <w:rsid w:val="00EA355A"/>
    <w:rPr>
      <w:color w:val="0000FF" w:themeColor="hyperlink"/>
      <w:u w:val="single"/>
    </w:rPr>
  </w:style>
  <w:style w:type="paragraph" w:styleId="Header">
    <w:name w:val="header"/>
    <w:basedOn w:val="Normal"/>
    <w:link w:val="HeaderChar"/>
    <w:uiPriority w:val="99"/>
    <w:unhideWhenUsed/>
    <w:rsid w:val="006C4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FB"/>
  </w:style>
  <w:style w:type="paragraph" w:styleId="Footer">
    <w:name w:val="footer"/>
    <w:basedOn w:val="Normal"/>
    <w:link w:val="FooterChar"/>
    <w:uiPriority w:val="99"/>
    <w:unhideWhenUsed/>
    <w:rsid w:val="006C4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1447559">
      <w:bodyDiv w:val="1"/>
      <w:marLeft w:val="0"/>
      <w:marRight w:val="0"/>
      <w:marTop w:val="0"/>
      <w:marBottom w:val="0"/>
      <w:divBdr>
        <w:top w:val="none" w:sz="0" w:space="0" w:color="auto"/>
        <w:left w:val="none" w:sz="0" w:space="0" w:color="auto"/>
        <w:bottom w:val="none" w:sz="0" w:space="0" w:color="auto"/>
        <w:right w:val="none" w:sz="0" w:space="0" w:color="auto"/>
      </w:divBdr>
    </w:div>
    <w:div w:id="1129981673">
      <w:bodyDiv w:val="1"/>
      <w:marLeft w:val="0"/>
      <w:marRight w:val="0"/>
      <w:marTop w:val="0"/>
      <w:marBottom w:val="0"/>
      <w:divBdr>
        <w:top w:val="none" w:sz="0" w:space="0" w:color="auto"/>
        <w:left w:val="none" w:sz="0" w:space="0" w:color="auto"/>
        <w:bottom w:val="none" w:sz="0" w:space="0" w:color="auto"/>
        <w:right w:val="none" w:sz="0" w:space="0" w:color="auto"/>
      </w:divBdr>
    </w:div>
    <w:div w:id="185252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Lex03</b:Tag>
    <b:SourceType>InternetSite</b:SourceType>
    <b:Guid>{FBA5EBF2-3F9A-4AF0-9CDE-C8B2CEC787E0}</b:Guid>
    <b:Author>
      <b:Author>
        <b:Corporate>LexisNexis</b:Corporate>
      </b:Author>
    </b:Author>
    <b:Title>strict liability</b:Title>
    <b:InternetSiteTitle>LexisNexis</b:InternetSiteTitle>
    <b:Year>2003</b:Year>
    <b:YearAccessed>2023</b:YearAccessed>
    <b:MonthAccessed>November</b:MonthAccessed>
    <b:DayAccessed>19</b:DayAccessed>
    <b:URL>https://www.lexisnexis.co.uk/legal/guidance/strict-liability</b:URL>
    <b:RefOrder>2</b:RefOrder>
  </b:Source>
  <b:Source>
    <b:Tag>CPS23</b:Tag>
    <b:SourceType>InternetSite</b:SourceType>
    <b:Guid>{C87E1B63-1AE6-4D07-B66F-808618EFC52A}</b:Guid>
    <b:Author>
      <b:Author>
        <b:Corporate>CPS</b:Corporate>
      </b:Author>
    </b:Author>
    <b:Title>homicide: murder, Manslauter, infanticide and causing or allowing the death or serious injury of a child or vulnerable adult</b:Title>
    <b:InternetSiteTitle>CPS</b:InternetSiteTitle>
    <b:Year>2023</b:Year>
    <b:Month>10</b:Month>
    <b:Day>5</b:Day>
    <b:YearAccessed>2023</b:YearAccessed>
    <b:MonthAccessed>November</b:MonthAccessed>
    <b:DayAccessed>19</b:DayAccessed>
    <b:URL>https://www.cps.gov.uk/legal-guidance/homicide-murder-manslaughter-infanticide-and-causing-or-allowing-death-or-serious</b:URL>
    <b:RefOrder>5</b:RefOrder>
  </b:Source>
  <b:Source>
    <b:Tag>Leg09</b:Tag>
    <b:SourceType>InternetSite</b:SourceType>
    <b:Guid>{8F0D577D-95AE-47E5-92E8-5DA1BC4F4FC2}</b:Guid>
    <b:Author>
      <b:Author>
        <b:Corporate>Legislation.Gov.UK</b:Corporate>
      </b:Author>
    </b:Author>
    <b:Title>Coroner and Justice Act 2009</b:Title>
    <b:InternetSiteTitle>Legislation.Gov.UK</b:InternetSiteTitle>
    <b:Year>2009</b:Year>
    <b:YearAccessed>2023</b:YearAccessed>
    <b:MonthAccessed>November</b:MonthAccessed>
    <b:DayAccessed>19</b:DayAccessed>
    <b:URL>https://www.legislation.gov.uk/ukpga/2009/25/part/2/chapter/1/crossheading/partial-defence-to-murder-diminished-responsibility</b:URL>
    <b:RefOrder>6</b:RefOrder>
  </b:Source>
  <b:Source>
    <b:Tag>gov99</b:Tag>
    <b:SourceType>InternetSite</b:SourceType>
    <b:Guid>{515A99CD-1833-45C4-9E42-B465E035D62D}</b:Guid>
    <b:Author>
      <b:Author>
        <b:Corporate>gov.uk</b:Corporate>
      </b:Author>
    </b:Author>
    <b:Title>the Stephen Lawrence Inquiry</b:Title>
    <b:InternetSiteTitle>gov.uk</b:InternetSiteTitle>
    <b:Year>1999</b:Year>
    <b:Month>February</b:Month>
    <b:YearAccessed>2023</b:YearAccessed>
    <b:MonthAccessed>November</b:MonthAccessed>
    <b:DayAccessed>19</b:DayAccessed>
    <b:URL>https://assets.publishing.service.gov.uk/media/5a7c2af540f0b645ba3c7202/4262.pdf</b:URL>
    <b:RefOrder>7</b:RefOrder>
  </b:Source>
  <b:Source>
    <b:Tag>leg111</b:Tag>
    <b:SourceType>InternetSite</b:SourceType>
    <b:Guid>{389F976A-92B6-4552-B558-2951A5C4074F}</b:Guid>
    <b:Author>
      <b:Author>
        <b:Corporate>legislation.gov.uk</b:Corporate>
      </b:Author>
    </b:Author>
    <b:Title>Coroners and Justice Act 2009</b:Title>
    <b:InternetSiteTitle>legislation.gov.uk</b:InternetSiteTitle>
    <b:Year>2011</b:Year>
    <b:YearAccessed>2023</b:YearAccessed>
    <b:MonthAccessed>November</b:MonthAccessed>
    <b:DayAccessed>19</b:DayAccessed>
    <b:URL>https://www.legislation.gov.uk/ukpga/2009/25/notes/division/5/1/2/1/3</b:URL>
    <b:RefOrder>4</b:RefOrder>
  </b:Source>
  <b:Source>
    <b:Tag>hou23</b:Tag>
    <b:SourceType>InternetSite</b:SourceType>
    <b:Guid>{F701F3BF-6717-49E3-8CAE-BE24788E546D}</b:Guid>
    <b:Author>
      <b:Author>
        <b:Corporate>house of lords</b:Corporate>
      </b:Author>
    </b:Author>
    <b:Title>judgement-regina v. smith (on appeal from the court of appeal (crime division))</b:Title>
    <b:InternetSiteTitle>parliament.uk</b:InternetSiteTitle>
    <b:Year>2023</b:Year>
    <b:YearAccessed>2023</b:YearAccessed>
    <b:MonthAccessed>november</b:MonthAccessed>
    <b:DayAccessed>24</b:DayAccessed>
    <b:URL>https://publications.parliament.uk/pa/ld199900/ldjudgmt/jd000727/smith-3.htm</b:URL>
    <b:RefOrder>3</b:RefOrder>
  </b:Source>
  <b:Source>
    <b:Tag>leg112</b:Tag>
    <b:SourceType>InternetSite</b:SourceType>
    <b:Guid>{03485D75-99AA-403B-AE10-A6C1E6DFF7CB}</b:Guid>
    <b:Author>
      <b:Author>
        <b:Corporate>legislation.gov.uk</b:Corporate>
      </b:Author>
    </b:Author>
    <b:Title>Police and Criminal Evidence Act 1984</b:Title>
    <b:InternetSiteTitle>legislation.gov.uk</b:InternetSiteTitle>
    <b:Year>2011</b:Year>
    <b:YearAccessed>2023</b:YearAccessed>
    <b:MonthAccessed>November</b:MonthAccessed>
    <b:DayAccessed>24</b:DayAccessed>
    <b:URL>https://www.legislation.gov.uk/ukpga/1984/60/section/24A</b:URL>
    <b:RefOrder>1</b:RefOrder>
  </b:Source>
</b:Sources>
</file>

<file path=customXml/itemProps1.xml><?xml version="1.0" encoding="utf-8"?>
<ds:datastoreItem xmlns:ds="http://schemas.openxmlformats.org/officeDocument/2006/customXml" ds:itemID="{C9E44EFC-B0D6-40E4-8D9F-DCF7F2ECA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1316</Words>
  <Characters>7504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cp:revision>
  <dcterms:created xsi:type="dcterms:W3CDTF">2023-11-24T14:01:00Z</dcterms:created>
  <dcterms:modified xsi:type="dcterms:W3CDTF">2023-11-29T11:25:00Z</dcterms:modified>
</cp:coreProperties>
</file>