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1DD7D" w14:textId="77777777" w:rsidR="00B54432" w:rsidRDefault="00B54432">
      <w:pPr>
        <w:rPr>
          <w:b/>
          <w:sz w:val="28"/>
          <w:szCs w:val="28"/>
        </w:rPr>
      </w:pPr>
    </w:p>
    <w:p w14:paraId="10BAD137" w14:textId="77777777" w:rsidR="00B54432" w:rsidRDefault="00B54432">
      <w:pPr>
        <w:jc w:val="center"/>
        <w:rPr>
          <w:b/>
          <w:sz w:val="32"/>
          <w:szCs w:val="32"/>
        </w:rPr>
      </w:pPr>
    </w:p>
    <w:p w14:paraId="69F8E56C" w14:textId="77777777" w:rsidR="00B54432" w:rsidRDefault="00B54432">
      <w:pPr>
        <w:jc w:val="center"/>
        <w:rPr>
          <w:b/>
          <w:sz w:val="32"/>
          <w:szCs w:val="32"/>
        </w:rPr>
      </w:pPr>
    </w:p>
    <w:p w14:paraId="0C865427" w14:textId="77777777" w:rsidR="00B54432" w:rsidRDefault="00B54432">
      <w:pPr>
        <w:jc w:val="center"/>
        <w:rPr>
          <w:b/>
          <w:sz w:val="32"/>
          <w:szCs w:val="32"/>
        </w:rPr>
      </w:pPr>
    </w:p>
    <w:p w14:paraId="18570F92" w14:textId="77777777" w:rsidR="00B54432" w:rsidRDefault="00B54432">
      <w:pPr>
        <w:jc w:val="center"/>
        <w:rPr>
          <w:b/>
          <w:sz w:val="32"/>
          <w:szCs w:val="32"/>
        </w:rPr>
      </w:pPr>
    </w:p>
    <w:p w14:paraId="5EFD1EBE" w14:textId="77777777" w:rsidR="00B54432" w:rsidRDefault="00E50B30">
      <w:pPr>
        <w:jc w:val="center"/>
        <w:rPr>
          <w:b/>
          <w:sz w:val="32"/>
          <w:szCs w:val="32"/>
        </w:rPr>
      </w:pPr>
      <w:r>
        <w:rPr>
          <w:b/>
          <w:sz w:val="32"/>
          <w:szCs w:val="32"/>
        </w:rPr>
        <w:t>MODULE: PRINCIPLES OF HEALTH AND SOCIAL CARE PRACTICE</w:t>
      </w:r>
    </w:p>
    <w:p w14:paraId="2F913C89" w14:textId="77777777" w:rsidR="00B54432" w:rsidRDefault="00E50B30">
      <w:pPr>
        <w:jc w:val="center"/>
        <w:rPr>
          <w:b/>
          <w:sz w:val="32"/>
          <w:szCs w:val="32"/>
        </w:rPr>
      </w:pPr>
      <w:r>
        <w:rPr>
          <w:b/>
          <w:sz w:val="32"/>
          <w:szCs w:val="32"/>
        </w:rPr>
        <w:t>MODULE CODE: BMHP5016</w:t>
      </w:r>
    </w:p>
    <w:p w14:paraId="71CC219E" w14:textId="77777777" w:rsidR="00B54432" w:rsidRDefault="00E50B30">
      <w:pPr>
        <w:jc w:val="center"/>
        <w:rPr>
          <w:b/>
          <w:sz w:val="32"/>
          <w:szCs w:val="32"/>
        </w:rPr>
      </w:pPr>
      <w:r>
        <w:rPr>
          <w:b/>
          <w:sz w:val="32"/>
          <w:szCs w:val="32"/>
        </w:rPr>
        <w:t>ASSIGNMENT TITLE: COMPONENT 2: WRITTEN ASSIGNMENT (REPORT)</w:t>
      </w:r>
    </w:p>
    <w:p w14:paraId="2E759183" w14:textId="77777777" w:rsidR="001873D6" w:rsidRDefault="00E50B30">
      <w:pPr>
        <w:jc w:val="center"/>
      </w:pPr>
      <w:r>
        <w:br w:type="page"/>
      </w:r>
    </w:p>
    <w:p w14:paraId="7D3FB57D" w14:textId="77777777" w:rsidR="001873D6" w:rsidRDefault="001873D6">
      <w:pPr>
        <w:jc w:val="center"/>
      </w:pPr>
    </w:p>
    <w:p w14:paraId="12BACB53" w14:textId="23870994" w:rsidR="001873D6" w:rsidRPr="00A30D2D" w:rsidRDefault="001873D6" w:rsidP="001873D6">
      <w:pPr>
        <w:tabs>
          <w:tab w:val="left" w:pos="252"/>
        </w:tabs>
        <w:rPr>
          <w:rFonts w:ascii="Arial" w:hAnsi="Arial" w:cs="Arial"/>
          <w:sz w:val="22"/>
          <w:szCs w:val="22"/>
        </w:rPr>
      </w:pPr>
      <w:r w:rsidRPr="00A30D2D">
        <w:rPr>
          <w:rFonts w:ascii="Arial" w:hAnsi="Arial" w:cs="Arial"/>
          <w:sz w:val="22"/>
          <w:szCs w:val="22"/>
        </w:rPr>
        <w:t>Name</w:t>
      </w:r>
      <w:r w:rsidR="00A30D2D" w:rsidRPr="00A30D2D">
        <w:rPr>
          <w:rFonts w:ascii="Arial" w:hAnsi="Arial" w:cs="Arial"/>
          <w:sz w:val="22"/>
          <w:szCs w:val="22"/>
        </w:rPr>
        <w:t>:</w:t>
      </w:r>
      <w:r w:rsidRPr="00A30D2D">
        <w:rPr>
          <w:rFonts w:ascii="Arial" w:hAnsi="Arial" w:cs="Arial"/>
          <w:sz w:val="22"/>
          <w:szCs w:val="22"/>
        </w:rPr>
        <w:t xml:space="preserve"> Bernice Takyi</w:t>
      </w:r>
    </w:p>
    <w:p w14:paraId="482E9F78" w14:textId="1C091568" w:rsidR="001873D6" w:rsidRPr="00A30D2D" w:rsidRDefault="001873D6" w:rsidP="001873D6">
      <w:pPr>
        <w:tabs>
          <w:tab w:val="left" w:pos="252"/>
        </w:tabs>
        <w:rPr>
          <w:rFonts w:ascii="Arial" w:hAnsi="Arial" w:cs="Arial"/>
          <w:sz w:val="22"/>
          <w:szCs w:val="22"/>
        </w:rPr>
      </w:pPr>
      <w:r w:rsidRPr="00A30D2D">
        <w:rPr>
          <w:rFonts w:ascii="Arial" w:hAnsi="Arial" w:cs="Arial"/>
          <w:sz w:val="22"/>
          <w:szCs w:val="22"/>
        </w:rPr>
        <w:t>ID</w:t>
      </w:r>
      <w:r w:rsidR="00A30D2D" w:rsidRPr="00A30D2D">
        <w:rPr>
          <w:rFonts w:ascii="Arial" w:hAnsi="Arial" w:cs="Arial"/>
          <w:sz w:val="22"/>
          <w:szCs w:val="22"/>
        </w:rPr>
        <w:t>:</w:t>
      </w:r>
      <w:r w:rsidRPr="00A30D2D">
        <w:rPr>
          <w:rFonts w:ascii="Arial" w:hAnsi="Arial" w:cs="Arial"/>
          <w:sz w:val="22"/>
          <w:szCs w:val="22"/>
        </w:rPr>
        <w:t xml:space="preserve"> 2330845</w:t>
      </w:r>
    </w:p>
    <w:p w14:paraId="0A02E50E" w14:textId="7A8D5BD6" w:rsidR="001873D6" w:rsidRPr="00A30D2D" w:rsidRDefault="001873D6" w:rsidP="001873D6">
      <w:pPr>
        <w:tabs>
          <w:tab w:val="left" w:pos="252"/>
        </w:tabs>
        <w:rPr>
          <w:rFonts w:ascii="Arial" w:hAnsi="Arial" w:cs="Arial"/>
          <w:sz w:val="22"/>
          <w:szCs w:val="22"/>
        </w:rPr>
      </w:pPr>
      <w:r w:rsidRPr="00A30D2D">
        <w:rPr>
          <w:rFonts w:ascii="Arial" w:hAnsi="Arial" w:cs="Arial"/>
          <w:sz w:val="22"/>
          <w:szCs w:val="22"/>
        </w:rPr>
        <w:t>Module</w:t>
      </w:r>
      <w:r w:rsidR="00A30D2D" w:rsidRPr="00A30D2D">
        <w:rPr>
          <w:rFonts w:ascii="Arial" w:hAnsi="Arial" w:cs="Arial"/>
          <w:sz w:val="22"/>
          <w:szCs w:val="22"/>
        </w:rPr>
        <w:t>:</w:t>
      </w:r>
      <w:r w:rsidRPr="00A30D2D">
        <w:rPr>
          <w:rFonts w:ascii="Arial" w:hAnsi="Arial" w:cs="Arial"/>
          <w:sz w:val="22"/>
          <w:szCs w:val="22"/>
        </w:rPr>
        <w:t xml:space="preserve"> BMHP5016</w:t>
      </w:r>
    </w:p>
    <w:p w14:paraId="76F0413B" w14:textId="69D70FFD" w:rsidR="001873D6" w:rsidRPr="00A30D2D" w:rsidRDefault="00A30D2D" w:rsidP="001873D6">
      <w:pPr>
        <w:tabs>
          <w:tab w:val="left" w:pos="252"/>
        </w:tabs>
        <w:rPr>
          <w:rFonts w:ascii="Arial" w:hAnsi="Arial" w:cs="Arial"/>
          <w:sz w:val="22"/>
          <w:szCs w:val="22"/>
        </w:rPr>
      </w:pPr>
      <w:r w:rsidRPr="00A30D2D">
        <w:rPr>
          <w:rFonts w:ascii="Arial" w:hAnsi="Arial" w:cs="Arial"/>
          <w:sz w:val="22"/>
          <w:szCs w:val="22"/>
        </w:rPr>
        <w:t>Module: Title Principles of Health and Social Care Practice</w:t>
      </w:r>
    </w:p>
    <w:p w14:paraId="4BCCFCDC" w14:textId="01ACF685" w:rsidR="00A30D2D" w:rsidRPr="00A30D2D" w:rsidRDefault="00A30D2D" w:rsidP="001873D6">
      <w:pPr>
        <w:tabs>
          <w:tab w:val="left" w:pos="252"/>
        </w:tabs>
        <w:rPr>
          <w:rFonts w:ascii="Arial" w:hAnsi="Arial" w:cs="Arial"/>
          <w:sz w:val="22"/>
          <w:szCs w:val="22"/>
        </w:rPr>
      </w:pPr>
      <w:r w:rsidRPr="00A30D2D">
        <w:rPr>
          <w:rFonts w:ascii="Arial" w:hAnsi="Arial" w:cs="Arial"/>
          <w:sz w:val="22"/>
          <w:szCs w:val="22"/>
        </w:rPr>
        <w:t>Assignment title: Written assignment (Report)</w:t>
      </w:r>
    </w:p>
    <w:p w14:paraId="5618127D" w14:textId="77777777" w:rsidR="001873D6" w:rsidRDefault="001873D6" w:rsidP="001873D6">
      <w:pPr>
        <w:tabs>
          <w:tab w:val="left" w:pos="252"/>
        </w:tabs>
      </w:pPr>
    </w:p>
    <w:p w14:paraId="410C6022" w14:textId="77777777" w:rsidR="001873D6" w:rsidRDefault="001873D6">
      <w:pPr>
        <w:jc w:val="center"/>
        <w:rPr>
          <w:b/>
          <w:sz w:val="28"/>
          <w:szCs w:val="28"/>
        </w:rPr>
      </w:pPr>
    </w:p>
    <w:p w14:paraId="70199399" w14:textId="77777777" w:rsidR="001873D6" w:rsidRDefault="001873D6">
      <w:pPr>
        <w:jc w:val="center"/>
        <w:rPr>
          <w:b/>
          <w:sz w:val="28"/>
          <w:szCs w:val="28"/>
        </w:rPr>
      </w:pPr>
    </w:p>
    <w:p w14:paraId="5F8E4E5A" w14:textId="77777777" w:rsidR="001873D6" w:rsidRDefault="001873D6">
      <w:pPr>
        <w:jc w:val="center"/>
        <w:rPr>
          <w:b/>
          <w:sz w:val="28"/>
          <w:szCs w:val="28"/>
        </w:rPr>
      </w:pPr>
    </w:p>
    <w:p w14:paraId="28F24577" w14:textId="77777777" w:rsidR="001873D6" w:rsidRDefault="001873D6">
      <w:pPr>
        <w:jc w:val="center"/>
        <w:rPr>
          <w:b/>
          <w:sz w:val="28"/>
          <w:szCs w:val="28"/>
        </w:rPr>
      </w:pPr>
    </w:p>
    <w:p w14:paraId="3F32A009" w14:textId="7160C854" w:rsidR="00B54432" w:rsidRDefault="00E50B30">
      <w:pPr>
        <w:jc w:val="center"/>
        <w:rPr>
          <w:b/>
          <w:sz w:val="28"/>
          <w:szCs w:val="28"/>
        </w:rPr>
      </w:pPr>
      <w:r>
        <w:rPr>
          <w:b/>
          <w:sz w:val="28"/>
          <w:szCs w:val="28"/>
        </w:rPr>
        <w:t>Abstract</w:t>
      </w:r>
    </w:p>
    <w:p w14:paraId="14325A01" w14:textId="77777777" w:rsidR="00B54432" w:rsidRDefault="00E50B30" w:rsidP="00A30D2D">
      <w:r>
        <w:t xml:space="preserve">The complete study has demonstrated the incorporation of Person-Centred Care (PCC) and Partnership Working (PW) team's intervention. This has also examined the application of UK health and social care legislation such as the Health and Social Care Act 2012, the Health and Care Act 2022, and the Care Act 2014 for promoting fair-conduct. Additionally, reflecting the core principles of PCC, the report has enabled a complete intervention guide by the Empowerment Model and biopsychosocial model in order to lead self-expertise and strength along with her quality of life. Key recommendations have highlighted secure patient record systems, telemonitoring, and interprofessional training. Additionally, the study with its focus on ethical fundamentals has helped to understand the commitment to prioritising health wellbeing (beneficence) and restricting harm (non-maleficence). Aligning with Joan’s case study, it has focused on person centred care where the goal is to deliver care which is responsive to preferences like values and needs. From the study, ICS’s role in formulating partnership working has been assessed for better alignment with needs of health and care. </w:t>
      </w:r>
    </w:p>
    <w:p w14:paraId="6AB39EF2" w14:textId="77777777" w:rsidR="00B54432" w:rsidRDefault="00E50B30">
      <w:r>
        <w:br w:type="page"/>
      </w:r>
    </w:p>
    <w:p w14:paraId="07E587CE" w14:textId="77777777" w:rsidR="00B54432" w:rsidRDefault="00E50B30">
      <w:pPr>
        <w:keepNext/>
        <w:keepLines/>
        <w:pBdr>
          <w:top w:val="nil"/>
          <w:left w:val="nil"/>
          <w:bottom w:val="nil"/>
          <w:right w:val="nil"/>
          <w:between w:val="nil"/>
        </w:pBdr>
        <w:spacing w:before="240"/>
        <w:jc w:val="center"/>
        <w:rPr>
          <w:b/>
          <w:color w:val="000000"/>
          <w:sz w:val="28"/>
          <w:szCs w:val="28"/>
        </w:rPr>
      </w:pPr>
      <w:r>
        <w:rPr>
          <w:b/>
          <w:color w:val="000000"/>
          <w:sz w:val="28"/>
          <w:szCs w:val="28"/>
        </w:rPr>
        <w:lastRenderedPageBreak/>
        <w:t>Table of Contents</w:t>
      </w:r>
    </w:p>
    <w:sdt>
      <w:sdtPr>
        <w:id w:val="-1096504106"/>
        <w:docPartObj>
          <w:docPartGallery w:val="Table of Contents"/>
          <w:docPartUnique/>
        </w:docPartObj>
      </w:sdtPr>
      <w:sdtContent>
        <w:p w14:paraId="22F802F2" w14:textId="7FBF5F7C" w:rsidR="00067BBA" w:rsidRDefault="00E50B30">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506733" w:history="1">
            <w:r w:rsidR="00067BBA" w:rsidRPr="007E560D">
              <w:rPr>
                <w:rStyle w:val="Hyperlink"/>
                <w:noProof/>
              </w:rPr>
              <w:t>Introduction</w:t>
            </w:r>
            <w:r w:rsidR="00067BBA">
              <w:rPr>
                <w:noProof/>
                <w:webHidden/>
              </w:rPr>
              <w:tab/>
            </w:r>
            <w:r w:rsidR="00067BBA">
              <w:rPr>
                <w:noProof/>
                <w:webHidden/>
              </w:rPr>
              <w:fldChar w:fldCharType="begin"/>
            </w:r>
            <w:r w:rsidR="00067BBA">
              <w:rPr>
                <w:noProof/>
                <w:webHidden/>
              </w:rPr>
              <w:instrText xml:space="preserve"> PAGEREF _Toc213506733 \h </w:instrText>
            </w:r>
            <w:r w:rsidR="00067BBA">
              <w:rPr>
                <w:noProof/>
                <w:webHidden/>
              </w:rPr>
            </w:r>
            <w:r w:rsidR="00067BBA">
              <w:rPr>
                <w:noProof/>
                <w:webHidden/>
              </w:rPr>
              <w:fldChar w:fldCharType="separate"/>
            </w:r>
            <w:r w:rsidR="00067BBA">
              <w:rPr>
                <w:noProof/>
                <w:webHidden/>
              </w:rPr>
              <w:t>4</w:t>
            </w:r>
            <w:r w:rsidR="00067BBA">
              <w:rPr>
                <w:noProof/>
                <w:webHidden/>
              </w:rPr>
              <w:fldChar w:fldCharType="end"/>
            </w:r>
          </w:hyperlink>
        </w:p>
        <w:p w14:paraId="1F95D489" w14:textId="067FFC4C"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34" w:history="1">
            <w:r w:rsidRPr="007E560D">
              <w:rPr>
                <w:rStyle w:val="Hyperlink"/>
                <w:noProof/>
              </w:rPr>
              <w:t>Definition of PCC</w:t>
            </w:r>
            <w:r>
              <w:rPr>
                <w:noProof/>
                <w:webHidden/>
              </w:rPr>
              <w:tab/>
            </w:r>
            <w:r>
              <w:rPr>
                <w:noProof/>
                <w:webHidden/>
              </w:rPr>
              <w:fldChar w:fldCharType="begin"/>
            </w:r>
            <w:r>
              <w:rPr>
                <w:noProof/>
                <w:webHidden/>
              </w:rPr>
              <w:instrText xml:space="preserve"> PAGEREF _Toc213506734 \h </w:instrText>
            </w:r>
            <w:r>
              <w:rPr>
                <w:noProof/>
                <w:webHidden/>
              </w:rPr>
            </w:r>
            <w:r>
              <w:rPr>
                <w:noProof/>
                <w:webHidden/>
              </w:rPr>
              <w:fldChar w:fldCharType="separate"/>
            </w:r>
            <w:r>
              <w:rPr>
                <w:noProof/>
                <w:webHidden/>
              </w:rPr>
              <w:t>4</w:t>
            </w:r>
            <w:r>
              <w:rPr>
                <w:noProof/>
                <w:webHidden/>
              </w:rPr>
              <w:fldChar w:fldCharType="end"/>
            </w:r>
          </w:hyperlink>
        </w:p>
        <w:p w14:paraId="52073E58" w14:textId="6346777A"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35" w:history="1">
            <w:r w:rsidRPr="007E560D">
              <w:rPr>
                <w:rStyle w:val="Hyperlink"/>
                <w:noProof/>
              </w:rPr>
              <w:t>Relevant Theories</w:t>
            </w:r>
            <w:r>
              <w:rPr>
                <w:noProof/>
                <w:webHidden/>
              </w:rPr>
              <w:tab/>
            </w:r>
            <w:r>
              <w:rPr>
                <w:noProof/>
                <w:webHidden/>
              </w:rPr>
              <w:fldChar w:fldCharType="begin"/>
            </w:r>
            <w:r>
              <w:rPr>
                <w:noProof/>
                <w:webHidden/>
              </w:rPr>
              <w:instrText xml:space="preserve"> PAGEREF _Toc213506735 \h </w:instrText>
            </w:r>
            <w:r>
              <w:rPr>
                <w:noProof/>
                <w:webHidden/>
              </w:rPr>
            </w:r>
            <w:r>
              <w:rPr>
                <w:noProof/>
                <w:webHidden/>
              </w:rPr>
              <w:fldChar w:fldCharType="separate"/>
            </w:r>
            <w:r>
              <w:rPr>
                <w:noProof/>
                <w:webHidden/>
              </w:rPr>
              <w:t>5</w:t>
            </w:r>
            <w:r>
              <w:rPr>
                <w:noProof/>
                <w:webHidden/>
              </w:rPr>
              <w:fldChar w:fldCharType="end"/>
            </w:r>
          </w:hyperlink>
        </w:p>
        <w:p w14:paraId="7AEFA71B" w14:textId="3EB631EA"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36" w:history="1">
            <w:r w:rsidRPr="007E560D">
              <w:rPr>
                <w:rStyle w:val="Hyperlink"/>
                <w:noProof/>
              </w:rPr>
              <w:t>Discussion on Ethical Fundamentals</w:t>
            </w:r>
            <w:r>
              <w:rPr>
                <w:noProof/>
                <w:webHidden/>
              </w:rPr>
              <w:tab/>
            </w:r>
            <w:r>
              <w:rPr>
                <w:noProof/>
                <w:webHidden/>
              </w:rPr>
              <w:fldChar w:fldCharType="begin"/>
            </w:r>
            <w:r>
              <w:rPr>
                <w:noProof/>
                <w:webHidden/>
              </w:rPr>
              <w:instrText xml:space="preserve"> PAGEREF _Toc213506736 \h </w:instrText>
            </w:r>
            <w:r>
              <w:rPr>
                <w:noProof/>
                <w:webHidden/>
              </w:rPr>
            </w:r>
            <w:r>
              <w:rPr>
                <w:noProof/>
                <w:webHidden/>
              </w:rPr>
              <w:fldChar w:fldCharType="separate"/>
            </w:r>
            <w:r>
              <w:rPr>
                <w:noProof/>
                <w:webHidden/>
              </w:rPr>
              <w:t>6</w:t>
            </w:r>
            <w:r>
              <w:rPr>
                <w:noProof/>
                <w:webHidden/>
              </w:rPr>
              <w:fldChar w:fldCharType="end"/>
            </w:r>
          </w:hyperlink>
        </w:p>
        <w:p w14:paraId="56EAC1A6" w14:textId="74ACDB64"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37" w:history="1">
            <w:r w:rsidRPr="007E560D">
              <w:rPr>
                <w:rStyle w:val="Hyperlink"/>
                <w:noProof/>
              </w:rPr>
              <w:t>Evaluating partnership working</w:t>
            </w:r>
            <w:r>
              <w:rPr>
                <w:noProof/>
                <w:webHidden/>
              </w:rPr>
              <w:tab/>
            </w:r>
            <w:r>
              <w:rPr>
                <w:noProof/>
                <w:webHidden/>
              </w:rPr>
              <w:fldChar w:fldCharType="begin"/>
            </w:r>
            <w:r>
              <w:rPr>
                <w:noProof/>
                <w:webHidden/>
              </w:rPr>
              <w:instrText xml:space="preserve"> PAGEREF _Toc213506737 \h </w:instrText>
            </w:r>
            <w:r>
              <w:rPr>
                <w:noProof/>
                <w:webHidden/>
              </w:rPr>
            </w:r>
            <w:r>
              <w:rPr>
                <w:noProof/>
                <w:webHidden/>
              </w:rPr>
              <w:fldChar w:fldCharType="separate"/>
            </w:r>
            <w:r>
              <w:rPr>
                <w:noProof/>
                <w:webHidden/>
              </w:rPr>
              <w:t>6</w:t>
            </w:r>
            <w:r>
              <w:rPr>
                <w:noProof/>
                <w:webHidden/>
              </w:rPr>
              <w:fldChar w:fldCharType="end"/>
            </w:r>
          </w:hyperlink>
        </w:p>
        <w:p w14:paraId="0713ED7A" w14:textId="28DB566F"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38" w:history="1">
            <w:r w:rsidRPr="007E560D">
              <w:rPr>
                <w:rStyle w:val="Hyperlink"/>
                <w:noProof/>
              </w:rPr>
              <w:t>Policy and Legislation</w:t>
            </w:r>
            <w:r>
              <w:rPr>
                <w:noProof/>
                <w:webHidden/>
              </w:rPr>
              <w:tab/>
            </w:r>
            <w:r>
              <w:rPr>
                <w:noProof/>
                <w:webHidden/>
              </w:rPr>
              <w:fldChar w:fldCharType="begin"/>
            </w:r>
            <w:r>
              <w:rPr>
                <w:noProof/>
                <w:webHidden/>
              </w:rPr>
              <w:instrText xml:space="preserve"> PAGEREF _Toc213506738 \h </w:instrText>
            </w:r>
            <w:r>
              <w:rPr>
                <w:noProof/>
                <w:webHidden/>
              </w:rPr>
            </w:r>
            <w:r>
              <w:rPr>
                <w:noProof/>
                <w:webHidden/>
              </w:rPr>
              <w:fldChar w:fldCharType="separate"/>
            </w:r>
            <w:r>
              <w:rPr>
                <w:noProof/>
                <w:webHidden/>
              </w:rPr>
              <w:t>8</w:t>
            </w:r>
            <w:r>
              <w:rPr>
                <w:noProof/>
                <w:webHidden/>
              </w:rPr>
              <w:fldChar w:fldCharType="end"/>
            </w:r>
          </w:hyperlink>
        </w:p>
        <w:p w14:paraId="228A1194" w14:textId="18FBEBD3"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39" w:history="1">
            <w:r w:rsidRPr="007E560D">
              <w:rPr>
                <w:rStyle w:val="Hyperlink"/>
                <w:noProof/>
              </w:rPr>
              <w:t>Recommendations</w:t>
            </w:r>
            <w:r>
              <w:rPr>
                <w:noProof/>
                <w:webHidden/>
              </w:rPr>
              <w:tab/>
            </w:r>
            <w:r>
              <w:rPr>
                <w:noProof/>
                <w:webHidden/>
              </w:rPr>
              <w:fldChar w:fldCharType="begin"/>
            </w:r>
            <w:r>
              <w:rPr>
                <w:noProof/>
                <w:webHidden/>
              </w:rPr>
              <w:instrText xml:space="preserve"> PAGEREF _Toc213506739 \h </w:instrText>
            </w:r>
            <w:r>
              <w:rPr>
                <w:noProof/>
                <w:webHidden/>
              </w:rPr>
            </w:r>
            <w:r>
              <w:rPr>
                <w:noProof/>
                <w:webHidden/>
              </w:rPr>
              <w:fldChar w:fldCharType="separate"/>
            </w:r>
            <w:r>
              <w:rPr>
                <w:noProof/>
                <w:webHidden/>
              </w:rPr>
              <w:t>9</w:t>
            </w:r>
            <w:r>
              <w:rPr>
                <w:noProof/>
                <w:webHidden/>
              </w:rPr>
              <w:fldChar w:fldCharType="end"/>
            </w:r>
          </w:hyperlink>
        </w:p>
        <w:p w14:paraId="25D10D58" w14:textId="0A9435EF"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40" w:history="1">
            <w:r w:rsidRPr="007E560D">
              <w:rPr>
                <w:rStyle w:val="Hyperlink"/>
                <w:noProof/>
              </w:rPr>
              <w:t>Conclusion</w:t>
            </w:r>
            <w:r>
              <w:rPr>
                <w:noProof/>
                <w:webHidden/>
              </w:rPr>
              <w:tab/>
            </w:r>
            <w:r>
              <w:rPr>
                <w:noProof/>
                <w:webHidden/>
              </w:rPr>
              <w:fldChar w:fldCharType="begin"/>
            </w:r>
            <w:r>
              <w:rPr>
                <w:noProof/>
                <w:webHidden/>
              </w:rPr>
              <w:instrText xml:space="preserve"> PAGEREF _Toc213506740 \h </w:instrText>
            </w:r>
            <w:r>
              <w:rPr>
                <w:noProof/>
                <w:webHidden/>
              </w:rPr>
            </w:r>
            <w:r>
              <w:rPr>
                <w:noProof/>
                <w:webHidden/>
              </w:rPr>
              <w:fldChar w:fldCharType="separate"/>
            </w:r>
            <w:r>
              <w:rPr>
                <w:noProof/>
                <w:webHidden/>
              </w:rPr>
              <w:t>9</w:t>
            </w:r>
            <w:r>
              <w:rPr>
                <w:noProof/>
                <w:webHidden/>
              </w:rPr>
              <w:fldChar w:fldCharType="end"/>
            </w:r>
          </w:hyperlink>
        </w:p>
        <w:p w14:paraId="5FF9B3BF" w14:textId="414CD4A3" w:rsidR="00067BBA" w:rsidRDefault="00067BBA">
          <w:pPr>
            <w:pStyle w:val="TOC1"/>
            <w:tabs>
              <w:tab w:val="right" w:leader="dot" w:pos="9019"/>
            </w:tabs>
            <w:rPr>
              <w:rFonts w:asciiTheme="minorHAnsi" w:eastAsiaTheme="minorEastAsia" w:hAnsiTheme="minorHAnsi" w:cstheme="minorBidi"/>
              <w:noProof/>
              <w:sz w:val="22"/>
              <w:szCs w:val="22"/>
            </w:rPr>
          </w:pPr>
          <w:hyperlink w:anchor="_Toc213506741" w:history="1">
            <w:r w:rsidRPr="007E560D">
              <w:rPr>
                <w:rStyle w:val="Hyperlink"/>
                <w:noProof/>
              </w:rPr>
              <w:t>References</w:t>
            </w:r>
            <w:r>
              <w:rPr>
                <w:noProof/>
                <w:webHidden/>
              </w:rPr>
              <w:tab/>
            </w:r>
            <w:r>
              <w:rPr>
                <w:noProof/>
                <w:webHidden/>
              </w:rPr>
              <w:fldChar w:fldCharType="begin"/>
            </w:r>
            <w:r>
              <w:rPr>
                <w:noProof/>
                <w:webHidden/>
              </w:rPr>
              <w:instrText xml:space="preserve"> PAGEREF _Toc213506741 \h </w:instrText>
            </w:r>
            <w:r>
              <w:rPr>
                <w:noProof/>
                <w:webHidden/>
              </w:rPr>
            </w:r>
            <w:r>
              <w:rPr>
                <w:noProof/>
                <w:webHidden/>
              </w:rPr>
              <w:fldChar w:fldCharType="separate"/>
            </w:r>
            <w:r>
              <w:rPr>
                <w:noProof/>
                <w:webHidden/>
              </w:rPr>
              <w:t>11</w:t>
            </w:r>
            <w:r>
              <w:rPr>
                <w:noProof/>
                <w:webHidden/>
              </w:rPr>
              <w:fldChar w:fldCharType="end"/>
            </w:r>
          </w:hyperlink>
        </w:p>
        <w:p w14:paraId="0D58C7A2" w14:textId="09718ADF" w:rsidR="00B54432" w:rsidRDefault="00E50B30">
          <w:r>
            <w:fldChar w:fldCharType="end"/>
          </w:r>
        </w:p>
      </w:sdtContent>
    </w:sdt>
    <w:p w14:paraId="21EF3E70" w14:textId="77777777" w:rsidR="00B54432" w:rsidRDefault="00E50B30">
      <w:r>
        <w:br w:type="page"/>
      </w:r>
    </w:p>
    <w:p w14:paraId="723B0515" w14:textId="77777777" w:rsidR="00B54432" w:rsidRDefault="00E50B30">
      <w:pPr>
        <w:pStyle w:val="Heading1"/>
      </w:pPr>
      <w:bookmarkStart w:id="0" w:name="_heading=h.euvefo2zau7r" w:colFirst="0" w:colLast="0"/>
      <w:bookmarkStart w:id="1" w:name="_Toc213506733"/>
      <w:bookmarkEnd w:id="0"/>
      <w:r>
        <w:lastRenderedPageBreak/>
        <w:t>Introduction</w:t>
      </w:r>
      <w:bookmarkEnd w:id="1"/>
    </w:p>
    <w:p w14:paraId="5D3EF1E2" w14:textId="77777777" w:rsidR="00B54432" w:rsidRPr="00C23383" w:rsidRDefault="00E50B30">
      <w:pPr>
        <w:rPr>
          <w:rFonts w:ascii="Arial" w:hAnsi="Arial" w:cs="Arial"/>
          <w:sz w:val="22"/>
          <w:szCs w:val="22"/>
        </w:rPr>
      </w:pPr>
      <w:r w:rsidRPr="00C23383">
        <w:rPr>
          <w:rFonts w:ascii="Arial" w:hAnsi="Arial" w:cs="Arial"/>
          <w:sz w:val="22"/>
          <w:szCs w:val="22"/>
        </w:rPr>
        <w:t xml:space="preserve">Considering the contemporary UK health and social care policy, the complete report significantly explores Partnership Working (PW) and Person-Centred Care (PCC) as two cornerstones. As per the opinion of Busari and Jane (2025), PCC denotes a direct shift towards the person’s holistic care, effectively prioritising the individual’s preferences over the disease-centric approach. Maintaining the </w:t>
      </w:r>
      <w:proofErr w:type="gramStart"/>
      <w:r w:rsidRPr="00C23383">
        <w:rPr>
          <w:rFonts w:ascii="Arial" w:hAnsi="Arial" w:cs="Arial"/>
          <w:sz w:val="22"/>
          <w:szCs w:val="22"/>
        </w:rPr>
        <w:t>compare and contrast</w:t>
      </w:r>
      <w:proofErr w:type="gramEnd"/>
      <w:r w:rsidRPr="00C23383">
        <w:rPr>
          <w:rFonts w:ascii="Arial" w:hAnsi="Arial" w:cs="Arial"/>
          <w:sz w:val="22"/>
          <w:szCs w:val="22"/>
        </w:rPr>
        <w:t xml:space="preserve">, PW mainly offers a signified and important collaborative framework towards integrated service delivery (Lowe </w:t>
      </w:r>
      <w:r w:rsidRPr="00C23383">
        <w:rPr>
          <w:rFonts w:ascii="Arial" w:hAnsi="Arial" w:cs="Arial"/>
          <w:i/>
          <w:sz w:val="22"/>
          <w:szCs w:val="22"/>
        </w:rPr>
        <w:t xml:space="preserve">et al., </w:t>
      </w:r>
      <w:r w:rsidRPr="00C23383">
        <w:rPr>
          <w:rFonts w:ascii="Arial" w:hAnsi="Arial" w:cs="Arial"/>
          <w:sz w:val="22"/>
          <w:szCs w:val="22"/>
        </w:rPr>
        <w:t>2021).</w:t>
      </w:r>
    </w:p>
    <w:p w14:paraId="52D263A9" w14:textId="77777777" w:rsidR="00B54432" w:rsidRPr="00C23383" w:rsidRDefault="00E50B30">
      <w:pPr>
        <w:rPr>
          <w:rFonts w:ascii="Arial" w:hAnsi="Arial" w:cs="Arial"/>
          <w:sz w:val="22"/>
          <w:szCs w:val="22"/>
        </w:rPr>
      </w:pPr>
      <w:r w:rsidRPr="00C23383">
        <w:rPr>
          <w:rFonts w:ascii="Arial" w:hAnsi="Arial" w:cs="Arial"/>
          <w:sz w:val="22"/>
          <w:szCs w:val="22"/>
        </w:rPr>
        <w:t xml:space="preserve">This study will evaluate PW’s and PCC’s theoretical underpinnings, policy context and ethical principles. Grounded on the data of UK regulatory bodies such as NHS England and CQC, the complete analysis will be in the real-time setting of the UK-specific acute general hospitals. Additionally, the reports’ subsequent sections will identify key concepts, provide a strategic review of relevant ethics and theories, evaluate PW, propose improvements, and analyse pertinent policy. It will end with a concluding summary. </w:t>
      </w:r>
    </w:p>
    <w:p w14:paraId="6C462E32" w14:textId="77777777" w:rsidR="00B54432" w:rsidRPr="00C23383" w:rsidRDefault="00E50B30">
      <w:pPr>
        <w:pStyle w:val="Heading1"/>
        <w:rPr>
          <w:rFonts w:ascii="Arial" w:hAnsi="Arial" w:cs="Arial"/>
          <w:sz w:val="22"/>
          <w:szCs w:val="22"/>
        </w:rPr>
      </w:pPr>
      <w:bookmarkStart w:id="2" w:name="_heading=h.w458wt449z10" w:colFirst="0" w:colLast="0"/>
      <w:bookmarkStart w:id="3" w:name="_Toc213506734"/>
      <w:bookmarkEnd w:id="2"/>
      <w:r w:rsidRPr="00C23383">
        <w:rPr>
          <w:rFonts w:ascii="Arial" w:hAnsi="Arial" w:cs="Arial"/>
          <w:sz w:val="22"/>
          <w:szCs w:val="22"/>
        </w:rPr>
        <w:t>Definition of PCC</w:t>
      </w:r>
      <w:bookmarkEnd w:id="3"/>
    </w:p>
    <w:p w14:paraId="5B673244" w14:textId="4B0AE134" w:rsidR="00B54432" w:rsidRPr="00C23383" w:rsidRDefault="00E50B30">
      <w:pPr>
        <w:rPr>
          <w:rFonts w:ascii="Arial" w:hAnsi="Arial" w:cs="Arial"/>
          <w:sz w:val="22"/>
          <w:szCs w:val="22"/>
        </w:rPr>
      </w:pPr>
      <w:r w:rsidRPr="00C23383">
        <w:rPr>
          <w:rFonts w:ascii="Arial" w:hAnsi="Arial" w:cs="Arial"/>
          <w:sz w:val="22"/>
          <w:szCs w:val="22"/>
        </w:rPr>
        <w:t xml:space="preserve">Based on the data of Yu </w:t>
      </w:r>
      <w:r w:rsidRPr="00C23383">
        <w:rPr>
          <w:rFonts w:ascii="Arial" w:hAnsi="Arial" w:cs="Arial"/>
          <w:i/>
          <w:sz w:val="22"/>
          <w:szCs w:val="22"/>
        </w:rPr>
        <w:t>et al.</w:t>
      </w:r>
      <w:r w:rsidRPr="00C23383">
        <w:rPr>
          <w:rFonts w:ascii="Arial" w:hAnsi="Arial" w:cs="Arial"/>
          <w:sz w:val="22"/>
          <w:szCs w:val="22"/>
        </w:rPr>
        <w:t xml:space="preserve"> (2023), the WHO significantly advocates the PCC, especially in healthcare, where it further interprets that PCC has been denoted to enhance the healthcare outcomes, especially for different chronic diseases, which include ‘COPD’, ‘cardiovascular risk management’, ‘depression and anxiety disorder’, ‘diabetes</w:t>
      </w:r>
      <w:r w:rsidR="00067BBA" w:rsidRPr="00C23383">
        <w:rPr>
          <w:rFonts w:ascii="Arial" w:hAnsi="Arial" w:cs="Arial"/>
          <w:sz w:val="22"/>
          <w:szCs w:val="22"/>
        </w:rPr>
        <w:t>’ and</w:t>
      </w:r>
      <w:r w:rsidRPr="00C23383">
        <w:rPr>
          <w:rFonts w:ascii="Arial" w:hAnsi="Arial" w:cs="Arial"/>
          <w:sz w:val="22"/>
          <w:szCs w:val="22"/>
        </w:rPr>
        <w:t xml:space="preserve"> ‘addictive behaviour’. Specifically, the benefits of PCC significantly highlight the improved patient engagement that potentially leads to comparatively lower cost and better treatment outcomes. Maintaining similar thoughts, the opinions of Bosserman </w:t>
      </w:r>
      <w:r w:rsidRPr="00C23383">
        <w:rPr>
          <w:rFonts w:ascii="Arial" w:hAnsi="Arial" w:cs="Arial"/>
          <w:i/>
          <w:sz w:val="22"/>
          <w:szCs w:val="22"/>
        </w:rPr>
        <w:t xml:space="preserve">et al. </w:t>
      </w:r>
      <w:r w:rsidRPr="00C23383">
        <w:rPr>
          <w:rFonts w:ascii="Arial" w:hAnsi="Arial" w:cs="Arial"/>
          <w:sz w:val="22"/>
          <w:szCs w:val="22"/>
        </w:rPr>
        <w:t xml:space="preserve">(2021) and PCC directly allow for a comparatively better multidisciplinary team engagement integration along with nutrient management. From the author’s view, it can play a comprehensive role, especially in the management of chronic disease. It showcases that the overall patient satisfaction is automatically accelerated and leads to better health  </w:t>
      </w:r>
    </w:p>
    <w:p w14:paraId="21004F85" w14:textId="534C4441" w:rsidR="00B54432" w:rsidRPr="00C23383" w:rsidRDefault="00E50B30">
      <w:pPr>
        <w:rPr>
          <w:rFonts w:ascii="Arial" w:hAnsi="Arial" w:cs="Arial"/>
          <w:sz w:val="22"/>
          <w:szCs w:val="22"/>
        </w:rPr>
      </w:pPr>
      <w:r w:rsidRPr="00C23383">
        <w:rPr>
          <w:rFonts w:ascii="Arial" w:hAnsi="Arial" w:cs="Arial"/>
          <w:sz w:val="22"/>
          <w:szCs w:val="22"/>
        </w:rPr>
        <w:t>According to the data of Piskorz-</w:t>
      </w:r>
      <w:proofErr w:type="spellStart"/>
      <w:r w:rsidRPr="00C23383">
        <w:rPr>
          <w:rFonts w:ascii="Arial" w:hAnsi="Arial" w:cs="Arial"/>
          <w:sz w:val="22"/>
          <w:szCs w:val="22"/>
        </w:rPr>
        <w:t>Ryń</w:t>
      </w:r>
      <w:proofErr w:type="spellEnd"/>
      <w:r w:rsidRPr="00C23383">
        <w:rPr>
          <w:rFonts w:ascii="Arial" w:hAnsi="Arial" w:cs="Arial"/>
          <w:sz w:val="22"/>
          <w:szCs w:val="22"/>
        </w:rPr>
        <w:t xml:space="preserve"> </w:t>
      </w:r>
      <w:r w:rsidRPr="00C23383">
        <w:rPr>
          <w:rFonts w:ascii="Arial" w:hAnsi="Arial" w:cs="Arial"/>
          <w:i/>
          <w:sz w:val="22"/>
          <w:szCs w:val="22"/>
        </w:rPr>
        <w:t xml:space="preserve">et al. </w:t>
      </w:r>
      <w:r w:rsidRPr="00C23383">
        <w:rPr>
          <w:rFonts w:ascii="Arial" w:hAnsi="Arial" w:cs="Arial"/>
          <w:sz w:val="22"/>
          <w:szCs w:val="22"/>
        </w:rPr>
        <w:t>(2024</w:t>
      </w:r>
      <w:r w:rsidR="00067BBA" w:rsidRPr="00C23383">
        <w:rPr>
          <w:rFonts w:ascii="Arial" w:hAnsi="Arial" w:cs="Arial"/>
          <w:sz w:val="22"/>
          <w:szCs w:val="22"/>
        </w:rPr>
        <w:t>), during</w:t>
      </w:r>
      <w:r w:rsidRPr="00C23383">
        <w:rPr>
          <w:rFonts w:ascii="Arial" w:hAnsi="Arial" w:cs="Arial"/>
          <w:sz w:val="22"/>
          <w:szCs w:val="22"/>
        </w:rPr>
        <w:t xml:space="preserve"> the implementation of PCC, researchers have identified various kinds of challenges generally faced by healthcare professionals and patients' parties, which include budget constraints, staff limitations, and inappropriate facilities under the resource limitations. Whereas, connecting the hurdles with resistance to change, it specifically highlights the bottlenecks of change management, fear of the unknown and comfortability with the status quo. From the author’s viewpoint, it has further noticeable from the perspective of the respondent, notes on resource limitations, specifically on staffing and budget, are considered as the major threats. </w:t>
      </w:r>
    </w:p>
    <w:p w14:paraId="23F75B9D" w14:textId="77777777" w:rsidR="00B54432" w:rsidRPr="00C23383" w:rsidRDefault="00E50B30">
      <w:pPr>
        <w:rPr>
          <w:rFonts w:ascii="Arial" w:hAnsi="Arial" w:cs="Arial"/>
          <w:sz w:val="22"/>
          <w:szCs w:val="22"/>
        </w:rPr>
      </w:pPr>
      <w:r w:rsidRPr="00C23383">
        <w:rPr>
          <w:rFonts w:ascii="Arial" w:hAnsi="Arial" w:cs="Arial"/>
          <w:sz w:val="22"/>
          <w:szCs w:val="22"/>
        </w:rPr>
        <w:t xml:space="preserve">From the case study, it has been identified that the therapy teams faced logistical challenges and resource constraints. Despite these threats, the PCC team has offered home visits to her </w:t>
      </w:r>
      <w:r w:rsidRPr="00C23383">
        <w:rPr>
          <w:rFonts w:ascii="Arial" w:hAnsi="Arial" w:cs="Arial"/>
          <w:sz w:val="22"/>
          <w:szCs w:val="22"/>
        </w:rPr>
        <w:lastRenderedPageBreak/>
        <w:t xml:space="preserve">and tried to coordinate with Joan and her GP to formulate a sustainable action plan. This directly embodies the complete definition of PCC.  </w:t>
      </w:r>
    </w:p>
    <w:p w14:paraId="638255A6" w14:textId="77777777" w:rsidR="00B54432" w:rsidRPr="00C23383" w:rsidRDefault="00E50B30">
      <w:pPr>
        <w:pStyle w:val="Heading1"/>
        <w:rPr>
          <w:rFonts w:ascii="Arial" w:hAnsi="Arial" w:cs="Arial"/>
          <w:sz w:val="22"/>
          <w:szCs w:val="22"/>
        </w:rPr>
      </w:pPr>
      <w:bookmarkStart w:id="4" w:name="_heading=h.b1086ptyyqra" w:colFirst="0" w:colLast="0"/>
      <w:bookmarkStart w:id="5" w:name="_Toc213506735"/>
      <w:bookmarkEnd w:id="4"/>
      <w:r w:rsidRPr="00C23383">
        <w:rPr>
          <w:rFonts w:ascii="Arial" w:hAnsi="Arial" w:cs="Arial"/>
          <w:sz w:val="22"/>
          <w:szCs w:val="22"/>
        </w:rPr>
        <w:t>Relevant Theories</w:t>
      </w:r>
      <w:bookmarkEnd w:id="5"/>
      <w:r w:rsidRPr="00C23383">
        <w:rPr>
          <w:rFonts w:ascii="Arial" w:hAnsi="Arial" w:cs="Arial"/>
          <w:sz w:val="22"/>
          <w:szCs w:val="22"/>
        </w:rPr>
        <w:t xml:space="preserve"> </w:t>
      </w:r>
    </w:p>
    <w:p w14:paraId="1A1CA350" w14:textId="77777777" w:rsidR="00B54432" w:rsidRPr="00C23383" w:rsidRDefault="00E50B30" w:rsidP="00067BBA">
      <w:pPr>
        <w:rPr>
          <w:rFonts w:ascii="Arial" w:hAnsi="Arial" w:cs="Arial"/>
          <w:b/>
          <w:bCs/>
          <w:sz w:val="22"/>
          <w:szCs w:val="22"/>
        </w:rPr>
      </w:pPr>
      <w:bookmarkStart w:id="6" w:name="_heading=h.bmylw1ux2ep0" w:colFirst="0" w:colLast="0"/>
      <w:bookmarkEnd w:id="6"/>
      <w:r w:rsidRPr="00C23383">
        <w:rPr>
          <w:rFonts w:ascii="Arial" w:hAnsi="Arial" w:cs="Arial"/>
          <w:b/>
          <w:bCs/>
          <w:sz w:val="22"/>
          <w:szCs w:val="22"/>
        </w:rPr>
        <w:t>Theory 1: The Biopsychosocial Model</w:t>
      </w:r>
    </w:p>
    <w:p w14:paraId="57B1FE04" w14:textId="77777777" w:rsidR="00B54432" w:rsidRPr="00C23383" w:rsidRDefault="00E50B30">
      <w:pPr>
        <w:rPr>
          <w:rFonts w:ascii="Arial" w:hAnsi="Arial" w:cs="Arial"/>
          <w:sz w:val="22"/>
          <w:szCs w:val="22"/>
        </w:rPr>
      </w:pPr>
      <w:r w:rsidRPr="00C23383">
        <w:rPr>
          <w:rFonts w:ascii="Arial" w:hAnsi="Arial" w:cs="Arial"/>
          <w:sz w:val="22"/>
          <w:szCs w:val="22"/>
        </w:rPr>
        <w:t xml:space="preserve">The biopsychosocial model, empowered by George Engel, notes that illness and health are completely determined by the complicated interconnectedness of psychological, biological and social factors. Additionally, connecting with the concept of PCC, this model mainly highlighted that it is not only the patient’s diseases; it specifically centred upon the adaptation of shared decision-making and the biopsychosocial perspective (Tramonti, Giorgi and </w:t>
      </w:r>
      <w:proofErr w:type="spellStart"/>
      <w:r w:rsidRPr="00C23383">
        <w:rPr>
          <w:rFonts w:ascii="Arial" w:hAnsi="Arial" w:cs="Arial"/>
          <w:sz w:val="22"/>
          <w:szCs w:val="22"/>
        </w:rPr>
        <w:t>Fanali</w:t>
      </w:r>
      <w:proofErr w:type="spellEnd"/>
      <w:r w:rsidRPr="00C23383">
        <w:rPr>
          <w:rFonts w:ascii="Arial" w:hAnsi="Arial" w:cs="Arial"/>
          <w:sz w:val="22"/>
          <w:szCs w:val="22"/>
        </w:rPr>
        <w:t xml:space="preserve">, 2021). As per the data of Fridberg, Wallin and </w:t>
      </w:r>
      <w:proofErr w:type="spellStart"/>
      <w:r w:rsidRPr="00C23383">
        <w:rPr>
          <w:rFonts w:ascii="Arial" w:hAnsi="Arial" w:cs="Arial"/>
          <w:sz w:val="22"/>
          <w:szCs w:val="22"/>
        </w:rPr>
        <w:t>Tistad</w:t>
      </w:r>
      <w:proofErr w:type="spellEnd"/>
      <w:r w:rsidRPr="00C23383">
        <w:rPr>
          <w:rFonts w:ascii="Arial" w:hAnsi="Arial" w:cs="Arial"/>
          <w:sz w:val="22"/>
          <w:szCs w:val="22"/>
        </w:rPr>
        <w:t xml:space="preserve"> (2022), the authors have identified the PCC principle of ‘seeing the person behind the patient’. Based on the previous author’s overview on the adaptation of shared decision-making, the biopsychosocial perspective entirely supports this argument. </w:t>
      </w:r>
    </w:p>
    <w:p w14:paraId="626AC401" w14:textId="3CEBD775" w:rsidR="00B54432" w:rsidRPr="00C23383" w:rsidRDefault="00E50B30">
      <w:pPr>
        <w:rPr>
          <w:rFonts w:ascii="Arial" w:hAnsi="Arial" w:cs="Arial"/>
          <w:sz w:val="22"/>
          <w:szCs w:val="22"/>
        </w:rPr>
      </w:pPr>
      <w:r w:rsidRPr="00C23383">
        <w:rPr>
          <w:rFonts w:ascii="Arial" w:hAnsi="Arial" w:cs="Arial"/>
          <w:sz w:val="22"/>
          <w:szCs w:val="22"/>
        </w:rPr>
        <w:t>From the chosen practical setting of Joan's case, Joan's physiotherapist suggested potential pulmonary rehabilitation, not just centralised on her medical treatment towards COPD symptoms, but also addressing and promoting her personal goals and enhancing her overall quality of life. Connecting with Crohn's Disease, her subsequent hospitalisations and missed appointments underlie the social or psychological barriers. In this regard, the therapy team has visited her home and addressed the application of the social aspect towards th</w:t>
      </w:r>
      <w:r w:rsidR="00607EF1" w:rsidRPr="00C23383">
        <w:rPr>
          <w:rFonts w:ascii="Arial" w:hAnsi="Arial" w:cs="Arial"/>
          <w:sz w:val="22"/>
          <w:szCs w:val="22"/>
        </w:rPr>
        <w:t>e</w:t>
      </w:r>
      <w:r w:rsidRPr="00C23383">
        <w:rPr>
          <w:rFonts w:ascii="Arial" w:hAnsi="Arial" w:cs="Arial"/>
          <w:sz w:val="22"/>
          <w:szCs w:val="22"/>
        </w:rPr>
        <w:t xml:space="preserve"> model. </w:t>
      </w:r>
    </w:p>
    <w:p w14:paraId="34EE516D" w14:textId="77777777" w:rsidR="00B54432" w:rsidRPr="00C23383" w:rsidRDefault="00E50B30" w:rsidP="00067BBA">
      <w:pPr>
        <w:rPr>
          <w:rFonts w:ascii="Arial" w:hAnsi="Arial" w:cs="Arial"/>
          <w:b/>
          <w:bCs/>
          <w:sz w:val="22"/>
          <w:szCs w:val="22"/>
        </w:rPr>
      </w:pPr>
      <w:bookmarkStart w:id="7" w:name="_heading=h.xrvd16aay9bt" w:colFirst="0" w:colLast="0"/>
      <w:bookmarkEnd w:id="7"/>
      <w:r w:rsidRPr="00C23383">
        <w:rPr>
          <w:rFonts w:ascii="Arial" w:hAnsi="Arial" w:cs="Arial"/>
          <w:b/>
          <w:bCs/>
          <w:sz w:val="22"/>
          <w:szCs w:val="22"/>
        </w:rPr>
        <w:t>Theory 2: The Empowerment Model</w:t>
      </w:r>
    </w:p>
    <w:p w14:paraId="35B68E20" w14:textId="77777777" w:rsidR="00B54432" w:rsidRPr="00C23383" w:rsidRDefault="00E50B30">
      <w:pPr>
        <w:rPr>
          <w:rFonts w:ascii="Arial" w:hAnsi="Arial" w:cs="Arial"/>
          <w:sz w:val="22"/>
          <w:szCs w:val="22"/>
        </w:rPr>
      </w:pPr>
      <w:r w:rsidRPr="00C23383">
        <w:rPr>
          <w:rFonts w:ascii="Arial" w:hAnsi="Arial" w:cs="Arial"/>
          <w:sz w:val="22"/>
          <w:szCs w:val="22"/>
        </w:rPr>
        <w:t xml:space="preserve">The empowerment model significantly focuses on the individuals to actively take on a significant role in handling their own health and complete well-being by accelerating their control and self-sufficiency. As per the study of Heggdal </w:t>
      </w:r>
      <w:r w:rsidRPr="00C23383">
        <w:rPr>
          <w:rFonts w:ascii="Arial" w:hAnsi="Arial" w:cs="Arial"/>
          <w:i/>
          <w:sz w:val="22"/>
          <w:szCs w:val="22"/>
        </w:rPr>
        <w:t xml:space="preserve">et al. </w:t>
      </w:r>
      <w:r w:rsidRPr="00C23383">
        <w:rPr>
          <w:rFonts w:ascii="Arial" w:hAnsi="Arial" w:cs="Arial"/>
          <w:sz w:val="22"/>
          <w:szCs w:val="22"/>
        </w:rPr>
        <w:t xml:space="preserve">(2023), this model notably facilitates a strong power-sharing relationship where the patient is an equal partner and further considered as a co-creator towards the care plan. It has been further noticed that empowerment is also crucial for supporting self-management, especially in several chronic conditions, by formulating a person’s skill, control and confidence over their health. Highlights from Heggdal </w:t>
      </w:r>
      <w:r w:rsidRPr="00C23383">
        <w:rPr>
          <w:rFonts w:ascii="Arial" w:hAnsi="Arial" w:cs="Arial"/>
          <w:i/>
          <w:sz w:val="22"/>
          <w:szCs w:val="22"/>
        </w:rPr>
        <w:t>et al.</w:t>
      </w:r>
      <w:r w:rsidRPr="00C23383">
        <w:rPr>
          <w:rFonts w:ascii="Arial" w:hAnsi="Arial" w:cs="Arial"/>
          <w:sz w:val="22"/>
          <w:szCs w:val="22"/>
        </w:rPr>
        <w:t xml:space="preserve"> (2021) and Berntsen </w:t>
      </w:r>
      <w:r w:rsidRPr="00C23383">
        <w:rPr>
          <w:rFonts w:ascii="Arial" w:hAnsi="Arial" w:cs="Arial"/>
          <w:i/>
          <w:sz w:val="22"/>
          <w:szCs w:val="22"/>
        </w:rPr>
        <w:t>et al.</w:t>
      </w:r>
      <w:r w:rsidRPr="00C23383">
        <w:rPr>
          <w:rFonts w:ascii="Arial" w:hAnsi="Arial" w:cs="Arial"/>
          <w:sz w:val="22"/>
          <w:szCs w:val="22"/>
        </w:rPr>
        <w:t xml:space="preserve"> (2022) this model specifically aligns the core principle of PCC – "what matters" – to the patients. Here, the model supports the patients as the experts in their own lives and further shapes their strength, which determines the meaningful goal.</w:t>
      </w:r>
    </w:p>
    <w:p w14:paraId="37773F10" w14:textId="77777777" w:rsidR="00B54432" w:rsidRPr="00C23383" w:rsidRDefault="00E50B30">
      <w:pPr>
        <w:rPr>
          <w:rFonts w:ascii="Arial" w:hAnsi="Arial" w:cs="Arial"/>
          <w:sz w:val="22"/>
          <w:szCs w:val="22"/>
        </w:rPr>
      </w:pPr>
      <w:r w:rsidRPr="00C23383">
        <w:rPr>
          <w:rFonts w:ascii="Arial" w:hAnsi="Arial" w:cs="Arial"/>
          <w:sz w:val="22"/>
          <w:szCs w:val="22"/>
        </w:rPr>
        <w:t xml:space="preserve">While it connected to Joan's case, the PCC teams involved her in collaborative decision-making for undertaking pulmonary rehabilitation; in this regard, the professionals empowered her to make choices and take possible control of her conditions. </w:t>
      </w:r>
    </w:p>
    <w:p w14:paraId="74BB0FB1" w14:textId="77777777" w:rsidR="00B54432" w:rsidRPr="00C23383" w:rsidRDefault="00E50B30">
      <w:pPr>
        <w:pStyle w:val="Heading1"/>
        <w:rPr>
          <w:rFonts w:ascii="Arial" w:hAnsi="Arial" w:cs="Arial"/>
          <w:sz w:val="22"/>
          <w:szCs w:val="22"/>
        </w:rPr>
      </w:pPr>
      <w:bookmarkStart w:id="8" w:name="_Toc213506736"/>
      <w:r w:rsidRPr="00C23383">
        <w:rPr>
          <w:rFonts w:ascii="Arial" w:hAnsi="Arial" w:cs="Arial"/>
          <w:sz w:val="22"/>
          <w:szCs w:val="22"/>
        </w:rPr>
        <w:t>Discussion on Ethical Fundamentals</w:t>
      </w:r>
      <w:bookmarkEnd w:id="8"/>
      <w:r w:rsidRPr="00C23383">
        <w:rPr>
          <w:rFonts w:ascii="Arial" w:hAnsi="Arial" w:cs="Arial"/>
          <w:sz w:val="22"/>
          <w:szCs w:val="22"/>
        </w:rPr>
        <w:t xml:space="preserve"> </w:t>
      </w:r>
    </w:p>
    <w:p w14:paraId="4755F30F" w14:textId="77777777" w:rsidR="00B54432" w:rsidRPr="00C23383" w:rsidRDefault="00E50B30">
      <w:pPr>
        <w:rPr>
          <w:rFonts w:ascii="Arial" w:hAnsi="Arial" w:cs="Arial"/>
          <w:sz w:val="22"/>
          <w:szCs w:val="22"/>
        </w:rPr>
      </w:pPr>
      <w:r w:rsidRPr="00C23383">
        <w:rPr>
          <w:rFonts w:ascii="Arial" w:hAnsi="Arial" w:cs="Arial"/>
          <w:sz w:val="22"/>
          <w:szCs w:val="22"/>
        </w:rPr>
        <w:t xml:space="preserve">Ethical principles in the context of health and social care are surrounded by four aspects. The first one is </w:t>
      </w:r>
      <w:r w:rsidRPr="00C23383">
        <w:rPr>
          <w:rFonts w:ascii="Arial" w:hAnsi="Arial" w:cs="Arial"/>
          <w:b/>
          <w:sz w:val="22"/>
          <w:szCs w:val="22"/>
        </w:rPr>
        <w:t xml:space="preserve">Autonomy </w:t>
      </w:r>
      <w:r w:rsidRPr="00C23383">
        <w:rPr>
          <w:rFonts w:ascii="Arial" w:hAnsi="Arial" w:cs="Arial"/>
          <w:sz w:val="22"/>
          <w:szCs w:val="22"/>
        </w:rPr>
        <w:t xml:space="preserve">where a person's right is respected in their own decision making </w:t>
      </w:r>
      <w:r w:rsidRPr="00C23383">
        <w:rPr>
          <w:rFonts w:ascii="Arial" w:hAnsi="Arial" w:cs="Arial"/>
          <w:sz w:val="22"/>
          <w:szCs w:val="22"/>
        </w:rPr>
        <w:lastRenderedPageBreak/>
        <w:t xml:space="preserve">(Adams </w:t>
      </w:r>
      <w:r w:rsidRPr="00C23383">
        <w:rPr>
          <w:rFonts w:ascii="Arial" w:hAnsi="Arial" w:cs="Arial"/>
          <w:i/>
          <w:sz w:val="22"/>
          <w:szCs w:val="22"/>
        </w:rPr>
        <w:t xml:space="preserve">et al., </w:t>
      </w:r>
      <w:r w:rsidRPr="00C23383">
        <w:rPr>
          <w:rFonts w:ascii="Arial" w:hAnsi="Arial" w:cs="Arial"/>
          <w:sz w:val="22"/>
          <w:szCs w:val="22"/>
        </w:rPr>
        <w:t xml:space="preserve">2023). </w:t>
      </w:r>
      <w:r w:rsidRPr="00C23383">
        <w:rPr>
          <w:rFonts w:ascii="Arial" w:hAnsi="Arial" w:cs="Arial"/>
          <w:b/>
          <w:sz w:val="22"/>
          <w:szCs w:val="22"/>
        </w:rPr>
        <w:t xml:space="preserve">Beneficence </w:t>
      </w:r>
      <w:r w:rsidRPr="00C23383">
        <w:rPr>
          <w:rFonts w:ascii="Arial" w:hAnsi="Arial" w:cs="Arial"/>
          <w:sz w:val="22"/>
          <w:szCs w:val="22"/>
        </w:rPr>
        <w:t xml:space="preserve">is another one that involves advocating a person's health needs beyond just clinical tasks. </w:t>
      </w:r>
      <w:r w:rsidRPr="00C23383">
        <w:rPr>
          <w:rFonts w:ascii="Arial" w:hAnsi="Arial" w:cs="Arial"/>
          <w:b/>
          <w:sz w:val="22"/>
          <w:szCs w:val="22"/>
        </w:rPr>
        <w:t>Non-maleficence</w:t>
      </w:r>
      <w:r w:rsidRPr="00C23383">
        <w:rPr>
          <w:rFonts w:ascii="Arial" w:hAnsi="Arial" w:cs="Arial"/>
          <w:sz w:val="22"/>
          <w:szCs w:val="22"/>
        </w:rPr>
        <w:t xml:space="preserve"> is another principle indicating the need of avoiding action that could cause injury or harm to a patient. </w:t>
      </w:r>
      <w:r w:rsidRPr="00C23383">
        <w:rPr>
          <w:rFonts w:ascii="Arial" w:hAnsi="Arial" w:cs="Arial"/>
          <w:b/>
          <w:sz w:val="22"/>
          <w:szCs w:val="22"/>
        </w:rPr>
        <w:t xml:space="preserve">Justice </w:t>
      </w:r>
      <w:r w:rsidRPr="00C23383">
        <w:rPr>
          <w:rFonts w:ascii="Arial" w:hAnsi="Arial" w:cs="Arial"/>
          <w:sz w:val="22"/>
          <w:szCs w:val="22"/>
        </w:rPr>
        <w:t xml:space="preserve">is the last one that talks about treatment fairness and equal distribution of resources. </w:t>
      </w:r>
    </w:p>
    <w:p w14:paraId="475A66BB" w14:textId="77777777" w:rsidR="00B54432" w:rsidRPr="00C23383" w:rsidRDefault="00E50B30">
      <w:pPr>
        <w:rPr>
          <w:rFonts w:ascii="Arial" w:hAnsi="Arial" w:cs="Arial"/>
          <w:sz w:val="22"/>
          <w:szCs w:val="22"/>
        </w:rPr>
      </w:pPr>
      <w:r w:rsidRPr="00C23383">
        <w:rPr>
          <w:rFonts w:ascii="Arial" w:hAnsi="Arial" w:cs="Arial"/>
          <w:sz w:val="22"/>
          <w:szCs w:val="22"/>
        </w:rPr>
        <w:t xml:space="preserve">From the case study of Joan, ethical principles of autonomy, beneficence and justice are connected to the ‘person centred care’ approach. As Joan’s physiotherapist has recommended Joan to involve in pulmonary rehabilitation, this might be connected to the principle of ‘Beneficence’ (nhs.uk, 2025). Suggesting pulmonary rehabilitation to Joan aims to enhance the physical state and decrease symptoms like fatigue and improve life quality. The principle of ‘Partnership Working’ also is followed in Joan’s case study from uncontrolled Crohn’s disease, required by the need of a GP. Ethical Dilemma refers to a condition where there is no clear answer. In an ethical dilemma case, values might conflict. </w:t>
      </w:r>
      <w:proofErr w:type="gramStart"/>
      <w:r w:rsidRPr="00C23383">
        <w:rPr>
          <w:rFonts w:ascii="Arial" w:hAnsi="Arial" w:cs="Arial"/>
          <w:sz w:val="22"/>
          <w:szCs w:val="22"/>
        </w:rPr>
        <w:t>In order to</w:t>
      </w:r>
      <w:proofErr w:type="gramEnd"/>
      <w:r w:rsidRPr="00C23383">
        <w:rPr>
          <w:rFonts w:ascii="Arial" w:hAnsi="Arial" w:cs="Arial"/>
          <w:sz w:val="22"/>
          <w:szCs w:val="22"/>
        </w:rPr>
        <w:t xml:space="preserve"> follow ethical conduct, a dilemma can arise while sharing information of Joan between physiotherapists and GP to maintain a blanched clinical advice within the settings of MDT. It violates privacy and patient autonomy regarding informed consent. Ethical resolution in health refers to the procedure of solving conflicts between ethical values for making fair decisions in healthcare settings (O’Sullivan </w:t>
      </w:r>
      <w:r w:rsidRPr="00C23383">
        <w:rPr>
          <w:rFonts w:ascii="Arial" w:hAnsi="Arial" w:cs="Arial"/>
          <w:i/>
          <w:sz w:val="22"/>
          <w:szCs w:val="22"/>
        </w:rPr>
        <w:t>et al.,</w:t>
      </w:r>
      <w:r w:rsidRPr="00C23383">
        <w:rPr>
          <w:rFonts w:ascii="Arial" w:hAnsi="Arial" w:cs="Arial"/>
          <w:sz w:val="22"/>
          <w:szCs w:val="22"/>
        </w:rPr>
        <w:t xml:space="preserve"> 2022). In Joan’s case, ethical resolution it would be the responsibility for GP and physiotherapist to demonstrate to Joan at the starting of care that information would be required to be shared among different team members. Joan has the right to make decisions about who can check her health-related data. Hence, her preferences need to be </w:t>
      </w:r>
      <w:proofErr w:type="gramStart"/>
      <w:r w:rsidRPr="00C23383">
        <w:rPr>
          <w:rFonts w:ascii="Arial" w:hAnsi="Arial" w:cs="Arial"/>
          <w:sz w:val="22"/>
          <w:szCs w:val="22"/>
        </w:rPr>
        <w:t>respected</w:t>
      </w:r>
      <w:proofErr w:type="gramEnd"/>
      <w:r w:rsidRPr="00C23383">
        <w:rPr>
          <w:rFonts w:ascii="Arial" w:hAnsi="Arial" w:cs="Arial"/>
          <w:sz w:val="22"/>
          <w:szCs w:val="22"/>
        </w:rPr>
        <w:t xml:space="preserve"> and Joan needs to be informed of possible consequences. </w:t>
      </w:r>
    </w:p>
    <w:p w14:paraId="7223FD6E" w14:textId="77777777" w:rsidR="00B54432" w:rsidRPr="00C23383" w:rsidRDefault="00E50B30">
      <w:pPr>
        <w:pStyle w:val="Heading1"/>
        <w:rPr>
          <w:rFonts w:ascii="Arial" w:hAnsi="Arial" w:cs="Arial"/>
          <w:sz w:val="22"/>
          <w:szCs w:val="22"/>
        </w:rPr>
      </w:pPr>
      <w:bookmarkStart w:id="9" w:name="_Toc213506737"/>
      <w:r w:rsidRPr="00C23383">
        <w:rPr>
          <w:rFonts w:ascii="Arial" w:hAnsi="Arial" w:cs="Arial"/>
          <w:sz w:val="22"/>
          <w:szCs w:val="22"/>
        </w:rPr>
        <w:t>Evaluating partnership working</w:t>
      </w:r>
      <w:bookmarkEnd w:id="9"/>
      <w:r w:rsidRPr="00C23383">
        <w:rPr>
          <w:rFonts w:ascii="Arial" w:hAnsi="Arial" w:cs="Arial"/>
          <w:sz w:val="22"/>
          <w:szCs w:val="22"/>
        </w:rPr>
        <w:t xml:space="preserve"> </w:t>
      </w:r>
    </w:p>
    <w:p w14:paraId="69BE5B92" w14:textId="77777777" w:rsidR="00B54432" w:rsidRPr="00C23383" w:rsidRDefault="00E50B30">
      <w:pPr>
        <w:rPr>
          <w:rFonts w:ascii="Arial" w:hAnsi="Arial" w:cs="Arial"/>
          <w:b/>
          <w:sz w:val="22"/>
          <w:szCs w:val="22"/>
        </w:rPr>
      </w:pPr>
      <w:r w:rsidRPr="00C23383">
        <w:rPr>
          <w:rFonts w:ascii="Arial" w:hAnsi="Arial" w:cs="Arial"/>
          <w:sz w:val="22"/>
          <w:szCs w:val="22"/>
        </w:rPr>
        <w:t>Partnership Working in healthcare is based on a collaborative agreement where individuals like health experts, social workers are seen to share responsibilities and rights for acquiring a shared objective (Leutz, 2009). The importance of PW within healthcare can be taken in improving its service delivery and creation of person-centred care. This helps experts work together effectively, confirming that care is coordinated around needs of individuals instead of only being fragmented over multiple departments. In the context of ICSs or Integrated Care system, this partnership working is vital to acquire the core target of delivering coordinated result focused care. The importance is emphasised in several areas like "Person-</w:t>
      </w:r>
      <w:proofErr w:type="spellStart"/>
      <w:r w:rsidRPr="00C23383">
        <w:rPr>
          <w:rFonts w:ascii="Arial" w:hAnsi="Arial" w:cs="Arial"/>
          <w:sz w:val="22"/>
          <w:szCs w:val="22"/>
        </w:rPr>
        <w:t>centered</w:t>
      </w:r>
      <w:proofErr w:type="spellEnd"/>
      <w:r w:rsidRPr="00C23383">
        <w:rPr>
          <w:rFonts w:ascii="Arial" w:hAnsi="Arial" w:cs="Arial"/>
          <w:sz w:val="22"/>
          <w:szCs w:val="22"/>
        </w:rPr>
        <w:t xml:space="preserve">" care, coordinated care, addressing comprehensive requirements, and fostering a shared responsibility culture. </w:t>
      </w:r>
    </w:p>
    <w:p w14:paraId="46CBDE8F" w14:textId="77777777" w:rsidR="00B54432" w:rsidRPr="00C23383" w:rsidRDefault="00E50B30">
      <w:pPr>
        <w:rPr>
          <w:rFonts w:ascii="Arial" w:hAnsi="Arial" w:cs="Arial"/>
          <w:sz w:val="22"/>
          <w:szCs w:val="22"/>
        </w:rPr>
      </w:pPr>
      <w:r w:rsidRPr="00C23383">
        <w:rPr>
          <w:rFonts w:ascii="Arial" w:hAnsi="Arial" w:cs="Arial"/>
          <w:sz w:val="22"/>
          <w:szCs w:val="22"/>
        </w:rPr>
        <w:t xml:space="preserve">The 6C model (‘Care, Compassion, Competence, Communication, Courage and Commitment’) presented by the chief nursing officer of the NHS has given the foundational value for practical implementation of partnership working in the context of ICS (nhs.uk, 2025). Core benefits of service delivery enhancement can be ensured as collaboration could contribute to efficient resource use along with better access to health services. In terms of </w:t>
      </w:r>
      <w:r w:rsidRPr="00C23383">
        <w:rPr>
          <w:rFonts w:ascii="Arial" w:hAnsi="Arial" w:cs="Arial"/>
          <w:sz w:val="22"/>
          <w:szCs w:val="22"/>
        </w:rPr>
        <w:lastRenderedPageBreak/>
        <w:t xml:space="preserve">patient outcome, the involvement of a coordinated multidisciplinary team could lead to effective self-management and higher empowerment. </w:t>
      </w:r>
    </w:p>
    <w:p w14:paraId="1625EAB8" w14:textId="77777777" w:rsidR="00B54432" w:rsidRPr="00C23383" w:rsidRDefault="00E50B30">
      <w:pPr>
        <w:jc w:val="center"/>
        <w:rPr>
          <w:rFonts w:ascii="Arial" w:hAnsi="Arial" w:cs="Arial"/>
          <w:sz w:val="22"/>
          <w:szCs w:val="22"/>
        </w:rPr>
      </w:pPr>
      <w:r w:rsidRPr="00C23383">
        <w:rPr>
          <w:rFonts w:ascii="Arial" w:hAnsi="Arial" w:cs="Arial"/>
          <w:noProof/>
          <w:sz w:val="22"/>
          <w:szCs w:val="22"/>
        </w:rPr>
        <w:drawing>
          <wp:inline distT="0" distB="0" distL="0" distR="0" wp14:anchorId="127AA0EC" wp14:editId="057C4B84">
            <wp:extent cx="4141775" cy="2579836"/>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41775" cy="2579836"/>
                    </a:xfrm>
                    <a:prstGeom prst="rect">
                      <a:avLst/>
                    </a:prstGeom>
                    <a:ln/>
                  </pic:spPr>
                </pic:pic>
              </a:graphicData>
            </a:graphic>
          </wp:inline>
        </w:drawing>
      </w:r>
    </w:p>
    <w:p w14:paraId="47AA555B" w14:textId="77777777" w:rsidR="00B54432" w:rsidRPr="00C23383" w:rsidRDefault="00E50B30">
      <w:pPr>
        <w:jc w:val="center"/>
        <w:rPr>
          <w:rFonts w:ascii="Arial" w:hAnsi="Arial" w:cs="Arial"/>
          <w:b/>
          <w:sz w:val="22"/>
          <w:szCs w:val="22"/>
        </w:rPr>
      </w:pPr>
      <w:r w:rsidRPr="00C23383">
        <w:rPr>
          <w:rFonts w:ascii="Arial" w:hAnsi="Arial" w:cs="Arial"/>
          <w:b/>
          <w:sz w:val="22"/>
          <w:szCs w:val="22"/>
        </w:rPr>
        <w:t>Figure 1: 6C model</w:t>
      </w:r>
    </w:p>
    <w:p w14:paraId="6C996CF5" w14:textId="77777777" w:rsidR="00B54432" w:rsidRPr="00C23383" w:rsidRDefault="00E50B30">
      <w:pPr>
        <w:jc w:val="center"/>
        <w:rPr>
          <w:rFonts w:ascii="Arial" w:hAnsi="Arial" w:cs="Arial"/>
          <w:b/>
          <w:sz w:val="22"/>
          <w:szCs w:val="22"/>
        </w:rPr>
      </w:pPr>
      <w:r w:rsidRPr="00C23383">
        <w:rPr>
          <w:rFonts w:ascii="Arial" w:hAnsi="Arial" w:cs="Arial"/>
          <w:b/>
          <w:sz w:val="22"/>
          <w:szCs w:val="22"/>
        </w:rPr>
        <w:t>(Source: nhs.uk, 2025)</w:t>
      </w:r>
    </w:p>
    <w:p w14:paraId="54F5D83B" w14:textId="77777777" w:rsidR="00B54432" w:rsidRPr="00C23383" w:rsidRDefault="00E50B30">
      <w:pPr>
        <w:rPr>
          <w:rFonts w:ascii="Arial" w:hAnsi="Arial" w:cs="Arial"/>
          <w:sz w:val="22"/>
          <w:szCs w:val="22"/>
        </w:rPr>
      </w:pPr>
      <w:r w:rsidRPr="00C23383">
        <w:rPr>
          <w:rFonts w:ascii="Arial" w:hAnsi="Arial" w:cs="Arial"/>
          <w:sz w:val="22"/>
          <w:szCs w:val="22"/>
        </w:rPr>
        <w:t xml:space="preserve">Challenges of PW can be taken in coordination problems. This means, ensuring proper coordination across multiple departments could be challenging because of varying organisational policies and cultures (Thomson, Waterson and Chatterjee, 2024). It primarily impacts care along with competence as there is a chance of fragmented services. Communication barriers could come by lacking standardised communication protocols where it could hamper from exchange of effective information, making issues in another ‘C’- Communication. </w:t>
      </w:r>
    </w:p>
    <w:p w14:paraId="7675388E" w14:textId="77777777" w:rsidR="00B54432" w:rsidRPr="00C23383" w:rsidRDefault="00E50B30">
      <w:pPr>
        <w:rPr>
          <w:rFonts w:ascii="Arial" w:hAnsi="Arial" w:cs="Arial"/>
          <w:sz w:val="22"/>
          <w:szCs w:val="22"/>
        </w:rPr>
      </w:pPr>
      <w:r w:rsidRPr="00C23383">
        <w:rPr>
          <w:rFonts w:ascii="Arial" w:hAnsi="Arial" w:cs="Arial"/>
          <w:sz w:val="22"/>
          <w:szCs w:val="22"/>
        </w:rPr>
        <w:t xml:space="preserve">Impact of PW on health services can be taken in empowering patients to take an active role in health management. However, the ultimate impact is found in life quality improvement of patients with better coordinated care and as their voices are valued and heard, mental wellbeing also becomes good. In Joan’s case, PW is found in the collaboration of her physiotherapists and GP. </w:t>
      </w:r>
    </w:p>
    <w:p w14:paraId="0A0799B9" w14:textId="77777777" w:rsidR="00B54432" w:rsidRPr="00C23383" w:rsidRDefault="00E50B30">
      <w:pPr>
        <w:jc w:val="center"/>
        <w:rPr>
          <w:rFonts w:ascii="Arial" w:hAnsi="Arial" w:cs="Arial"/>
          <w:sz w:val="22"/>
          <w:szCs w:val="22"/>
        </w:rPr>
      </w:pPr>
      <w:r w:rsidRPr="00C23383">
        <w:rPr>
          <w:rFonts w:ascii="Arial" w:hAnsi="Arial" w:cs="Arial"/>
          <w:noProof/>
          <w:sz w:val="22"/>
          <w:szCs w:val="22"/>
        </w:rPr>
        <w:lastRenderedPageBreak/>
        <mc:AlternateContent>
          <mc:Choice Requires="wpg">
            <w:drawing>
              <wp:inline distT="0" distB="0" distL="0" distR="0" wp14:anchorId="0C69A8E6" wp14:editId="4C813DE5">
                <wp:extent cx="4876800" cy="2657475"/>
                <wp:effectExtent l="0" t="0" r="0" b="0"/>
                <wp:docPr id="6" name="Group 6"/>
                <wp:cNvGraphicFramePr/>
                <a:graphic xmlns:a="http://schemas.openxmlformats.org/drawingml/2006/main">
                  <a:graphicData uri="http://schemas.microsoft.com/office/word/2010/wordprocessingGroup">
                    <wpg:wgp>
                      <wpg:cNvGrpSpPr/>
                      <wpg:grpSpPr>
                        <a:xfrm>
                          <a:off x="0" y="0"/>
                          <a:ext cx="4876800" cy="2657475"/>
                          <a:chOff x="0" y="0"/>
                          <a:chExt cx="4876800" cy="2657475"/>
                        </a:xfrm>
                      </wpg:grpSpPr>
                      <wpg:grpSp>
                        <wpg:cNvPr id="1" name="Group 1"/>
                        <wpg:cNvGrpSpPr/>
                        <wpg:grpSpPr>
                          <a:xfrm>
                            <a:off x="0" y="0"/>
                            <a:ext cx="4876800" cy="2657475"/>
                            <a:chOff x="0" y="0"/>
                            <a:chExt cx="4876800" cy="2657475"/>
                          </a:xfrm>
                        </wpg:grpSpPr>
                        <wps:wsp>
                          <wps:cNvPr id="2" name="Rectangle 2"/>
                          <wps:cNvSpPr/>
                          <wps:spPr>
                            <a:xfrm>
                              <a:off x="0" y="0"/>
                              <a:ext cx="4876800" cy="2657475"/>
                            </a:xfrm>
                            <a:prstGeom prst="rect">
                              <a:avLst/>
                            </a:prstGeom>
                            <a:noFill/>
                            <a:ln>
                              <a:noFill/>
                            </a:ln>
                          </wps:spPr>
                          <wps:txbx>
                            <w:txbxContent>
                              <w:p w14:paraId="4B40B495" w14:textId="77777777" w:rsidR="00B54432" w:rsidRDefault="00B54432">
                                <w:pPr>
                                  <w:spacing w:line="240" w:lineRule="auto"/>
                                  <w:jc w:val="left"/>
                                  <w:textDirection w:val="btLr"/>
                                </w:pPr>
                              </w:p>
                            </w:txbxContent>
                          </wps:txbx>
                          <wps:bodyPr spcFirstLastPara="1" wrap="square" lIns="91425" tIns="91425" rIns="91425" bIns="91425" anchor="ctr" anchorCtr="0">
                            <a:noAutofit/>
                          </wps:bodyPr>
                        </wps:wsp>
                        <wps:wsp>
                          <wps:cNvPr id="3" name="Partial Circle 3"/>
                          <wps:cNvSpPr/>
                          <wps:spPr>
                            <a:xfrm>
                              <a:off x="1399888" y="172735"/>
                              <a:ext cx="2232279" cy="2232279"/>
                            </a:xfrm>
                            <a:prstGeom prst="pie">
                              <a:avLst>
                                <a:gd name="adj1" fmla="val 16200000"/>
                                <a:gd name="adj2" fmla="val 1800000"/>
                              </a:avLst>
                            </a:prstGeom>
                            <a:solidFill>
                              <a:schemeClr val="accent4"/>
                            </a:solidFill>
                            <a:ln w="25400" cap="flat" cmpd="sng">
                              <a:solidFill>
                                <a:schemeClr val="lt1"/>
                              </a:solidFill>
                              <a:prstDash val="solid"/>
                              <a:round/>
                              <a:headEnd type="none" w="sm" len="sm"/>
                              <a:tailEnd type="none" w="sm" len="sm"/>
                            </a:ln>
                          </wps:spPr>
                          <wps:txbx>
                            <w:txbxContent>
                              <w:p w14:paraId="58D10C50" w14:textId="77777777" w:rsidR="00B54432" w:rsidRDefault="00B54432">
                                <w:pPr>
                                  <w:spacing w:line="240" w:lineRule="auto"/>
                                  <w:jc w:val="left"/>
                                  <w:textDirection w:val="btLr"/>
                                </w:pPr>
                              </w:p>
                            </w:txbxContent>
                          </wps:txbx>
                          <wps:bodyPr spcFirstLastPara="1" wrap="square" lIns="91425" tIns="91425" rIns="91425" bIns="91425" anchor="ctr" anchorCtr="0">
                            <a:noAutofit/>
                          </wps:bodyPr>
                        </wps:wsp>
                        <wps:wsp>
                          <wps:cNvPr id="4" name="Text Box 4"/>
                          <wps:cNvSpPr txBox="1"/>
                          <wps:spPr>
                            <a:xfrm>
                              <a:off x="2576352" y="645766"/>
                              <a:ext cx="797242" cy="664368"/>
                            </a:xfrm>
                            <a:prstGeom prst="rect">
                              <a:avLst/>
                            </a:prstGeom>
                            <a:noFill/>
                            <a:ln>
                              <a:noFill/>
                            </a:ln>
                          </wps:spPr>
                          <wps:txbx>
                            <w:txbxContent>
                              <w:p w14:paraId="2B02C20E" w14:textId="77777777" w:rsidR="00B54432" w:rsidRDefault="00E50B30">
                                <w:pPr>
                                  <w:spacing w:line="215" w:lineRule="auto"/>
                                  <w:jc w:val="center"/>
                                  <w:textDirection w:val="btLr"/>
                                </w:pPr>
                                <w:r>
                                  <w:rPr>
                                    <w:color w:val="000000"/>
                                  </w:rPr>
                                  <w:t xml:space="preserve">Care </w:t>
                                </w:r>
                                <w:r>
                                  <w:rPr>
                                    <w:color w:val="000000"/>
                                  </w:rPr>
                                  <w:t>is  ordinated</w:t>
                                </w:r>
                              </w:p>
                            </w:txbxContent>
                          </wps:txbx>
                          <wps:bodyPr spcFirstLastPara="1" wrap="square" lIns="15225" tIns="15225" rIns="15225" bIns="15225" anchor="ctr" anchorCtr="0">
                            <a:noAutofit/>
                          </wps:bodyPr>
                        </wps:wsp>
                        <wps:wsp>
                          <wps:cNvPr id="5" name="Partial Circle 5"/>
                          <wps:cNvSpPr/>
                          <wps:spPr>
                            <a:xfrm>
                              <a:off x="1353914" y="252460"/>
                              <a:ext cx="2232279" cy="2232279"/>
                            </a:xfrm>
                            <a:prstGeom prst="pie">
                              <a:avLst>
                                <a:gd name="adj1" fmla="val 1800000"/>
                                <a:gd name="adj2" fmla="val 9000000"/>
                              </a:avLst>
                            </a:prstGeom>
                            <a:solidFill>
                              <a:srgbClr val="5665B3"/>
                            </a:solidFill>
                            <a:ln w="25400" cap="flat" cmpd="sng">
                              <a:solidFill>
                                <a:schemeClr val="lt1"/>
                              </a:solidFill>
                              <a:prstDash val="solid"/>
                              <a:round/>
                              <a:headEnd type="none" w="sm" len="sm"/>
                              <a:tailEnd type="none" w="sm" len="sm"/>
                            </a:ln>
                          </wps:spPr>
                          <wps:txbx>
                            <w:txbxContent>
                              <w:p w14:paraId="30B2B704" w14:textId="77777777" w:rsidR="00B54432" w:rsidRDefault="00B54432">
                                <w:pPr>
                                  <w:spacing w:line="240" w:lineRule="auto"/>
                                  <w:jc w:val="left"/>
                                  <w:textDirection w:val="btLr"/>
                                </w:pPr>
                              </w:p>
                            </w:txbxContent>
                          </wps:txbx>
                          <wps:bodyPr spcFirstLastPara="1" wrap="square" lIns="91425" tIns="91425" rIns="91425" bIns="91425" anchor="ctr" anchorCtr="0">
                            <a:noAutofit/>
                          </wps:bodyPr>
                        </wps:wsp>
                        <wps:wsp>
                          <wps:cNvPr id="8" name="Text Box 8"/>
                          <wps:cNvSpPr txBox="1"/>
                          <wps:spPr>
                            <a:xfrm>
                              <a:off x="1885409" y="1700784"/>
                              <a:ext cx="1195863" cy="584644"/>
                            </a:xfrm>
                            <a:prstGeom prst="rect">
                              <a:avLst/>
                            </a:prstGeom>
                            <a:noFill/>
                            <a:ln>
                              <a:noFill/>
                            </a:ln>
                          </wps:spPr>
                          <wps:txbx>
                            <w:txbxContent>
                              <w:p w14:paraId="240C49D6" w14:textId="77777777" w:rsidR="00B54432" w:rsidRDefault="00E50B30">
                                <w:pPr>
                                  <w:spacing w:line="215" w:lineRule="auto"/>
                                  <w:jc w:val="center"/>
                                  <w:textDirection w:val="btLr"/>
                                </w:pPr>
                                <w:r>
                                  <w:rPr>
                                    <w:color w:val="000000"/>
                                  </w:rPr>
                                  <w:t xml:space="preserve">Care is </w:t>
                                </w:r>
                                <w:proofErr w:type="spellStart"/>
                                <w:r>
                                  <w:rPr>
                                    <w:color w:val="000000"/>
                                  </w:rPr>
                                  <w:t>enabiling</w:t>
                                </w:r>
                                <w:proofErr w:type="spellEnd"/>
                              </w:p>
                            </w:txbxContent>
                          </wps:txbx>
                          <wps:bodyPr spcFirstLastPara="1" wrap="square" lIns="15225" tIns="15225" rIns="15225" bIns="15225" anchor="ctr" anchorCtr="0">
                            <a:noAutofit/>
                          </wps:bodyPr>
                        </wps:wsp>
                        <wps:wsp>
                          <wps:cNvPr id="9" name="Partial Circle 9"/>
                          <wps:cNvSpPr/>
                          <wps:spPr>
                            <a:xfrm>
                              <a:off x="1244632" y="186977"/>
                              <a:ext cx="2358893" cy="2203795"/>
                            </a:xfrm>
                            <a:prstGeom prst="pie">
                              <a:avLst>
                                <a:gd name="adj1" fmla="val 9000000"/>
                                <a:gd name="adj2" fmla="val 16200000"/>
                              </a:avLst>
                            </a:prstGeom>
                            <a:solidFill>
                              <a:srgbClr val="4AA9C5"/>
                            </a:solidFill>
                            <a:ln w="25400" cap="flat" cmpd="sng">
                              <a:solidFill>
                                <a:schemeClr val="lt1"/>
                              </a:solidFill>
                              <a:prstDash val="solid"/>
                              <a:round/>
                              <a:headEnd type="none" w="sm" len="sm"/>
                              <a:tailEnd type="none" w="sm" len="sm"/>
                            </a:ln>
                          </wps:spPr>
                          <wps:txbx>
                            <w:txbxContent>
                              <w:p w14:paraId="7688935B" w14:textId="77777777" w:rsidR="00B54432" w:rsidRDefault="00B54432">
                                <w:pPr>
                                  <w:spacing w:line="240" w:lineRule="auto"/>
                                  <w:jc w:val="left"/>
                                  <w:textDirection w:val="btLr"/>
                                </w:pPr>
                              </w:p>
                            </w:txbxContent>
                          </wps:txbx>
                          <wps:bodyPr spcFirstLastPara="1" wrap="square" lIns="91425" tIns="91425" rIns="91425" bIns="91425" anchor="ctr" anchorCtr="0">
                            <a:noAutofit/>
                          </wps:bodyPr>
                        </wps:wsp>
                        <wps:wsp>
                          <wps:cNvPr id="10" name="Text Box 10"/>
                          <wps:cNvSpPr txBox="1"/>
                          <wps:spPr>
                            <a:xfrm>
                              <a:off x="1517871" y="653972"/>
                              <a:ext cx="842462" cy="655891"/>
                            </a:xfrm>
                            <a:prstGeom prst="rect">
                              <a:avLst/>
                            </a:prstGeom>
                            <a:noFill/>
                            <a:ln>
                              <a:noFill/>
                            </a:ln>
                          </wps:spPr>
                          <wps:txbx>
                            <w:txbxContent>
                              <w:p w14:paraId="7B6AB611" w14:textId="77777777" w:rsidR="00B54432" w:rsidRDefault="00E50B30">
                                <w:pPr>
                                  <w:spacing w:line="215" w:lineRule="auto"/>
                                  <w:jc w:val="center"/>
                                  <w:textDirection w:val="btLr"/>
                                </w:pPr>
                                <w:r>
                                  <w:rPr>
                                    <w:color w:val="000000"/>
                                  </w:rPr>
                                  <w:t>Care is</w:t>
                                </w:r>
                                <w:r>
                                  <w:rPr>
                                    <w:color w:val="000000"/>
                                  </w:rPr>
                                  <w:t xml:space="preserve"> personalouised </w:t>
                                </w:r>
                              </w:p>
                            </w:txbxContent>
                          </wps:txbx>
                          <wps:bodyPr spcFirstLastPara="1" wrap="square" lIns="15225" tIns="15225" rIns="15225" bIns="15225" anchor="ctr" anchorCtr="0">
                            <a:noAutofit/>
                          </wps:bodyPr>
                        </wps:wsp>
                        <wps:wsp>
                          <wps:cNvPr id="11" name="Freeform: Shape 11"/>
                          <wps:cNvSpPr/>
                          <wps:spPr>
                            <a:xfrm>
                              <a:off x="1261884" y="34547"/>
                              <a:ext cx="2508656" cy="2508656"/>
                            </a:xfrm>
                            <a:custGeom>
                              <a:avLst/>
                              <a:gdLst/>
                              <a:ahLst/>
                              <a:cxnLst/>
                              <a:rect l="l" t="t" r="r" b="b"/>
                              <a:pathLst>
                                <a:path w="120000" h="120000" extrusionOk="0">
                                  <a:moveTo>
                                    <a:pt x="59991" y="4067"/>
                                  </a:moveTo>
                                  <a:lnTo>
                                    <a:pt x="59991" y="4067"/>
                                  </a:lnTo>
                                  <a:cubicBezTo>
                                    <a:pt x="79078" y="4064"/>
                                    <a:pt x="96849" y="13795"/>
                                    <a:pt x="107129" y="29878"/>
                                  </a:cubicBezTo>
                                  <a:cubicBezTo>
                                    <a:pt x="117408" y="45960"/>
                                    <a:pt x="118776" y="66175"/>
                                    <a:pt x="110758" y="83496"/>
                                  </a:cubicBezTo>
                                  <a:lnTo>
                                    <a:pt x="114269" y="85523"/>
                                  </a:lnTo>
                                  <a:lnTo>
                                    <a:pt x="105797" y="86441"/>
                                  </a:lnTo>
                                  <a:lnTo>
                                    <a:pt x="101940" y="78405"/>
                                  </a:lnTo>
                                  <a:lnTo>
                                    <a:pt x="105449" y="80431"/>
                                  </a:lnTo>
                                  <a:cubicBezTo>
                                    <a:pt x="112382" y="65011"/>
                                    <a:pt x="111022" y="47127"/>
                                    <a:pt x="101838" y="32932"/>
                                  </a:cubicBezTo>
                                  <a:cubicBezTo>
                                    <a:pt x="92654" y="18737"/>
                                    <a:pt x="76899" y="10167"/>
                                    <a:pt x="59992" y="10169"/>
                                  </a:cubicBezTo>
                                  <a:close/>
                                </a:path>
                              </a:pathLst>
                            </a:custGeom>
                            <a:solidFill>
                              <a:schemeClr val="accent4"/>
                            </a:solidFill>
                            <a:ln>
                              <a:noFill/>
                            </a:ln>
                          </wps:spPr>
                          <wps:txbx>
                            <w:txbxContent>
                              <w:p w14:paraId="34E17D51" w14:textId="77777777" w:rsidR="00B54432" w:rsidRDefault="00B54432">
                                <w:pPr>
                                  <w:spacing w:line="240" w:lineRule="auto"/>
                                  <w:jc w:val="left"/>
                                  <w:textDirection w:val="btLr"/>
                                </w:pPr>
                              </w:p>
                            </w:txbxContent>
                          </wps:txbx>
                          <wps:bodyPr spcFirstLastPara="1" wrap="square" lIns="91425" tIns="91425" rIns="91425" bIns="91425" anchor="ctr" anchorCtr="0">
                            <a:noAutofit/>
                          </wps:bodyPr>
                        </wps:wsp>
                        <wps:wsp>
                          <wps:cNvPr id="12" name="Freeform: Shape 12"/>
                          <wps:cNvSpPr/>
                          <wps:spPr>
                            <a:xfrm>
                              <a:off x="1215725" y="114130"/>
                              <a:ext cx="2508656" cy="2508656"/>
                            </a:xfrm>
                            <a:custGeom>
                              <a:avLst/>
                              <a:gdLst/>
                              <a:ahLst/>
                              <a:cxnLst/>
                              <a:rect l="l" t="t" r="r" b="b"/>
                              <a:pathLst>
                                <a:path w="120000" h="120000" extrusionOk="0">
                                  <a:moveTo>
                                    <a:pt x="108435" y="87973"/>
                                  </a:moveTo>
                                  <a:cubicBezTo>
                                    <a:pt x="98891" y="104498"/>
                                    <a:pt x="81581" y="115017"/>
                                    <a:pt x="62518" y="115876"/>
                                  </a:cubicBezTo>
                                  <a:cubicBezTo>
                                    <a:pt x="43454" y="116735"/>
                                    <a:pt x="25269" y="107816"/>
                                    <a:pt x="14277" y="92216"/>
                                  </a:cubicBezTo>
                                  <a:lnTo>
                                    <a:pt x="10766" y="94244"/>
                                  </a:lnTo>
                                  <a:lnTo>
                                    <a:pt x="14207" y="86447"/>
                                  </a:lnTo>
                                  <a:lnTo>
                                    <a:pt x="23095" y="87124"/>
                                  </a:lnTo>
                                  <a:lnTo>
                                    <a:pt x="19585" y="89151"/>
                                  </a:lnTo>
                                  <a:cubicBezTo>
                                    <a:pt x="29474" y="102860"/>
                                    <a:pt x="45637" y="110621"/>
                                    <a:pt x="62519" y="109767"/>
                                  </a:cubicBezTo>
                                  <a:cubicBezTo>
                                    <a:pt x="79400" y="108913"/>
                                    <a:pt x="94697" y="99559"/>
                                    <a:pt x="103151" y="84922"/>
                                  </a:cubicBezTo>
                                  <a:close/>
                                </a:path>
                              </a:pathLst>
                            </a:custGeom>
                            <a:solidFill>
                              <a:srgbClr val="5665B3"/>
                            </a:solidFill>
                            <a:ln>
                              <a:noFill/>
                            </a:ln>
                          </wps:spPr>
                          <wps:txbx>
                            <w:txbxContent>
                              <w:p w14:paraId="6A326EB1" w14:textId="77777777" w:rsidR="00B54432" w:rsidRDefault="00B54432">
                                <w:pPr>
                                  <w:spacing w:line="240" w:lineRule="auto"/>
                                  <w:jc w:val="left"/>
                                  <w:textDirection w:val="btLr"/>
                                </w:pPr>
                              </w:p>
                            </w:txbxContent>
                          </wps:txbx>
                          <wps:bodyPr spcFirstLastPara="1" wrap="square" lIns="91425" tIns="91425" rIns="91425" bIns="91425" anchor="ctr" anchorCtr="0">
                            <a:noAutofit/>
                          </wps:bodyPr>
                        </wps:wsp>
                        <wps:wsp>
                          <wps:cNvPr id="13" name="Freeform: Shape 13"/>
                          <wps:cNvSpPr/>
                          <wps:spPr>
                            <a:xfrm>
                              <a:off x="1168488" y="34773"/>
                              <a:ext cx="2508656" cy="2508656"/>
                            </a:xfrm>
                            <a:custGeom>
                              <a:avLst/>
                              <a:gdLst/>
                              <a:ahLst/>
                              <a:cxnLst/>
                              <a:rect l="l" t="t" r="r" b="b"/>
                              <a:pathLst>
                                <a:path w="120000" h="120000" extrusionOk="0">
                                  <a:moveTo>
                                    <a:pt x="11561" y="87966"/>
                                  </a:moveTo>
                                  <a:cubicBezTo>
                                    <a:pt x="2017" y="71436"/>
                                    <a:pt x="1562" y="51181"/>
                                    <a:pt x="10353" y="34238"/>
                                  </a:cubicBezTo>
                                  <a:cubicBezTo>
                                    <a:pt x="19144" y="17296"/>
                                    <a:pt x="35968" y="6007"/>
                                    <a:pt x="54979" y="4293"/>
                                  </a:cubicBezTo>
                                  <a:lnTo>
                                    <a:pt x="54979" y="239"/>
                                  </a:lnTo>
                                  <a:lnTo>
                                    <a:pt x="60009" y="7118"/>
                                  </a:lnTo>
                                  <a:lnTo>
                                    <a:pt x="54977" y="14476"/>
                                  </a:lnTo>
                                  <a:lnTo>
                                    <a:pt x="54978" y="10423"/>
                                  </a:lnTo>
                                  <a:cubicBezTo>
                                    <a:pt x="38157" y="12127"/>
                                    <a:pt x="23347" y="22244"/>
                                    <a:pt x="15643" y="37294"/>
                                  </a:cubicBezTo>
                                  <a:cubicBezTo>
                                    <a:pt x="7939" y="52344"/>
                                    <a:pt x="8392" y="70273"/>
                                    <a:pt x="16845" y="84915"/>
                                  </a:cubicBezTo>
                                  <a:close/>
                                </a:path>
                              </a:pathLst>
                            </a:custGeom>
                            <a:solidFill>
                              <a:srgbClr val="4AA9C5"/>
                            </a:solidFill>
                            <a:ln>
                              <a:noFill/>
                            </a:ln>
                          </wps:spPr>
                          <wps:txbx>
                            <w:txbxContent>
                              <w:p w14:paraId="02D56D91" w14:textId="77777777" w:rsidR="00B54432" w:rsidRDefault="00B54432">
                                <w:pPr>
                                  <w:spacing w:line="240" w:lineRule="auto"/>
                                  <w:jc w:val="left"/>
                                  <w:textDirection w:val="btLr"/>
                                </w:pPr>
                              </w:p>
                            </w:txbxContent>
                          </wps:txbx>
                          <wps:bodyPr spcFirstLastPara="1" wrap="square" lIns="91425" tIns="91425" rIns="91425" bIns="91425" anchor="ctr" anchorCtr="0">
                            <a:noAutofit/>
                          </wps:bodyPr>
                        </wps:wsp>
                      </wpg:grpSp>
                    </wpg:wgp>
                  </a:graphicData>
                </a:graphic>
              </wp:inline>
            </w:drawing>
          </mc:Choice>
          <mc:Fallback>
            <w:pict>
              <v:group w14:anchorId="0C69A8E6" id="Group 6" o:spid="_x0000_s1026" style="width:384pt;height:209.25pt;mso-position-horizontal-relative:char;mso-position-vertical-relative:line" coordsize="48768,26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">
                <v:group id="Group 1" o:spid="_x0000_s1027" style="position:absolute;width:48768;height:26574" coordsize="48768,26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48768;height:26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B40B495" w14:textId="77777777" w:rsidR="00B54432" w:rsidRDefault="00B54432">
                          <w:pPr>
                            <w:spacing w:line="240" w:lineRule="auto"/>
                            <w:jc w:val="left"/>
                            <w:textDirection w:val="btLr"/>
                          </w:pPr>
                        </w:p>
                      </w:txbxContent>
                    </v:textbox>
                  </v:rect>
                  <v:shape id="Partial Circle 3" o:spid="_x0000_s1029" style="position:absolute;left:13998;top:1727;width:22323;height:22323;visibility:visible;mso-wrap-style:square;v-text-anchor:middle" coordsize="2232279,22322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" adj="-11796480,,5400" path="m1116139,v398758,,767226,212735,966606,558070c2282124,903405,2282124,1328875,2082745,1674210l1116140,1116140v,-372047,-1,-744093,-1,-1116140xe" fillcolor="#8064a2 [3207]" strokecolor="white [3201]" strokeweight="2pt">
                    <v:stroke startarrowwidth="narrow" startarrowlength="short" endarrowwidth="narrow" endarrowlength="short" joinstyle="round"/>
                    <v:formulas/>
                    <v:path arrowok="t" o:connecttype="custom" o:connectlocs="1116139,0;2082745,558070;2082745,1674210;1116140,1116140;1116139,0" o:connectangles="0,0,0,0,0" textboxrect="0,0,2232279,2232279"/>
                    <v:textbox inset="2.53958mm,2.53958mm,2.53958mm,2.53958mm">
                      <w:txbxContent>
                        <w:p w14:paraId="58D10C50" w14:textId="77777777" w:rsidR="00B54432" w:rsidRDefault="00B54432">
                          <w:pPr>
                            <w:spacing w:line="240" w:lineRule="auto"/>
                            <w:jc w:val="left"/>
                            <w:textDirection w:val="btLr"/>
                          </w:pPr>
                        </w:p>
                      </w:txbxContent>
                    </v:textbox>
                  </v:shape>
                  <v:shapetype id="_x0000_t202" coordsize="21600,21600" o:spt="202" path="m,l,21600r21600,l21600,xe">
                    <v:stroke joinstyle="miter"/>
                    <v:path gradientshapeok="t" o:connecttype="rect"/>
                  </v:shapetype>
                  <v:shape id="Text Box 4" o:spid="_x0000_s1030" type="#_x0000_t202" style="position:absolute;left:25763;top:6457;width:7972;height:6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" filled="f" stroked="f">
                    <v:textbox inset=".42292mm,.42292mm,.42292mm,.42292mm">
                      <w:txbxContent>
                        <w:p w14:paraId="2B02C20E" w14:textId="77777777" w:rsidR="00B54432" w:rsidRDefault="00E50B30">
                          <w:pPr>
                            <w:spacing w:line="215" w:lineRule="auto"/>
                            <w:jc w:val="center"/>
                            <w:textDirection w:val="btLr"/>
                          </w:pPr>
                          <w:r>
                            <w:rPr>
                              <w:color w:val="000000"/>
                            </w:rPr>
                            <w:t xml:space="preserve">Care </w:t>
                          </w:r>
                          <w:proofErr w:type="gramStart"/>
                          <w:r>
                            <w:rPr>
                              <w:color w:val="000000"/>
                            </w:rPr>
                            <w:t>is  ordinated</w:t>
                          </w:r>
                          <w:proofErr w:type="gramEnd"/>
                        </w:p>
                      </w:txbxContent>
                    </v:textbox>
                  </v:shape>
                  <v:shape id="Partial Circle 5" o:spid="_x0000_s1031" style="position:absolute;left:13539;top:2524;width:22322;height:22323;visibility:visible;mso-wrap-style:square;v-text-anchor:middle" coordsize="2232279,22322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" adj="-11796480,,5400" path="m2082745,1674209v-199379,345335,-567847,558070,-966606,558070c717381,2232279,348913,2019544,149533,1674209r966607,-558069l2082745,1674209xe" fillcolor="#5665b3" strokecolor="white [3201]" strokeweight="2pt">
                    <v:stroke startarrowwidth="narrow" startarrowlength="short" endarrowwidth="narrow" endarrowlength="short" joinstyle="round"/>
                    <v:formulas/>
                    <v:path arrowok="t" o:connecttype="custom" o:connectlocs="2082745,1674209;1116139,2232279;149533,1674209;1116140,1116140;2082745,1674209" o:connectangles="0,0,0,0,0" textboxrect="0,0,2232279,2232279"/>
                    <v:textbox inset="2.53958mm,2.53958mm,2.53958mm,2.53958mm">
                      <w:txbxContent>
                        <w:p w14:paraId="30B2B704" w14:textId="77777777" w:rsidR="00B54432" w:rsidRDefault="00B54432">
                          <w:pPr>
                            <w:spacing w:line="240" w:lineRule="auto"/>
                            <w:jc w:val="left"/>
                            <w:textDirection w:val="btLr"/>
                          </w:pPr>
                        </w:p>
                      </w:txbxContent>
                    </v:textbox>
                  </v:shape>
                  <v:shape id="Text Box 8" o:spid="_x0000_s1032" type="#_x0000_t202" style="position:absolute;left:18854;top:17007;width:11958;height:58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" filled="f" stroked="f">
                    <v:textbox inset=".42292mm,.42292mm,.42292mm,.42292mm">
                      <w:txbxContent>
                        <w:p w14:paraId="240C49D6" w14:textId="77777777" w:rsidR="00B54432" w:rsidRDefault="00E50B30">
                          <w:pPr>
                            <w:spacing w:line="215" w:lineRule="auto"/>
                            <w:jc w:val="center"/>
                            <w:textDirection w:val="btLr"/>
                          </w:pPr>
                          <w:r>
                            <w:rPr>
                              <w:color w:val="000000"/>
                            </w:rPr>
                            <w:t xml:space="preserve">Care is </w:t>
                          </w:r>
                          <w:proofErr w:type="spellStart"/>
                          <w:r>
                            <w:rPr>
                              <w:color w:val="000000"/>
                            </w:rPr>
                            <w:t>enabiling</w:t>
                          </w:r>
                          <w:proofErr w:type="spellEnd"/>
                        </w:p>
                      </w:txbxContent>
                    </v:textbox>
                  </v:shape>
                  <v:shape id="Partial Circle 9" o:spid="_x0000_s1033" style="position:absolute;left:12446;top:1869;width:23589;height:22038;visibility:visible;mso-wrap-style:square;v-text-anchor:middle" coordsize="2358893,220379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" adj="-11796480,,5400" path="m176126,1681165v-234835,-355018,-234835,-803517,,-1158535c391024,197752,770661,-1,1179446,-1v,367300,1,734599,1,1101899l176126,1681165xe" fillcolor="#4aa9c5" strokecolor="white [3201]" strokeweight="2pt">
                    <v:stroke startarrowwidth="narrow" startarrowlength="short" endarrowwidth="narrow" endarrowlength="short" joinstyle="round"/>
                    <v:formulas/>
                    <v:path arrowok="t" o:connecttype="custom" o:connectlocs="176126,1681165;176126,522630;1179446,-1;1179447,1101898;176126,1681165" o:connectangles="0,0,0,0,0" textboxrect="0,0,2358893,2203795"/>
                    <v:textbox inset="2.53958mm,2.53958mm,2.53958mm,2.53958mm">
                      <w:txbxContent>
                        <w:p w14:paraId="7688935B" w14:textId="77777777" w:rsidR="00B54432" w:rsidRDefault="00B54432">
                          <w:pPr>
                            <w:spacing w:line="240" w:lineRule="auto"/>
                            <w:jc w:val="left"/>
                            <w:textDirection w:val="btLr"/>
                          </w:pPr>
                        </w:p>
                      </w:txbxContent>
                    </v:textbox>
                  </v:shape>
                  <v:shape id="Text Box 10" o:spid="_x0000_s1034" type="#_x0000_t202" style="position:absolute;left:15178;top:6539;width:8425;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" filled="f" stroked="f">
                    <v:textbox inset=".42292mm,.42292mm,.42292mm,.42292mm">
                      <w:txbxContent>
                        <w:p w14:paraId="7B6AB611" w14:textId="77777777" w:rsidR="00B54432" w:rsidRDefault="00E50B30">
                          <w:pPr>
                            <w:spacing w:line="215" w:lineRule="auto"/>
                            <w:jc w:val="center"/>
                            <w:textDirection w:val="btLr"/>
                          </w:pPr>
                          <w:r>
                            <w:rPr>
                              <w:color w:val="000000"/>
                            </w:rPr>
                            <w:t xml:space="preserve">Care is </w:t>
                          </w:r>
                          <w:proofErr w:type="spellStart"/>
                          <w:r>
                            <w:rPr>
                              <w:color w:val="000000"/>
                            </w:rPr>
                            <w:t>personalouised</w:t>
                          </w:r>
                          <w:proofErr w:type="spellEnd"/>
                          <w:r>
                            <w:rPr>
                              <w:color w:val="000000"/>
                            </w:rPr>
                            <w:t xml:space="preserve"> </w:t>
                          </w:r>
                        </w:p>
                      </w:txbxContent>
                    </v:textbox>
                  </v:shape>
                  <v:shape id="Freeform: Shape 11" o:spid="_x0000_s1035" style="position:absolute;left:12618;top:345;width:25087;height:25087;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" adj="-11796480,,5400" path="m59991,4067r,c79078,4064,96849,13795,107129,29878v10279,16082,11647,36297,3629,53618l114269,85523r-8472,918l101940,78405r3509,2026c112382,65011,111022,47127,101838,32932,92654,18737,76899,10167,59992,10169r-1,-6102xe" fillcolor="#8064a2 [3207]" stroked="f">
                    <v:stroke joinstyle="miter"/>
                    <v:formulas/>
                    <v:path arrowok="t" o:extrusionok="f" o:connecttype="custom" textboxrect="0,0,120000,120000"/>
                    <v:textbox inset="2.53958mm,2.53958mm,2.53958mm,2.53958mm">
                      <w:txbxContent>
                        <w:p w14:paraId="34E17D51" w14:textId="77777777" w:rsidR="00B54432" w:rsidRDefault="00B54432">
                          <w:pPr>
                            <w:spacing w:line="240" w:lineRule="auto"/>
                            <w:jc w:val="left"/>
                            <w:textDirection w:val="btLr"/>
                          </w:pPr>
                        </w:p>
                      </w:txbxContent>
                    </v:textbox>
                  </v:shape>
                  <v:shape id="Freeform: Shape 12" o:spid="_x0000_s1036" style="position:absolute;left:12157;top:1141;width:25086;height:25086;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" adj="-11796480,,5400" path="m108435,87973v-9544,16525,-26854,27044,-45917,27903c43454,116735,25269,107816,14277,92216r-3511,2028l14207,86447r8888,677l19585,89151v9889,13709,26052,21470,42934,20616c79400,108913,94697,99559,103151,84922r5284,3051xe" fillcolor="#5665b3" stroked="f">
                    <v:stroke joinstyle="miter"/>
                    <v:formulas/>
                    <v:path arrowok="t" o:extrusionok="f" o:connecttype="custom" textboxrect="0,0,120000,120000"/>
                    <v:textbox inset="2.53958mm,2.53958mm,2.53958mm,2.53958mm">
                      <w:txbxContent>
                        <w:p w14:paraId="6A326EB1" w14:textId="77777777" w:rsidR="00B54432" w:rsidRDefault="00B54432">
                          <w:pPr>
                            <w:spacing w:line="240" w:lineRule="auto"/>
                            <w:jc w:val="left"/>
                            <w:textDirection w:val="btLr"/>
                          </w:pPr>
                        </w:p>
                      </w:txbxContent>
                    </v:textbox>
                  </v:shape>
                  <v:shape id="Freeform: Shape 13" o:spid="_x0000_s1037" style="position:absolute;left:11684;top:347;width:25087;height:25087;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" adj="-11796480,,5400" path="m11561,87966c2017,71436,1562,51181,10353,34238,19144,17296,35968,6007,54979,4293r,-4054l60009,7118r-5032,7358l54978,10423c38157,12127,23347,22244,15643,37294,7939,52344,8392,70273,16845,84915r-5284,3051xe" fillcolor="#4aa9c5" stroked="f">
                    <v:stroke joinstyle="miter"/>
                    <v:formulas/>
                    <v:path arrowok="t" o:extrusionok="f" o:connecttype="custom" textboxrect="0,0,120000,120000"/>
                    <v:textbox inset="2.53958mm,2.53958mm,2.53958mm,2.53958mm">
                      <w:txbxContent>
                        <w:p w14:paraId="02D56D91" w14:textId="77777777" w:rsidR="00B54432" w:rsidRDefault="00B54432">
                          <w:pPr>
                            <w:spacing w:line="240" w:lineRule="auto"/>
                            <w:jc w:val="left"/>
                            <w:textDirection w:val="btLr"/>
                          </w:pPr>
                        </w:p>
                      </w:txbxContent>
                    </v:textbox>
                  </v:shape>
                </v:group>
                <w10:anchorlock/>
              </v:group>
            </w:pict>
          </mc:Fallback>
        </mc:AlternateContent>
      </w:r>
    </w:p>
    <w:p w14:paraId="60A104AE" w14:textId="77777777" w:rsidR="00B54432" w:rsidRPr="00C23383" w:rsidRDefault="00E50B30">
      <w:pPr>
        <w:jc w:val="center"/>
        <w:rPr>
          <w:rFonts w:ascii="Arial" w:hAnsi="Arial" w:cs="Arial"/>
          <w:b/>
          <w:sz w:val="22"/>
          <w:szCs w:val="22"/>
        </w:rPr>
      </w:pPr>
      <w:r w:rsidRPr="00C23383">
        <w:rPr>
          <w:rFonts w:ascii="Arial" w:hAnsi="Arial" w:cs="Arial"/>
          <w:b/>
          <w:sz w:val="22"/>
          <w:szCs w:val="22"/>
        </w:rPr>
        <w:t>Figure 2: Integrated care model</w:t>
      </w:r>
    </w:p>
    <w:p w14:paraId="1C3D6313" w14:textId="77777777" w:rsidR="00B54432" w:rsidRPr="00C23383" w:rsidRDefault="00E50B30">
      <w:pPr>
        <w:jc w:val="center"/>
        <w:rPr>
          <w:rFonts w:ascii="Arial" w:hAnsi="Arial" w:cs="Arial"/>
          <w:b/>
          <w:sz w:val="22"/>
          <w:szCs w:val="22"/>
        </w:rPr>
      </w:pPr>
      <w:r w:rsidRPr="00C23383">
        <w:rPr>
          <w:rFonts w:ascii="Arial" w:hAnsi="Arial" w:cs="Arial"/>
          <w:b/>
          <w:sz w:val="22"/>
          <w:szCs w:val="22"/>
        </w:rPr>
        <w:t>(Source: self-made)</w:t>
      </w:r>
    </w:p>
    <w:p w14:paraId="7A0E9DE6" w14:textId="77777777" w:rsidR="00B54432" w:rsidRPr="00C23383" w:rsidRDefault="00E50B30">
      <w:pPr>
        <w:pStyle w:val="Heading1"/>
        <w:rPr>
          <w:rFonts w:ascii="Arial" w:hAnsi="Arial" w:cs="Arial"/>
          <w:sz w:val="22"/>
          <w:szCs w:val="22"/>
        </w:rPr>
      </w:pPr>
      <w:bookmarkStart w:id="10" w:name="_heading=h.pmndnvbw4mkp" w:colFirst="0" w:colLast="0"/>
      <w:bookmarkStart w:id="11" w:name="_Toc213506738"/>
      <w:bookmarkEnd w:id="10"/>
      <w:r w:rsidRPr="00C23383">
        <w:rPr>
          <w:rFonts w:ascii="Arial" w:hAnsi="Arial" w:cs="Arial"/>
          <w:sz w:val="22"/>
          <w:szCs w:val="22"/>
        </w:rPr>
        <w:t>Policy and Legislation</w:t>
      </w:r>
      <w:bookmarkEnd w:id="11"/>
      <w:r w:rsidRPr="00C23383">
        <w:rPr>
          <w:rFonts w:ascii="Arial" w:hAnsi="Arial" w:cs="Arial"/>
          <w:sz w:val="22"/>
          <w:szCs w:val="22"/>
        </w:rPr>
        <w:t xml:space="preserve"> </w:t>
      </w:r>
    </w:p>
    <w:p w14:paraId="1DCC8422" w14:textId="77777777" w:rsidR="00B54432" w:rsidRPr="00C23383" w:rsidRDefault="00E50B30">
      <w:pPr>
        <w:rPr>
          <w:rFonts w:ascii="Arial" w:hAnsi="Arial" w:cs="Arial"/>
          <w:b/>
          <w:sz w:val="22"/>
          <w:szCs w:val="22"/>
        </w:rPr>
      </w:pPr>
      <w:r w:rsidRPr="00C23383">
        <w:rPr>
          <w:rFonts w:ascii="Arial" w:hAnsi="Arial" w:cs="Arial"/>
          <w:b/>
          <w:sz w:val="22"/>
          <w:szCs w:val="22"/>
        </w:rPr>
        <w:t>Health and Care Act 2022</w:t>
      </w:r>
    </w:p>
    <w:p w14:paraId="0CFB8831" w14:textId="77777777" w:rsidR="00067BBA" w:rsidRPr="00C23383" w:rsidRDefault="00E50B30">
      <w:pPr>
        <w:rPr>
          <w:rFonts w:ascii="Arial" w:hAnsi="Arial" w:cs="Arial"/>
          <w:sz w:val="22"/>
          <w:szCs w:val="22"/>
        </w:rPr>
      </w:pPr>
      <w:r w:rsidRPr="00C23383">
        <w:rPr>
          <w:rFonts w:ascii="Arial" w:hAnsi="Arial" w:cs="Arial"/>
          <w:sz w:val="22"/>
          <w:szCs w:val="22"/>
        </w:rPr>
        <w:t xml:space="preserve">According to the report of legislation.gov.uk (2025), this act mainly emphasises on the workforce development, system-wide integration and research integration for enhancing </w:t>
      </w:r>
      <w:r w:rsidR="00067BBA" w:rsidRPr="00C23383">
        <w:rPr>
          <w:rFonts w:ascii="Arial" w:hAnsi="Arial" w:cs="Arial"/>
          <w:sz w:val="22"/>
          <w:szCs w:val="22"/>
        </w:rPr>
        <w:t>the sustainability</w:t>
      </w:r>
      <w:r w:rsidRPr="00C23383">
        <w:rPr>
          <w:rFonts w:ascii="Arial" w:hAnsi="Arial" w:cs="Arial"/>
          <w:sz w:val="22"/>
          <w:szCs w:val="22"/>
        </w:rPr>
        <w:t xml:space="preserve"> and quality of care. It also supports PCC by proactively ensuring professionals towards their relevant skills and PW by leading collaborative behaviour throughout various parts of the system. </w:t>
      </w:r>
    </w:p>
    <w:p w14:paraId="49F5BE54" w14:textId="656273A6" w:rsidR="00B54432" w:rsidRPr="00C23383" w:rsidRDefault="00E50B30">
      <w:pPr>
        <w:rPr>
          <w:rFonts w:ascii="Arial" w:hAnsi="Arial" w:cs="Arial"/>
          <w:sz w:val="22"/>
          <w:szCs w:val="22"/>
        </w:rPr>
      </w:pPr>
      <w:r w:rsidRPr="00C23383">
        <w:rPr>
          <w:rFonts w:ascii="Arial" w:hAnsi="Arial" w:cs="Arial"/>
          <w:sz w:val="22"/>
          <w:szCs w:val="22"/>
        </w:rPr>
        <w:t xml:space="preserve">The significant focus of integration of research into practice can lead to the overall development of various new tools, for instance, ‘Patient Activation Measurement® (PAM®) survey’, that highlighted in the case study. This ultimately helps Joan to handle her own health.  </w:t>
      </w:r>
    </w:p>
    <w:p w14:paraId="73937C45" w14:textId="77777777" w:rsidR="00B54432" w:rsidRPr="00C23383" w:rsidRDefault="00E50B30">
      <w:pPr>
        <w:rPr>
          <w:rFonts w:ascii="Arial" w:hAnsi="Arial" w:cs="Arial"/>
          <w:b/>
          <w:sz w:val="22"/>
          <w:szCs w:val="22"/>
        </w:rPr>
      </w:pPr>
      <w:r w:rsidRPr="00C23383">
        <w:rPr>
          <w:rFonts w:ascii="Arial" w:hAnsi="Arial" w:cs="Arial"/>
          <w:b/>
          <w:sz w:val="22"/>
          <w:szCs w:val="22"/>
        </w:rPr>
        <w:t>Health and Social Care Act 2012</w:t>
      </w:r>
    </w:p>
    <w:p w14:paraId="7C136883" w14:textId="77777777" w:rsidR="00B54432" w:rsidRPr="00C23383" w:rsidRDefault="00E50B30">
      <w:pPr>
        <w:rPr>
          <w:rFonts w:ascii="Arial" w:hAnsi="Arial" w:cs="Arial"/>
          <w:sz w:val="22"/>
          <w:szCs w:val="22"/>
        </w:rPr>
      </w:pPr>
      <w:r w:rsidRPr="00C23383">
        <w:rPr>
          <w:rFonts w:ascii="Arial" w:hAnsi="Arial" w:cs="Arial"/>
          <w:sz w:val="22"/>
          <w:szCs w:val="22"/>
        </w:rPr>
        <w:t xml:space="preserve">This relevant act mainly introduced notable structural changes; for instance, the creation of ‘Clinical Commissioning Groups’ that ultimately help to commission more closely towards the local populations, and after that, it is further possibly closer to the necessities of individuals, which is mainly a key component of PW (legislation.gov.uk, 2025). </w:t>
      </w:r>
    </w:p>
    <w:p w14:paraId="0F9D56C3" w14:textId="77777777" w:rsidR="00B54432" w:rsidRPr="00C23383" w:rsidRDefault="00E50B30">
      <w:pPr>
        <w:rPr>
          <w:rFonts w:ascii="Arial" w:hAnsi="Arial" w:cs="Arial"/>
          <w:sz w:val="22"/>
          <w:szCs w:val="22"/>
        </w:rPr>
      </w:pPr>
      <w:r w:rsidRPr="00C23383">
        <w:rPr>
          <w:rFonts w:ascii="Arial" w:hAnsi="Arial" w:cs="Arial"/>
          <w:sz w:val="22"/>
          <w:szCs w:val="22"/>
        </w:rPr>
        <w:t xml:space="preserve">In terms of an example, grounded on the new commissioning organisations towards the public health and social care services, it can lead to a proactive relationship between the social and health care. It has seen Joan’s case study where the therapy team and GP worked together. </w:t>
      </w:r>
    </w:p>
    <w:p w14:paraId="22164358" w14:textId="77777777" w:rsidR="00B54432" w:rsidRPr="00C23383" w:rsidRDefault="00E50B30">
      <w:pPr>
        <w:rPr>
          <w:rFonts w:ascii="Arial" w:hAnsi="Arial" w:cs="Arial"/>
          <w:b/>
          <w:sz w:val="22"/>
          <w:szCs w:val="22"/>
        </w:rPr>
      </w:pPr>
      <w:r w:rsidRPr="00C23383">
        <w:rPr>
          <w:rFonts w:ascii="Arial" w:hAnsi="Arial" w:cs="Arial"/>
          <w:b/>
          <w:sz w:val="22"/>
          <w:szCs w:val="22"/>
        </w:rPr>
        <w:t>Care Act 2014</w:t>
      </w:r>
    </w:p>
    <w:p w14:paraId="4B224BE7" w14:textId="77777777" w:rsidR="00B54432" w:rsidRPr="00C23383" w:rsidRDefault="00E50B30">
      <w:pPr>
        <w:rPr>
          <w:rFonts w:ascii="Arial" w:hAnsi="Arial" w:cs="Arial"/>
          <w:sz w:val="22"/>
          <w:szCs w:val="22"/>
        </w:rPr>
      </w:pPr>
      <w:r w:rsidRPr="00C23383">
        <w:rPr>
          <w:rFonts w:ascii="Arial" w:hAnsi="Arial" w:cs="Arial"/>
          <w:sz w:val="22"/>
          <w:szCs w:val="22"/>
        </w:rPr>
        <w:t xml:space="preserve">This act significantly supports the approach of the therapy team with Joan by consolidating a holistic assessment towards her needs. By generating an action plan with her and GP, the team have been   substantially in partnership. It indicates the core principle of the act and assists her by fulfilling the chronic conditions. </w:t>
      </w:r>
    </w:p>
    <w:p w14:paraId="7DC6BAF3" w14:textId="28A46DF5" w:rsidR="00B54432" w:rsidRPr="00C23383" w:rsidRDefault="00E50B30">
      <w:pPr>
        <w:pStyle w:val="Heading1"/>
        <w:rPr>
          <w:rFonts w:ascii="Arial" w:hAnsi="Arial" w:cs="Arial"/>
          <w:sz w:val="22"/>
          <w:szCs w:val="22"/>
        </w:rPr>
      </w:pPr>
      <w:bookmarkStart w:id="12" w:name="_heading=h.twiha6uz2rds" w:colFirst="0" w:colLast="0"/>
      <w:bookmarkStart w:id="13" w:name="_Toc213506739"/>
      <w:bookmarkEnd w:id="12"/>
      <w:r w:rsidRPr="00C23383">
        <w:rPr>
          <w:rFonts w:ascii="Arial" w:hAnsi="Arial" w:cs="Arial"/>
          <w:sz w:val="22"/>
          <w:szCs w:val="22"/>
        </w:rPr>
        <w:lastRenderedPageBreak/>
        <w:t>Recommendations</w:t>
      </w:r>
      <w:bookmarkEnd w:id="13"/>
    </w:p>
    <w:p w14:paraId="471B25A6" w14:textId="7D3D08BF" w:rsidR="00067BBA" w:rsidRPr="00C23383" w:rsidRDefault="00067BBA" w:rsidP="00067BBA">
      <w:pPr>
        <w:jc w:val="center"/>
        <w:rPr>
          <w:rFonts w:ascii="Arial" w:hAnsi="Arial" w:cs="Arial"/>
          <w:sz w:val="22"/>
          <w:szCs w:val="22"/>
        </w:rPr>
      </w:pPr>
      <w:r w:rsidRPr="00C23383">
        <w:rPr>
          <w:rFonts w:ascii="Arial" w:hAnsi="Arial" w:cs="Arial"/>
          <w:noProof/>
          <w:sz w:val="22"/>
          <w:szCs w:val="22"/>
        </w:rPr>
        <w:drawing>
          <wp:inline distT="0" distB="0" distL="0" distR="0" wp14:anchorId="1C55383A" wp14:editId="34ADA3E3">
            <wp:extent cx="3724275" cy="2714625"/>
            <wp:effectExtent l="76200" t="57150" r="85725" b="85725"/>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8DF737C" w14:textId="557F14A7" w:rsidR="00067BBA" w:rsidRPr="00C23383" w:rsidRDefault="00067BBA" w:rsidP="00067BBA">
      <w:pPr>
        <w:jc w:val="center"/>
        <w:rPr>
          <w:rFonts w:ascii="Arial" w:hAnsi="Arial" w:cs="Arial"/>
          <w:b/>
          <w:bCs/>
          <w:sz w:val="22"/>
          <w:szCs w:val="22"/>
        </w:rPr>
      </w:pPr>
      <w:r w:rsidRPr="00C23383">
        <w:rPr>
          <w:rFonts w:ascii="Arial" w:hAnsi="Arial" w:cs="Arial"/>
          <w:b/>
          <w:bCs/>
          <w:sz w:val="22"/>
          <w:szCs w:val="22"/>
        </w:rPr>
        <w:t>Figure</w:t>
      </w:r>
      <w:r w:rsidR="00607EF1" w:rsidRPr="00C23383">
        <w:rPr>
          <w:rFonts w:ascii="Arial" w:hAnsi="Arial" w:cs="Arial"/>
          <w:b/>
          <w:bCs/>
          <w:sz w:val="22"/>
          <w:szCs w:val="22"/>
        </w:rPr>
        <w:t xml:space="preserve"> 3</w:t>
      </w:r>
      <w:r w:rsidRPr="00C23383">
        <w:rPr>
          <w:rFonts w:ascii="Arial" w:hAnsi="Arial" w:cs="Arial"/>
          <w:b/>
          <w:bCs/>
          <w:sz w:val="22"/>
          <w:szCs w:val="22"/>
        </w:rPr>
        <w:t>: Key Recommendations</w:t>
      </w:r>
    </w:p>
    <w:p w14:paraId="620FD4FE" w14:textId="1A5E1937" w:rsidR="00067BBA" w:rsidRPr="00C23383" w:rsidRDefault="00067BBA" w:rsidP="00067BBA">
      <w:pPr>
        <w:jc w:val="center"/>
        <w:rPr>
          <w:rFonts w:ascii="Arial" w:hAnsi="Arial" w:cs="Arial"/>
          <w:b/>
          <w:bCs/>
          <w:sz w:val="22"/>
          <w:szCs w:val="22"/>
        </w:rPr>
      </w:pPr>
      <w:r w:rsidRPr="00C23383">
        <w:rPr>
          <w:rFonts w:ascii="Arial" w:hAnsi="Arial" w:cs="Arial"/>
          <w:b/>
          <w:bCs/>
          <w:sz w:val="22"/>
          <w:szCs w:val="22"/>
        </w:rPr>
        <w:t>(Source: Self-</w:t>
      </w:r>
      <w:r w:rsidR="001D57EF" w:rsidRPr="00C23383">
        <w:rPr>
          <w:rFonts w:ascii="Arial" w:hAnsi="Arial" w:cs="Arial"/>
          <w:b/>
          <w:bCs/>
          <w:sz w:val="22"/>
          <w:szCs w:val="22"/>
        </w:rPr>
        <w:t>made</w:t>
      </w:r>
      <w:r w:rsidRPr="00C23383">
        <w:rPr>
          <w:rFonts w:ascii="Arial" w:hAnsi="Arial" w:cs="Arial"/>
          <w:b/>
          <w:bCs/>
          <w:sz w:val="22"/>
          <w:szCs w:val="22"/>
        </w:rPr>
        <w:t>)</w:t>
      </w:r>
    </w:p>
    <w:p w14:paraId="4BFEFAE8" w14:textId="77777777" w:rsidR="00B54432" w:rsidRPr="00C23383" w:rsidRDefault="00E50B30">
      <w:pPr>
        <w:rPr>
          <w:rFonts w:ascii="Arial" w:hAnsi="Arial" w:cs="Arial"/>
          <w:b/>
          <w:sz w:val="22"/>
          <w:szCs w:val="22"/>
        </w:rPr>
      </w:pPr>
      <w:r w:rsidRPr="00C23383">
        <w:rPr>
          <w:rFonts w:ascii="Arial" w:hAnsi="Arial" w:cs="Arial"/>
          <w:b/>
          <w:sz w:val="22"/>
          <w:szCs w:val="22"/>
        </w:rPr>
        <w:t>Category: Technology</w:t>
      </w:r>
    </w:p>
    <w:p w14:paraId="0FEC6F39" w14:textId="77777777" w:rsidR="00B54432" w:rsidRPr="00C23383" w:rsidRDefault="00E50B30">
      <w:pPr>
        <w:rPr>
          <w:rFonts w:ascii="Arial" w:hAnsi="Arial" w:cs="Arial"/>
          <w:b/>
          <w:sz w:val="22"/>
          <w:szCs w:val="22"/>
        </w:rPr>
      </w:pPr>
      <w:r w:rsidRPr="00C23383">
        <w:rPr>
          <w:rFonts w:ascii="Arial" w:hAnsi="Arial" w:cs="Arial"/>
          <w:sz w:val="22"/>
          <w:szCs w:val="22"/>
        </w:rPr>
        <w:t xml:space="preserve">It can be recommended that it is necessary to develop and incorporate a single, secure patient record system and telemonitoring technology. This enables every HCP to view the complete scope of the health for a patient (Aguirre-Duarte, 2025). As for possible barriers, there might be created threats on data privacy concerns and upfront investment. </w:t>
      </w:r>
    </w:p>
    <w:p w14:paraId="7C73A87B" w14:textId="77777777" w:rsidR="00B54432" w:rsidRPr="00C23383" w:rsidRDefault="00E50B30">
      <w:pPr>
        <w:rPr>
          <w:rFonts w:ascii="Arial" w:hAnsi="Arial" w:cs="Arial"/>
          <w:b/>
          <w:sz w:val="22"/>
          <w:szCs w:val="22"/>
        </w:rPr>
      </w:pPr>
      <w:r w:rsidRPr="00C23383">
        <w:rPr>
          <w:rFonts w:ascii="Arial" w:hAnsi="Arial" w:cs="Arial"/>
          <w:b/>
          <w:sz w:val="22"/>
          <w:szCs w:val="22"/>
        </w:rPr>
        <w:t>Category: Enhanced Training</w:t>
      </w:r>
    </w:p>
    <w:p w14:paraId="7C138186" w14:textId="77777777" w:rsidR="00B54432" w:rsidRPr="00C23383" w:rsidRDefault="00E50B30">
      <w:pPr>
        <w:rPr>
          <w:rFonts w:ascii="Arial" w:hAnsi="Arial" w:cs="Arial"/>
          <w:sz w:val="22"/>
          <w:szCs w:val="22"/>
        </w:rPr>
      </w:pPr>
      <w:r w:rsidRPr="00C23383">
        <w:rPr>
          <w:rFonts w:ascii="Arial" w:hAnsi="Arial" w:cs="Arial"/>
          <w:sz w:val="22"/>
          <w:szCs w:val="22"/>
        </w:rPr>
        <w:t xml:space="preserve">It can be further recommended that there is a need to integrate mandatory interprofessional training and team-based reflective learning sessions, especially on shared decision-making and partnership communication, for every HCP (O’Donnell </w:t>
      </w:r>
      <w:r w:rsidRPr="00C23383">
        <w:rPr>
          <w:rFonts w:ascii="Arial" w:hAnsi="Arial" w:cs="Arial"/>
          <w:i/>
          <w:sz w:val="22"/>
          <w:szCs w:val="22"/>
        </w:rPr>
        <w:t xml:space="preserve">et al., </w:t>
      </w:r>
      <w:r w:rsidRPr="00C23383">
        <w:rPr>
          <w:rFonts w:ascii="Arial" w:hAnsi="Arial" w:cs="Arial"/>
          <w:sz w:val="22"/>
          <w:szCs w:val="22"/>
        </w:rPr>
        <w:t>2025). There might be constraints like time and budget for training and staff scheduling.</w:t>
      </w:r>
    </w:p>
    <w:p w14:paraId="135CE1DA" w14:textId="77777777" w:rsidR="00B54432" w:rsidRPr="00C23383" w:rsidRDefault="00E50B30">
      <w:pPr>
        <w:rPr>
          <w:rFonts w:ascii="Arial" w:hAnsi="Arial" w:cs="Arial"/>
          <w:b/>
          <w:sz w:val="22"/>
          <w:szCs w:val="22"/>
        </w:rPr>
      </w:pPr>
      <w:r w:rsidRPr="00C23383">
        <w:rPr>
          <w:rFonts w:ascii="Arial" w:hAnsi="Arial" w:cs="Arial"/>
          <w:b/>
          <w:sz w:val="22"/>
          <w:szCs w:val="22"/>
        </w:rPr>
        <w:t>Category: Collaborative Partnerships</w:t>
      </w:r>
    </w:p>
    <w:p w14:paraId="6D511886" w14:textId="77777777" w:rsidR="00B54432" w:rsidRPr="00C23383" w:rsidRDefault="00E50B30">
      <w:pPr>
        <w:rPr>
          <w:rFonts w:ascii="Arial" w:hAnsi="Arial" w:cs="Arial"/>
          <w:sz w:val="22"/>
          <w:szCs w:val="22"/>
        </w:rPr>
      </w:pPr>
      <w:r w:rsidRPr="00C23383">
        <w:rPr>
          <w:rFonts w:ascii="Arial" w:hAnsi="Arial" w:cs="Arial"/>
          <w:sz w:val="22"/>
          <w:szCs w:val="22"/>
        </w:rPr>
        <w:t xml:space="preserve">Based on overall analysis, it can be recommended that there is a need to mandate the incorporation of Integrated Care Systems (ICSs) and "Patient Activation Networks", which lead to shared outcomes and joint workings. Key risks include resource allocation and marginalisation of social care priorities along with sustained funding (Aguirre-Duarte, 2025).  </w:t>
      </w:r>
    </w:p>
    <w:p w14:paraId="5B26AC96" w14:textId="77777777" w:rsidR="00B54432" w:rsidRPr="00C23383" w:rsidRDefault="00E50B30">
      <w:pPr>
        <w:rPr>
          <w:rFonts w:ascii="Arial" w:hAnsi="Arial" w:cs="Arial"/>
          <w:b/>
          <w:sz w:val="22"/>
          <w:szCs w:val="22"/>
        </w:rPr>
      </w:pPr>
      <w:r w:rsidRPr="00C23383">
        <w:rPr>
          <w:rFonts w:ascii="Arial" w:hAnsi="Arial" w:cs="Arial"/>
          <w:b/>
          <w:sz w:val="22"/>
          <w:szCs w:val="22"/>
        </w:rPr>
        <w:t>Category: Research and Policy Development</w:t>
      </w:r>
    </w:p>
    <w:p w14:paraId="75B7E383" w14:textId="77777777" w:rsidR="00B54432" w:rsidRPr="00C23383" w:rsidRDefault="00E50B30">
      <w:pPr>
        <w:rPr>
          <w:rFonts w:ascii="Arial" w:hAnsi="Arial" w:cs="Arial"/>
          <w:sz w:val="22"/>
          <w:szCs w:val="22"/>
        </w:rPr>
      </w:pPr>
      <w:r w:rsidRPr="00C23383">
        <w:rPr>
          <w:rFonts w:ascii="Arial" w:hAnsi="Arial" w:cs="Arial"/>
          <w:sz w:val="22"/>
          <w:szCs w:val="22"/>
        </w:rPr>
        <w:t xml:space="preserve">From the overall study, it can be substantially recommended that it is necessary to examine the long-term outcomes and costs of patient-centred interventions, mainly through deeper research, and incorporate regulations that support and safeguard the well-being of staff. Barriers include the behaviour of the slow process of research and finding wider issues of chronic NHS (Nkhoma </w:t>
      </w:r>
      <w:r w:rsidRPr="00C23383">
        <w:rPr>
          <w:rFonts w:ascii="Arial" w:hAnsi="Arial" w:cs="Arial"/>
          <w:i/>
          <w:sz w:val="22"/>
          <w:szCs w:val="22"/>
        </w:rPr>
        <w:t xml:space="preserve">et al., </w:t>
      </w:r>
      <w:r w:rsidRPr="00C23383">
        <w:rPr>
          <w:rFonts w:ascii="Arial" w:hAnsi="Arial" w:cs="Arial"/>
          <w:sz w:val="22"/>
          <w:szCs w:val="22"/>
        </w:rPr>
        <w:t>2022).</w:t>
      </w:r>
    </w:p>
    <w:p w14:paraId="2A9FFD72" w14:textId="77777777" w:rsidR="00B54432" w:rsidRPr="00C23383" w:rsidRDefault="00E50B30">
      <w:pPr>
        <w:pStyle w:val="Heading1"/>
        <w:rPr>
          <w:rFonts w:ascii="Arial" w:hAnsi="Arial" w:cs="Arial"/>
          <w:sz w:val="22"/>
          <w:szCs w:val="22"/>
        </w:rPr>
      </w:pPr>
      <w:bookmarkStart w:id="14" w:name="_Toc213506740"/>
      <w:r w:rsidRPr="00C23383">
        <w:rPr>
          <w:rFonts w:ascii="Arial" w:hAnsi="Arial" w:cs="Arial"/>
          <w:sz w:val="22"/>
          <w:szCs w:val="22"/>
        </w:rPr>
        <w:lastRenderedPageBreak/>
        <w:t>Conclusion</w:t>
      </w:r>
      <w:bookmarkEnd w:id="14"/>
      <w:r w:rsidRPr="00C23383">
        <w:rPr>
          <w:rFonts w:ascii="Arial" w:hAnsi="Arial" w:cs="Arial"/>
          <w:sz w:val="22"/>
          <w:szCs w:val="22"/>
        </w:rPr>
        <w:t xml:space="preserve"> </w:t>
      </w:r>
    </w:p>
    <w:p w14:paraId="56CAC4C5" w14:textId="425BE60D" w:rsidR="00B54432" w:rsidRPr="00C23383" w:rsidRDefault="00E50B30">
      <w:pPr>
        <w:rPr>
          <w:rFonts w:ascii="Arial" w:hAnsi="Arial" w:cs="Arial"/>
          <w:sz w:val="22"/>
          <w:szCs w:val="22"/>
        </w:rPr>
      </w:pPr>
      <w:r w:rsidRPr="00C23383">
        <w:rPr>
          <w:rFonts w:ascii="Arial" w:hAnsi="Arial" w:cs="Arial"/>
          <w:sz w:val="22"/>
          <w:szCs w:val="22"/>
        </w:rPr>
        <w:t xml:space="preserve">At the end of the study, it can be further concluded that, by the positive areas of PW’s and PCC’s integration, can improve quality care by developing a feasible action plan. It directly reflects the complete definition of PCC by adhering Joan’s case study in applicable areas as real-world implementation. Additionally, assessing biopsychosocial </w:t>
      </w:r>
      <w:r w:rsidR="00067BBA" w:rsidRPr="00C23383">
        <w:rPr>
          <w:rFonts w:ascii="Arial" w:hAnsi="Arial" w:cs="Arial"/>
          <w:sz w:val="22"/>
          <w:szCs w:val="22"/>
        </w:rPr>
        <w:t>model has</w:t>
      </w:r>
      <w:r w:rsidRPr="00C23383">
        <w:rPr>
          <w:rFonts w:ascii="Arial" w:hAnsi="Arial" w:cs="Arial"/>
          <w:sz w:val="22"/>
          <w:szCs w:val="22"/>
        </w:rPr>
        <w:t xml:space="preserve"> helped in understanding the significance of person-centred care, integrating Partnership Working (PW) to promote quality of life besides medication. Alternatively, the Empowerment Model assists patients to become the experts in their own lives and further shapes their strength. From ethical fundamentals in health care, it has been found that patients' involvement in clinical procedure matters a lot as it helps them to be informed about health systems. The context like person centred care has been beneficial to be informed with the purpose to make patients the core involvement of care by valuing preferences. In contrast, partnership working runs with the purpose to develop an integrated care by securing the collaborative nature of healthcare experts and agencies. Finally, in the recommendations, it has highlighted a single, secure patient record system, telemonitoring, and interprofessional training, along with the establishment of Integrated Care Systems (ICSs).</w:t>
      </w:r>
    </w:p>
    <w:p w14:paraId="3BEBA8E9" w14:textId="77777777" w:rsidR="00B54432" w:rsidRDefault="00E50B30">
      <w:r w:rsidRPr="00C23383">
        <w:rPr>
          <w:rFonts w:ascii="Arial" w:hAnsi="Arial" w:cs="Arial"/>
          <w:sz w:val="22"/>
          <w:szCs w:val="22"/>
        </w:rPr>
        <w:br w:type="page"/>
      </w:r>
    </w:p>
    <w:p w14:paraId="5ABBC956" w14:textId="77777777" w:rsidR="00B54432" w:rsidRDefault="00E50B30">
      <w:pPr>
        <w:pStyle w:val="Heading1"/>
      </w:pPr>
      <w:bookmarkStart w:id="15" w:name="_Toc213506741"/>
      <w:r>
        <w:lastRenderedPageBreak/>
        <w:t>References</w:t>
      </w:r>
      <w:bookmarkEnd w:id="15"/>
    </w:p>
    <w:p w14:paraId="77817454" w14:textId="77777777" w:rsidR="001D57EF" w:rsidRDefault="001D57EF" w:rsidP="001D57EF">
      <w:r>
        <w:t xml:space="preserve">Adams, C., Pente, P., Lemermeyer, G. and Rockwell, G., (2023). Ethical principles for artificial intelligence in K-12 education. </w:t>
      </w:r>
      <w:proofErr w:type="spellStart"/>
      <w:r w:rsidRPr="001D57EF">
        <w:rPr>
          <w:i/>
        </w:rPr>
        <w:t>Comput</w:t>
      </w:r>
      <w:proofErr w:type="spellEnd"/>
      <w:r w:rsidRPr="001D57EF">
        <w:rPr>
          <w:i/>
        </w:rPr>
        <w:t xml:space="preserve">. Educ. </w:t>
      </w:r>
      <w:proofErr w:type="spellStart"/>
      <w:r w:rsidRPr="001D57EF">
        <w:rPr>
          <w:i/>
        </w:rPr>
        <w:t>Artif</w:t>
      </w:r>
      <w:proofErr w:type="spellEnd"/>
      <w:r w:rsidRPr="001D57EF">
        <w:rPr>
          <w:i/>
        </w:rPr>
        <w:t xml:space="preserve">. </w:t>
      </w:r>
      <w:proofErr w:type="spellStart"/>
      <w:r w:rsidRPr="001D57EF">
        <w:rPr>
          <w:i/>
        </w:rPr>
        <w:t>Intell</w:t>
      </w:r>
      <w:proofErr w:type="spellEnd"/>
      <w:r>
        <w:t>., 4, p.100131.</w:t>
      </w:r>
    </w:p>
    <w:p w14:paraId="3C58BDDE" w14:textId="77777777" w:rsidR="001D57EF" w:rsidRPr="001D57EF" w:rsidRDefault="001D57EF" w:rsidP="001D57EF">
      <w:pPr>
        <w:rPr>
          <w:highlight w:val="white"/>
        </w:rPr>
      </w:pPr>
      <w:r w:rsidRPr="001D57EF">
        <w:rPr>
          <w:highlight w:val="white"/>
        </w:rPr>
        <w:t xml:space="preserve">Aguirre-Duarte, N., (2025). </w:t>
      </w:r>
      <w:r w:rsidRPr="001D57EF">
        <w:rPr>
          <w:i/>
          <w:highlight w:val="white"/>
        </w:rPr>
        <w:t>Connecting the Dots: Digital Ecosystems and Interoperability's Essential Role in Achieving Integrated care and Person-Centred care</w:t>
      </w:r>
      <w:r w:rsidRPr="001D57EF">
        <w:rPr>
          <w:highlight w:val="white"/>
        </w:rPr>
        <w:t xml:space="preserve"> [online]</w:t>
      </w:r>
    </w:p>
    <w:p w14:paraId="3378B129" w14:textId="77777777" w:rsidR="001D57EF" w:rsidRPr="001D57EF" w:rsidRDefault="001D57EF" w:rsidP="001D57EF">
      <w:pPr>
        <w:rPr>
          <w:highlight w:val="white"/>
        </w:rPr>
      </w:pPr>
      <w:r w:rsidRPr="001D57EF">
        <w:rPr>
          <w:highlight w:val="white"/>
        </w:rPr>
        <w:t xml:space="preserve">Aguirre-Duarte, N., (2025). </w:t>
      </w:r>
      <w:r w:rsidRPr="001D57EF">
        <w:rPr>
          <w:i/>
          <w:highlight w:val="white"/>
        </w:rPr>
        <w:t>Connecting the Dots: Digital Ecosystems and Interoperability's Essential Role in Achieving Integrated care and Person-Centred care</w:t>
      </w:r>
      <w:r w:rsidRPr="001D57EF">
        <w:rPr>
          <w:highlight w:val="white"/>
        </w:rPr>
        <w:t xml:space="preserve"> [online]</w:t>
      </w:r>
    </w:p>
    <w:p w14:paraId="38313E9F" w14:textId="77777777" w:rsidR="001D57EF" w:rsidRPr="001D57EF" w:rsidRDefault="001D57EF" w:rsidP="001D57EF">
      <w:pPr>
        <w:rPr>
          <w:highlight w:val="white"/>
        </w:rPr>
      </w:pPr>
      <w:r w:rsidRPr="001D57EF">
        <w:rPr>
          <w:highlight w:val="white"/>
        </w:rPr>
        <w:t xml:space="preserve">Berntsen, G., Chetty, M., Ako-Egbe, L., Yaron, S., Phan, P., Curran, C. and Lachman, P., (2022). Person-centred care systems: from theory to practice. </w:t>
      </w:r>
      <w:r w:rsidRPr="001D57EF">
        <w:rPr>
          <w:i/>
          <w:highlight w:val="white"/>
        </w:rPr>
        <w:t>A White paper for ISQUA</w:t>
      </w:r>
      <w:r w:rsidRPr="001D57EF">
        <w:rPr>
          <w:highlight w:val="white"/>
        </w:rPr>
        <w:t>.</w:t>
      </w:r>
    </w:p>
    <w:p w14:paraId="543C339A" w14:textId="77777777" w:rsidR="001D57EF" w:rsidRPr="001D57EF" w:rsidRDefault="001D57EF" w:rsidP="001D57EF">
      <w:pPr>
        <w:rPr>
          <w:highlight w:val="white"/>
        </w:rPr>
      </w:pPr>
      <w:r w:rsidRPr="001D57EF">
        <w:rPr>
          <w:highlight w:val="white"/>
        </w:rPr>
        <w:t xml:space="preserve">Bosserman, L.D., Cianfrocca, M., Yuh, B., Yeon, C., Chen, H., </w:t>
      </w:r>
      <w:proofErr w:type="spellStart"/>
      <w:r w:rsidRPr="001D57EF">
        <w:rPr>
          <w:highlight w:val="white"/>
        </w:rPr>
        <w:t>Sentovich</w:t>
      </w:r>
      <w:proofErr w:type="spellEnd"/>
      <w:r w:rsidRPr="001D57EF">
        <w:rPr>
          <w:highlight w:val="white"/>
        </w:rPr>
        <w:t xml:space="preserve">, S., </w:t>
      </w:r>
      <w:proofErr w:type="spellStart"/>
      <w:r w:rsidRPr="001D57EF">
        <w:rPr>
          <w:highlight w:val="white"/>
        </w:rPr>
        <w:t>Polverini</w:t>
      </w:r>
      <w:proofErr w:type="spellEnd"/>
      <w:r w:rsidRPr="001D57EF">
        <w:rPr>
          <w:highlight w:val="white"/>
        </w:rPr>
        <w:t>, A., Zachariah, F., Deaville, D., Lee, A.B. and Sedrak, M.S., (2021). Integrating academic and community cancer care and research through multidisciplinary oncology pathways for value-based care: a review and the city of hope experience. Journal of clinical medicine, 10(2), p.188.</w:t>
      </w:r>
    </w:p>
    <w:p w14:paraId="24946C9F" w14:textId="77777777" w:rsidR="001D57EF" w:rsidRPr="001D57EF" w:rsidRDefault="001D57EF" w:rsidP="001D57EF">
      <w:pPr>
        <w:rPr>
          <w:highlight w:val="white"/>
        </w:rPr>
      </w:pPr>
      <w:r w:rsidRPr="001D57EF">
        <w:rPr>
          <w:highlight w:val="white"/>
        </w:rPr>
        <w:t>Busari, M. and Jane, B., (2025). Patient-</w:t>
      </w:r>
      <w:proofErr w:type="spellStart"/>
      <w:r w:rsidRPr="001D57EF">
        <w:rPr>
          <w:highlight w:val="white"/>
        </w:rPr>
        <w:t>Centered</w:t>
      </w:r>
      <w:proofErr w:type="spellEnd"/>
      <w:r w:rsidRPr="001D57EF">
        <w:rPr>
          <w:highlight w:val="white"/>
        </w:rPr>
        <w:t xml:space="preserve"> Care Models–Exploring Personalized Care, shared decision-making, and holistic treatment approaches.</w:t>
      </w:r>
    </w:p>
    <w:p w14:paraId="6D17C2C9" w14:textId="77777777" w:rsidR="001D57EF" w:rsidRPr="001D57EF" w:rsidRDefault="001D57EF" w:rsidP="001D57EF">
      <w:pPr>
        <w:rPr>
          <w:highlight w:val="white"/>
        </w:rPr>
      </w:pPr>
      <w:r w:rsidRPr="001D57EF">
        <w:rPr>
          <w:highlight w:val="white"/>
        </w:rPr>
        <w:t xml:space="preserve">Fridberg, H., Wallin, L. and </w:t>
      </w:r>
      <w:proofErr w:type="spellStart"/>
      <w:r w:rsidRPr="001D57EF">
        <w:rPr>
          <w:highlight w:val="white"/>
        </w:rPr>
        <w:t>Tistad</w:t>
      </w:r>
      <w:proofErr w:type="spellEnd"/>
      <w:r w:rsidRPr="001D57EF">
        <w:rPr>
          <w:highlight w:val="white"/>
        </w:rPr>
        <w:t xml:space="preserve">, M., (2022). Operationalisation of person-centred care in a real-world setting: a case study with six embedded units. </w:t>
      </w:r>
      <w:r w:rsidRPr="001D57EF">
        <w:rPr>
          <w:i/>
          <w:highlight w:val="white"/>
        </w:rPr>
        <w:t>BMC health services research</w:t>
      </w:r>
      <w:r w:rsidRPr="001D57EF">
        <w:rPr>
          <w:highlight w:val="white"/>
        </w:rPr>
        <w:t xml:space="preserve">, </w:t>
      </w:r>
      <w:r w:rsidRPr="001D57EF">
        <w:rPr>
          <w:i/>
          <w:highlight w:val="white"/>
        </w:rPr>
        <w:t>22</w:t>
      </w:r>
      <w:r w:rsidRPr="001D57EF">
        <w:rPr>
          <w:highlight w:val="white"/>
        </w:rPr>
        <w:t>(1), p.1160.</w:t>
      </w:r>
    </w:p>
    <w:p w14:paraId="43988D9C" w14:textId="77777777" w:rsidR="001D57EF" w:rsidRPr="001D57EF" w:rsidRDefault="001D57EF" w:rsidP="001D57EF">
      <w:pPr>
        <w:rPr>
          <w:highlight w:val="white"/>
        </w:rPr>
      </w:pPr>
      <w:r w:rsidRPr="001D57EF">
        <w:rPr>
          <w:highlight w:val="white"/>
        </w:rPr>
        <w:t xml:space="preserve">Heggdal, K., Mendelsohn, J.B., Stepanian, N., Oftedal, B.F. and Larsen, M.H., (2021). Health‐care professionals’ assessment of a person‐centred intervention to empower self‐management and health across chronic illness: Qualitative findings from a process evaluation study. </w:t>
      </w:r>
      <w:r w:rsidRPr="001D57EF">
        <w:rPr>
          <w:i/>
          <w:highlight w:val="white"/>
        </w:rPr>
        <w:t>Health Expectations</w:t>
      </w:r>
      <w:r w:rsidRPr="001D57EF">
        <w:rPr>
          <w:highlight w:val="white"/>
        </w:rPr>
        <w:t xml:space="preserve">, </w:t>
      </w:r>
      <w:r w:rsidRPr="001D57EF">
        <w:rPr>
          <w:i/>
          <w:highlight w:val="white"/>
        </w:rPr>
        <w:t>24</w:t>
      </w:r>
      <w:r w:rsidRPr="001D57EF">
        <w:rPr>
          <w:highlight w:val="white"/>
        </w:rPr>
        <w:t>(4), pp.1367-1377.</w:t>
      </w:r>
    </w:p>
    <w:p w14:paraId="4E7D656C" w14:textId="77777777" w:rsidR="001D57EF" w:rsidRPr="001D57EF" w:rsidRDefault="001D57EF" w:rsidP="001D57EF">
      <w:pPr>
        <w:rPr>
          <w:highlight w:val="white"/>
        </w:rPr>
      </w:pPr>
      <w:r w:rsidRPr="001D57EF">
        <w:rPr>
          <w:highlight w:val="white"/>
        </w:rPr>
        <w:t>Heggdal, K., Stepanian, N., Oftedal, B.F., Mendelsohn, J.B. and Larsen, M.H., (2023). Health care professionals’ experiences of facilitating patient activation and empowerment in chronic illness using a person-</w:t>
      </w:r>
      <w:proofErr w:type="spellStart"/>
      <w:r w:rsidRPr="001D57EF">
        <w:rPr>
          <w:highlight w:val="white"/>
        </w:rPr>
        <w:t>centered</w:t>
      </w:r>
      <w:proofErr w:type="spellEnd"/>
      <w:r w:rsidRPr="001D57EF">
        <w:rPr>
          <w:highlight w:val="white"/>
        </w:rPr>
        <w:t xml:space="preserve"> and strengths-based self-management program. </w:t>
      </w:r>
      <w:r w:rsidRPr="001D57EF">
        <w:rPr>
          <w:i/>
          <w:highlight w:val="white"/>
        </w:rPr>
        <w:t>Chronic illness</w:t>
      </w:r>
      <w:r w:rsidRPr="001D57EF">
        <w:rPr>
          <w:highlight w:val="white"/>
        </w:rPr>
        <w:t xml:space="preserve">, </w:t>
      </w:r>
      <w:r w:rsidRPr="001D57EF">
        <w:rPr>
          <w:i/>
          <w:highlight w:val="white"/>
        </w:rPr>
        <w:t>19</w:t>
      </w:r>
      <w:r w:rsidRPr="001D57EF">
        <w:rPr>
          <w:highlight w:val="white"/>
        </w:rPr>
        <w:t>(1), pp.250-264.</w:t>
      </w:r>
    </w:p>
    <w:p w14:paraId="3BA8D293" w14:textId="77777777" w:rsidR="001D57EF" w:rsidRDefault="001D57EF" w:rsidP="001D57EF">
      <w:r>
        <w:t xml:space="preserve">legislation.gov.uk, (2025). </w:t>
      </w:r>
      <w:r w:rsidRPr="001D57EF">
        <w:rPr>
          <w:i/>
        </w:rPr>
        <w:t>Health and Care Act 2022</w:t>
      </w:r>
      <w:r>
        <w:t>. Available at: https://www.legislation.gov.uk/id/ukpga/2022/31 [Accessed on: 1st November, 2025]</w:t>
      </w:r>
    </w:p>
    <w:p w14:paraId="56A33249" w14:textId="77777777" w:rsidR="001D57EF" w:rsidRDefault="001D57EF" w:rsidP="001D57EF">
      <w:r>
        <w:t xml:space="preserve">legislation.gov.uk, (2025). </w:t>
      </w:r>
      <w:r w:rsidRPr="001D57EF">
        <w:rPr>
          <w:i/>
        </w:rPr>
        <w:t>Health and Social Care Act 2012</w:t>
      </w:r>
      <w:r>
        <w:t xml:space="preserve">. Available at: </w:t>
      </w:r>
      <w:r w:rsidRPr="001D57EF">
        <w:rPr>
          <w:highlight w:val="white"/>
        </w:rPr>
        <w:t xml:space="preserve">https://www.legislation.gov.uk/id/ukpga/2012/7 </w:t>
      </w:r>
      <w:r>
        <w:t>[Accessed on: 1st November, 2025]</w:t>
      </w:r>
    </w:p>
    <w:p w14:paraId="4DCCEF0A" w14:textId="77777777" w:rsidR="001D57EF" w:rsidRDefault="001D57EF" w:rsidP="001D57EF">
      <w:r>
        <w:t xml:space="preserve">Leutz, W., (2009). Partnership working: key concepts and approaches. </w:t>
      </w:r>
      <w:r w:rsidRPr="001D57EF">
        <w:rPr>
          <w:i/>
        </w:rPr>
        <w:t>International perspectives on health and social care: partnership working in action</w:t>
      </w:r>
      <w:r>
        <w:t xml:space="preserve">, pp.42-55. </w:t>
      </w:r>
    </w:p>
    <w:p w14:paraId="49FB2847" w14:textId="77777777" w:rsidR="001D57EF" w:rsidRPr="001D57EF" w:rsidRDefault="001D57EF" w:rsidP="001D57EF">
      <w:pPr>
        <w:rPr>
          <w:highlight w:val="white"/>
        </w:rPr>
      </w:pPr>
      <w:r w:rsidRPr="001D57EF">
        <w:rPr>
          <w:highlight w:val="white"/>
        </w:rPr>
        <w:lastRenderedPageBreak/>
        <w:t xml:space="preserve">Lowe, D., Ryan, R., Schonfeld, L., Merner, B., Walsh, L., Graham-Wisener, L. and Hill, S., (2021). Effects of consumers and health providers working in partnership on health services planning, delivery and evaluation. </w:t>
      </w:r>
      <w:r w:rsidRPr="001D57EF">
        <w:rPr>
          <w:i/>
          <w:highlight w:val="white"/>
        </w:rPr>
        <w:t>Cochrane Database of Systematic Reviews</w:t>
      </w:r>
      <w:r w:rsidRPr="001D57EF">
        <w:rPr>
          <w:highlight w:val="white"/>
        </w:rPr>
        <w:t>, (9).</w:t>
      </w:r>
    </w:p>
    <w:p w14:paraId="4344F6DF" w14:textId="77777777" w:rsidR="001D57EF" w:rsidRDefault="001D57EF" w:rsidP="001D57EF">
      <w:r>
        <w:t xml:space="preserve">nhs.uk, (2025). </w:t>
      </w:r>
      <w:r w:rsidRPr="001D57EF">
        <w:rPr>
          <w:i/>
        </w:rPr>
        <w:t>Joan’s Story</w:t>
      </w:r>
      <w:r>
        <w:t>. Available at: https://www.england.nhs.uk/personalisedcare/comprehensive-model/case-studies/joans-story/ [Accessed on 1st November, 2025]</w:t>
      </w:r>
    </w:p>
    <w:p w14:paraId="47BFA300" w14:textId="77777777" w:rsidR="001D57EF" w:rsidRDefault="001D57EF" w:rsidP="001D57EF">
      <w:r>
        <w:t xml:space="preserve">nhs.uk, (2025). </w:t>
      </w:r>
      <w:r w:rsidRPr="001D57EF">
        <w:rPr>
          <w:i/>
        </w:rPr>
        <w:t>Primary care networks</w:t>
      </w:r>
      <w:r>
        <w:t>. Available at: https://www.england.nhs.uk/primary-care/primary-care-networks/ [Accessed on 1st November, 2025]</w:t>
      </w:r>
    </w:p>
    <w:p w14:paraId="1DDD169C" w14:textId="77777777" w:rsidR="001D57EF" w:rsidRDefault="001D57EF" w:rsidP="001D57EF">
      <w:r w:rsidRPr="001D57EF">
        <w:rPr>
          <w:highlight w:val="white"/>
        </w:rPr>
        <w:t xml:space="preserve">Nkhoma, K.B., Cook, A., Giusti, A., Farrant, L., Petrus, R., Petersen, I., Gwyther, L., </w:t>
      </w:r>
      <w:proofErr w:type="spellStart"/>
      <w:r w:rsidRPr="001D57EF">
        <w:rPr>
          <w:highlight w:val="white"/>
        </w:rPr>
        <w:t>Venkatapuram</w:t>
      </w:r>
      <w:proofErr w:type="spellEnd"/>
      <w:r w:rsidRPr="001D57EF">
        <w:rPr>
          <w:highlight w:val="white"/>
        </w:rPr>
        <w:t xml:space="preserve">, S. and Harding, R., (2022). A systematic review of impact of person-centred interventions for serious physical illness in terms of outcomes and costs. </w:t>
      </w:r>
      <w:r w:rsidRPr="001D57EF">
        <w:rPr>
          <w:i/>
          <w:highlight w:val="white"/>
        </w:rPr>
        <w:t>BMJ open</w:t>
      </w:r>
      <w:r w:rsidRPr="001D57EF">
        <w:rPr>
          <w:highlight w:val="white"/>
        </w:rPr>
        <w:t xml:space="preserve">, </w:t>
      </w:r>
      <w:r w:rsidRPr="001D57EF">
        <w:rPr>
          <w:i/>
          <w:highlight w:val="white"/>
        </w:rPr>
        <w:t>12</w:t>
      </w:r>
      <w:r w:rsidRPr="001D57EF">
        <w:rPr>
          <w:highlight w:val="white"/>
        </w:rPr>
        <w:t>(7), p.e054386.</w:t>
      </w:r>
    </w:p>
    <w:p w14:paraId="45B92FD2" w14:textId="77777777" w:rsidR="001D57EF" w:rsidRPr="001D57EF" w:rsidRDefault="001D57EF" w:rsidP="001D57EF">
      <w:pPr>
        <w:rPr>
          <w:highlight w:val="white"/>
        </w:rPr>
      </w:pPr>
      <w:r w:rsidRPr="001D57EF">
        <w:rPr>
          <w:highlight w:val="white"/>
        </w:rPr>
        <w:t xml:space="preserve">O’Donnell, D., Davies, C., Devaney, C., Radomska, A., O’Shea, M., O’Donoghue, G., De Brún, A., Donnelly, S., Whitty, H., Harnett, P.J. and Lang, D., (2025). How can interprofessional collaboration be fostered and sustained in team-based care integration for older people in community settings? A realist evidence synthesis. </w:t>
      </w:r>
      <w:r w:rsidRPr="001D57EF">
        <w:rPr>
          <w:i/>
          <w:highlight w:val="white"/>
        </w:rPr>
        <w:t>Systematic Reviews</w:t>
      </w:r>
      <w:r w:rsidRPr="001D57EF">
        <w:rPr>
          <w:highlight w:val="white"/>
        </w:rPr>
        <w:t xml:space="preserve">, </w:t>
      </w:r>
      <w:r w:rsidRPr="001D57EF">
        <w:rPr>
          <w:i/>
          <w:highlight w:val="white"/>
        </w:rPr>
        <w:t>14</w:t>
      </w:r>
      <w:r w:rsidRPr="001D57EF">
        <w:rPr>
          <w:highlight w:val="white"/>
        </w:rPr>
        <w:t>(1), p.117.</w:t>
      </w:r>
    </w:p>
    <w:p w14:paraId="6C6C5A43" w14:textId="77777777" w:rsidR="001D57EF" w:rsidRDefault="001D57EF" w:rsidP="001D57EF">
      <w:r>
        <w:t xml:space="preserve">O’Sullivan, L., </w:t>
      </w:r>
      <w:proofErr w:type="spellStart"/>
      <w:r>
        <w:t>Aldasoro</w:t>
      </w:r>
      <w:proofErr w:type="spellEnd"/>
      <w:r>
        <w:t xml:space="preserve">, E., O’Brien, Á., Nolan, M., McGovern, C. and Carroll, Á., (2022). Ethical values and principles to guide the fair allocation of resources in response to a pandemic: a rapid systematic review. </w:t>
      </w:r>
      <w:r w:rsidRPr="001D57EF">
        <w:rPr>
          <w:i/>
        </w:rPr>
        <w:t>BMC Medical Ethics</w:t>
      </w:r>
      <w:r>
        <w:t>, 23(1), p.70.</w:t>
      </w:r>
    </w:p>
    <w:p w14:paraId="13CFA76A" w14:textId="77777777" w:rsidR="001D57EF" w:rsidRPr="001D57EF" w:rsidRDefault="001D57EF" w:rsidP="001D57EF">
      <w:pPr>
        <w:rPr>
          <w:highlight w:val="white"/>
        </w:rPr>
      </w:pPr>
      <w:r w:rsidRPr="001D57EF">
        <w:rPr>
          <w:highlight w:val="white"/>
          <w:lang w:val="de-AT"/>
        </w:rPr>
        <w:t xml:space="preserve">Piskorz-Ryń, O., Olsen, G., Karstensen, V. and Gottschlich, D., (2024). </w:t>
      </w:r>
      <w:r w:rsidRPr="001D57EF">
        <w:rPr>
          <w:highlight w:val="white"/>
        </w:rPr>
        <w:t>Healthcare providers’ perspectives on the implementation of patient-</w:t>
      </w:r>
      <w:proofErr w:type="spellStart"/>
      <w:r w:rsidRPr="001D57EF">
        <w:rPr>
          <w:highlight w:val="white"/>
        </w:rPr>
        <w:t>centered</w:t>
      </w:r>
      <w:proofErr w:type="spellEnd"/>
      <w:r w:rsidRPr="001D57EF">
        <w:rPr>
          <w:highlight w:val="white"/>
        </w:rPr>
        <w:t xml:space="preserve"> care models in hospitals. </w:t>
      </w:r>
      <w:r w:rsidRPr="001D57EF">
        <w:rPr>
          <w:i/>
          <w:highlight w:val="white"/>
        </w:rPr>
        <w:t>Heal Nexus</w:t>
      </w:r>
      <w:r w:rsidRPr="001D57EF">
        <w:rPr>
          <w:highlight w:val="white"/>
        </w:rPr>
        <w:t xml:space="preserve">, </w:t>
      </w:r>
      <w:r w:rsidRPr="001D57EF">
        <w:rPr>
          <w:i/>
          <w:highlight w:val="white"/>
        </w:rPr>
        <w:t>2</w:t>
      </w:r>
      <w:r w:rsidRPr="001D57EF">
        <w:rPr>
          <w:highlight w:val="white"/>
        </w:rPr>
        <w:t>(3), pp.80-88.</w:t>
      </w:r>
    </w:p>
    <w:p w14:paraId="205656B7" w14:textId="77777777" w:rsidR="001D57EF" w:rsidRDefault="001D57EF" w:rsidP="001D57EF">
      <w:r>
        <w:t xml:space="preserve">Thomson, L.J.M., Waterson, H. and Chatterjee, H.J., (2024). Successes and challenges of partnership working to tackle health inequalities using collaborative approaches to community-based research: mixed methods analysis of focus group evidence. </w:t>
      </w:r>
      <w:r w:rsidRPr="001D57EF">
        <w:rPr>
          <w:i/>
        </w:rPr>
        <w:t>International Journal for Equity in Health, 23</w:t>
      </w:r>
      <w:r>
        <w:t>(1), p.135.</w:t>
      </w:r>
    </w:p>
    <w:p w14:paraId="2B496FB7" w14:textId="77777777" w:rsidR="001D57EF" w:rsidRPr="001D57EF" w:rsidRDefault="001D57EF" w:rsidP="001D57EF">
      <w:pPr>
        <w:rPr>
          <w:highlight w:val="white"/>
        </w:rPr>
      </w:pPr>
      <w:r w:rsidRPr="001D57EF">
        <w:rPr>
          <w:highlight w:val="white"/>
        </w:rPr>
        <w:t xml:space="preserve">Tramonti, F., Giorgi, F. and </w:t>
      </w:r>
      <w:proofErr w:type="spellStart"/>
      <w:r w:rsidRPr="001D57EF">
        <w:rPr>
          <w:highlight w:val="white"/>
        </w:rPr>
        <w:t>Fanali</w:t>
      </w:r>
      <w:proofErr w:type="spellEnd"/>
      <w:r w:rsidRPr="001D57EF">
        <w:rPr>
          <w:highlight w:val="white"/>
        </w:rPr>
        <w:t xml:space="preserve">, A., (2021). Systems thinking and the biopsychosocial approach: a multilevel framework for patient‐centred care. </w:t>
      </w:r>
      <w:r w:rsidRPr="001D57EF">
        <w:rPr>
          <w:i/>
          <w:highlight w:val="white"/>
        </w:rPr>
        <w:t xml:space="preserve">Systems Research and </w:t>
      </w:r>
      <w:proofErr w:type="spellStart"/>
      <w:r w:rsidRPr="001D57EF">
        <w:rPr>
          <w:i/>
          <w:highlight w:val="white"/>
        </w:rPr>
        <w:t>Behavioral</w:t>
      </w:r>
      <w:proofErr w:type="spellEnd"/>
      <w:r w:rsidRPr="001D57EF">
        <w:rPr>
          <w:i/>
          <w:highlight w:val="white"/>
        </w:rPr>
        <w:t xml:space="preserve"> Science</w:t>
      </w:r>
      <w:r w:rsidRPr="001D57EF">
        <w:rPr>
          <w:highlight w:val="white"/>
        </w:rPr>
        <w:t xml:space="preserve">, </w:t>
      </w:r>
      <w:r w:rsidRPr="001D57EF">
        <w:rPr>
          <w:i/>
          <w:highlight w:val="white"/>
        </w:rPr>
        <w:t>38</w:t>
      </w:r>
      <w:r w:rsidRPr="001D57EF">
        <w:rPr>
          <w:highlight w:val="white"/>
        </w:rPr>
        <w:t>(2), pp.215-230.</w:t>
      </w:r>
    </w:p>
    <w:p w14:paraId="3B4F9307" w14:textId="77777777" w:rsidR="001D57EF" w:rsidRPr="001D57EF" w:rsidRDefault="001D57EF" w:rsidP="001D57EF">
      <w:pPr>
        <w:rPr>
          <w:highlight w:val="white"/>
        </w:rPr>
      </w:pPr>
      <w:r w:rsidRPr="001D57EF">
        <w:rPr>
          <w:highlight w:val="white"/>
        </w:rPr>
        <w:t>Yu, C., Xian, Y., Jing, T., Bai, M., Li, X., Li, J., Liang, H., Yu, G. and Zhang, Z., (2023). More patient-</w:t>
      </w:r>
      <w:proofErr w:type="spellStart"/>
      <w:r w:rsidRPr="001D57EF">
        <w:rPr>
          <w:highlight w:val="white"/>
        </w:rPr>
        <w:t>centered</w:t>
      </w:r>
      <w:proofErr w:type="spellEnd"/>
      <w:r w:rsidRPr="001D57EF">
        <w:rPr>
          <w:highlight w:val="white"/>
        </w:rPr>
        <w:t xml:space="preserve"> care, better healthcare: the association between patient-</w:t>
      </w:r>
      <w:proofErr w:type="spellStart"/>
      <w:r w:rsidRPr="001D57EF">
        <w:rPr>
          <w:highlight w:val="white"/>
        </w:rPr>
        <w:t>centered</w:t>
      </w:r>
      <w:proofErr w:type="spellEnd"/>
      <w:r w:rsidRPr="001D57EF">
        <w:rPr>
          <w:highlight w:val="white"/>
        </w:rPr>
        <w:t xml:space="preserve"> care and healthcare outcomes in inpatients. </w:t>
      </w:r>
      <w:r w:rsidRPr="001D57EF">
        <w:rPr>
          <w:i/>
          <w:highlight w:val="white"/>
        </w:rPr>
        <w:t>Frontiers in Public Health</w:t>
      </w:r>
      <w:r w:rsidRPr="001D57EF">
        <w:rPr>
          <w:highlight w:val="white"/>
        </w:rPr>
        <w:t xml:space="preserve">, </w:t>
      </w:r>
      <w:r w:rsidRPr="001D57EF">
        <w:rPr>
          <w:i/>
          <w:highlight w:val="white"/>
        </w:rPr>
        <w:t>11</w:t>
      </w:r>
      <w:r w:rsidRPr="001D57EF">
        <w:rPr>
          <w:highlight w:val="white"/>
        </w:rPr>
        <w:t>, p.1148277.</w:t>
      </w:r>
    </w:p>
    <w:sectPr w:rsidR="001D57EF" w:rsidRPr="001D57EF">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A1C97" w14:textId="77777777" w:rsidR="005134DB" w:rsidRDefault="005134DB">
      <w:pPr>
        <w:spacing w:line="240" w:lineRule="auto"/>
      </w:pPr>
      <w:r>
        <w:separator/>
      </w:r>
    </w:p>
  </w:endnote>
  <w:endnote w:type="continuationSeparator" w:id="0">
    <w:p w14:paraId="7DD91F29" w14:textId="77777777" w:rsidR="005134DB" w:rsidRDefault="005134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83052E7-1D65-4E34-BF6E-E0596EBEC5C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2D50BCC6-0211-4DA9-A2EA-870E794849B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020787"/>
      <w:docPartObj>
        <w:docPartGallery w:val="Page Numbers (Bottom of Page)"/>
        <w:docPartUnique/>
      </w:docPartObj>
    </w:sdtPr>
    <w:sdtEndPr>
      <w:rPr>
        <w:noProof/>
      </w:rPr>
    </w:sdtEndPr>
    <w:sdtContent>
      <w:p w14:paraId="67120CC4" w14:textId="73C2A311" w:rsidR="00607EF1" w:rsidRDefault="00607E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C44A9D" w14:textId="77777777" w:rsidR="00B54432" w:rsidRDefault="00B5443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E00F3" w14:textId="77777777" w:rsidR="005134DB" w:rsidRDefault="005134DB">
      <w:pPr>
        <w:spacing w:line="240" w:lineRule="auto"/>
      </w:pPr>
      <w:r>
        <w:separator/>
      </w:r>
    </w:p>
  </w:footnote>
  <w:footnote w:type="continuationSeparator" w:id="0">
    <w:p w14:paraId="77023BB4" w14:textId="77777777" w:rsidR="005134DB" w:rsidRDefault="005134D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E136D" w14:textId="2CC9811C" w:rsidR="00B54432" w:rsidRDefault="00B54432">
    <w:pPr>
      <w:pBdr>
        <w:top w:val="nil"/>
        <w:left w:val="nil"/>
        <w:bottom w:val="nil"/>
        <w:right w:val="nil"/>
        <w:between w:val="nil"/>
      </w:pBdr>
      <w:tabs>
        <w:tab w:val="center" w:pos="4513"/>
        <w:tab w:val="right" w:pos="9026"/>
      </w:tabs>
      <w:spacing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6E03"/>
    <w:multiLevelType w:val="hybridMultilevel"/>
    <w:tmpl w:val="8A6E4A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C77A97"/>
    <w:multiLevelType w:val="hybridMultilevel"/>
    <w:tmpl w:val="A01CD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2119761">
    <w:abstractNumId w:val="0"/>
  </w:num>
  <w:num w:numId="2" w16cid:durableId="292175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432"/>
    <w:rsid w:val="00067BBA"/>
    <w:rsid w:val="001873D6"/>
    <w:rsid w:val="001D57EF"/>
    <w:rsid w:val="00396219"/>
    <w:rsid w:val="00475DD8"/>
    <w:rsid w:val="005134DB"/>
    <w:rsid w:val="00607EF1"/>
    <w:rsid w:val="00A30D2D"/>
    <w:rsid w:val="00B54432"/>
    <w:rsid w:val="00BE1CCF"/>
    <w:rsid w:val="00C23383"/>
    <w:rsid w:val="00C90F5F"/>
    <w:rsid w:val="00E50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ACD49"/>
  <w15:docId w15:val="{D8E3F432-390E-485E-BDC4-2799EE805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link w:val="HeaderChar"/>
    <w:uiPriority w:val="99"/>
    <w:unhideWhenUsed/>
    <w:rsid w:val="000E21EB"/>
    <w:pPr>
      <w:tabs>
        <w:tab w:val="center" w:pos="4513"/>
        <w:tab w:val="right" w:pos="9026"/>
      </w:tabs>
      <w:spacing w:line="240" w:lineRule="auto"/>
    </w:pPr>
  </w:style>
  <w:style w:type="character" w:customStyle="1" w:styleId="HeaderChar">
    <w:name w:val="Header Char"/>
    <w:basedOn w:val="DefaultParagraphFont"/>
    <w:link w:val="Header"/>
    <w:uiPriority w:val="99"/>
    <w:rsid w:val="000E21EB"/>
  </w:style>
  <w:style w:type="paragraph" w:styleId="Footer">
    <w:name w:val="footer"/>
    <w:basedOn w:val="Normal"/>
    <w:link w:val="FooterChar"/>
    <w:uiPriority w:val="99"/>
    <w:unhideWhenUsed/>
    <w:rsid w:val="000E21EB"/>
    <w:pPr>
      <w:tabs>
        <w:tab w:val="center" w:pos="4513"/>
        <w:tab w:val="right" w:pos="9026"/>
      </w:tabs>
      <w:spacing w:line="240" w:lineRule="auto"/>
    </w:pPr>
  </w:style>
  <w:style w:type="character" w:customStyle="1" w:styleId="FooterChar">
    <w:name w:val="Footer Char"/>
    <w:basedOn w:val="DefaultParagraphFont"/>
    <w:link w:val="Footer"/>
    <w:uiPriority w:val="99"/>
    <w:rsid w:val="000E21EB"/>
  </w:style>
  <w:style w:type="paragraph" w:styleId="TOCHeading">
    <w:name w:val="TOC Heading"/>
    <w:basedOn w:val="Heading1"/>
    <w:next w:val="Normal"/>
    <w:uiPriority w:val="39"/>
    <w:unhideWhenUsed/>
    <w:qFormat/>
    <w:rsid w:val="000E21E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E21EB"/>
    <w:pPr>
      <w:spacing w:after="100"/>
    </w:pPr>
  </w:style>
  <w:style w:type="character" w:styleId="Hyperlink">
    <w:name w:val="Hyperlink"/>
    <w:basedOn w:val="DefaultParagraphFont"/>
    <w:uiPriority w:val="99"/>
    <w:unhideWhenUsed/>
    <w:rsid w:val="000E21EB"/>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2">
    <w:name w:val="toc 2"/>
    <w:basedOn w:val="Normal"/>
    <w:next w:val="Normal"/>
    <w:autoRedefine/>
    <w:uiPriority w:val="39"/>
    <w:unhideWhenUsed/>
    <w:rsid w:val="00067BBA"/>
    <w:pPr>
      <w:spacing w:after="100"/>
      <w:ind w:left="240"/>
    </w:pPr>
  </w:style>
  <w:style w:type="paragraph" w:styleId="ListParagraph">
    <w:name w:val="List Paragraph"/>
    <w:basedOn w:val="Normal"/>
    <w:uiPriority w:val="34"/>
    <w:qFormat/>
    <w:rsid w:val="00067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712742-E5D4-4D62-BD75-85D0A9191270}" type="doc">
      <dgm:prSet loTypeId="urn:microsoft.com/office/officeart/2005/8/layout/matrix1" loCatId="matrix" qsTypeId="urn:microsoft.com/office/officeart/2005/8/quickstyle/simple2" qsCatId="simple" csTypeId="urn:microsoft.com/office/officeart/2005/8/colors/colorful4" csCatId="colorful" phldr="1"/>
      <dgm:spPr/>
      <dgm:t>
        <a:bodyPr/>
        <a:lstStyle/>
        <a:p>
          <a:endParaRPr lang="en-GB"/>
        </a:p>
      </dgm:t>
    </dgm:pt>
    <dgm:pt modelId="{57CCFB28-1CC7-4215-86BA-917DAFC0B5A7}">
      <dgm:prSet phldrT="[Text]"/>
      <dgm:spPr/>
      <dgm:t>
        <a:bodyPr/>
        <a:lstStyle/>
        <a:p>
          <a:r>
            <a:rPr lang="en-GB" b="1"/>
            <a:t>Recommendations</a:t>
          </a:r>
          <a:endParaRPr lang="en-GB">
            <a:effectLst>
              <a:reflection blurRad="6350" stA="55000" endA="300" endPos="45500" dir="5400000" sy="-100000" algn="bl" rotWithShape="0"/>
            </a:effectLst>
          </a:endParaRPr>
        </a:p>
      </dgm:t>
    </dgm:pt>
    <dgm:pt modelId="{67ABD814-9128-4989-9C1C-1CC84A7ED18E}" type="parTrans" cxnId="{0C4B5628-6137-4023-AFB6-9D582275060E}">
      <dgm:prSet/>
      <dgm:spPr/>
      <dgm:t>
        <a:bodyPr/>
        <a:lstStyle/>
        <a:p>
          <a:endParaRPr lang="en-GB">
            <a:effectLst>
              <a:reflection blurRad="6350" stA="55000" endA="300" endPos="45500" dir="5400000" sy="-100000" algn="bl" rotWithShape="0"/>
            </a:effectLst>
          </a:endParaRPr>
        </a:p>
      </dgm:t>
    </dgm:pt>
    <dgm:pt modelId="{6813619B-C2BF-4BB7-8388-851CD91EB409}" type="sibTrans" cxnId="{0C4B5628-6137-4023-AFB6-9D582275060E}">
      <dgm:prSet/>
      <dgm:spPr/>
      <dgm:t>
        <a:bodyPr/>
        <a:lstStyle/>
        <a:p>
          <a:endParaRPr lang="en-GB">
            <a:effectLst>
              <a:reflection blurRad="6350" stA="55000" endA="300" endPos="45500" dir="5400000" sy="-100000" algn="bl" rotWithShape="0"/>
            </a:effectLst>
          </a:endParaRPr>
        </a:p>
      </dgm:t>
    </dgm:pt>
    <dgm:pt modelId="{80BF7DB9-ECB2-4807-A1F5-7A2407092C92}">
      <dgm:prSet phldrT="[Text]"/>
      <dgm:spPr/>
      <dgm:t>
        <a:bodyPr/>
        <a:lstStyle/>
        <a:p>
          <a:r>
            <a:rPr lang="en-GB" b="1"/>
            <a:t>Secure patient record system and telemonitoring technology. </a:t>
          </a:r>
          <a:endParaRPr lang="en-GB" b="1">
            <a:effectLst>
              <a:reflection blurRad="6350" stA="55000" endA="300" endPos="45500" dir="5400000" sy="-100000" algn="bl" rotWithShape="0"/>
            </a:effectLst>
          </a:endParaRPr>
        </a:p>
      </dgm:t>
    </dgm:pt>
    <dgm:pt modelId="{44E4FECC-E8A4-49DA-8EF7-786490EA528B}" type="parTrans" cxnId="{268C0825-E9C7-42DE-B686-318C73F0443A}">
      <dgm:prSet/>
      <dgm:spPr/>
      <dgm:t>
        <a:bodyPr/>
        <a:lstStyle/>
        <a:p>
          <a:endParaRPr lang="en-GB">
            <a:effectLst>
              <a:reflection blurRad="6350" stA="55000" endA="300" endPos="45500" dir="5400000" sy="-100000" algn="bl" rotWithShape="0"/>
            </a:effectLst>
          </a:endParaRPr>
        </a:p>
      </dgm:t>
    </dgm:pt>
    <dgm:pt modelId="{E60023E6-DE33-4DDB-9EEF-05F0FBAA5D24}" type="sibTrans" cxnId="{268C0825-E9C7-42DE-B686-318C73F0443A}">
      <dgm:prSet/>
      <dgm:spPr/>
      <dgm:t>
        <a:bodyPr/>
        <a:lstStyle/>
        <a:p>
          <a:endParaRPr lang="en-GB">
            <a:effectLst>
              <a:reflection blurRad="6350" stA="55000" endA="300" endPos="45500" dir="5400000" sy="-100000" algn="bl" rotWithShape="0"/>
            </a:effectLst>
          </a:endParaRPr>
        </a:p>
      </dgm:t>
    </dgm:pt>
    <dgm:pt modelId="{2FA5F981-4928-4502-B8CA-6B1B53A80BFC}">
      <dgm:prSet phldrT="[Text]"/>
      <dgm:spPr/>
      <dgm:t>
        <a:bodyPr/>
        <a:lstStyle/>
        <a:p>
          <a:r>
            <a:rPr lang="en-GB" b="1"/>
            <a:t>Interprofessional training and team-based reflective learning sessions</a:t>
          </a:r>
          <a:endParaRPr lang="en-GB" b="1">
            <a:effectLst>
              <a:reflection blurRad="6350" stA="55000" endA="300" endPos="45500" dir="5400000" sy="-100000" algn="bl" rotWithShape="0"/>
            </a:effectLst>
          </a:endParaRPr>
        </a:p>
      </dgm:t>
    </dgm:pt>
    <dgm:pt modelId="{15FD348F-4142-4B83-AFDC-A74420E41CAC}" type="parTrans" cxnId="{628083A2-E146-4B37-9709-D2A3F9739A6E}">
      <dgm:prSet/>
      <dgm:spPr/>
      <dgm:t>
        <a:bodyPr/>
        <a:lstStyle/>
        <a:p>
          <a:endParaRPr lang="en-GB">
            <a:effectLst>
              <a:reflection blurRad="6350" stA="55000" endA="300" endPos="45500" dir="5400000" sy="-100000" algn="bl" rotWithShape="0"/>
            </a:effectLst>
          </a:endParaRPr>
        </a:p>
      </dgm:t>
    </dgm:pt>
    <dgm:pt modelId="{CA5B702F-E4A4-473F-8EA0-E9B2910DFC20}" type="sibTrans" cxnId="{628083A2-E146-4B37-9709-D2A3F9739A6E}">
      <dgm:prSet/>
      <dgm:spPr/>
      <dgm:t>
        <a:bodyPr/>
        <a:lstStyle/>
        <a:p>
          <a:endParaRPr lang="en-GB">
            <a:effectLst>
              <a:reflection blurRad="6350" stA="55000" endA="300" endPos="45500" dir="5400000" sy="-100000" algn="bl" rotWithShape="0"/>
            </a:effectLst>
          </a:endParaRPr>
        </a:p>
      </dgm:t>
    </dgm:pt>
    <dgm:pt modelId="{DAF7937F-AAB8-4331-9C59-A40812232FF8}">
      <dgm:prSet phldrT="[Text]"/>
      <dgm:spPr/>
      <dgm:t>
        <a:bodyPr/>
        <a:lstStyle/>
        <a:p>
          <a:r>
            <a:rPr lang="en-GB" b="1"/>
            <a:t>Integrated Care Systems (ICSs) and Patient Activation Networks</a:t>
          </a:r>
          <a:endParaRPr lang="en-GB" b="1">
            <a:effectLst>
              <a:reflection blurRad="6350" stA="55000" endA="300" endPos="45500" dir="5400000" sy="-100000" algn="bl" rotWithShape="0"/>
            </a:effectLst>
          </a:endParaRPr>
        </a:p>
      </dgm:t>
    </dgm:pt>
    <dgm:pt modelId="{B936C345-21F6-4721-B6AE-C166E9C64639}" type="parTrans" cxnId="{D02A484E-2020-4269-8094-300B1AE71E08}">
      <dgm:prSet/>
      <dgm:spPr/>
      <dgm:t>
        <a:bodyPr/>
        <a:lstStyle/>
        <a:p>
          <a:endParaRPr lang="en-GB">
            <a:effectLst>
              <a:reflection blurRad="6350" stA="55000" endA="300" endPos="45500" dir="5400000" sy="-100000" algn="bl" rotWithShape="0"/>
            </a:effectLst>
          </a:endParaRPr>
        </a:p>
      </dgm:t>
    </dgm:pt>
    <dgm:pt modelId="{27E5CED1-0A6C-46AD-8BFC-834B26298066}" type="sibTrans" cxnId="{D02A484E-2020-4269-8094-300B1AE71E08}">
      <dgm:prSet/>
      <dgm:spPr/>
      <dgm:t>
        <a:bodyPr/>
        <a:lstStyle/>
        <a:p>
          <a:endParaRPr lang="en-GB">
            <a:effectLst>
              <a:reflection blurRad="6350" stA="55000" endA="300" endPos="45500" dir="5400000" sy="-100000" algn="bl" rotWithShape="0"/>
            </a:effectLst>
          </a:endParaRPr>
        </a:p>
      </dgm:t>
    </dgm:pt>
    <dgm:pt modelId="{3CFA3D5B-4082-4F68-9FFD-71ED35656CC2}">
      <dgm:prSet phldrT="[Text]"/>
      <dgm:spPr/>
      <dgm:t>
        <a:bodyPr/>
        <a:lstStyle/>
        <a:p>
          <a:r>
            <a:rPr lang="en-GB" b="1"/>
            <a:t>Examine the long-term outcomes and costs of patient-centred interventions,</a:t>
          </a:r>
          <a:endParaRPr lang="en-GB" b="1">
            <a:effectLst>
              <a:reflection blurRad="6350" stA="55000" endA="300" endPos="45500" dir="5400000" sy="-100000" algn="bl" rotWithShape="0"/>
            </a:effectLst>
          </a:endParaRPr>
        </a:p>
      </dgm:t>
    </dgm:pt>
    <dgm:pt modelId="{4FABD734-2969-4713-8253-09F20C564E56}" type="parTrans" cxnId="{B545260D-FDDA-4D9A-BB34-493CC7FE05E1}">
      <dgm:prSet/>
      <dgm:spPr/>
      <dgm:t>
        <a:bodyPr/>
        <a:lstStyle/>
        <a:p>
          <a:endParaRPr lang="en-GB">
            <a:effectLst>
              <a:reflection blurRad="6350" stA="55000" endA="300" endPos="45500" dir="5400000" sy="-100000" algn="bl" rotWithShape="0"/>
            </a:effectLst>
          </a:endParaRPr>
        </a:p>
      </dgm:t>
    </dgm:pt>
    <dgm:pt modelId="{99D8BAC9-3C36-4AB8-8629-F5F5508D53B5}" type="sibTrans" cxnId="{B545260D-FDDA-4D9A-BB34-493CC7FE05E1}">
      <dgm:prSet/>
      <dgm:spPr/>
      <dgm:t>
        <a:bodyPr/>
        <a:lstStyle/>
        <a:p>
          <a:endParaRPr lang="en-GB">
            <a:effectLst>
              <a:reflection blurRad="6350" stA="55000" endA="300" endPos="45500" dir="5400000" sy="-100000" algn="bl" rotWithShape="0"/>
            </a:effectLst>
          </a:endParaRPr>
        </a:p>
      </dgm:t>
    </dgm:pt>
    <dgm:pt modelId="{4B510E2E-809E-4FA8-9E09-40D31D3FEA53}" type="pres">
      <dgm:prSet presAssocID="{68712742-E5D4-4D62-BD75-85D0A9191270}" presName="diagram" presStyleCnt="0">
        <dgm:presLayoutVars>
          <dgm:chMax val="1"/>
          <dgm:dir/>
          <dgm:animLvl val="ctr"/>
          <dgm:resizeHandles val="exact"/>
        </dgm:presLayoutVars>
      </dgm:prSet>
      <dgm:spPr/>
    </dgm:pt>
    <dgm:pt modelId="{44DCE5A8-22C8-4085-A504-06F5FA3B1F2E}" type="pres">
      <dgm:prSet presAssocID="{68712742-E5D4-4D62-BD75-85D0A9191270}" presName="matrix" presStyleCnt="0"/>
      <dgm:spPr/>
    </dgm:pt>
    <dgm:pt modelId="{272771CF-DC9B-4BC9-BACB-55A07F6403A0}" type="pres">
      <dgm:prSet presAssocID="{68712742-E5D4-4D62-BD75-85D0A9191270}" presName="tile1" presStyleLbl="node1" presStyleIdx="0" presStyleCnt="4"/>
      <dgm:spPr/>
    </dgm:pt>
    <dgm:pt modelId="{D0F6900E-5CFC-43DB-AD12-D606A68E215E}" type="pres">
      <dgm:prSet presAssocID="{68712742-E5D4-4D62-BD75-85D0A9191270}" presName="tile1text" presStyleLbl="node1" presStyleIdx="0" presStyleCnt="4">
        <dgm:presLayoutVars>
          <dgm:chMax val="0"/>
          <dgm:chPref val="0"/>
          <dgm:bulletEnabled val="1"/>
        </dgm:presLayoutVars>
      </dgm:prSet>
      <dgm:spPr/>
    </dgm:pt>
    <dgm:pt modelId="{44700093-94C2-43BF-94A3-E7860F0C483C}" type="pres">
      <dgm:prSet presAssocID="{68712742-E5D4-4D62-BD75-85D0A9191270}" presName="tile2" presStyleLbl="node1" presStyleIdx="1" presStyleCnt="4"/>
      <dgm:spPr/>
    </dgm:pt>
    <dgm:pt modelId="{BABA9ABF-E30E-4F2F-9051-066B7165C916}" type="pres">
      <dgm:prSet presAssocID="{68712742-E5D4-4D62-BD75-85D0A9191270}" presName="tile2text" presStyleLbl="node1" presStyleIdx="1" presStyleCnt="4">
        <dgm:presLayoutVars>
          <dgm:chMax val="0"/>
          <dgm:chPref val="0"/>
          <dgm:bulletEnabled val="1"/>
        </dgm:presLayoutVars>
      </dgm:prSet>
      <dgm:spPr/>
    </dgm:pt>
    <dgm:pt modelId="{90FE3A44-A59B-4CF1-9CAC-F2D920B92303}" type="pres">
      <dgm:prSet presAssocID="{68712742-E5D4-4D62-BD75-85D0A9191270}" presName="tile3" presStyleLbl="node1" presStyleIdx="2" presStyleCnt="4"/>
      <dgm:spPr/>
    </dgm:pt>
    <dgm:pt modelId="{F1F29F2C-A521-43D4-9466-23FDBC984F8E}" type="pres">
      <dgm:prSet presAssocID="{68712742-E5D4-4D62-BD75-85D0A9191270}" presName="tile3text" presStyleLbl="node1" presStyleIdx="2" presStyleCnt="4">
        <dgm:presLayoutVars>
          <dgm:chMax val="0"/>
          <dgm:chPref val="0"/>
          <dgm:bulletEnabled val="1"/>
        </dgm:presLayoutVars>
      </dgm:prSet>
      <dgm:spPr/>
    </dgm:pt>
    <dgm:pt modelId="{93461C73-3B37-4122-97E0-E74866676ED6}" type="pres">
      <dgm:prSet presAssocID="{68712742-E5D4-4D62-BD75-85D0A9191270}" presName="tile4" presStyleLbl="node1" presStyleIdx="3" presStyleCnt="4"/>
      <dgm:spPr/>
    </dgm:pt>
    <dgm:pt modelId="{1EB4CA61-DE2A-4A9B-AD05-0F46F6AB7CFA}" type="pres">
      <dgm:prSet presAssocID="{68712742-E5D4-4D62-BD75-85D0A9191270}" presName="tile4text" presStyleLbl="node1" presStyleIdx="3" presStyleCnt="4">
        <dgm:presLayoutVars>
          <dgm:chMax val="0"/>
          <dgm:chPref val="0"/>
          <dgm:bulletEnabled val="1"/>
        </dgm:presLayoutVars>
      </dgm:prSet>
      <dgm:spPr/>
    </dgm:pt>
    <dgm:pt modelId="{2158F61B-35F7-4BFF-ACBF-3E2FBA499E44}" type="pres">
      <dgm:prSet presAssocID="{68712742-E5D4-4D62-BD75-85D0A9191270}" presName="centerTile" presStyleLbl="fgShp" presStyleIdx="0" presStyleCnt="1">
        <dgm:presLayoutVars>
          <dgm:chMax val="0"/>
          <dgm:chPref val="0"/>
        </dgm:presLayoutVars>
      </dgm:prSet>
      <dgm:spPr/>
    </dgm:pt>
  </dgm:ptLst>
  <dgm:cxnLst>
    <dgm:cxn modelId="{B545260D-FDDA-4D9A-BB34-493CC7FE05E1}" srcId="{57CCFB28-1CC7-4215-86BA-917DAFC0B5A7}" destId="{3CFA3D5B-4082-4F68-9FFD-71ED35656CC2}" srcOrd="3" destOrd="0" parTransId="{4FABD734-2969-4713-8253-09F20C564E56}" sibTransId="{99D8BAC9-3C36-4AB8-8629-F5F5508D53B5}"/>
    <dgm:cxn modelId="{268C0825-E9C7-42DE-B686-318C73F0443A}" srcId="{57CCFB28-1CC7-4215-86BA-917DAFC0B5A7}" destId="{80BF7DB9-ECB2-4807-A1F5-7A2407092C92}" srcOrd="0" destOrd="0" parTransId="{44E4FECC-E8A4-49DA-8EF7-786490EA528B}" sibTransId="{E60023E6-DE33-4DDB-9EEF-05F0FBAA5D24}"/>
    <dgm:cxn modelId="{0C4B5628-6137-4023-AFB6-9D582275060E}" srcId="{68712742-E5D4-4D62-BD75-85D0A9191270}" destId="{57CCFB28-1CC7-4215-86BA-917DAFC0B5A7}" srcOrd="0" destOrd="0" parTransId="{67ABD814-9128-4989-9C1C-1CC84A7ED18E}" sibTransId="{6813619B-C2BF-4BB7-8388-851CD91EB409}"/>
    <dgm:cxn modelId="{EFECDD28-4D78-4184-B1DF-DA292AAE3A9F}" type="presOf" srcId="{80BF7DB9-ECB2-4807-A1F5-7A2407092C92}" destId="{272771CF-DC9B-4BC9-BACB-55A07F6403A0}" srcOrd="0" destOrd="0" presId="urn:microsoft.com/office/officeart/2005/8/layout/matrix1"/>
    <dgm:cxn modelId="{6313AC2C-8219-4811-BE1E-8B95FB03CCF8}" type="presOf" srcId="{57CCFB28-1CC7-4215-86BA-917DAFC0B5A7}" destId="{2158F61B-35F7-4BFF-ACBF-3E2FBA499E44}" srcOrd="0" destOrd="0" presId="urn:microsoft.com/office/officeart/2005/8/layout/matrix1"/>
    <dgm:cxn modelId="{E393FA60-9BE7-4143-BCF5-20EA1AE7AB06}" type="presOf" srcId="{68712742-E5D4-4D62-BD75-85D0A9191270}" destId="{4B510E2E-809E-4FA8-9E09-40D31D3FEA53}" srcOrd="0" destOrd="0" presId="urn:microsoft.com/office/officeart/2005/8/layout/matrix1"/>
    <dgm:cxn modelId="{9CAE6E6A-72F0-4F3E-9F69-6F91D908E2FA}" type="presOf" srcId="{3CFA3D5B-4082-4F68-9FFD-71ED35656CC2}" destId="{93461C73-3B37-4122-97E0-E74866676ED6}" srcOrd="0" destOrd="0" presId="urn:microsoft.com/office/officeart/2005/8/layout/matrix1"/>
    <dgm:cxn modelId="{D02A484E-2020-4269-8094-300B1AE71E08}" srcId="{57CCFB28-1CC7-4215-86BA-917DAFC0B5A7}" destId="{DAF7937F-AAB8-4331-9C59-A40812232FF8}" srcOrd="2" destOrd="0" parTransId="{B936C345-21F6-4721-B6AE-C166E9C64639}" sibTransId="{27E5CED1-0A6C-46AD-8BFC-834B26298066}"/>
    <dgm:cxn modelId="{82076790-E5A2-48F7-B4C9-3C414BA45E3F}" type="presOf" srcId="{2FA5F981-4928-4502-B8CA-6B1B53A80BFC}" destId="{BABA9ABF-E30E-4F2F-9051-066B7165C916}" srcOrd="1" destOrd="0" presId="urn:microsoft.com/office/officeart/2005/8/layout/matrix1"/>
    <dgm:cxn modelId="{3FE4EA98-C943-4727-93FE-8BA501082DF4}" type="presOf" srcId="{DAF7937F-AAB8-4331-9C59-A40812232FF8}" destId="{90FE3A44-A59B-4CF1-9CAC-F2D920B92303}" srcOrd="0" destOrd="0" presId="urn:microsoft.com/office/officeart/2005/8/layout/matrix1"/>
    <dgm:cxn modelId="{EAD0129A-B540-49F6-85E8-9B7512C6A67E}" type="presOf" srcId="{80BF7DB9-ECB2-4807-A1F5-7A2407092C92}" destId="{D0F6900E-5CFC-43DB-AD12-D606A68E215E}" srcOrd="1" destOrd="0" presId="urn:microsoft.com/office/officeart/2005/8/layout/matrix1"/>
    <dgm:cxn modelId="{628083A2-E146-4B37-9709-D2A3F9739A6E}" srcId="{57CCFB28-1CC7-4215-86BA-917DAFC0B5A7}" destId="{2FA5F981-4928-4502-B8CA-6B1B53A80BFC}" srcOrd="1" destOrd="0" parTransId="{15FD348F-4142-4B83-AFDC-A74420E41CAC}" sibTransId="{CA5B702F-E4A4-473F-8EA0-E9B2910DFC20}"/>
    <dgm:cxn modelId="{E39C03B5-C2B4-4CA2-A5AC-4D913C83FCE9}" type="presOf" srcId="{3CFA3D5B-4082-4F68-9FFD-71ED35656CC2}" destId="{1EB4CA61-DE2A-4A9B-AD05-0F46F6AB7CFA}" srcOrd="1" destOrd="0" presId="urn:microsoft.com/office/officeart/2005/8/layout/matrix1"/>
    <dgm:cxn modelId="{3FA815C6-EB45-40F0-86E0-6711D7276FFC}" type="presOf" srcId="{2FA5F981-4928-4502-B8CA-6B1B53A80BFC}" destId="{44700093-94C2-43BF-94A3-E7860F0C483C}" srcOrd="0" destOrd="0" presId="urn:microsoft.com/office/officeart/2005/8/layout/matrix1"/>
    <dgm:cxn modelId="{3BDD97F5-F569-423A-8D07-AEFAEBE7EFAC}" type="presOf" srcId="{DAF7937F-AAB8-4331-9C59-A40812232FF8}" destId="{F1F29F2C-A521-43D4-9466-23FDBC984F8E}" srcOrd="1" destOrd="0" presId="urn:microsoft.com/office/officeart/2005/8/layout/matrix1"/>
    <dgm:cxn modelId="{6351EF6D-826A-42AA-9709-D4180C91C87E}" type="presParOf" srcId="{4B510E2E-809E-4FA8-9E09-40D31D3FEA53}" destId="{44DCE5A8-22C8-4085-A504-06F5FA3B1F2E}" srcOrd="0" destOrd="0" presId="urn:microsoft.com/office/officeart/2005/8/layout/matrix1"/>
    <dgm:cxn modelId="{12C1274C-3419-4DE8-BEF6-76C0BD2D504A}" type="presParOf" srcId="{44DCE5A8-22C8-4085-A504-06F5FA3B1F2E}" destId="{272771CF-DC9B-4BC9-BACB-55A07F6403A0}" srcOrd="0" destOrd="0" presId="urn:microsoft.com/office/officeart/2005/8/layout/matrix1"/>
    <dgm:cxn modelId="{D36B3D55-6083-4267-99DA-238BD5DC8D94}" type="presParOf" srcId="{44DCE5A8-22C8-4085-A504-06F5FA3B1F2E}" destId="{D0F6900E-5CFC-43DB-AD12-D606A68E215E}" srcOrd="1" destOrd="0" presId="urn:microsoft.com/office/officeart/2005/8/layout/matrix1"/>
    <dgm:cxn modelId="{7533B9A3-7749-436E-8ADD-4AAB7FFD8613}" type="presParOf" srcId="{44DCE5A8-22C8-4085-A504-06F5FA3B1F2E}" destId="{44700093-94C2-43BF-94A3-E7860F0C483C}" srcOrd="2" destOrd="0" presId="urn:microsoft.com/office/officeart/2005/8/layout/matrix1"/>
    <dgm:cxn modelId="{C610FE8C-633F-4A65-B554-48871527973F}" type="presParOf" srcId="{44DCE5A8-22C8-4085-A504-06F5FA3B1F2E}" destId="{BABA9ABF-E30E-4F2F-9051-066B7165C916}" srcOrd="3" destOrd="0" presId="urn:microsoft.com/office/officeart/2005/8/layout/matrix1"/>
    <dgm:cxn modelId="{6D01CD02-E4B4-4138-9270-1760F17B6164}" type="presParOf" srcId="{44DCE5A8-22C8-4085-A504-06F5FA3B1F2E}" destId="{90FE3A44-A59B-4CF1-9CAC-F2D920B92303}" srcOrd="4" destOrd="0" presId="urn:microsoft.com/office/officeart/2005/8/layout/matrix1"/>
    <dgm:cxn modelId="{675088FF-F442-4B19-8D56-43D169628F04}" type="presParOf" srcId="{44DCE5A8-22C8-4085-A504-06F5FA3B1F2E}" destId="{F1F29F2C-A521-43D4-9466-23FDBC984F8E}" srcOrd="5" destOrd="0" presId="urn:microsoft.com/office/officeart/2005/8/layout/matrix1"/>
    <dgm:cxn modelId="{41078CA8-5E66-4FBB-9969-BC3E364BEAB3}" type="presParOf" srcId="{44DCE5A8-22C8-4085-A504-06F5FA3B1F2E}" destId="{93461C73-3B37-4122-97E0-E74866676ED6}" srcOrd="6" destOrd="0" presId="urn:microsoft.com/office/officeart/2005/8/layout/matrix1"/>
    <dgm:cxn modelId="{684EA839-4766-4119-8218-E84FE205486C}" type="presParOf" srcId="{44DCE5A8-22C8-4085-A504-06F5FA3B1F2E}" destId="{1EB4CA61-DE2A-4A9B-AD05-0F46F6AB7CFA}" srcOrd="7" destOrd="0" presId="urn:microsoft.com/office/officeart/2005/8/layout/matrix1"/>
    <dgm:cxn modelId="{76503369-FFC2-46A9-B7B3-F1F9F2490A7A}" type="presParOf" srcId="{4B510E2E-809E-4FA8-9E09-40D31D3FEA53}" destId="{2158F61B-35F7-4BFF-ACBF-3E2FBA499E44}"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2771CF-DC9B-4BC9-BACB-55A07F6403A0}">
      <dsp:nvSpPr>
        <dsp:cNvPr id="0" name=""/>
        <dsp:cNvSpPr/>
      </dsp:nvSpPr>
      <dsp:spPr>
        <a:xfrm rot="16200000">
          <a:off x="252412" y="-252412"/>
          <a:ext cx="1357312" cy="1862137"/>
        </a:xfrm>
        <a:prstGeom prst="round1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Secure patient record system and telemonitoring technology. </a:t>
          </a:r>
          <a:endParaRPr lang="en-GB" sz="900" b="1" kern="1200">
            <a:effectLst>
              <a:reflection blurRad="6350" stA="55000" endA="300" endPos="45500" dir="5400000" sy="-100000" algn="bl" rotWithShape="0"/>
            </a:effectLst>
          </a:endParaRPr>
        </a:p>
      </dsp:txBody>
      <dsp:txXfrm rot="5400000">
        <a:off x="0" y="0"/>
        <a:ext cx="1862137" cy="1017984"/>
      </dsp:txXfrm>
    </dsp:sp>
    <dsp:sp modelId="{44700093-94C2-43BF-94A3-E7860F0C483C}">
      <dsp:nvSpPr>
        <dsp:cNvPr id="0" name=""/>
        <dsp:cNvSpPr/>
      </dsp:nvSpPr>
      <dsp:spPr>
        <a:xfrm>
          <a:off x="1862137" y="0"/>
          <a:ext cx="1862137" cy="1357312"/>
        </a:xfrm>
        <a:prstGeom prst="round1Rect">
          <a:avLst/>
        </a:prstGeom>
        <a:solidFill>
          <a:schemeClr val="accent4">
            <a:hueOff val="-1488257"/>
            <a:satOff val="8966"/>
            <a:lumOff val="71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Interprofessional training and team-based reflective learning sessions</a:t>
          </a:r>
          <a:endParaRPr lang="en-GB" sz="900" b="1" kern="1200">
            <a:effectLst>
              <a:reflection blurRad="6350" stA="55000" endA="300" endPos="45500" dir="5400000" sy="-100000" algn="bl" rotWithShape="0"/>
            </a:effectLst>
          </a:endParaRPr>
        </a:p>
      </dsp:txBody>
      <dsp:txXfrm>
        <a:off x="1862137" y="0"/>
        <a:ext cx="1862137" cy="1017984"/>
      </dsp:txXfrm>
    </dsp:sp>
    <dsp:sp modelId="{90FE3A44-A59B-4CF1-9CAC-F2D920B92303}">
      <dsp:nvSpPr>
        <dsp:cNvPr id="0" name=""/>
        <dsp:cNvSpPr/>
      </dsp:nvSpPr>
      <dsp:spPr>
        <a:xfrm rot="10800000">
          <a:off x="0" y="1357312"/>
          <a:ext cx="1862137" cy="1357312"/>
        </a:xfrm>
        <a:prstGeom prst="round1Rect">
          <a:avLst/>
        </a:prstGeom>
        <a:solidFill>
          <a:schemeClr val="accent4">
            <a:hueOff val="-2976513"/>
            <a:satOff val="17933"/>
            <a:lumOff val="1437"/>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Integrated Care Systems (ICSs) and Patient Activation Networks</a:t>
          </a:r>
          <a:endParaRPr lang="en-GB" sz="900" b="1" kern="1200">
            <a:effectLst>
              <a:reflection blurRad="6350" stA="55000" endA="300" endPos="45500" dir="5400000" sy="-100000" algn="bl" rotWithShape="0"/>
            </a:effectLst>
          </a:endParaRPr>
        </a:p>
      </dsp:txBody>
      <dsp:txXfrm rot="10800000">
        <a:off x="0" y="1696640"/>
        <a:ext cx="1862137" cy="1017984"/>
      </dsp:txXfrm>
    </dsp:sp>
    <dsp:sp modelId="{93461C73-3B37-4122-97E0-E74866676ED6}">
      <dsp:nvSpPr>
        <dsp:cNvPr id="0" name=""/>
        <dsp:cNvSpPr/>
      </dsp:nvSpPr>
      <dsp:spPr>
        <a:xfrm rot="5400000">
          <a:off x="2114550" y="1104900"/>
          <a:ext cx="1357312" cy="1862137"/>
        </a:xfrm>
        <a:prstGeom prst="round1Rect">
          <a:avLst/>
        </a:prstGeom>
        <a:solidFill>
          <a:schemeClr val="accent4">
            <a:hueOff val="-4464770"/>
            <a:satOff val="26899"/>
            <a:lumOff val="2156"/>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b="1" kern="1200"/>
            <a:t>Examine the long-term outcomes and costs of patient-centred interventions,</a:t>
          </a:r>
          <a:endParaRPr lang="en-GB" sz="900" b="1" kern="1200">
            <a:effectLst>
              <a:reflection blurRad="6350" stA="55000" endA="300" endPos="45500" dir="5400000" sy="-100000" algn="bl" rotWithShape="0"/>
            </a:effectLst>
          </a:endParaRPr>
        </a:p>
      </dsp:txBody>
      <dsp:txXfrm rot="-5400000">
        <a:off x="1862138" y="1696640"/>
        <a:ext cx="1862137" cy="1017984"/>
      </dsp:txXfrm>
    </dsp:sp>
    <dsp:sp modelId="{2158F61B-35F7-4BFF-ACBF-3E2FBA499E44}">
      <dsp:nvSpPr>
        <dsp:cNvPr id="0" name=""/>
        <dsp:cNvSpPr/>
      </dsp:nvSpPr>
      <dsp:spPr>
        <a:xfrm>
          <a:off x="1303496" y="1017984"/>
          <a:ext cx="1117282" cy="678656"/>
        </a:xfrm>
        <a:prstGeom prst="roundRect">
          <a:avLst/>
        </a:prstGeom>
        <a:solidFill>
          <a:schemeClr val="accent4">
            <a:tint val="4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t>Recommendations</a:t>
          </a:r>
          <a:endParaRPr lang="en-GB" sz="900" kern="1200">
            <a:effectLst>
              <a:reflection blurRad="6350" stA="55000" endA="300" endPos="45500" dir="5400000" sy="-100000" algn="bl" rotWithShape="0"/>
            </a:effectLst>
          </a:endParaRPr>
        </a:p>
      </dsp:txBody>
      <dsp:txXfrm>
        <a:off x="1336625" y="1051113"/>
        <a:ext cx="1051024" cy="61239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9IKKFg4FwNgsnx7OaF0UB7alQ==">CgMxLjAyDmguZXV2ZWZvMnphdTdyMg5oLnc0NTh3dDQ0OXoxMDIOaC5iMTA4NnB0eXlxcmEyDmguYm15bHcxdXgyZXAwMg5oLnhydmQxNmFheTlidDIOaC5iandwYWw0Z2g0MWkyDmgucGRleTBka3NsbGc3Mg5oLnBtbmRudmJ3NG1rcDIOaC50d2loYTZ1ejJyZHMyDmguaGFsbGEwMWhibmRjMg1oLjZjMzVnM2o0OWFpOAByITFfbGpwZ0d3NXRCTC1NbGVmRFV4WGNCdlJBQzhKcUxlR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BDD950B-E6AF-4238-801E-E0C1C22F6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3311</Words>
  <Characters>18877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Paul Asare (2433918)</cp:lastModifiedBy>
  <cp:revision>2</cp:revision>
  <dcterms:created xsi:type="dcterms:W3CDTF">2025-11-15T12:11:00Z</dcterms:created>
  <dcterms:modified xsi:type="dcterms:W3CDTF">2025-11-15T12:11:00Z</dcterms:modified>
</cp:coreProperties>
</file>