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68A037" w14:textId="07AD6C61" w:rsidR="00A84E53" w:rsidRDefault="00A84E53">
      <w:pPr>
        <w:rPr>
          <w:sz w:val="28"/>
          <w:szCs w:val="28"/>
        </w:rPr>
      </w:pPr>
      <w:r w:rsidRPr="00A84E53">
        <w:rPr>
          <w:sz w:val="28"/>
          <w:szCs w:val="28"/>
        </w:rPr>
        <w:t>Essential Academic and Employment Skills</w:t>
      </w:r>
      <w:r>
        <w:rPr>
          <w:sz w:val="28"/>
          <w:szCs w:val="28"/>
        </w:rPr>
        <w:t xml:space="preserve"> </w:t>
      </w:r>
    </w:p>
    <w:p w14:paraId="7520AE25" w14:textId="77777777" w:rsidR="00610C0A" w:rsidRDefault="00610C0A">
      <w:pPr>
        <w:rPr>
          <w:sz w:val="28"/>
          <w:szCs w:val="28"/>
        </w:rPr>
      </w:pPr>
    </w:p>
    <w:p w14:paraId="7A861A38" w14:textId="77777777" w:rsidR="00610C0A" w:rsidRPr="00610C0A" w:rsidRDefault="00610C0A" w:rsidP="00610C0A">
      <w:pPr>
        <w:spacing w:after="120" w:line="276" w:lineRule="auto"/>
        <w:rPr>
          <w:rFonts w:ascii="Arial" w:eastAsia="Arial" w:hAnsi="Arial" w:cs="Times New Roman"/>
          <w:kern w:val="0"/>
          <w:sz w:val="26"/>
          <w:szCs w:val="26"/>
          <w:lang w:eastAsia="en-US"/>
          <w14:ligatures w14:val="none"/>
        </w:rPr>
      </w:pPr>
      <w:r w:rsidRPr="00610C0A">
        <w:rPr>
          <w:rFonts w:ascii="Arial" w:eastAsia="Arial" w:hAnsi="Arial" w:cs="Times New Roman"/>
          <w:kern w:val="0"/>
          <w:sz w:val="26"/>
          <w:szCs w:val="26"/>
          <w:lang w:eastAsia="en-US"/>
          <w14:ligatures w14:val="none"/>
        </w:rPr>
        <w:t>Mastering academic skills is vital for student achievement, wellbeing and success in higher education. Academic skills encompass a wide range of abilities essential for effectively engaging with disciplinary content, constructing meaning, thinking critically and communicating ideas (Li, 2022; Smith &amp; Baik, 2021). These skills include information literacy, critical analysis, problem-solving, academic writing and metacognitive strategies for self-regulated learning (Hewitt &amp; Stubbs, 2017; Barrable et al., 2018). Developing such skills enables students to deeply understand subject matter, actively participate in scholarly communities and realise their academic potential.</w:t>
      </w:r>
    </w:p>
    <w:p w14:paraId="05A8C0E5" w14:textId="77777777" w:rsidR="00610C0A" w:rsidRPr="00610C0A" w:rsidRDefault="00610C0A" w:rsidP="00610C0A">
      <w:pPr>
        <w:spacing w:after="120" w:line="276" w:lineRule="auto"/>
        <w:rPr>
          <w:rFonts w:ascii="Arial" w:eastAsia="Arial" w:hAnsi="Arial" w:cs="Times New Roman"/>
          <w:kern w:val="0"/>
          <w:sz w:val="26"/>
          <w:szCs w:val="26"/>
          <w:lang w:eastAsia="en-US"/>
          <w14:ligatures w14:val="none"/>
        </w:rPr>
      </w:pPr>
      <w:r w:rsidRPr="00610C0A">
        <w:rPr>
          <w:rFonts w:ascii="Arial" w:eastAsia="Arial" w:hAnsi="Arial" w:cs="Times New Roman"/>
          <w:kern w:val="0"/>
          <w:sz w:val="26"/>
          <w:szCs w:val="26"/>
          <w:lang w:eastAsia="en-US"/>
          <w14:ligatures w14:val="none"/>
        </w:rPr>
        <w:t xml:space="preserve">Beyond academic performance, research suggests that academic skills development plays a crucial role in student </w:t>
      </w:r>
      <w:r w:rsidRPr="00610C0A">
        <w:rPr>
          <w:rFonts w:ascii="Arial" w:eastAsia="Arial" w:hAnsi="Arial" w:cs="Times New Roman"/>
          <w:b/>
          <w:bCs/>
          <w:kern w:val="0"/>
          <w:sz w:val="26"/>
          <w:szCs w:val="26"/>
          <w:lang w:eastAsia="en-US"/>
          <w14:ligatures w14:val="none"/>
        </w:rPr>
        <w:t>wellbeing</w:t>
      </w:r>
      <w:r w:rsidRPr="00610C0A">
        <w:rPr>
          <w:rFonts w:ascii="Arial" w:eastAsia="Arial" w:hAnsi="Arial" w:cs="Times New Roman"/>
          <w:kern w:val="0"/>
          <w:sz w:val="26"/>
          <w:szCs w:val="26"/>
          <w:lang w:eastAsia="en-US"/>
          <w14:ligatures w14:val="none"/>
        </w:rPr>
        <w:t xml:space="preserve"> and </w:t>
      </w:r>
      <w:r w:rsidRPr="00610C0A">
        <w:rPr>
          <w:rFonts w:ascii="Arial" w:eastAsia="Arial" w:hAnsi="Arial" w:cs="Times New Roman"/>
          <w:b/>
          <w:bCs/>
          <w:kern w:val="0"/>
          <w:sz w:val="26"/>
          <w:szCs w:val="26"/>
          <w:lang w:eastAsia="en-US"/>
          <w14:ligatures w14:val="none"/>
        </w:rPr>
        <w:t>mental health</w:t>
      </w:r>
      <w:r w:rsidRPr="00610C0A">
        <w:rPr>
          <w:rFonts w:ascii="Arial" w:eastAsia="Arial" w:hAnsi="Arial" w:cs="Times New Roman"/>
          <w:kern w:val="0"/>
          <w:sz w:val="26"/>
          <w:szCs w:val="26"/>
          <w:lang w:eastAsia="en-US"/>
          <w14:ligatures w14:val="none"/>
        </w:rPr>
        <w:t>. The transition to higher education can be challenging, with students often struggling to manage heavy workloads, meet academic expectations and adapt to new learning environments (Lister et al., 2022). Lack of academic preparedness and difficulties with core study skills have been identified as key factors contributing to student anxiety, stress and depression (Hewitt &amp; Stubbs, 2017; Barrable et al., 2018). This highlights the importance of providing academic skills support and interventions to promote student resilience and psychological wellbeing.</w:t>
      </w:r>
    </w:p>
    <w:p w14:paraId="35FCD00F" w14:textId="77777777" w:rsidR="00610C0A" w:rsidRPr="00610C0A" w:rsidRDefault="00610C0A" w:rsidP="00610C0A">
      <w:pPr>
        <w:spacing w:after="120" w:line="276" w:lineRule="auto"/>
        <w:rPr>
          <w:rFonts w:ascii="Arial" w:eastAsia="Arial" w:hAnsi="Arial" w:cs="Times New Roman"/>
          <w:kern w:val="0"/>
          <w:sz w:val="26"/>
          <w:szCs w:val="26"/>
          <w:lang w:eastAsia="en-US"/>
          <w14:ligatures w14:val="none"/>
        </w:rPr>
      </w:pPr>
      <w:r w:rsidRPr="00610C0A">
        <w:rPr>
          <w:rFonts w:ascii="Arial" w:eastAsia="Arial" w:hAnsi="Arial" w:cs="Times New Roman"/>
          <w:kern w:val="0"/>
          <w:sz w:val="26"/>
          <w:szCs w:val="26"/>
          <w:lang w:eastAsia="en-US"/>
          <w14:ligatures w14:val="none"/>
        </w:rPr>
        <w:t xml:space="preserve">Furthermore, academic literacies have been shown to have a disproportionate impact on the success and inclusion of historically </w:t>
      </w:r>
      <w:r w:rsidRPr="00610C0A">
        <w:rPr>
          <w:rFonts w:ascii="Arial" w:eastAsia="Arial" w:hAnsi="Arial" w:cs="Times New Roman"/>
          <w:b/>
          <w:bCs/>
          <w:kern w:val="0"/>
          <w:sz w:val="26"/>
          <w:szCs w:val="26"/>
          <w:lang w:eastAsia="en-US"/>
          <w14:ligatures w14:val="none"/>
        </w:rPr>
        <w:t>disadvantaged student populations</w:t>
      </w:r>
      <w:r w:rsidRPr="00610C0A">
        <w:rPr>
          <w:rFonts w:ascii="Arial" w:eastAsia="Arial" w:hAnsi="Arial" w:cs="Times New Roman"/>
          <w:kern w:val="0"/>
          <w:sz w:val="26"/>
          <w:szCs w:val="26"/>
          <w:lang w:eastAsia="en-US"/>
          <w14:ligatures w14:val="none"/>
        </w:rPr>
        <w:t xml:space="preserve"> (Li, 2022; Eather et al., 2022). Students from underrepresented backgrounds often face additional barriers in academia, including lack of familiarity with disciplinary conventions, limited access to learning resources and systemic marginalisation (Reyes et al., 2022). Developing academic skills and literacies can serve as a powerful tool for equity, enabling diverse learners to navigate the hidden curriculum, make their voices heard and succeed in an environment not traditionally designed for them (Li, 2022).</w:t>
      </w:r>
    </w:p>
    <w:p w14:paraId="3EC69223" w14:textId="77777777" w:rsidR="00610C0A" w:rsidRPr="00610C0A" w:rsidRDefault="00610C0A" w:rsidP="00610C0A">
      <w:pPr>
        <w:spacing w:after="120" w:line="276" w:lineRule="auto"/>
        <w:rPr>
          <w:rFonts w:ascii="Arial" w:eastAsia="Arial" w:hAnsi="Arial" w:cs="Times New Roman"/>
          <w:kern w:val="0"/>
          <w:sz w:val="26"/>
          <w:szCs w:val="26"/>
          <w:lang w:eastAsia="en-US"/>
          <w14:ligatures w14:val="none"/>
        </w:rPr>
      </w:pPr>
      <w:r w:rsidRPr="00610C0A">
        <w:rPr>
          <w:rFonts w:ascii="Arial" w:eastAsia="Arial" w:hAnsi="Arial" w:cs="Times New Roman"/>
          <w:kern w:val="0"/>
          <w:sz w:val="26"/>
          <w:szCs w:val="26"/>
          <w:lang w:eastAsia="en-US"/>
          <w14:ligatures w14:val="none"/>
        </w:rPr>
        <w:t xml:space="preserve">The terms "academic skills", "study skills", "English for Academic Purposes (EAP)", and "academic literacies" are often used in overlapping </w:t>
      </w:r>
      <w:proofErr w:type="gramStart"/>
      <w:r w:rsidRPr="00610C0A">
        <w:rPr>
          <w:rFonts w:ascii="Arial" w:eastAsia="Arial" w:hAnsi="Arial" w:cs="Times New Roman"/>
          <w:kern w:val="0"/>
          <w:sz w:val="26"/>
          <w:szCs w:val="26"/>
          <w:lang w:eastAsia="en-US"/>
          <w14:ligatures w14:val="none"/>
        </w:rPr>
        <w:t>ways, but</w:t>
      </w:r>
      <w:proofErr w:type="gramEnd"/>
      <w:r w:rsidRPr="00610C0A">
        <w:rPr>
          <w:rFonts w:ascii="Arial" w:eastAsia="Arial" w:hAnsi="Arial" w:cs="Times New Roman"/>
          <w:kern w:val="0"/>
          <w:sz w:val="26"/>
          <w:szCs w:val="26"/>
          <w:lang w:eastAsia="en-US"/>
          <w14:ligatures w14:val="none"/>
        </w:rPr>
        <w:t xml:space="preserve"> have distinct histories and emphases that are important to clarify. "Study skills" and "academic skills" tend to refer to </w:t>
      </w:r>
      <w:r w:rsidRPr="00610C0A">
        <w:rPr>
          <w:rFonts w:ascii="Arial" w:eastAsia="Arial" w:hAnsi="Arial" w:cs="Times New Roman"/>
          <w:b/>
          <w:bCs/>
          <w:kern w:val="0"/>
          <w:sz w:val="26"/>
          <w:szCs w:val="26"/>
          <w:lang w:eastAsia="en-US"/>
          <w14:ligatures w14:val="none"/>
        </w:rPr>
        <w:t>general capabilities</w:t>
      </w:r>
      <w:r w:rsidRPr="00610C0A">
        <w:rPr>
          <w:rFonts w:ascii="Arial" w:eastAsia="Arial" w:hAnsi="Arial" w:cs="Times New Roman"/>
          <w:kern w:val="0"/>
          <w:sz w:val="26"/>
          <w:szCs w:val="26"/>
          <w:lang w:eastAsia="en-US"/>
          <w14:ligatures w14:val="none"/>
        </w:rPr>
        <w:t xml:space="preserve"> needed for success in higher education, such as note-taking, time management, critical reading, and academic writing. These terms imply a set of generic, transferable skills that can be taught separately from disciplinary content. </w:t>
      </w:r>
      <w:r w:rsidRPr="00610C0A">
        <w:rPr>
          <w:rFonts w:ascii="Arial" w:eastAsia="Arial" w:hAnsi="Arial" w:cs="Times New Roman"/>
          <w:kern w:val="0"/>
          <w:sz w:val="26"/>
          <w:szCs w:val="26"/>
          <w:lang w:eastAsia="en-US"/>
          <w14:ligatures w14:val="none"/>
        </w:rPr>
        <w:lastRenderedPageBreak/>
        <w:t xml:space="preserve">However, this skills-based approach has been critiqued for assuming these capabilities can be easily transferred across different academic contexts. </w:t>
      </w:r>
    </w:p>
    <w:p w14:paraId="62E11584" w14:textId="77777777" w:rsidR="00610C0A" w:rsidRPr="00610C0A" w:rsidRDefault="00610C0A" w:rsidP="00610C0A">
      <w:pPr>
        <w:spacing w:after="120" w:line="276" w:lineRule="auto"/>
        <w:rPr>
          <w:rFonts w:ascii="Arial" w:eastAsia="Arial" w:hAnsi="Arial" w:cs="Times New Roman"/>
          <w:kern w:val="0"/>
          <w:sz w:val="26"/>
          <w:szCs w:val="26"/>
          <w:lang w:eastAsia="en-US"/>
          <w14:ligatures w14:val="none"/>
        </w:rPr>
      </w:pPr>
      <w:r w:rsidRPr="00610C0A">
        <w:rPr>
          <w:rFonts w:ascii="Arial" w:eastAsia="Arial" w:hAnsi="Arial" w:cs="Times New Roman"/>
          <w:kern w:val="0"/>
          <w:sz w:val="26"/>
          <w:szCs w:val="26"/>
          <w:lang w:eastAsia="en-US"/>
          <w14:ligatures w14:val="none"/>
        </w:rPr>
        <w:t>For the purposes of this review, we use "</w:t>
      </w:r>
      <w:r w:rsidRPr="00610C0A">
        <w:rPr>
          <w:rFonts w:ascii="Arial" w:eastAsia="Arial" w:hAnsi="Arial" w:cs="Times New Roman"/>
          <w:b/>
          <w:bCs/>
          <w:kern w:val="0"/>
          <w:sz w:val="26"/>
          <w:szCs w:val="26"/>
          <w:lang w:eastAsia="en-US"/>
          <w14:ligatures w14:val="none"/>
        </w:rPr>
        <w:t>academic skills development</w:t>
      </w:r>
      <w:r w:rsidRPr="00610C0A">
        <w:rPr>
          <w:rFonts w:ascii="Arial" w:eastAsia="Arial" w:hAnsi="Arial" w:cs="Times New Roman"/>
          <w:kern w:val="0"/>
          <w:sz w:val="26"/>
          <w:szCs w:val="26"/>
          <w:lang w:eastAsia="en-US"/>
          <w14:ligatures w14:val="none"/>
        </w:rPr>
        <w:t xml:space="preserve">" as an umbrella </w:t>
      </w:r>
      <w:r w:rsidRPr="00610C0A">
        <w:rPr>
          <w:rFonts w:ascii="Arial" w:eastAsia="Arial" w:hAnsi="Arial" w:cs="Times New Roman"/>
          <w:b/>
          <w:bCs/>
          <w:kern w:val="0"/>
          <w:sz w:val="26"/>
          <w:szCs w:val="26"/>
          <w:lang w:eastAsia="en-US"/>
          <w14:ligatures w14:val="none"/>
        </w:rPr>
        <w:t>term to encompass interventions aimed at enhancing students' capabilities for academic study</w:t>
      </w:r>
      <w:r w:rsidRPr="00610C0A">
        <w:rPr>
          <w:rFonts w:ascii="Arial" w:eastAsia="Arial" w:hAnsi="Arial" w:cs="Times New Roman"/>
          <w:kern w:val="0"/>
          <w:sz w:val="26"/>
          <w:szCs w:val="26"/>
          <w:lang w:eastAsia="en-US"/>
          <w14:ligatures w14:val="none"/>
        </w:rPr>
        <w:t xml:space="preserve">, whether focused on general study strategies, English language proficiency, or discipline-specific literacies. However, we recognise debates around these terms and aim to be sensitive to different theoretical orientations. Our broad conception aligns with Blaj-Ward's (2022) definition of "academic literacies provision" as </w:t>
      </w:r>
      <w:r w:rsidRPr="00610C0A">
        <w:rPr>
          <w:rFonts w:ascii="Arial" w:eastAsia="Arial" w:hAnsi="Arial" w:cs="Times New Roman"/>
          <w:b/>
          <w:bCs/>
          <w:kern w:val="0"/>
          <w:sz w:val="26"/>
          <w:szCs w:val="26"/>
          <w:lang w:eastAsia="en-US"/>
          <w14:ligatures w14:val="none"/>
        </w:rPr>
        <w:t>learning activities</w:t>
      </w:r>
      <w:r w:rsidRPr="00610C0A">
        <w:rPr>
          <w:rFonts w:ascii="Arial" w:eastAsia="Arial" w:hAnsi="Arial" w:cs="Times New Roman"/>
          <w:kern w:val="0"/>
          <w:sz w:val="26"/>
          <w:szCs w:val="26"/>
          <w:lang w:eastAsia="en-US"/>
          <w14:ligatures w14:val="none"/>
        </w:rPr>
        <w:t xml:space="preserve"> designed to facilitate fuller academic experiences for students, increasing awareness of academic communication while developing language proficiency. Like Blaj-Ward, we see value in drawing on multiple strands of scholarship - including applied linguistics, language learning pedagogy, and higher education research - to inform effective academic support that is responsive to diverse student needs and aspirations.</w:t>
      </w:r>
    </w:p>
    <w:p w14:paraId="700349C2" w14:textId="77777777" w:rsidR="00610C0A" w:rsidRPr="00610C0A" w:rsidRDefault="00610C0A" w:rsidP="00610C0A">
      <w:pPr>
        <w:spacing w:after="120" w:line="276" w:lineRule="auto"/>
        <w:rPr>
          <w:rFonts w:ascii="Arial" w:eastAsia="Arial" w:hAnsi="Arial" w:cs="Times New Roman"/>
          <w:kern w:val="0"/>
          <w:sz w:val="26"/>
          <w:szCs w:val="26"/>
          <w:lang w:eastAsia="en-US"/>
          <w14:ligatures w14:val="none"/>
        </w:rPr>
      </w:pPr>
      <w:r w:rsidRPr="00610C0A">
        <w:rPr>
          <w:rFonts w:ascii="Arial" w:eastAsia="Arial" w:hAnsi="Arial" w:cs="Times New Roman"/>
          <w:kern w:val="0"/>
          <w:sz w:val="26"/>
          <w:szCs w:val="26"/>
          <w:lang w:eastAsia="en-US"/>
          <w14:ligatures w14:val="none"/>
        </w:rPr>
        <w:t xml:space="preserve">The purpose of this literature review then is to synthesise the evidence on how building students' academic skills impacts their </w:t>
      </w:r>
      <w:r w:rsidRPr="00610C0A">
        <w:rPr>
          <w:rFonts w:ascii="Arial" w:eastAsia="Arial" w:hAnsi="Arial" w:cs="Times New Roman"/>
          <w:b/>
          <w:bCs/>
          <w:kern w:val="0"/>
          <w:sz w:val="26"/>
          <w:szCs w:val="26"/>
          <w:lang w:eastAsia="en-US"/>
          <w14:ligatures w14:val="none"/>
        </w:rPr>
        <w:t>wellbeing</w:t>
      </w:r>
      <w:r w:rsidRPr="00610C0A">
        <w:rPr>
          <w:rFonts w:ascii="Arial" w:eastAsia="Arial" w:hAnsi="Arial" w:cs="Times New Roman"/>
          <w:kern w:val="0"/>
          <w:sz w:val="26"/>
          <w:szCs w:val="26"/>
          <w:lang w:eastAsia="en-US"/>
          <w14:ligatures w14:val="none"/>
        </w:rPr>
        <w:t xml:space="preserve">, </w:t>
      </w:r>
      <w:r w:rsidRPr="00610C0A">
        <w:rPr>
          <w:rFonts w:ascii="Arial" w:eastAsia="Arial" w:hAnsi="Arial" w:cs="Times New Roman"/>
          <w:b/>
          <w:bCs/>
          <w:kern w:val="0"/>
          <w:sz w:val="26"/>
          <w:szCs w:val="26"/>
          <w:lang w:eastAsia="en-US"/>
          <w14:ligatures w14:val="none"/>
        </w:rPr>
        <w:t>mental health</w:t>
      </w:r>
      <w:r w:rsidRPr="00610C0A">
        <w:rPr>
          <w:rFonts w:ascii="Arial" w:eastAsia="Arial" w:hAnsi="Arial" w:cs="Times New Roman"/>
          <w:kern w:val="0"/>
          <w:sz w:val="26"/>
          <w:szCs w:val="26"/>
          <w:lang w:eastAsia="en-US"/>
          <w14:ligatures w14:val="none"/>
        </w:rPr>
        <w:t xml:space="preserve">, </w:t>
      </w:r>
      <w:r w:rsidRPr="00610C0A">
        <w:rPr>
          <w:rFonts w:ascii="Arial" w:eastAsia="Arial" w:hAnsi="Arial" w:cs="Times New Roman"/>
          <w:b/>
          <w:bCs/>
          <w:kern w:val="0"/>
          <w:sz w:val="26"/>
          <w:szCs w:val="26"/>
          <w:lang w:eastAsia="en-US"/>
          <w14:ligatures w14:val="none"/>
        </w:rPr>
        <w:t>academic outcomes</w:t>
      </w:r>
      <w:r w:rsidRPr="00610C0A">
        <w:rPr>
          <w:rFonts w:ascii="Arial" w:eastAsia="Arial" w:hAnsi="Arial" w:cs="Times New Roman"/>
          <w:kern w:val="0"/>
          <w:sz w:val="26"/>
          <w:szCs w:val="26"/>
          <w:lang w:eastAsia="en-US"/>
          <w14:ligatures w14:val="none"/>
        </w:rPr>
        <w:t xml:space="preserve"> and </w:t>
      </w:r>
      <w:r w:rsidRPr="00610C0A">
        <w:rPr>
          <w:rFonts w:ascii="Arial" w:eastAsia="Arial" w:hAnsi="Arial" w:cs="Times New Roman"/>
          <w:b/>
          <w:bCs/>
          <w:kern w:val="0"/>
          <w:sz w:val="26"/>
          <w:szCs w:val="26"/>
          <w:lang w:eastAsia="en-US"/>
          <w14:ligatures w14:val="none"/>
        </w:rPr>
        <w:t>success</w:t>
      </w:r>
      <w:r w:rsidRPr="00610C0A">
        <w:rPr>
          <w:rFonts w:ascii="Arial" w:eastAsia="Arial" w:hAnsi="Arial" w:cs="Times New Roman"/>
          <w:kern w:val="0"/>
          <w:sz w:val="26"/>
          <w:szCs w:val="26"/>
          <w:lang w:eastAsia="en-US"/>
          <w14:ligatures w14:val="none"/>
        </w:rPr>
        <w:t>, with a particular focus on the benefits for historically disadvantaged students. By examining systematic reviews and meta-analyses across educational and psychological literature, this review aims to provide a comprehensive understanding of the role of academic skills development in student thriving and educational equity. The insights gathered can inform evidence-based interventions and inclusive teaching practices to better support all students in reaching their full potential in higher education.</w:t>
      </w:r>
    </w:p>
    <w:p w14:paraId="1BE77A00" w14:textId="53D39060" w:rsidR="00610C0A" w:rsidRDefault="00000000">
      <w:pPr>
        <w:rPr>
          <w:sz w:val="28"/>
          <w:szCs w:val="28"/>
        </w:rPr>
      </w:pPr>
      <w:sdt>
        <w:sdtPr>
          <w:rPr>
            <w:sz w:val="28"/>
            <w:szCs w:val="28"/>
          </w:rPr>
          <w:id w:val="-956166779"/>
          <w:citation/>
        </w:sdtPr>
        <w:sdtContent>
          <w:r w:rsidR="00610C0A">
            <w:rPr>
              <w:sz w:val="28"/>
              <w:szCs w:val="28"/>
            </w:rPr>
            <w:fldChar w:fldCharType="begin"/>
          </w:r>
          <w:r w:rsidR="00610C0A">
            <w:rPr>
              <w:sz w:val="28"/>
              <w:szCs w:val="28"/>
            </w:rPr>
            <w:instrText xml:space="preserve"> CITATION hen24 \l 2057 </w:instrText>
          </w:r>
          <w:r w:rsidR="00610C0A">
            <w:rPr>
              <w:sz w:val="28"/>
              <w:szCs w:val="28"/>
            </w:rPr>
            <w:fldChar w:fldCharType="separate"/>
          </w:r>
          <w:r w:rsidR="00610C0A" w:rsidRPr="00610C0A">
            <w:rPr>
              <w:noProof/>
              <w:sz w:val="28"/>
              <w:szCs w:val="28"/>
            </w:rPr>
            <w:t>[1]</w:t>
          </w:r>
          <w:r w:rsidR="00610C0A">
            <w:rPr>
              <w:sz w:val="28"/>
              <w:szCs w:val="28"/>
            </w:rPr>
            <w:fldChar w:fldCharType="end"/>
          </w:r>
        </w:sdtContent>
      </w:sdt>
    </w:p>
    <w:p w14:paraId="74D39272" w14:textId="77777777" w:rsidR="00610C0A" w:rsidRDefault="00610C0A">
      <w:pPr>
        <w:rPr>
          <w:sz w:val="28"/>
          <w:szCs w:val="28"/>
        </w:rPr>
      </w:pPr>
    </w:p>
    <w:p w14:paraId="4729015F" w14:textId="77777777" w:rsidR="00610C0A" w:rsidRDefault="00610C0A">
      <w:pPr>
        <w:rPr>
          <w:sz w:val="28"/>
          <w:szCs w:val="28"/>
        </w:rPr>
      </w:pPr>
    </w:p>
    <w:p w14:paraId="5A6C74AA" w14:textId="77777777" w:rsidR="00610C0A" w:rsidRDefault="00610C0A">
      <w:pPr>
        <w:rPr>
          <w:sz w:val="28"/>
          <w:szCs w:val="28"/>
        </w:rPr>
      </w:pPr>
    </w:p>
    <w:p w14:paraId="4515FB4A" w14:textId="77777777" w:rsidR="00610C0A" w:rsidRDefault="00610C0A">
      <w:pPr>
        <w:rPr>
          <w:sz w:val="28"/>
          <w:szCs w:val="28"/>
        </w:rPr>
      </w:pPr>
    </w:p>
    <w:p w14:paraId="3D2B97F7" w14:textId="77777777" w:rsidR="00610C0A" w:rsidRDefault="00610C0A">
      <w:pPr>
        <w:rPr>
          <w:sz w:val="28"/>
          <w:szCs w:val="28"/>
        </w:rPr>
      </w:pPr>
    </w:p>
    <w:p w14:paraId="43DEF266" w14:textId="77777777" w:rsidR="00610C0A" w:rsidRDefault="00610C0A">
      <w:pPr>
        <w:rPr>
          <w:sz w:val="28"/>
          <w:szCs w:val="28"/>
        </w:rPr>
      </w:pPr>
    </w:p>
    <w:p w14:paraId="10F8CC93" w14:textId="77777777" w:rsidR="00610C0A" w:rsidRDefault="00610C0A">
      <w:pPr>
        <w:rPr>
          <w:sz w:val="28"/>
          <w:szCs w:val="28"/>
        </w:rPr>
      </w:pPr>
    </w:p>
    <w:p w14:paraId="56842E94" w14:textId="77777777" w:rsidR="00610C0A" w:rsidRDefault="00610C0A">
      <w:pPr>
        <w:rPr>
          <w:sz w:val="28"/>
          <w:szCs w:val="28"/>
        </w:rPr>
      </w:pPr>
    </w:p>
    <w:p w14:paraId="01BC5CEE" w14:textId="77777777" w:rsidR="00610C0A" w:rsidRDefault="00610C0A">
      <w:pPr>
        <w:rPr>
          <w:sz w:val="28"/>
          <w:szCs w:val="28"/>
        </w:rPr>
      </w:pPr>
    </w:p>
    <w:p w14:paraId="3A6C4D58" w14:textId="77777777" w:rsidR="00610C0A" w:rsidRDefault="00610C0A">
      <w:pPr>
        <w:rPr>
          <w:sz w:val="28"/>
          <w:szCs w:val="28"/>
        </w:rPr>
      </w:pPr>
    </w:p>
    <w:p w14:paraId="18C16666" w14:textId="77777777" w:rsidR="00610C0A" w:rsidRDefault="00610C0A">
      <w:pPr>
        <w:rPr>
          <w:sz w:val="28"/>
          <w:szCs w:val="28"/>
        </w:rPr>
      </w:pPr>
    </w:p>
    <w:p w14:paraId="13A1AE3C" w14:textId="4407F5B4" w:rsidR="00610C0A" w:rsidRDefault="00610C0A">
      <w:pPr>
        <w:rPr>
          <w:sz w:val="28"/>
          <w:szCs w:val="28"/>
        </w:rPr>
      </w:pPr>
      <w:r>
        <w:rPr>
          <w:sz w:val="28"/>
          <w:szCs w:val="28"/>
        </w:rPr>
        <w:t>REFERENCES</w:t>
      </w:r>
    </w:p>
    <w:sdt>
      <w:sdtPr>
        <w:rPr>
          <w:rFonts w:asciiTheme="minorHAnsi" w:eastAsiaTheme="minorEastAsia" w:hAnsiTheme="minorHAnsi" w:cstheme="minorBidi"/>
          <w:color w:val="auto"/>
          <w:sz w:val="24"/>
          <w:szCs w:val="24"/>
        </w:rPr>
        <w:id w:val="1135599838"/>
        <w:docPartObj>
          <w:docPartGallery w:val="Bibliographies"/>
          <w:docPartUnique/>
        </w:docPartObj>
      </w:sdtPr>
      <w:sdtContent>
        <w:p w14:paraId="3C56EBC9" w14:textId="20381059" w:rsidR="00610C0A" w:rsidRDefault="00610C0A">
          <w:pPr>
            <w:pStyle w:val="Heading1"/>
          </w:pPr>
          <w:r>
            <w:t>Bibliography</w:t>
          </w:r>
        </w:p>
        <w:sdt>
          <w:sdtPr>
            <w:id w:val="111145805"/>
            <w:bibliography/>
          </w:sdtPr>
          <w:sdtContent>
            <w:p w14:paraId="1EE7DE1D" w14:textId="77777777" w:rsidR="00610C0A" w:rsidRDefault="00610C0A">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610C0A" w14:paraId="3E77B193" w14:textId="77777777">
                <w:trPr>
                  <w:divId w:val="833644463"/>
                  <w:tblCellSpacing w:w="15" w:type="dxa"/>
                </w:trPr>
                <w:tc>
                  <w:tcPr>
                    <w:tcW w:w="50" w:type="pct"/>
                    <w:hideMark/>
                  </w:tcPr>
                  <w:p w14:paraId="4002FE99" w14:textId="4D99C358" w:rsidR="00610C0A" w:rsidRDefault="00610C0A">
                    <w:pPr>
                      <w:pStyle w:val="Bibliography"/>
                      <w:rPr>
                        <w:noProof/>
                        <w:kern w:val="0"/>
                        <w14:ligatures w14:val="none"/>
                      </w:rPr>
                    </w:pPr>
                    <w:r>
                      <w:rPr>
                        <w:noProof/>
                      </w:rPr>
                      <w:t xml:space="preserve">[1] </w:t>
                    </w:r>
                  </w:p>
                </w:tc>
                <w:tc>
                  <w:tcPr>
                    <w:tcW w:w="0" w:type="auto"/>
                    <w:hideMark/>
                  </w:tcPr>
                  <w:p w14:paraId="4DEDFFB5" w14:textId="77777777" w:rsidR="00610C0A" w:rsidRDefault="00610C0A">
                    <w:pPr>
                      <w:pStyle w:val="Bibliography"/>
                      <w:rPr>
                        <w:noProof/>
                      </w:rPr>
                    </w:pPr>
                    <w:r>
                      <w:rPr>
                        <w:noProof/>
                      </w:rPr>
                      <w:t>D. j. d. henau, “the impact of academic skills development on student outcomes in higher education,” 2024. [Online]. Available: https://www.sciecedirect.com/science/article/pii/S2405844023082312.</w:t>
                    </w:r>
                  </w:p>
                </w:tc>
              </w:tr>
            </w:tbl>
            <w:p w14:paraId="10E420AF" w14:textId="77777777" w:rsidR="00610C0A" w:rsidRDefault="00610C0A">
              <w:pPr>
                <w:divId w:val="833644463"/>
                <w:rPr>
                  <w:rFonts w:eastAsia="Times New Roman"/>
                  <w:noProof/>
                </w:rPr>
              </w:pPr>
            </w:p>
            <w:p w14:paraId="6DA0480C" w14:textId="0E66FE57" w:rsidR="00610C0A" w:rsidRDefault="00610C0A">
              <w:r>
                <w:rPr>
                  <w:b/>
                  <w:bCs/>
                </w:rPr>
                <w:fldChar w:fldCharType="end"/>
              </w:r>
            </w:p>
          </w:sdtContent>
        </w:sdt>
      </w:sdtContent>
    </w:sdt>
    <w:p w14:paraId="78EE16DC" w14:textId="5CD4290F" w:rsidR="00610C0A" w:rsidRPr="00A84E53" w:rsidRDefault="00E53FC6">
      <w:pPr>
        <w:rPr>
          <w:sz w:val="28"/>
          <w:szCs w:val="28"/>
        </w:rPr>
      </w:pPr>
      <w:r>
        <w:rPr>
          <w:sz w:val="28"/>
          <w:szCs w:val="28"/>
        </w:rPr>
        <w:t>0</w:t>
      </w:r>
    </w:p>
    <w:sectPr w:rsidR="00610C0A" w:rsidRPr="00A84E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1AE791" w14:textId="77777777" w:rsidR="000361DD" w:rsidRDefault="000361DD" w:rsidP="004B0318">
      <w:pPr>
        <w:spacing w:after="0" w:line="240" w:lineRule="auto"/>
      </w:pPr>
      <w:r>
        <w:separator/>
      </w:r>
    </w:p>
  </w:endnote>
  <w:endnote w:type="continuationSeparator" w:id="0">
    <w:p w14:paraId="000E16C1" w14:textId="77777777" w:rsidR="000361DD" w:rsidRDefault="000361DD" w:rsidP="004B03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72E44C" w14:textId="77777777" w:rsidR="000361DD" w:rsidRDefault="000361DD" w:rsidP="004B0318">
      <w:pPr>
        <w:spacing w:after="0" w:line="240" w:lineRule="auto"/>
      </w:pPr>
      <w:r>
        <w:separator/>
      </w:r>
    </w:p>
  </w:footnote>
  <w:footnote w:type="continuationSeparator" w:id="0">
    <w:p w14:paraId="188F10F4" w14:textId="77777777" w:rsidR="000361DD" w:rsidRDefault="000361DD" w:rsidP="004B03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E53"/>
    <w:rsid w:val="000361DD"/>
    <w:rsid w:val="00165728"/>
    <w:rsid w:val="003B750D"/>
    <w:rsid w:val="004B0318"/>
    <w:rsid w:val="006045A2"/>
    <w:rsid w:val="00610C0A"/>
    <w:rsid w:val="00841134"/>
    <w:rsid w:val="008A4452"/>
    <w:rsid w:val="00A84E53"/>
    <w:rsid w:val="00B43AAA"/>
    <w:rsid w:val="00E53F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885860"/>
  <w15:chartTrackingRefBased/>
  <w15:docId w15:val="{822986ED-29FA-413B-9641-178717B8B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E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4E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4E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4E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4E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4E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4E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4E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4E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E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4E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4E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4E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4E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4E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4E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4E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4E53"/>
    <w:rPr>
      <w:rFonts w:eastAsiaTheme="majorEastAsia" w:cstheme="majorBidi"/>
      <w:color w:val="272727" w:themeColor="text1" w:themeTint="D8"/>
    </w:rPr>
  </w:style>
  <w:style w:type="paragraph" w:styleId="Title">
    <w:name w:val="Title"/>
    <w:basedOn w:val="Normal"/>
    <w:next w:val="Normal"/>
    <w:link w:val="TitleChar"/>
    <w:uiPriority w:val="10"/>
    <w:qFormat/>
    <w:rsid w:val="00A84E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E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4E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4E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4E53"/>
    <w:pPr>
      <w:spacing w:before="160"/>
      <w:jc w:val="center"/>
    </w:pPr>
    <w:rPr>
      <w:i/>
      <w:iCs/>
      <w:color w:val="404040" w:themeColor="text1" w:themeTint="BF"/>
    </w:rPr>
  </w:style>
  <w:style w:type="character" w:customStyle="1" w:styleId="QuoteChar">
    <w:name w:val="Quote Char"/>
    <w:basedOn w:val="DefaultParagraphFont"/>
    <w:link w:val="Quote"/>
    <w:uiPriority w:val="29"/>
    <w:rsid w:val="00A84E53"/>
    <w:rPr>
      <w:i/>
      <w:iCs/>
      <w:color w:val="404040" w:themeColor="text1" w:themeTint="BF"/>
    </w:rPr>
  </w:style>
  <w:style w:type="paragraph" w:styleId="ListParagraph">
    <w:name w:val="List Paragraph"/>
    <w:basedOn w:val="Normal"/>
    <w:uiPriority w:val="34"/>
    <w:qFormat/>
    <w:rsid w:val="00A84E53"/>
    <w:pPr>
      <w:ind w:left="720"/>
      <w:contextualSpacing/>
    </w:pPr>
  </w:style>
  <w:style w:type="character" w:styleId="IntenseEmphasis">
    <w:name w:val="Intense Emphasis"/>
    <w:basedOn w:val="DefaultParagraphFont"/>
    <w:uiPriority w:val="21"/>
    <w:qFormat/>
    <w:rsid w:val="00A84E53"/>
    <w:rPr>
      <w:i/>
      <w:iCs/>
      <w:color w:val="0F4761" w:themeColor="accent1" w:themeShade="BF"/>
    </w:rPr>
  </w:style>
  <w:style w:type="paragraph" w:styleId="IntenseQuote">
    <w:name w:val="Intense Quote"/>
    <w:basedOn w:val="Normal"/>
    <w:next w:val="Normal"/>
    <w:link w:val="IntenseQuoteChar"/>
    <w:uiPriority w:val="30"/>
    <w:qFormat/>
    <w:rsid w:val="00A84E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4E53"/>
    <w:rPr>
      <w:i/>
      <w:iCs/>
      <w:color w:val="0F4761" w:themeColor="accent1" w:themeShade="BF"/>
    </w:rPr>
  </w:style>
  <w:style w:type="character" w:styleId="IntenseReference">
    <w:name w:val="Intense Reference"/>
    <w:basedOn w:val="DefaultParagraphFont"/>
    <w:uiPriority w:val="32"/>
    <w:qFormat/>
    <w:rsid w:val="00A84E53"/>
    <w:rPr>
      <w:b/>
      <w:bCs/>
      <w:smallCaps/>
      <w:color w:val="0F4761" w:themeColor="accent1" w:themeShade="BF"/>
      <w:spacing w:val="5"/>
    </w:rPr>
  </w:style>
  <w:style w:type="paragraph" w:styleId="Bibliography">
    <w:name w:val="Bibliography"/>
    <w:basedOn w:val="Normal"/>
    <w:next w:val="Normal"/>
    <w:uiPriority w:val="37"/>
    <w:unhideWhenUsed/>
    <w:rsid w:val="00610C0A"/>
  </w:style>
  <w:style w:type="paragraph" w:styleId="Header">
    <w:name w:val="header"/>
    <w:basedOn w:val="Normal"/>
    <w:link w:val="HeaderChar"/>
    <w:uiPriority w:val="99"/>
    <w:unhideWhenUsed/>
    <w:rsid w:val="004B03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318"/>
  </w:style>
  <w:style w:type="paragraph" w:styleId="Footer">
    <w:name w:val="footer"/>
    <w:basedOn w:val="Normal"/>
    <w:link w:val="FooterChar"/>
    <w:uiPriority w:val="99"/>
    <w:unhideWhenUsed/>
    <w:rsid w:val="004B03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3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368401">
      <w:bodyDiv w:val="1"/>
      <w:marLeft w:val="0"/>
      <w:marRight w:val="0"/>
      <w:marTop w:val="0"/>
      <w:marBottom w:val="0"/>
      <w:divBdr>
        <w:top w:val="none" w:sz="0" w:space="0" w:color="auto"/>
        <w:left w:val="none" w:sz="0" w:space="0" w:color="auto"/>
        <w:bottom w:val="none" w:sz="0" w:space="0" w:color="auto"/>
        <w:right w:val="none" w:sz="0" w:space="0" w:color="auto"/>
      </w:divBdr>
    </w:div>
    <w:div w:id="833644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hen24</b:Tag>
    <b:SourceType>DocumentFromInternetSite</b:SourceType>
    <b:Guid>{0E18B641-45D4-486C-8992-7D653A344994}</b:Guid>
    <b:Author>
      <b:Author>
        <b:NameList>
          <b:Person>
            <b:Last>henau</b:Last>
            <b:First>Dr</b:First>
            <b:Middle>joris de</b:Middle>
          </b:Person>
        </b:NameList>
      </b:Author>
    </b:Author>
    <b:Title>the impact of academic skills development on student outcomes in higher education</b:Title>
    <b:Year>2024</b:Year>
    <b:URL>https://www.sciecedirect.com/science/article/pii/S2405844023082312</b:URL>
    <b:RefOrder>1</b:RefOrder>
  </b:Source>
</b:Sources>
</file>

<file path=customXml/itemProps1.xml><?xml version="1.0" encoding="utf-8"?>
<ds:datastoreItem xmlns:ds="http://schemas.openxmlformats.org/officeDocument/2006/customXml" ds:itemID="{F00BA21A-DB12-456B-A8CA-C5A9F9146C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700</Words>
  <Characters>3992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Saad Farg M El Garai (2544461)</dc:creator>
  <cp:keywords/>
  <dc:description/>
  <cp:lastModifiedBy>Saad Farg M El Garai (2544461)</cp:lastModifiedBy>
  <cp:revision>3</cp:revision>
  <dcterms:created xsi:type="dcterms:W3CDTF">2026-06-25T11:47:00Z</dcterms:created>
  <dcterms:modified xsi:type="dcterms:W3CDTF">2026-06-25T11:48:00Z</dcterms:modified>
</cp:coreProperties>
</file>