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61F7D6" w14:textId="77777777" w:rsidR="00777EA5" w:rsidRDefault="00777EA5" w:rsidP="00777EA5">
      <w:pPr>
        <w:jc w:val="center"/>
        <w:rPr>
          <w:b/>
          <w:sz w:val="32"/>
        </w:rPr>
      </w:pPr>
    </w:p>
    <w:p w14:paraId="786DD3C3" w14:textId="77777777" w:rsidR="00777EA5" w:rsidRDefault="00777EA5" w:rsidP="00777EA5">
      <w:pPr>
        <w:jc w:val="center"/>
        <w:rPr>
          <w:b/>
          <w:sz w:val="32"/>
        </w:rPr>
      </w:pPr>
    </w:p>
    <w:p w14:paraId="2861DCE6" w14:textId="77777777" w:rsidR="00777EA5" w:rsidRDefault="00777EA5" w:rsidP="00777EA5">
      <w:pPr>
        <w:jc w:val="center"/>
        <w:rPr>
          <w:b/>
          <w:sz w:val="32"/>
        </w:rPr>
      </w:pPr>
    </w:p>
    <w:p w14:paraId="4D641D2D" w14:textId="77777777" w:rsidR="00777EA5" w:rsidRDefault="00777EA5" w:rsidP="00777EA5">
      <w:pPr>
        <w:jc w:val="center"/>
        <w:rPr>
          <w:b/>
          <w:sz w:val="32"/>
        </w:rPr>
      </w:pPr>
    </w:p>
    <w:p w14:paraId="14C014FA" w14:textId="77777777" w:rsidR="00777EA5" w:rsidRDefault="00777EA5" w:rsidP="00777EA5">
      <w:pPr>
        <w:jc w:val="center"/>
        <w:rPr>
          <w:b/>
          <w:sz w:val="32"/>
        </w:rPr>
      </w:pPr>
    </w:p>
    <w:p w14:paraId="27F17531" w14:textId="77777777" w:rsidR="00777EA5" w:rsidRDefault="00777EA5" w:rsidP="00777EA5">
      <w:pPr>
        <w:jc w:val="center"/>
        <w:rPr>
          <w:b/>
          <w:sz w:val="32"/>
        </w:rPr>
      </w:pPr>
    </w:p>
    <w:p w14:paraId="75299F61" w14:textId="77777777" w:rsidR="00777EA5" w:rsidRDefault="00777EA5" w:rsidP="00777EA5">
      <w:pPr>
        <w:jc w:val="center"/>
        <w:rPr>
          <w:b/>
          <w:sz w:val="32"/>
        </w:rPr>
      </w:pPr>
    </w:p>
    <w:p w14:paraId="642095D0" w14:textId="77777777" w:rsidR="00777EA5" w:rsidRDefault="00777EA5" w:rsidP="00777EA5">
      <w:pPr>
        <w:spacing w:line="480" w:lineRule="auto"/>
        <w:rPr>
          <w:b/>
          <w:sz w:val="32"/>
        </w:rPr>
      </w:pPr>
    </w:p>
    <w:p w14:paraId="6995F6D1" w14:textId="77777777" w:rsidR="00777EA5" w:rsidRPr="00777EA5" w:rsidRDefault="00777EA5" w:rsidP="00777EA5">
      <w:pPr>
        <w:spacing w:line="480" w:lineRule="auto"/>
        <w:jc w:val="center"/>
        <w:rPr>
          <w:b/>
          <w:sz w:val="36"/>
        </w:rPr>
      </w:pPr>
      <w:r w:rsidRPr="00777EA5">
        <w:rPr>
          <w:b/>
          <w:sz w:val="36"/>
        </w:rPr>
        <w:t>Module: International Financial Management</w:t>
      </w:r>
    </w:p>
    <w:p w14:paraId="332A10E4" w14:textId="77777777" w:rsidR="00777EA5" w:rsidRPr="00777EA5" w:rsidRDefault="00777EA5" w:rsidP="00777EA5">
      <w:pPr>
        <w:spacing w:line="480" w:lineRule="auto"/>
        <w:jc w:val="center"/>
        <w:rPr>
          <w:b/>
          <w:sz w:val="36"/>
        </w:rPr>
      </w:pPr>
      <w:r w:rsidRPr="00777EA5">
        <w:rPr>
          <w:b/>
          <w:sz w:val="36"/>
        </w:rPr>
        <w:t>Module code: LCBB6002</w:t>
      </w:r>
    </w:p>
    <w:p w14:paraId="71793C57" w14:textId="59B8D3A8" w:rsidR="00777EA5" w:rsidRPr="00777EA5" w:rsidRDefault="00777EA5" w:rsidP="00777EA5">
      <w:pPr>
        <w:spacing w:line="480" w:lineRule="auto"/>
        <w:jc w:val="center"/>
        <w:rPr>
          <w:b/>
          <w:sz w:val="32"/>
        </w:rPr>
      </w:pPr>
      <w:r w:rsidRPr="00777EA5">
        <w:rPr>
          <w:b/>
          <w:sz w:val="32"/>
        </w:rPr>
        <w:t>Student Name-</w:t>
      </w:r>
      <w:r w:rsidR="005710C2">
        <w:rPr>
          <w:b/>
          <w:sz w:val="32"/>
        </w:rPr>
        <w:t xml:space="preserve"> Nita Roxana Mihaela </w:t>
      </w:r>
    </w:p>
    <w:p w14:paraId="6BC0085E" w14:textId="01D80B90" w:rsidR="00777EA5" w:rsidRPr="00777EA5" w:rsidRDefault="00777EA5" w:rsidP="00777EA5">
      <w:pPr>
        <w:spacing w:line="480" w:lineRule="auto"/>
        <w:jc w:val="center"/>
        <w:rPr>
          <w:b/>
          <w:sz w:val="32"/>
        </w:rPr>
      </w:pPr>
      <w:r w:rsidRPr="00777EA5">
        <w:rPr>
          <w:b/>
          <w:sz w:val="32"/>
        </w:rPr>
        <w:t xml:space="preserve">Student ID- </w:t>
      </w:r>
      <w:r w:rsidR="005B0EC7">
        <w:rPr>
          <w:b/>
          <w:sz w:val="32"/>
        </w:rPr>
        <w:t>2111868</w:t>
      </w:r>
      <w:r w:rsidRPr="00777EA5">
        <w:rPr>
          <w:b/>
          <w:sz w:val="32"/>
        </w:rPr>
        <w:br w:type="page"/>
      </w:r>
    </w:p>
    <w:p w14:paraId="00000001" w14:textId="51C41E02" w:rsidR="00E01A00" w:rsidRDefault="007F5FB1" w:rsidP="00777EA5">
      <w:pPr>
        <w:pStyle w:val="Normal1"/>
        <w:spacing w:line="480" w:lineRule="auto"/>
        <w:jc w:val="center"/>
        <w:rPr>
          <w:b/>
        </w:rPr>
      </w:pPr>
      <w:r>
        <w:rPr>
          <w:b/>
        </w:rPr>
        <w:lastRenderedPageBreak/>
        <w:t>Executive Summary</w:t>
      </w:r>
    </w:p>
    <w:p w14:paraId="00000002" w14:textId="77777777" w:rsidR="00E01A00" w:rsidRDefault="007F5FB1" w:rsidP="00777EA5">
      <w:pPr>
        <w:pStyle w:val="Normal1"/>
        <w:spacing w:line="480" w:lineRule="auto"/>
        <w:jc w:val="both"/>
      </w:pPr>
      <w:r>
        <w:t xml:space="preserve">The report has discussed all the various types of international financial management (IFM). the various types of strategies that multinational companies use to adopt in managing their exposure to the roaring exchange risk. Further, the report has demonstrated the actual meaning of foreign exchange risk to multinational companies. </w:t>
      </w:r>
      <w:r>
        <w:br w:type="page"/>
      </w:r>
    </w:p>
    <w:bookmarkStart w:id="0" w:name="_ifntyrl22lni" w:colFirst="0" w:colLast="0" w:displacedByCustomXml="next"/>
    <w:bookmarkEnd w:id="0" w:displacedByCustomXml="next"/>
    <w:sdt>
      <w:sdtPr>
        <w:rPr>
          <w:rFonts w:ascii="Times New Roman" w:eastAsia="Times New Roman" w:hAnsi="Times New Roman" w:cs="Times New Roman"/>
          <w:color w:val="auto"/>
          <w:sz w:val="24"/>
          <w:szCs w:val="24"/>
          <w:lang w:val=""/>
        </w:rPr>
        <w:id w:val="492307781"/>
        <w:docPartObj>
          <w:docPartGallery w:val="Table of Contents"/>
          <w:docPartUnique/>
        </w:docPartObj>
      </w:sdtPr>
      <w:sdtEndPr>
        <w:rPr>
          <w:b/>
          <w:bCs/>
          <w:noProof/>
        </w:rPr>
      </w:sdtEndPr>
      <w:sdtContent>
        <w:p w14:paraId="033429CC" w14:textId="29CF3EE3" w:rsidR="00C538F4" w:rsidRPr="00C538F4" w:rsidRDefault="00C538F4" w:rsidP="00C538F4">
          <w:pPr>
            <w:pStyle w:val="Titlucuprins"/>
            <w:spacing w:line="480" w:lineRule="auto"/>
            <w:rPr>
              <w:rFonts w:ascii="Times New Roman" w:hAnsi="Times New Roman" w:cs="Times New Roman"/>
              <w:b/>
              <w:color w:val="000000" w:themeColor="text1"/>
              <w:szCs w:val="24"/>
            </w:rPr>
          </w:pPr>
          <w:r w:rsidRPr="00C538F4">
            <w:rPr>
              <w:rFonts w:ascii="Times New Roman" w:hAnsi="Times New Roman" w:cs="Times New Roman"/>
              <w:b/>
              <w:color w:val="000000" w:themeColor="text1"/>
              <w:szCs w:val="24"/>
            </w:rPr>
            <w:t>Table of Contents</w:t>
          </w:r>
        </w:p>
        <w:p w14:paraId="6BC36C35" w14:textId="77777777" w:rsidR="00C538F4" w:rsidRPr="00C538F4" w:rsidRDefault="00C538F4" w:rsidP="00C538F4">
          <w:pPr>
            <w:pStyle w:val="Cuprins1"/>
            <w:tabs>
              <w:tab w:val="right" w:leader="dot" w:pos="9350"/>
            </w:tabs>
            <w:spacing w:line="480" w:lineRule="auto"/>
            <w:rPr>
              <w:noProof/>
              <w:color w:val="000000" w:themeColor="text1"/>
            </w:rPr>
          </w:pPr>
          <w:r w:rsidRPr="00C538F4">
            <w:rPr>
              <w:color w:val="000000" w:themeColor="text1"/>
            </w:rPr>
            <w:fldChar w:fldCharType="begin"/>
          </w:r>
          <w:r w:rsidRPr="00C538F4">
            <w:rPr>
              <w:color w:val="000000" w:themeColor="text1"/>
            </w:rPr>
            <w:instrText xml:space="preserve"> TOC \o "1-3" \h \z \u </w:instrText>
          </w:r>
          <w:r w:rsidRPr="00C538F4">
            <w:rPr>
              <w:color w:val="000000" w:themeColor="text1"/>
            </w:rPr>
            <w:fldChar w:fldCharType="separate"/>
          </w:r>
          <w:hyperlink w:anchor="_Toc161660610" w:history="1">
            <w:r w:rsidRPr="00C538F4">
              <w:rPr>
                <w:rStyle w:val="Hyperlink"/>
                <w:noProof/>
                <w:color w:val="000000" w:themeColor="text1"/>
              </w:rPr>
              <w:t>Introduction</w:t>
            </w:r>
            <w:r w:rsidRPr="00C538F4">
              <w:rPr>
                <w:noProof/>
                <w:webHidden/>
                <w:color w:val="000000" w:themeColor="text1"/>
              </w:rPr>
              <w:tab/>
            </w:r>
            <w:r w:rsidRPr="00C538F4">
              <w:rPr>
                <w:noProof/>
                <w:webHidden/>
                <w:color w:val="000000" w:themeColor="text1"/>
              </w:rPr>
              <w:fldChar w:fldCharType="begin"/>
            </w:r>
            <w:r w:rsidRPr="00C538F4">
              <w:rPr>
                <w:noProof/>
                <w:webHidden/>
                <w:color w:val="000000" w:themeColor="text1"/>
              </w:rPr>
              <w:instrText xml:space="preserve"> PAGEREF _Toc161660610 \h </w:instrText>
            </w:r>
            <w:r w:rsidRPr="00C538F4">
              <w:rPr>
                <w:noProof/>
                <w:webHidden/>
                <w:color w:val="000000" w:themeColor="text1"/>
              </w:rPr>
            </w:r>
            <w:r w:rsidRPr="00C538F4">
              <w:rPr>
                <w:noProof/>
                <w:webHidden/>
                <w:color w:val="000000" w:themeColor="text1"/>
              </w:rPr>
              <w:fldChar w:fldCharType="separate"/>
            </w:r>
            <w:r w:rsidRPr="00C538F4">
              <w:rPr>
                <w:noProof/>
                <w:webHidden/>
                <w:color w:val="000000" w:themeColor="text1"/>
              </w:rPr>
              <w:t>4</w:t>
            </w:r>
            <w:r w:rsidRPr="00C538F4">
              <w:rPr>
                <w:noProof/>
                <w:webHidden/>
                <w:color w:val="000000" w:themeColor="text1"/>
              </w:rPr>
              <w:fldChar w:fldCharType="end"/>
            </w:r>
          </w:hyperlink>
        </w:p>
        <w:p w14:paraId="431B25E3" w14:textId="77777777" w:rsidR="00C538F4" w:rsidRPr="00C538F4" w:rsidRDefault="00000000" w:rsidP="00C538F4">
          <w:pPr>
            <w:pStyle w:val="Cuprins2"/>
            <w:tabs>
              <w:tab w:val="right" w:leader="dot" w:pos="9350"/>
            </w:tabs>
            <w:spacing w:line="480" w:lineRule="auto"/>
            <w:rPr>
              <w:noProof/>
              <w:color w:val="000000" w:themeColor="text1"/>
            </w:rPr>
          </w:pPr>
          <w:hyperlink w:anchor="_Toc161660611" w:history="1">
            <w:r w:rsidR="00C538F4" w:rsidRPr="00C538F4">
              <w:rPr>
                <w:rStyle w:val="Hyperlink"/>
                <w:noProof/>
                <w:color w:val="000000" w:themeColor="text1"/>
              </w:rPr>
              <w:t>International Financial Management (IFM) theories</w:t>
            </w:r>
            <w:r w:rsidR="00C538F4" w:rsidRPr="00C538F4">
              <w:rPr>
                <w:noProof/>
                <w:webHidden/>
                <w:color w:val="000000" w:themeColor="text1"/>
              </w:rPr>
              <w:tab/>
            </w:r>
            <w:r w:rsidR="00C538F4" w:rsidRPr="00C538F4">
              <w:rPr>
                <w:noProof/>
                <w:webHidden/>
                <w:color w:val="000000" w:themeColor="text1"/>
              </w:rPr>
              <w:fldChar w:fldCharType="begin"/>
            </w:r>
            <w:r w:rsidR="00C538F4" w:rsidRPr="00C538F4">
              <w:rPr>
                <w:noProof/>
                <w:webHidden/>
                <w:color w:val="000000" w:themeColor="text1"/>
              </w:rPr>
              <w:instrText xml:space="preserve"> PAGEREF _Toc161660611 \h </w:instrText>
            </w:r>
            <w:r w:rsidR="00C538F4" w:rsidRPr="00C538F4">
              <w:rPr>
                <w:noProof/>
                <w:webHidden/>
                <w:color w:val="000000" w:themeColor="text1"/>
              </w:rPr>
            </w:r>
            <w:r w:rsidR="00C538F4" w:rsidRPr="00C538F4">
              <w:rPr>
                <w:noProof/>
                <w:webHidden/>
                <w:color w:val="000000" w:themeColor="text1"/>
              </w:rPr>
              <w:fldChar w:fldCharType="separate"/>
            </w:r>
            <w:r w:rsidR="00C538F4" w:rsidRPr="00C538F4">
              <w:rPr>
                <w:noProof/>
                <w:webHidden/>
                <w:color w:val="000000" w:themeColor="text1"/>
              </w:rPr>
              <w:t>5</w:t>
            </w:r>
            <w:r w:rsidR="00C538F4" w:rsidRPr="00C538F4">
              <w:rPr>
                <w:noProof/>
                <w:webHidden/>
                <w:color w:val="000000" w:themeColor="text1"/>
              </w:rPr>
              <w:fldChar w:fldCharType="end"/>
            </w:r>
          </w:hyperlink>
        </w:p>
        <w:p w14:paraId="03896064" w14:textId="77777777" w:rsidR="00C538F4" w:rsidRPr="00C538F4" w:rsidRDefault="00000000" w:rsidP="00C538F4">
          <w:pPr>
            <w:pStyle w:val="Cuprins2"/>
            <w:tabs>
              <w:tab w:val="right" w:leader="dot" w:pos="9350"/>
            </w:tabs>
            <w:spacing w:line="480" w:lineRule="auto"/>
            <w:rPr>
              <w:noProof/>
              <w:color w:val="000000" w:themeColor="text1"/>
            </w:rPr>
          </w:pPr>
          <w:hyperlink w:anchor="_Toc161660612" w:history="1">
            <w:r w:rsidR="00C538F4" w:rsidRPr="00C538F4">
              <w:rPr>
                <w:rStyle w:val="Hyperlink"/>
                <w:noProof/>
                <w:color w:val="000000" w:themeColor="text1"/>
              </w:rPr>
              <w:t>The various foreign exchange risks</w:t>
            </w:r>
            <w:r w:rsidR="00C538F4" w:rsidRPr="00C538F4">
              <w:rPr>
                <w:noProof/>
                <w:webHidden/>
                <w:color w:val="000000" w:themeColor="text1"/>
              </w:rPr>
              <w:tab/>
            </w:r>
            <w:r w:rsidR="00C538F4" w:rsidRPr="00C538F4">
              <w:rPr>
                <w:noProof/>
                <w:webHidden/>
                <w:color w:val="000000" w:themeColor="text1"/>
              </w:rPr>
              <w:fldChar w:fldCharType="begin"/>
            </w:r>
            <w:r w:rsidR="00C538F4" w:rsidRPr="00C538F4">
              <w:rPr>
                <w:noProof/>
                <w:webHidden/>
                <w:color w:val="000000" w:themeColor="text1"/>
              </w:rPr>
              <w:instrText xml:space="preserve"> PAGEREF _Toc161660612 \h </w:instrText>
            </w:r>
            <w:r w:rsidR="00C538F4" w:rsidRPr="00C538F4">
              <w:rPr>
                <w:noProof/>
                <w:webHidden/>
                <w:color w:val="000000" w:themeColor="text1"/>
              </w:rPr>
            </w:r>
            <w:r w:rsidR="00C538F4" w:rsidRPr="00C538F4">
              <w:rPr>
                <w:noProof/>
                <w:webHidden/>
                <w:color w:val="000000" w:themeColor="text1"/>
              </w:rPr>
              <w:fldChar w:fldCharType="separate"/>
            </w:r>
            <w:r w:rsidR="00C538F4" w:rsidRPr="00C538F4">
              <w:rPr>
                <w:noProof/>
                <w:webHidden/>
                <w:color w:val="000000" w:themeColor="text1"/>
              </w:rPr>
              <w:t>8</w:t>
            </w:r>
            <w:r w:rsidR="00C538F4" w:rsidRPr="00C538F4">
              <w:rPr>
                <w:noProof/>
                <w:webHidden/>
                <w:color w:val="000000" w:themeColor="text1"/>
              </w:rPr>
              <w:fldChar w:fldCharType="end"/>
            </w:r>
          </w:hyperlink>
        </w:p>
        <w:p w14:paraId="48439785" w14:textId="77777777" w:rsidR="00C538F4" w:rsidRPr="00C538F4" w:rsidRDefault="00000000" w:rsidP="00C538F4">
          <w:pPr>
            <w:pStyle w:val="Cuprins3"/>
            <w:tabs>
              <w:tab w:val="right" w:leader="dot" w:pos="9350"/>
            </w:tabs>
            <w:spacing w:line="480" w:lineRule="auto"/>
            <w:rPr>
              <w:noProof/>
              <w:color w:val="000000" w:themeColor="text1"/>
            </w:rPr>
          </w:pPr>
          <w:hyperlink w:anchor="_Toc161660613" w:history="1">
            <w:r w:rsidR="00C538F4" w:rsidRPr="00C538F4">
              <w:rPr>
                <w:rStyle w:val="Hyperlink"/>
                <w:noProof/>
                <w:color w:val="000000" w:themeColor="text1"/>
              </w:rPr>
              <w:t>The various strategies that multinational corporations often adopt in managing their exposure to foreign exchange risks</w:t>
            </w:r>
            <w:r w:rsidR="00C538F4" w:rsidRPr="00C538F4">
              <w:rPr>
                <w:noProof/>
                <w:webHidden/>
                <w:color w:val="000000" w:themeColor="text1"/>
              </w:rPr>
              <w:tab/>
            </w:r>
            <w:r w:rsidR="00C538F4" w:rsidRPr="00C538F4">
              <w:rPr>
                <w:noProof/>
                <w:webHidden/>
                <w:color w:val="000000" w:themeColor="text1"/>
              </w:rPr>
              <w:fldChar w:fldCharType="begin"/>
            </w:r>
            <w:r w:rsidR="00C538F4" w:rsidRPr="00C538F4">
              <w:rPr>
                <w:noProof/>
                <w:webHidden/>
                <w:color w:val="000000" w:themeColor="text1"/>
              </w:rPr>
              <w:instrText xml:space="preserve"> PAGEREF _Toc161660613 \h </w:instrText>
            </w:r>
            <w:r w:rsidR="00C538F4" w:rsidRPr="00C538F4">
              <w:rPr>
                <w:noProof/>
                <w:webHidden/>
                <w:color w:val="000000" w:themeColor="text1"/>
              </w:rPr>
            </w:r>
            <w:r w:rsidR="00C538F4" w:rsidRPr="00C538F4">
              <w:rPr>
                <w:noProof/>
                <w:webHidden/>
                <w:color w:val="000000" w:themeColor="text1"/>
              </w:rPr>
              <w:fldChar w:fldCharType="separate"/>
            </w:r>
            <w:r w:rsidR="00C538F4" w:rsidRPr="00C538F4">
              <w:rPr>
                <w:noProof/>
                <w:webHidden/>
                <w:color w:val="000000" w:themeColor="text1"/>
              </w:rPr>
              <w:t>9</w:t>
            </w:r>
            <w:r w:rsidR="00C538F4" w:rsidRPr="00C538F4">
              <w:rPr>
                <w:noProof/>
                <w:webHidden/>
                <w:color w:val="000000" w:themeColor="text1"/>
              </w:rPr>
              <w:fldChar w:fldCharType="end"/>
            </w:r>
          </w:hyperlink>
        </w:p>
        <w:p w14:paraId="6418B62F" w14:textId="77777777" w:rsidR="00C538F4" w:rsidRPr="00C538F4" w:rsidRDefault="00000000" w:rsidP="00C538F4">
          <w:pPr>
            <w:pStyle w:val="Cuprins1"/>
            <w:tabs>
              <w:tab w:val="right" w:leader="dot" w:pos="9350"/>
            </w:tabs>
            <w:spacing w:line="480" w:lineRule="auto"/>
            <w:rPr>
              <w:noProof/>
              <w:color w:val="000000" w:themeColor="text1"/>
            </w:rPr>
          </w:pPr>
          <w:hyperlink w:anchor="_Toc161660614" w:history="1">
            <w:r w:rsidR="00C538F4" w:rsidRPr="00C538F4">
              <w:rPr>
                <w:rStyle w:val="Hyperlink"/>
                <w:noProof/>
                <w:color w:val="000000" w:themeColor="text1"/>
              </w:rPr>
              <w:t>Conclusion</w:t>
            </w:r>
            <w:r w:rsidR="00C538F4" w:rsidRPr="00C538F4">
              <w:rPr>
                <w:noProof/>
                <w:webHidden/>
                <w:color w:val="000000" w:themeColor="text1"/>
              </w:rPr>
              <w:tab/>
            </w:r>
            <w:r w:rsidR="00C538F4" w:rsidRPr="00C538F4">
              <w:rPr>
                <w:noProof/>
                <w:webHidden/>
                <w:color w:val="000000" w:themeColor="text1"/>
              </w:rPr>
              <w:fldChar w:fldCharType="begin"/>
            </w:r>
            <w:r w:rsidR="00C538F4" w:rsidRPr="00C538F4">
              <w:rPr>
                <w:noProof/>
                <w:webHidden/>
                <w:color w:val="000000" w:themeColor="text1"/>
              </w:rPr>
              <w:instrText xml:space="preserve"> PAGEREF _Toc161660614 \h </w:instrText>
            </w:r>
            <w:r w:rsidR="00C538F4" w:rsidRPr="00C538F4">
              <w:rPr>
                <w:noProof/>
                <w:webHidden/>
                <w:color w:val="000000" w:themeColor="text1"/>
              </w:rPr>
            </w:r>
            <w:r w:rsidR="00C538F4" w:rsidRPr="00C538F4">
              <w:rPr>
                <w:noProof/>
                <w:webHidden/>
                <w:color w:val="000000" w:themeColor="text1"/>
              </w:rPr>
              <w:fldChar w:fldCharType="separate"/>
            </w:r>
            <w:r w:rsidR="00C538F4" w:rsidRPr="00C538F4">
              <w:rPr>
                <w:noProof/>
                <w:webHidden/>
                <w:color w:val="000000" w:themeColor="text1"/>
              </w:rPr>
              <w:t>11</w:t>
            </w:r>
            <w:r w:rsidR="00C538F4" w:rsidRPr="00C538F4">
              <w:rPr>
                <w:noProof/>
                <w:webHidden/>
                <w:color w:val="000000" w:themeColor="text1"/>
              </w:rPr>
              <w:fldChar w:fldCharType="end"/>
            </w:r>
          </w:hyperlink>
        </w:p>
        <w:p w14:paraId="2312265B" w14:textId="77777777" w:rsidR="00C538F4" w:rsidRPr="00C538F4" w:rsidRDefault="00000000" w:rsidP="00C538F4">
          <w:pPr>
            <w:pStyle w:val="Cuprins1"/>
            <w:tabs>
              <w:tab w:val="right" w:leader="dot" w:pos="9350"/>
            </w:tabs>
            <w:spacing w:line="480" w:lineRule="auto"/>
            <w:rPr>
              <w:noProof/>
              <w:color w:val="000000" w:themeColor="text1"/>
            </w:rPr>
          </w:pPr>
          <w:hyperlink w:anchor="_Toc161660615" w:history="1">
            <w:r w:rsidR="00C538F4" w:rsidRPr="00C538F4">
              <w:rPr>
                <w:rStyle w:val="Hyperlink"/>
                <w:noProof/>
                <w:color w:val="000000" w:themeColor="text1"/>
              </w:rPr>
              <w:t>References</w:t>
            </w:r>
            <w:r w:rsidR="00C538F4" w:rsidRPr="00C538F4">
              <w:rPr>
                <w:noProof/>
                <w:webHidden/>
                <w:color w:val="000000" w:themeColor="text1"/>
              </w:rPr>
              <w:tab/>
            </w:r>
            <w:r w:rsidR="00C538F4" w:rsidRPr="00C538F4">
              <w:rPr>
                <w:noProof/>
                <w:webHidden/>
                <w:color w:val="000000" w:themeColor="text1"/>
              </w:rPr>
              <w:fldChar w:fldCharType="begin"/>
            </w:r>
            <w:r w:rsidR="00C538F4" w:rsidRPr="00C538F4">
              <w:rPr>
                <w:noProof/>
                <w:webHidden/>
                <w:color w:val="000000" w:themeColor="text1"/>
              </w:rPr>
              <w:instrText xml:space="preserve"> PAGEREF _Toc161660615 \h </w:instrText>
            </w:r>
            <w:r w:rsidR="00C538F4" w:rsidRPr="00C538F4">
              <w:rPr>
                <w:noProof/>
                <w:webHidden/>
                <w:color w:val="000000" w:themeColor="text1"/>
              </w:rPr>
            </w:r>
            <w:r w:rsidR="00C538F4" w:rsidRPr="00C538F4">
              <w:rPr>
                <w:noProof/>
                <w:webHidden/>
                <w:color w:val="000000" w:themeColor="text1"/>
              </w:rPr>
              <w:fldChar w:fldCharType="separate"/>
            </w:r>
            <w:r w:rsidR="00C538F4" w:rsidRPr="00C538F4">
              <w:rPr>
                <w:noProof/>
                <w:webHidden/>
                <w:color w:val="000000" w:themeColor="text1"/>
              </w:rPr>
              <w:t>12</w:t>
            </w:r>
            <w:r w:rsidR="00C538F4" w:rsidRPr="00C538F4">
              <w:rPr>
                <w:noProof/>
                <w:webHidden/>
                <w:color w:val="000000" w:themeColor="text1"/>
              </w:rPr>
              <w:fldChar w:fldCharType="end"/>
            </w:r>
          </w:hyperlink>
        </w:p>
        <w:p w14:paraId="033430A9" w14:textId="0A563F83" w:rsidR="00C538F4" w:rsidRDefault="00C538F4" w:rsidP="00C538F4">
          <w:pPr>
            <w:spacing w:line="480" w:lineRule="auto"/>
          </w:pPr>
          <w:r w:rsidRPr="00C538F4">
            <w:rPr>
              <w:b/>
              <w:bCs/>
              <w:noProof/>
              <w:color w:val="000000" w:themeColor="text1"/>
            </w:rPr>
            <w:fldChar w:fldCharType="end"/>
          </w:r>
        </w:p>
      </w:sdtContent>
    </w:sdt>
    <w:p w14:paraId="353E5E52" w14:textId="77777777" w:rsidR="00C538F4" w:rsidRDefault="00C538F4">
      <w:pPr>
        <w:rPr>
          <w:b/>
          <w:sz w:val="28"/>
          <w:szCs w:val="28"/>
        </w:rPr>
      </w:pPr>
      <w:r>
        <w:br w:type="page"/>
      </w:r>
    </w:p>
    <w:p w14:paraId="00000003" w14:textId="20B0AF36" w:rsidR="00E01A00" w:rsidRDefault="007F5FB1" w:rsidP="00777EA5">
      <w:pPr>
        <w:pStyle w:val="Titlu1"/>
        <w:spacing w:line="480" w:lineRule="auto"/>
        <w:jc w:val="both"/>
      </w:pPr>
      <w:bookmarkStart w:id="1" w:name="_Toc161660610"/>
      <w:r>
        <w:lastRenderedPageBreak/>
        <w:t>Introduction</w:t>
      </w:r>
      <w:bookmarkEnd w:id="1"/>
    </w:p>
    <w:p w14:paraId="00000004" w14:textId="77777777" w:rsidR="00E01A00" w:rsidRDefault="007F5FB1" w:rsidP="00777EA5">
      <w:pPr>
        <w:pStyle w:val="Normal1"/>
        <w:spacing w:line="480" w:lineRule="auto"/>
        <w:jc w:val="both"/>
        <w:rPr>
          <w:b/>
        </w:rPr>
      </w:pPr>
      <w:r>
        <w:t xml:space="preserve">The report aims to provide detailed information about international financial management (IFM) theories. Various evaluations and explanations of the different strategies and theories will be placed in the report. Various evidence of the findings and the research will be placed in the report. The foreign exchange risk and the ways to overcome those risks will be discussed in the report. Additionally, the various strategies that multinational companies use to their exposure to foreign exchange risk will be also discussed in this report. </w:t>
      </w:r>
      <w:r>
        <w:br w:type="page"/>
      </w:r>
    </w:p>
    <w:p w14:paraId="00000006" w14:textId="31DB2DCA" w:rsidR="00E01A00" w:rsidRDefault="007F5FB1" w:rsidP="00777EA5">
      <w:pPr>
        <w:pStyle w:val="Titlu2"/>
        <w:spacing w:line="480" w:lineRule="auto"/>
        <w:jc w:val="both"/>
      </w:pPr>
      <w:bookmarkStart w:id="2" w:name="_k13v4dv0760h" w:colFirst="0" w:colLast="0"/>
      <w:bookmarkStart w:id="3" w:name="_Toc161660611"/>
      <w:bookmarkEnd w:id="2"/>
      <w:r>
        <w:lastRenderedPageBreak/>
        <w:t>International Financial Management (IFM) theories</w:t>
      </w:r>
      <w:bookmarkEnd w:id="3"/>
    </w:p>
    <w:p w14:paraId="00000007" w14:textId="77777777" w:rsidR="00E01A00" w:rsidRDefault="007F5FB1" w:rsidP="00777EA5">
      <w:pPr>
        <w:pStyle w:val="Normal1"/>
        <w:spacing w:line="480" w:lineRule="auto"/>
        <w:jc w:val="both"/>
        <w:rPr>
          <w:b/>
        </w:rPr>
      </w:pPr>
      <w:r>
        <w:t xml:space="preserve">There are various types of factors in the international financial business that favour international trade. </w:t>
      </w:r>
      <w:r>
        <w:rPr>
          <w:b/>
        </w:rPr>
        <w:t>Some of the names of the theories are-</w:t>
      </w:r>
    </w:p>
    <w:p w14:paraId="407871A1" w14:textId="77777777" w:rsidR="00777EA5" w:rsidRDefault="007F5FB1" w:rsidP="00777EA5">
      <w:pPr>
        <w:pStyle w:val="Normal1"/>
        <w:numPr>
          <w:ilvl w:val="0"/>
          <w:numId w:val="2"/>
        </w:numPr>
        <w:spacing w:line="480" w:lineRule="auto"/>
        <w:jc w:val="both"/>
      </w:pPr>
      <w:r>
        <w:rPr>
          <w:b/>
        </w:rPr>
        <w:t>Theory of comparative advantages.</w:t>
      </w:r>
      <w:r>
        <w:t xml:space="preserve"> This is the theory of advantages of economic ability to produce a special service or good at a very lower opportunity price than the other trading partners. This theory of comparative advantages introduces various opportunities as a main factor for further analysis in choosing the various options for the production of a company. The comparative advantage mainly refers to the thing that continues to engage with countries and their trades with the other. Exporting the services or goods that the companies have a relative advantage in. There are various types of downsides to focusing only on a country's advantages in comparison, this can further exploit the country's natural resources and labour. </w:t>
      </w:r>
    </w:p>
    <w:p w14:paraId="00000008" w14:textId="67ABFFC2" w:rsidR="00E01A00" w:rsidRDefault="007F5FB1" w:rsidP="00777EA5">
      <w:pPr>
        <w:pStyle w:val="Normal1"/>
        <w:numPr>
          <w:ilvl w:val="0"/>
          <w:numId w:val="2"/>
        </w:numPr>
        <w:spacing w:line="480" w:lineRule="auto"/>
        <w:jc w:val="both"/>
      </w:pPr>
      <w:r>
        <w:t>The absolute advantages of this theory mainly to the uncongested superiority of a country to further produce a particular better product. The comparative advantages theory can be considered as one of the most significant concepts in economic theory and a very well fundamental tenet of the argument that all factors from all timelines. This can be multiple benefits from cooperation and also from voluntary trade</w:t>
      </w:r>
      <w:r w:rsidR="00777EA5">
        <w:t xml:space="preserve"> (</w:t>
      </w:r>
      <w:r w:rsidR="00777EA5" w:rsidRPr="00777EA5">
        <w:rPr>
          <w:color w:val="222222"/>
          <w:szCs w:val="20"/>
          <w:shd w:val="clear" w:color="auto" w:fill="FFFFFF"/>
        </w:rPr>
        <w:t xml:space="preserve">Mosteanu, </w:t>
      </w:r>
      <w:r w:rsidR="00777EA5">
        <w:rPr>
          <w:color w:val="222222"/>
          <w:szCs w:val="20"/>
          <w:shd w:val="clear" w:color="auto" w:fill="FFFFFF"/>
        </w:rPr>
        <w:t>et al,</w:t>
      </w:r>
      <w:r w:rsidR="00777EA5" w:rsidRPr="00777EA5">
        <w:rPr>
          <w:color w:val="222222"/>
          <w:szCs w:val="20"/>
          <w:shd w:val="clear" w:color="auto" w:fill="FFFFFF"/>
        </w:rPr>
        <w:t xml:space="preserve"> 2020</w:t>
      </w:r>
      <w:r w:rsidR="00777EA5">
        <w:t>)</w:t>
      </w:r>
      <w:r>
        <w:t xml:space="preserve">. </w:t>
      </w:r>
    </w:p>
    <w:p w14:paraId="00000009" w14:textId="1DE31444" w:rsidR="00E01A00" w:rsidRDefault="007F5FB1" w:rsidP="00777EA5">
      <w:pPr>
        <w:pStyle w:val="Normal1"/>
        <w:numPr>
          <w:ilvl w:val="0"/>
          <w:numId w:val="2"/>
        </w:numPr>
        <w:spacing w:line="480" w:lineRule="auto"/>
        <w:jc w:val="both"/>
      </w:pPr>
      <w:r>
        <w:rPr>
          <w:b/>
        </w:rPr>
        <w:t>Theory of absolute advantages.</w:t>
      </w:r>
      <w:r>
        <w:t xml:space="preserve"> This theory was developed first time by Adam Smith, in his book "The Wealth of Nations". He does this to show countries all over the world to gain from trade through specialisation in exporting and producing goods and services. Countries with absolute theory advantages enable the ability of them to decide the specialisation in selling and producing products and further use that to generate funds to purchase advanced goods from other countries. This is the theory that comes in need at the </w:t>
      </w:r>
      <w:r>
        <w:lastRenderedPageBreak/>
        <w:t>time of producers who can provide services or goods in more opportunities and quantity for the same cost or in the same quality at a very low price than the rivals. This is an absolute advantage that can be the main and the basis for the largest gains from the trade among the producers of the various types of different goods with the various absolute advantages</w:t>
      </w:r>
      <w:r w:rsidR="00777EA5">
        <w:t xml:space="preserve"> (</w:t>
      </w:r>
      <w:r w:rsidR="00777EA5" w:rsidRPr="00777EA5">
        <w:rPr>
          <w:color w:val="222222"/>
          <w:szCs w:val="20"/>
          <w:shd w:val="clear" w:color="auto" w:fill="FFFFFF"/>
        </w:rPr>
        <w:t>Klapper</w:t>
      </w:r>
      <w:r w:rsidR="00777EA5">
        <w:rPr>
          <w:color w:val="222222"/>
          <w:szCs w:val="20"/>
          <w:shd w:val="clear" w:color="auto" w:fill="FFFFFF"/>
        </w:rPr>
        <w:t xml:space="preserve"> </w:t>
      </w:r>
      <w:r w:rsidR="00777EA5" w:rsidRPr="00777EA5">
        <w:rPr>
          <w:color w:val="222222"/>
          <w:szCs w:val="20"/>
          <w:shd w:val="clear" w:color="auto" w:fill="FFFFFF"/>
        </w:rPr>
        <w:t>and Lusardi, 2020</w:t>
      </w:r>
      <w:r w:rsidR="00777EA5">
        <w:t>)</w:t>
      </w:r>
      <w:r>
        <w:t xml:space="preserve">. </w:t>
      </w:r>
    </w:p>
    <w:p w14:paraId="4C7FA040" w14:textId="77777777" w:rsidR="00777EA5" w:rsidRDefault="007F5FB1" w:rsidP="00777EA5">
      <w:pPr>
        <w:pStyle w:val="Normal1"/>
        <w:numPr>
          <w:ilvl w:val="0"/>
          <w:numId w:val="2"/>
        </w:numPr>
        <w:spacing w:line="480" w:lineRule="auto"/>
        <w:jc w:val="both"/>
      </w:pPr>
      <w:r>
        <w:rPr>
          <w:b/>
        </w:rPr>
        <w:t>Factor proportion theory.</w:t>
      </w:r>
      <w:r>
        <w:t xml:space="preserve"> The other name of this theory is the Heckscher-Ohlin theory. This theory states that countries will produce products and export those new products that need various factors and resources and those are in huge supply. This is the reason for cheaper production factors. This theory helps in assuming free and open markets that lead countries and producers to determine the goods they could produce more efficiently for the future of the country based on the climate, demand and lands. This trade theory is very simple to understand and states various other theories to explain international trade. </w:t>
      </w:r>
    </w:p>
    <w:p w14:paraId="0000000A" w14:textId="57338ADE" w:rsidR="00E01A00" w:rsidRDefault="007F5FB1" w:rsidP="00777EA5">
      <w:pPr>
        <w:pStyle w:val="Normal1"/>
        <w:numPr>
          <w:ilvl w:val="0"/>
          <w:numId w:val="2"/>
        </w:numPr>
        <w:spacing w:line="480" w:lineRule="auto"/>
        <w:jc w:val="both"/>
      </w:pPr>
      <w:r>
        <w:t xml:space="preserve">People and the various entities that trade within the different countries believe that they believe from the exchanges. They also may need for the services or goods meanwhile this is a great deal of the policies, business strategy and theories. This all constitutes international trade.     </w:t>
      </w:r>
    </w:p>
    <w:p w14:paraId="0000000B" w14:textId="14C7E841" w:rsidR="00E01A00" w:rsidRDefault="007F5FB1" w:rsidP="00777EA5">
      <w:pPr>
        <w:pStyle w:val="Normal1"/>
        <w:numPr>
          <w:ilvl w:val="0"/>
          <w:numId w:val="2"/>
        </w:numPr>
        <w:spacing w:line="480" w:lineRule="auto"/>
        <w:jc w:val="both"/>
      </w:pPr>
      <w:r>
        <w:rPr>
          <w:b/>
        </w:rPr>
        <w:t>New trade theory-</w:t>
      </w:r>
      <w:r>
        <w:t xml:space="preserve"> high fixed cost increases output to achieve the economics of the exports and scales. The other name of this theory is NTT. This refers to all the modern economic theories that help in explaining international trade based on the scale of economics, first mover and network effects advantages. This helps in deciphering the main reason behind the intensive trade and the globalisation trading within similar economies. Further, this theory also paves the way for the administration's role in the industrialisation of a country. The main advantages of it lie within the globalisation of trade and the disadvantages of it </w:t>
      </w:r>
      <w:r>
        <w:lastRenderedPageBreak/>
        <w:t>lie in the development of the monopolistic tendencies of all the huge corporations</w:t>
      </w:r>
      <w:r w:rsidR="00777EA5">
        <w:t xml:space="preserve"> (</w:t>
      </w:r>
      <w:r w:rsidR="00777EA5" w:rsidRPr="00777EA5">
        <w:rPr>
          <w:color w:val="222222"/>
          <w:szCs w:val="20"/>
          <w:shd w:val="clear" w:color="auto" w:fill="FFFFFF"/>
        </w:rPr>
        <w:t>Ba</w:t>
      </w:r>
      <w:r w:rsidR="00777EA5">
        <w:rPr>
          <w:color w:val="222222"/>
          <w:szCs w:val="20"/>
          <w:shd w:val="clear" w:color="auto" w:fill="FFFFFF"/>
        </w:rPr>
        <w:t>, 2021</w:t>
      </w:r>
      <w:r w:rsidR="00777EA5">
        <w:t>)</w:t>
      </w:r>
      <w:r>
        <w:t xml:space="preserve">. </w:t>
      </w:r>
      <w:r>
        <w:br w:type="page"/>
      </w:r>
    </w:p>
    <w:p w14:paraId="0000000C" w14:textId="77777777" w:rsidR="00E01A00" w:rsidRDefault="007F5FB1" w:rsidP="00777EA5">
      <w:pPr>
        <w:pStyle w:val="Titlu2"/>
        <w:spacing w:line="480" w:lineRule="auto"/>
        <w:jc w:val="both"/>
      </w:pPr>
      <w:bookmarkStart w:id="4" w:name="_ehy1l38yz61v" w:colFirst="0" w:colLast="0"/>
      <w:bookmarkStart w:id="5" w:name="_Toc161660612"/>
      <w:bookmarkEnd w:id="4"/>
      <w:r>
        <w:lastRenderedPageBreak/>
        <w:t>The various foreign exchange risks</w:t>
      </w:r>
      <w:bookmarkEnd w:id="5"/>
    </w:p>
    <w:p w14:paraId="0000000D" w14:textId="1CE5433A" w:rsidR="00E01A00" w:rsidRDefault="007F5FB1" w:rsidP="00777EA5">
      <w:pPr>
        <w:pStyle w:val="Normal1"/>
        <w:spacing w:line="480" w:lineRule="auto"/>
        <w:jc w:val="both"/>
      </w:pPr>
      <w:r>
        <w:t>The foreign exchange risk is the thing at the time of value of the different currencies companies are exchanging the various fluctuations and hence this may result in a financial impact. If a company purchases any product from any foreign country and the payment happens often minute after minute, the exchange rate of all the possible products does not change much. Most of the time the rate of fluctuation over very few minutes is minimal to nothing. So, this says that the rate of the company's expectation to pay is the things they end up paying</w:t>
      </w:r>
      <w:r w:rsidR="00777EA5">
        <w:t xml:space="preserve"> (</w:t>
      </w:r>
      <w:r w:rsidR="00777EA5" w:rsidRPr="00777EA5">
        <w:rPr>
          <w:color w:val="222222"/>
          <w:szCs w:val="20"/>
          <w:shd w:val="clear" w:color="auto" w:fill="FFFFFF"/>
        </w:rPr>
        <w:t xml:space="preserve">Melnyk, </w:t>
      </w:r>
      <w:r w:rsidR="00777EA5">
        <w:rPr>
          <w:color w:val="222222"/>
          <w:szCs w:val="20"/>
          <w:shd w:val="clear" w:color="auto" w:fill="FFFFFF"/>
        </w:rPr>
        <w:t xml:space="preserve">et al, </w:t>
      </w:r>
      <w:r w:rsidR="00777EA5" w:rsidRPr="00777EA5">
        <w:rPr>
          <w:color w:val="222222"/>
          <w:szCs w:val="20"/>
          <w:shd w:val="clear" w:color="auto" w:fill="FFFFFF"/>
        </w:rPr>
        <w:t>2020</w:t>
      </w:r>
      <w:r w:rsidR="00777EA5">
        <w:t>)</w:t>
      </w:r>
      <w:r>
        <w:t>. There are three types of foreign exchange risk:-</w:t>
      </w:r>
    </w:p>
    <w:p w14:paraId="0000000E" w14:textId="77777777" w:rsidR="00E01A00" w:rsidRDefault="007F5FB1" w:rsidP="00777EA5">
      <w:pPr>
        <w:pStyle w:val="Normal1"/>
        <w:numPr>
          <w:ilvl w:val="0"/>
          <w:numId w:val="1"/>
        </w:numPr>
        <w:spacing w:line="480" w:lineRule="auto"/>
        <w:jc w:val="both"/>
      </w:pPr>
      <w:r>
        <w:rPr>
          <w:b/>
          <w:i/>
        </w:rPr>
        <w:t>Economic risk-</w:t>
      </w:r>
      <w:r>
        <w:rPr>
          <w:i/>
        </w:rPr>
        <w:t xml:space="preserve"> </w:t>
      </w:r>
      <w:r>
        <w:t xml:space="preserve">this may also be stated as the operating exposure. This is the kind of risk of a company's value being affected by the various changes in the rates of the currency. This is the most complex type of foreign exchange risk to companies. </w:t>
      </w:r>
    </w:p>
    <w:p w14:paraId="0000000F" w14:textId="63BFE858" w:rsidR="00E01A00" w:rsidRDefault="007F5FB1" w:rsidP="00777EA5">
      <w:pPr>
        <w:pStyle w:val="Normal1"/>
        <w:numPr>
          <w:ilvl w:val="0"/>
          <w:numId w:val="1"/>
        </w:numPr>
        <w:spacing w:line="480" w:lineRule="auto"/>
        <w:jc w:val="both"/>
      </w:pPr>
      <w:r>
        <w:rPr>
          <w:b/>
          <w:i/>
        </w:rPr>
        <w:t>Transaction risk-</w:t>
      </w:r>
      <w:r>
        <w:rPr>
          <w:i/>
        </w:rPr>
        <w:t xml:space="preserve"> </w:t>
      </w:r>
      <w:r>
        <w:t>this is the type of risk that is the most common and simple. This occurs at the time the actual transaction takes place. This type of risk comes from the possibility that the rates are continuously changing so that the original value of the currency may be different from the time of transaction started</w:t>
      </w:r>
      <w:r w:rsidR="00777EA5">
        <w:t xml:space="preserve"> (</w:t>
      </w:r>
      <w:r w:rsidR="00777EA5" w:rsidRPr="00777EA5">
        <w:rPr>
          <w:color w:val="222222"/>
          <w:szCs w:val="20"/>
          <w:shd w:val="clear" w:color="auto" w:fill="FFFFFF"/>
        </w:rPr>
        <w:t>Fiet, 2022</w:t>
      </w:r>
      <w:r w:rsidR="00777EA5">
        <w:t>)</w:t>
      </w:r>
      <w:r>
        <w:t>.</w:t>
      </w:r>
    </w:p>
    <w:p w14:paraId="00000010" w14:textId="6A459127" w:rsidR="00E01A00" w:rsidRDefault="007F5FB1" w:rsidP="00777EA5">
      <w:pPr>
        <w:pStyle w:val="Normal1"/>
        <w:numPr>
          <w:ilvl w:val="0"/>
          <w:numId w:val="1"/>
        </w:numPr>
        <w:spacing w:line="480" w:lineRule="auto"/>
        <w:jc w:val="both"/>
      </w:pPr>
      <w:r>
        <w:rPr>
          <w:b/>
          <w:i/>
        </w:rPr>
        <w:t>Translation risk-</w:t>
      </w:r>
      <w:r>
        <w:rPr>
          <w:b/>
        </w:rPr>
        <w:t xml:space="preserve"> </w:t>
      </w:r>
      <w:r>
        <w:t>this risk can be also stated as the accounting exposure and the impacts of the multinational companies that have been operating and holding in other different countries. This risk happens at the time of due to the translation of the books into the home and the original currency from another currency. This risk occurs at the time of financial reporting of foreign operations</w:t>
      </w:r>
      <w:r w:rsidR="00777EA5">
        <w:t xml:space="preserve"> (</w:t>
      </w:r>
      <w:r w:rsidR="00777EA5" w:rsidRPr="00777EA5">
        <w:rPr>
          <w:color w:val="222222"/>
          <w:szCs w:val="20"/>
          <w:shd w:val="clear" w:color="auto" w:fill="FFFFFF"/>
        </w:rPr>
        <w:t>Smith</w:t>
      </w:r>
      <w:r w:rsidR="00777EA5">
        <w:rPr>
          <w:color w:val="222222"/>
          <w:szCs w:val="20"/>
          <w:shd w:val="clear" w:color="auto" w:fill="FFFFFF"/>
        </w:rPr>
        <w:t xml:space="preserve"> </w:t>
      </w:r>
      <w:r w:rsidR="00777EA5" w:rsidRPr="00777EA5">
        <w:rPr>
          <w:color w:val="222222"/>
          <w:szCs w:val="20"/>
          <w:shd w:val="clear" w:color="auto" w:fill="FFFFFF"/>
        </w:rPr>
        <w:t>and Merritt, 2020</w:t>
      </w:r>
      <w:r w:rsidR="00777EA5">
        <w:t>)</w:t>
      </w:r>
      <w:r>
        <w:t xml:space="preserve">.  </w:t>
      </w:r>
    </w:p>
    <w:p w14:paraId="00000011" w14:textId="77777777" w:rsidR="00E01A00" w:rsidRDefault="007F5FB1" w:rsidP="00777EA5">
      <w:pPr>
        <w:pStyle w:val="Normal1"/>
        <w:spacing w:line="480" w:lineRule="auto"/>
        <w:jc w:val="both"/>
      </w:pPr>
      <w:r>
        <w:br w:type="page"/>
      </w:r>
    </w:p>
    <w:p w14:paraId="00000012" w14:textId="77777777" w:rsidR="00E01A00" w:rsidRDefault="007F5FB1" w:rsidP="00777EA5">
      <w:pPr>
        <w:pStyle w:val="Titlu3"/>
        <w:spacing w:line="480" w:lineRule="auto"/>
        <w:jc w:val="both"/>
      </w:pPr>
      <w:bookmarkStart w:id="6" w:name="_ig2ozwuusbah" w:colFirst="0" w:colLast="0"/>
      <w:bookmarkStart w:id="7" w:name="_Toc161660613"/>
      <w:bookmarkEnd w:id="6"/>
      <w:r>
        <w:lastRenderedPageBreak/>
        <w:t>The various strategies that multinational corporations often adopt in managing their exposure to foreign exchange risks</w:t>
      </w:r>
      <w:bookmarkEnd w:id="7"/>
    </w:p>
    <w:p w14:paraId="00000013" w14:textId="7A7BF5D2" w:rsidR="00E01A00" w:rsidRDefault="007F5FB1" w:rsidP="00777EA5">
      <w:pPr>
        <w:pStyle w:val="Normal1"/>
        <w:spacing w:line="480" w:lineRule="auto"/>
        <w:jc w:val="both"/>
        <w:rPr>
          <w:b/>
        </w:rPr>
      </w:pPr>
      <w:r>
        <w:t>As per experts, there is no way to avoid the foreign exchange currency risk in multinational business. Meanwhile, there are various strategies that multinational companies can use to reduce the risk so that they can protect their profits and the bottom lines. These strategies can be considered and known as hedging. This can help multinational companies reduce their overall exposure to exchange rate fluctuation and can also enable companies to manage their risks. These strategies must be used alone or in combination with the other companies and this can also be tailored to make fit in the business</w:t>
      </w:r>
      <w:r w:rsidR="00777EA5">
        <w:t xml:space="preserve"> (</w:t>
      </w:r>
      <w:r w:rsidR="00777EA5" w:rsidRPr="00777EA5">
        <w:rPr>
          <w:color w:val="222222"/>
          <w:szCs w:val="20"/>
          <w:shd w:val="clear" w:color="auto" w:fill="FFFFFF"/>
        </w:rPr>
        <w:t>Hubbard, 2020</w:t>
      </w:r>
      <w:r w:rsidR="00777EA5">
        <w:t>)</w:t>
      </w:r>
      <w:r>
        <w:t xml:space="preserve">. </w:t>
      </w:r>
      <w:r>
        <w:rPr>
          <w:b/>
        </w:rPr>
        <w:t>Some of the examples of the strategies of hedging are-</w:t>
      </w:r>
    </w:p>
    <w:p w14:paraId="00000014" w14:textId="16148094" w:rsidR="00E01A00" w:rsidRDefault="007F5FB1" w:rsidP="00777EA5">
      <w:pPr>
        <w:pStyle w:val="Normal1"/>
        <w:spacing w:line="480" w:lineRule="auto"/>
        <w:jc w:val="both"/>
      </w:pPr>
      <w:r>
        <w:rPr>
          <w:b/>
          <w:i/>
        </w:rPr>
        <w:t>Market orders-</w:t>
      </w:r>
      <w:r>
        <w:t xml:space="preserve"> These are the strategies that can be chosen by multinational companies. The market offers various continuous, automatic and around-the-time-of-market coverage to further execute and run their overall transactions for the time of hits of markets. This technique has many benefits for multinational companies it is free to place to-market orders and has no cost, it is easily modified and can be cancelled and it also has very fast processing options</w:t>
      </w:r>
      <w:r w:rsidR="00777EA5">
        <w:t xml:space="preserve"> (</w:t>
      </w:r>
      <w:r w:rsidR="00777EA5" w:rsidRPr="00777EA5">
        <w:rPr>
          <w:color w:val="222222"/>
          <w:szCs w:val="20"/>
          <w:shd w:val="clear" w:color="auto" w:fill="FFFFFF"/>
        </w:rPr>
        <w:t>Hubbard, 2020</w:t>
      </w:r>
      <w:r w:rsidR="00777EA5">
        <w:t>)</w:t>
      </w:r>
      <w:r>
        <w:t xml:space="preserve">. </w:t>
      </w:r>
    </w:p>
    <w:p w14:paraId="00000015" w14:textId="0FFCE5C8" w:rsidR="00E01A00" w:rsidRDefault="007F5FB1" w:rsidP="00777EA5">
      <w:pPr>
        <w:pStyle w:val="Normal1"/>
        <w:spacing w:line="480" w:lineRule="auto"/>
        <w:jc w:val="both"/>
      </w:pPr>
      <w:r>
        <w:rPr>
          <w:b/>
          <w:i/>
        </w:rPr>
        <w:t xml:space="preserve">Currency forwards- </w:t>
      </w:r>
      <w:r>
        <w:t>this is the strategy that lets multinational companies pay for the future. Companies used these techniques to sell and buy currency to pay later. Some of the benefits of this technique are that it is very secure to today's exchange rates and can be delivered in the future, it frees up cash flow and has various protection against risk and also it is very easy and effe</w:t>
      </w:r>
      <w:r w:rsidR="00777EA5">
        <w:t>ctive in budgeting and planning (</w:t>
      </w:r>
      <w:r w:rsidR="00777EA5" w:rsidRPr="00777EA5">
        <w:rPr>
          <w:color w:val="222222"/>
          <w:szCs w:val="20"/>
          <w:shd w:val="clear" w:color="auto" w:fill="FFFFFF"/>
        </w:rPr>
        <w:t>Chance</w:t>
      </w:r>
      <w:r w:rsidR="00777EA5">
        <w:rPr>
          <w:color w:val="222222"/>
          <w:szCs w:val="20"/>
          <w:shd w:val="clear" w:color="auto" w:fill="FFFFFF"/>
        </w:rPr>
        <w:t xml:space="preserve"> </w:t>
      </w:r>
      <w:r w:rsidR="00777EA5" w:rsidRPr="00777EA5">
        <w:rPr>
          <w:color w:val="222222"/>
          <w:szCs w:val="20"/>
          <w:shd w:val="clear" w:color="auto" w:fill="FFFFFF"/>
        </w:rPr>
        <w:t>and Brooks, 2021</w:t>
      </w:r>
      <w:r w:rsidR="00777EA5">
        <w:t xml:space="preserve">). </w:t>
      </w:r>
      <w:r>
        <w:t xml:space="preserve"> </w:t>
      </w:r>
    </w:p>
    <w:p w14:paraId="00000016" w14:textId="76D2F262" w:rsidR="00E01A00" w:rsidRDefault="007F5FB1" w:rsidP="00777EA5">
      <w:pPr>
        <w:pStyle w:val="Normal1"/>
        <w:spacing w:line="480" w:lineRule="auto"/>
        <w:jc w:val="both"/>
      </w:pPr>
      <w:r>
        <w:rPr>
          <w:b/>
          <w:i/>
        </w:rPr>
        <w:t xml:space="preserve">Multi-Currency accounts- </w:t>
      </w:r>
      <w:r>
        <w:t xml:space="preserve">this strategy helps in enabling multinational companies to hold their multiple or various currencies in a single account. Through these techniques, multinational companies hold their foreign currencies with zero fees. This process is very applicable at the time </w:t>
      </w:r>
      <w:r>
        <w:lastRenderedPageBreak/>
        <w:t>of receiving the foreign exchanges. The monex of the USA lets multinational companies hold over 30 various countries for the use of the future</w:t>
      </w:r>
      <w:r w:rsidR="00777EA5">
        <w:t xml:space="preserve"> (</w:t>
      </w:r>
      <w:r w:rsidR="00777EA5" w:rsidRPr="00777EA5">
        <w:rPr>
          <w:color w:val="222222"/>
          <w:szCs w:val="20"/>
          <w:shd w:val="clear" w:color="auto" w:fill="FFFFFF"/>
        </w:rPr>
        <w:t>Chance</w:t>
      </w:r>
      <w:r w:rsidR="00777EA5">
        <w:rPr>
          <w:color w:val="222222"/>
          <w:szCs w:val="20"/>
          <w:shd w:val="clear" w:color="auto" w:fill="FFFFFF"/>
        </w:rPr>
        <w:t xml:space="preserve"> </w:t>
      </w:r>
      <w:r w:rsidR="00777EA5" w:rsidRPr="00777EA5">
        <w:rPr>
          <w:color w:val="222222"/>
          <w:szCs w:val="20"/>
          <w:shd w:val="clear" w:color="auto" w:fill="FFFFFF"/>
        </w:rPr>
        <w:t>and Brooks, 2021</w:t>
      </w:r>
      <w:r w:rsidR="00777EA5">
        <w:t>)</w:t>
      </w:r>
      <w:r>
        <w:t xml:space="preserve">. </w:t>
      </w:r>
    </w:p>
    <w:p w14:paraId="00000017" w14:textId="79B2B9DA" w:rsidR="00E01A00" w:rsidRDefault="007F5FB1" w:rsidP="00777EA5">
      <w:pPr>
        <w:pStyle w:val="Normal1"/>
        <w:spacing w:line="480" w:lineRule="auto"/>
        <w:jc w:val="both"/>
      </w:pPr>
      <w:r>
        <w:rPr>
          <w:b/>
          <w:i/>
        </w:rPr>
        <w:t>Spot Transaction-</w:t>
      </w:r>
      <w:r>
        <w:t xml:space="preserve"> this is the strategy that lets multinational companies in quick purchases and also the quick spending of over 130 different countries at an ongoing rate. This technique is used by various multinational companies to find solutions for quick cross-border transfers. Companies spot transactions in very secure and stress-free ways to further spend and receive money across borders quickly. Multinational companies use this strategy to make their quick budgeting plan. This strategy has various advantages like receiving money transfers can be a very painstaking and costly process with the collaboration of the banks. Monex puts the control in their hands. This technique helps companies accept more than 30 foreign currencies without any hassle, there is no need for an international bank account and further, this technique provides companies with a more transparent and clear process of currency transfer</w:t>
      </w:r>
      <w:r w:rsidR="00777EA5">
        <w:t xml:space="preserve"> (</w:t>
      </w:r>
      <w:r w:rsidR="00777EA5" w:rsidRPr="00777EA5">
        <w:rPr>
          <w:color w:val="222222"/>
          <w:szCs w:val="20"/>
          <w:shd w:val="clear" w:color="auto" w:fill="FFFFFF"/>
        </w:rPr>
        <w:t xml:space="preserve">Perera, </w:t>
      </w:r>
      <w:r w:rsidR="00777EA5">
        <w:rPr>
          <w:color w:val="222222"/>
          <w:szCs w:val="20"/>
          <w:shd w:val="clear" w:color="auto" w:fill="FFFFFF"/>
        </w:rPr>
        <w:t xml:space="preserve">et al, </w:t>
      </w:r>
      <w:r w:rsidR="00777EA5" w:rsidRPr="00777EA5">
        <w:rPr>
          <w:color w:val="222222"/>
          <w:szCs w:val="20"/>
          <w:shd w:val="clear" w:color="auto" w:fill="FFFFFF"/>
        </w:rPr>
        <w:t>2020</w:t>
      </w:r>
      <w:r w:rsidR="00777EA5">
        <w:t>)</w:t>
      </w:r>
      <w:r>
        <w:t xml:space="preserve">.  </w:t>
      </w:r>
      <w:r>
        <w:br w:type="page"/>
      </w:r>
    </w:p>
    <w:p w14:paraId="00000018" w14:textId="77777777" w:rsidR="00E01A00" w:rsidRDefault="007F5FB1" w:rsidP="00777EA5">
      <w:pPr>
        <w:pStyle w:val="Titlu1"/>
        <w:spacing w:line="480" w:lineRule="auto"/>
        <w:jc w:val="both"/>
      </w:pPr>
      <w:bookmarkStart w:id="8" w:name="_e7kuzyms53mf" w:colFirst="0" w:colLast="0"/>
      <w:bookmarkStart w:id="9" w:name="_Toc161660614"/>
      <w:bookmarkEnd w:id="8"/>
      <w:r>
        <w:lastRenderedPageBreak/>
        <w:t>Conclusion</w:t>
      </w:r>
      <w:bookmarkEnd w:id="9"/>
      <w:r>
        <w:t xml:space="preserve"> </w:t>
      </w:r>
    </w:p>
    <w:p w14:paraId="00000019" w14:textId="77777777" w:rsidR="00E01A00" w:rsidRDefault="007F5FB1" w:rsidP="00777EA5">
      <w:pPr>
        <w:pStyle w:val="Normal1"/>
        <w:spacing w:line="480" w:lineRule="auto"/>
        <w:jc w:val="both"/>
      </w:pPr>
      <w:r>
        <w:t xml:space="preserve">The report has aimed to provide detailed information about the international financial management (IFM) theories. The various demonstrations of the knowledge and understanding based on the foreign exchange risk have been demonstrated in the report. Different types of theories and their evaluation of the ease multinational companies use to manage their foreign exchange risk have been discussed in the report. Furthermore, the report has discussed the various risks and the strategies multinational companies use to adopt those risks have been displayed in the report. </w:t>
      </w:r>
      <w:r>
        <w:br w:type="page"/>
      </w:r>
    </w:p>
    <w:p w14:paraId="0000001A" w14:textId="77777777" w:rsidR="00E01A00" w:rsidRDefault="007F5FB1" w:rsidP="00777EA5">
      <w:pPr>
        <w:pStyle w:val="Titlu1"/>
        <w:spacing w:line="480" w:lineRule="auto"/>
        <w:jc w:val="both"/>
      </w:pPr>
      <w:bookmarkStart w:id="10" w:name="_ic5w2np8wfbm" w:colFirst="0" w:colLast="0"/>
      <w:bookmarkStart w:id="11" w:name="_Toc161660615"/>
      <w:bookmarkEnd w:id="10"/>
      <w:r>
        <w:lastRenderedPageBreak/>
        <w:t>References</w:t>
      </w:r>
      <w:bookmarkEnd w:id="11"/>
      <w:r>
        <w:t xml:space="preserve"> </w:t>
      </w:r>
    </w:p>
    <w:p w14:paraId="7038D6EB" w14:textId="77777777" w:rsidR="00777EA5" w:rsidRPr="00777EA5" w:rsidRDefault="00777EA5" w:rsidP="00777EA5">
      <w:pPr>
        <w:pStyle w:val="Normal1"/>
        <w:spacing w:line="480" w:lineRule="auto"/>
        <w:jc w:val="both"/>
        <w:rPr>
          <w:color w:val="222222"/>
          <w:szCs w:val="20"/>
          <w:shd w:val="clear" w:color="auto" w:fill="FFFFFF"/>
        </w:rPr>
      </w:pPr>
      <w:r w:rsidRPr="00777EA5">
        <w:rPr>
          <w:color w:val="222222"/>
          <w:szCs w:val="20"/>
          <w:shd w:val="clear" w:color="auto" w:fill="FFFFFF"/>
        </w:rPr>
        <w:t xml:space="preserve">Ba, H., </w:t>
      </w:r>
      <w:r>
        <w:rPr>
          <w:color w:val="222222"/>
          <w:szCs w:val="20"/>
          <w:shd w:val="clear" w:color="auto" w:fill="FFFFFF"/>
        </w:rPr>
        <w:t>(</w:t>
      </w:r>
      <w:r w:rsidRPr="00777EA5">
        <w:rPr>
          <w:color w:val="222222"/>
          <w:szCs w:val="20"/>
          <w:shd w:val="clear" w:color="auto" w:fill="FFFFFF"/>
        </w:rPr>
        <w:t>2021</w:t>
      </w:r>
      <w:r>
        <w:rPr>
          <w:color w:val="222222"/>
          <w:szCs w:val="20"/>
          <w:shd w:val="clear" w:color="auto" w:fill="FFFFFF"/>
        </w:rPr>
        <w:t>)</w:t>
      </w:r>
      <w:r w:rsidRPr="00777EA5">
        <w:rPr>
          <w:color w:val="222222"/>
          <w:szCs w:val="20"/>
          <w:shd w:val="clear" w:color="auto" w:fill="FFFFFF"/>
        </w:rPr>
        <w:t>. Hegemonic instability: complex interdependence and the dynamics of financial crisis in the contemporary international system. </w:t>
      </w:r>
      <w:r w:rsidRPr="00777EA5">
        <w:rPr>
          <w:i/>
          <w:iCs/>
          <w:color w:val="222222"/>
          <w:szCs w:val="20"/>
          <w:shd w:val="clear" w:color="auto" w:fill="FFFFFF"/>
        </w:rPr>
        <w:t>European Journal of International Relations</w:t>
      </w:r>
      <w:r w:rsidRPr="00777EA5">
        <w:rPr>
          <w:color w:val="222222"/>
          <w:szCs w:val="20"/>
          <w:shd w:val="clear" w:color="auto" w:fill="FFFFFF"/>
        </w:rPr>
        <w:t>, </w:t>
      </w:r>
      <w:r w:rsidRPr="00777EA5">
        <w:rPr>
          <w:i/>
          <w:iCs/>
          <w:color w:val="222222"/>
          <w:szCs w:val="20"/>
          <w:shd w:val="clear" w:color="auto" w:fill="FFFFFF"/>
        </w:rPr>
        <w:t>27</w:t>
      </w:r>
      <w:r w:rsidRPr="00777EA5">
        <w:rPr>
          <w:color w:val="222222"/>
          <w:szCs w:val="20"/>
          <w:shd w:val="clear" w:color="auto" w:fill="FFFFFF"/>
        </w:rPr>
        <w:t>(2), pp.369-402.</w:t>
      </w:r>
    </w:p>
    <w:p w14:paraId="4F99E158" w14:textId="77777777" w:rsidR="00777EA5" w:rsidRPr="00777EA5" w:rsidRDefault="00777EA5" w:rsidP="00777EA5">
      <w:pPr>
        <w:pStyle w:val="Normal1"/>
        <w:spacing w:line="480" w:lineRule="auto"/>
        <w:jc w:val="both"/>
        <w:rPr>
          <w:sz w:val="32"/>
        </w:rPr>
      </w:pPr>
      <w:r w:rsidRPr="00777EA5">
        <w:rPr>
          <w:color w:val="222222"/>
          <w:szCs w:val="20"/>
          <w:shd w:val="clear" w:color="auto" w:fill="FFFFFF"/>
        </w:rPr>
        <w:t xml:space="preserve">Chance, D.M. and Brooks, R., </w:t>
      </w:r>
      <w:r>
        <w:rPr>
          <w:color w:val="222222"/>
          <w:szCs w:val="20"/>
          <w:shd w:val="clear" w:color="auto" w:fill="FFFFFF"/>
        </w:rPr>
        <w:t>(</w:t>
      </w:r>
      <w:r w:rsidRPr="00777EA5">
        <w:rPr>
          <w:color w:val="222222"/>
          <w:szCs w:val="20"/>
          <w:shd w:val="clear" w:color="auto" w:fill="FFFFFF"/>
        </w:rPr>
        <w:t>2021</w:t>
      </w:r>
      <w:r>
        <w:rPr>
          <w:color w:val="222222"/>
          <w:szCs w:val="20"/>
          <w:shd w:val="clear" w:color="auto" w:fill="FFFFFF"/>
        </w:rPr>
        <w:t>)</w:t>
      </w:r>
      <w:r w:rsidRPr="00777EA5">
        <w:rPr>
          <w:color w:val="222222"/>
          <w:szCs w:val="20"/>
          <w:shd w:val="clear" w:color="auto" w:fill="FFFFFF"/>
        </w:rPr>
        <w:t>. </w:t>
      </w:r>
      <w:r w:rsidRPr="00777EA5">
        <w:rPr>
          <w:i/>
          <w:iCs/>
          <w:color w:val="222222"/>
          <w:szCs w:val="20"/>
          <w:shd w:val="clear" w:color="auto" w:fill="FFFFFF"/>
        </w:rPr>
        <w:t>An introduction to derivatives and risk management</w:t>
      </w:r>
      <w:r w:rsidRPr="00777EA5">
        <w:rPr>
          <w:color w:val="222222"/>
          <w:szCs w:val="20"/>
          <w:shd w:val="clear" w:color="auto" w:fill="FFFFFF"/>
        </w:rPr>
        <w:t>. South-Western, Cengage Learning.</w:t>
      </w:r>
    </w:p>
    <w:p w14:paraId="5D66BD11" w14:textId="77777777" w:rsidR="00777EA5" w:rsidRPr="00777EA5" w:rsidRDefault="00777EA5" w:rsidP="00777EA5">
      <w:pPr>
        <w:pStyle w:val="Normal1"/>
        <w:spacing w:line="480" w:lineRule="auto"/>
        <w:jc w:val="both"/>
        <w:rPr>
          <w:color w:val="222222"/>
          <w:szCs w:val="20"/>
          <w:shd w:val="clear" w:color="auto" w:fill="FFFFFF"/>
        </w:rPr>
      </w:pPr>
      <w:r w:rsidRPr="00777EA5">
        <w:rPr>
          <w:color w:val="222222"/>
          <w:szCs w:val="20"/>
          <w:shd w:val="clear" w:color="auto" w:fill="FFFFFF"/>
        </w:rPr>
        <w:t xml:space="preserve">Fiet, J.O., </w:t>
      </w:r>
      <w:r>
        <w:rPr>
          <w:color w:val="222222"/>
          <w:szCs w:val="20"/>
          <w:shd w:val="clear" w:color="auto" w:fill="FFFFFF"/>
        </w:rPr>
        <w:t>(</w:t>
      </w:r>
      <w:r w:rsidRPr="00777EA5">
        <w:rPr>
          <w:color w:val="222222"/>
          <w:szCs w:val="20"/>
          <w:shd w:val="clear" w:color="auto" w:fill="FFFFFF"/>
        </w:rPr>
        <w:t>2022</w:t>
      </w:r>
      <w:r>
        <w:rPr>
          <w:color w:val="222222"/>
          <w:szCs w:val="20"/>
          <w:shd w:val="clear" w:color="auto" w:fill="FFFFFF"/>
        </w:rPr>
        <w:t>)</w:t>
      </w:r>
      <w:r w:rsidRPr="00777EA5">
        <w:rPr>
          <w:color w:val="222222"/>
          <w:szCs w:val="20"/>
          <w:shd w:val="clear" w:color="auto" w:fill="FFFFFF"/>
        </w:rPr>
        <w:t>. Risk avoidance strategies in venture capital markets. In </w:t>
      </w:r>
      <w:r w:rsidRPr="00777EA5">
        <w:rPr>
          <w:i/>
          <w:iCs/>
          <w:color w:val="222222"/>
          <w:szCs w:val="20"/>
          <w:shd w:val="clear" w:color="auto" w:fill="FFFFFF"/>
        </w:rPr>
        <w:t>Venture Capital</w:t>
      </w:r>
      <w:r w:rsidRPr="00777EA5">
        <w:rPr>
          <w:color w:val="222222"/>
          <w:szCs w:val="20"/>
          <w:shd w:val="clear" w:color="auto" w:fill="FFFFFF"/>
        </w:rPr>
        <w:t> (pp. 219-242). Routledge.</w:t>
      </w:r>
    </w:p>
    <w:p w14:paraId="497015AF" w14:textId="77777777" w:rsidR="00777EA5" w:rsidRPr="00777EA5" w:rsidRDefault="00777EA5" w:rsidP="00777EA5">
      <w:pPr>
        <w:pStyle w:val="Normal1"/>
        <w:spacing w:line="480" w:lineRule="auto"/>
        <w:jc w:val="both"/>
        <w:rPr>
          <w:sz w:val="32"/>
        </w:rPr>
      </w:pPr>
      <w:r w:rsidRPr="00777EA5">
        <w:rPr>
          <w:color w:val="222222"/>
          <w:szCs w:val="20"/>
          <w:shd w:val="clear" w:color="auto" w:fill="FFFFFF"/>
        </w:rPr>
        <w:t xml:space="preserve">Hubbard, D.W., </w:t>
      </w:r>
      <w:r>
        <w:rPr>
          <w:color w:val="222222"/>
          <w:szCs w:val="20"/>
          <w:shd w:val="clear" w:color="auto" w:fill="FFFFFF"/>
        </w:rPr>
        <w:t>(</w:t>
      </w:r>
      <w:r w:rsidRPr="00777EA5">
        <w:rPr>
          <w:color w:val="222222"/>
          <w:szCs w:val="20"/>
          <w:shd w:val="clear" w:color="auto" w:fill="FFFFFF"/>
        </w:rPr>
        <w:t>2020</w:t>
      </w:r>
      <w:r>
        <w:rPr>
          <w:color w:val="222222"/>
          <w:szCs w:val="20"/>
          <w:shd w:val="clear" w:color="auto" w:fill="FFFFFF"/>
        </w:rPr>
        <w:t>)</w:t>
      </w:r>
      <w:r w:rsidRPr="00777EA5">
        <w:rPr>
          <w:color w:val="222222"/>
          <w:szCs w:val="20"/>
          <w:shd w:val="clear" w:color="auto" w:fill="FFFFFF"/>
        </w:rPr>
        <w:t>. </w:t>
      </w:r>
      <w:r w:rsidRPr="00777EA5">
        <w:rPr>
          <w:i/>
          <w:iCs/>
          <w:color w:val="222222"/>
          <w:szCs w:val="20"/>
          <w:shd w:val="clear" w:color="auto" w:fill="FFFFFF"/>
        </w:rPr>
        <w:t>The failure of risk management: Why it's broken and how to fix it</w:t>
      </w:r>
      <w:r w:rsidRPr="00777EA5">
        <w:rPr>
          <w:color w:val="222222"/>
          <w:szCs w:val="20"/>
          <w:shd w:val="clear" w:color="auto" w:fill="FFFFFF"/>
        </w:rPr>
        <w:t>. John Wiley &amp; Sons.</w:t>
      </w:r>
    </w:p>
    <w:p w14:paraId="6BFCB29D" w14:textId="77777777" w:rsidR="00777EA5" w:rsidRPr="00777EA5" w:rsidRDefault="00777EA5" w:rsidP="00777EA5">
      <w:pPr>
        <w:pStyle w:val="Normal1"/>
        <w:spacing w:line="480" w:lineRule="auto"/>
        <w:jc w:val="both"/>
        <w:rPr>
          <w:color w:val="222222"/>
          <w:szCs w:val="20"/>
          <w:shd w:val="clear" w:color="auto" w:fill="FFFFFF"/>
        </w:rPr>
      </w:pPr>
      <w:r w:rsidRPr="00777EA5">
        <w:rPr>
          <w:color w:val="222222"/>
          <w:szCs w:val="20"/>
          <w:shd w:val="clear" w:color="auto" w:fill="FFFFFF"/>
        </w:rPr>
        <w:t xml:space="preserve">Klapper, L. and Lusardi, A., </w:t>
      </w:r>
      <w:r>
        <w:rPr>
          <w:color w:val="222222"/>
          <w:szCs w:val="20"/>
          <w:shd w:val="clear" w:color="auto" w:fill="FFFFFF"/>
        </w:rPr>
        <w:t>(</w:t>
      </w:r>
      <w:r w:rsidRPr="00777EA5">
        <w:rPr>
          <w:color w:val="222222"/>
          <w:szCs w:val="20"/>
          <w:shd w:val="clear" w:color="auto" w:fill="FFFFFF"/>
        </w:rPr>
        <w:t>2020</w:t>
      </w:r>
      <w:r>
        <w:rPr>
          <w:color w:val="222222"/>
          <w:szCs w:val="20"/>
          <w:shd w:val="clear" w:color="auto" w:fill="FFFFFF"/>
        </w:rPr>
        <w:t>)</w:t>
      </w:r>
      <w:r w:rsidRPr="00777EA5">
        <w:rPr>
          <w:color w:val="222222"/>
          <w:szCs w:val="20"/>
          <w:shd w:val="clear" w:color="auto" w:fill="FFFFFF"/>
        </w:rPr>
        <w:t>. Financial literacy and financial resilience: Evidence from around the world. </w:t>
      </w:r>
      <w:r w:rsidRPr="00777EA5">
        <w:rPr>
          <w:i/>
          <w:iCs/>
          <w:color w:val="222222"/>
          <w:szCs w:val="20"/>
          <w:shd w:val="clear" w:color="auto" w:fill="FFFFFF"/>
        </w:rPr>
        <w:t>Financial Management</w:t>
      </w:r>
      <w:r w:rsidRPr="00777EA5">
        <w:rPr>
          <w:color w:val="222222"/>
          <w:szCs w:val="20"/>
          <w:shd w:val="clear" w:color="auto" w:fill="FFFFFF"/>
        </w:rPr>
        <w:t>, </w:t>
      </w:r>
      <w:r w:rsidRPr="00777EA5">
        <w:rPr>
          <w:i/>
          <w:iCs/>
          <w:color w:val="222222"/>
          <w:szCs w:val="20"/>
          <w:shd w:val="clear" w:color="auto" w:fill="FFFFFF"/>
        </w:rPr>
        <w:t>49</w:t>
      </w:r>
      <w:r w:rsidRPr="00777EA5">
        <w:rPr>
          <w:color w:val="222222"/>
          <w:szCs w:val="20"/>
          <w:shd w:val="clear" w:color="auto" w:fill="FFFFFF"/>
        </w:rPr>
        <w:t>(3), pp.589-614.</w:t>
      </w:r>
    </w:p>
    <w:p w14:paraId="585D1B48" w14:textId="77777777" w:rsidR="00777EA5" w:rsidRPr="00777EA5" w:rsidRDefault="00777EA5" w:rsidP="00777EA5">
      <w:pPr>
        <w:pStyle w:val="Normal1"/>
        <w:spacing w:line="480" w:lineRule="auto"/>
        <w:jc w:val="both"/>
        <w:rPr>
          <w:color w:val="222222"/>
          <w:szCs w:val="20"/>
          <w:shd w:val="clear" w:color="auto" w:fill="FFFFFF"/>
        </w:rPr>
      </w:pPr>
      <w:r w:rsidRPr="00777EA5">
        <w:rPr>
          <w:color w:val="222222"/>
          <w:szCs w:val="20"/>
          <w:shd w:val="clear" w:color="auto" w:fill="FFFFFF"/>
        </w:rPr>
        <w:t xml:space="preserve">Melnyk, N., Trachova, D.Y., Kolesnikova, O., Demchuk, O. and Golub, N., </w:t>
      </w:r>
      <w:r>
        <w:rPr>
          <w:color w:val="222222"/>
          <w:szCs w:val="20"/>
          <w:shd w:val="clear" w:color="auto" w:fill="FFFFFF"/>
        </w:rPr>
        <w:t>(</w:t>
      </w:r>
      <w:r w:rsidRPr="00777EA5">
        <w:rPr>
          <w:color w:val="222222"/>
          <w:szCs w:val="20"/>
          <w:shd w:val="clear" w:color="auto" w:fill="FFFFFF"/>
        </w:rPr>
        <w:t>2020</w:t>
      </w:r>
      <w:r>
        <w:rPr>
          <w:color w:val="222222"/>
          <w:szCs w:val="20"/>
          <w:shd w:val="clear" w:color="auto" w:fill="FFFFFF"/>
        </w:rPr>
        <w:t>)</w:t>
      </w:r>
      <w:r w:rsidRPr="00777EA5">
        <w:rPr>
          <w:color w:val="222222"/>
          <w:szCs w:val="20"/>
          <w:shd w:val="clear" w:color="auto" w:fill="FFFFFF"/>
        </w:rPr>
        <w:t>. Accounting trends in the modern world. </w:t>
      </w:r>
      <w:r w:rsidRPr="00777EA5">
        <w:rPr>
          <w:i/>
          <w:iCs/>
          <w:color w:val="222222"/>
          <w:szCs w:val="20"/>
          <w:shd w:val="clear" w:color="auto" w:fill="FFFFFF"/>
        </w:rPr>
        <w:t>Independent Journal of Management &amp; Production</w:t>
      </w:r>
      <w:r w:rsidRPr="00777EA5">
        <w:rPr>
          <w:color w:val="222222"/>
          <w:szCs w:val="20"/>
          <w:shd w:val="clear" w:color="auto" w:fill="FFFFFF"/>
        </w:rPr>
        <w:t>, </w:t>
      </w:r>
      <w:r w:rsidRPr="00777EA5">
        <w:rPr>
          <w:i/>
          <w:iCs/>
          <w:color w:val="222222"/>
          <w:szCs w:val="20"/>
          <w:shd w:val="clear" w:color="auto" w:fill="FFFFFF"/>
        </w:rPr>
        <w:t>11</w:t>
      </w:r>
      <w:r w:rsidRPr="00777EA5">
        <w:rPr>
          <w:color w:val="222222"/>
          <w:szCs w:val="20"/>
          <w:shd w:val="clear" w:color="auto" w:fill="FFFFFF"/>
        </w:rPr>
        <w:t>(9), pp.2403-2416.</w:t>
      </w:r>
    </w:p>
    <w:p w14:paraId="06EC88E1" w14:textId="77777777" w:rsidR="00777EA5" w:rsidRPr="00777EA5" w:rsidRDefault="00777EA5" w:rsidP="00777EA5">
      <w:pPr>
        <w:pStyle w:val="Normal1"/>
        <w:spacing w:line="480" w:lineRule="auto"/>
        <w:jc w:val="both"/>
        <w:rPr>
          <w:color w:val="222222"/>
          <w:szCs w:val="20"/>
          <w:shd w:val="clear" w:color="auto" w:fill="FFFFFF"/>
        </w:rPr>
      </w:pPr>
      <w:r w:rsidRPr="00777EA5">
        <w:rPr>
          <w:color w:val="222222"/>
          <w:szCs w:val="20"/>
          <w:shd w:val="clear" w:color="auto" w:fill="FFFFFF"/>
        </w:rPr>
        <w:t xml:space="preserve">Mosteanu, N.R. and Faccia, A., </w:t>
      </w:r>
      <w:r>
        <w:rPr>
          <w:color w:val="222222"/>
          <w:szCs w:val="20"/>
          <w:shd w:val="clear" w:color="auto" w:fill="FFFFFF"/>
        </w:rPr>
        <w:t>(2020)</w:t>
      </w:r>
      <w:r w:rsidRPr="00777EA5">
        <w:rPr>
          <w:color w:val="222222"/>
          <w:szCs w:val="20"/>
          <w:shd w:val="clear" w:color="auto" w:fill="FFFFFF"/>
        </w:rPr>
        <w:t>. Digital systems and new challenges of financial management–FinTech, XBRL, blockchain and cryptocurrencies. </w:t>
      </w:r>
      <w:r w:rsidRPr="00777EA5">
        <w:rPr>
          <w:i/>
          <w:iCs/>
          <w:color w:val="222222"/>
          <w:szCs w:val="20"/>
          <w:shd w:val="clear" w:color="auto" w:fill="FFFFFF"/>
        </w:rPr>
        <w:t>Quality–Access to Success</w:t>
      </w:r>
      <w:r w:rsidRPr="00777EA5">
        <w:rPr>
          <w:color w:val="222222"/>
          <w:szCs w:val="20"/>
          <w:shd w:val="clear" w:color="auto" w:fill="FFFFFF"/>
        </w:rPr>
        <w:t>, </w:t>
      </w:r>
      <w:r w:rsidRPr="00777EA5">
        <w:rPr>
          <w:i/>
          <w:iCs/>
          <w:color w:val="222222"/>
          <w:szCs w:val="20"/>
          <w:shd w:val="clear" w:color="auto" w:fill="FFFFFF"/>
        </w:rPr>
        <w:t>21</w:t>
      </w:r>
      <w:r w:rsidRPr="00777EA5">
        <w:rPr>
          <w:color w:val="222222"/>
          <w:szCs w:val="20"/>
          <w:shd w:val="clear" w:color="auto" w:fill="FFFFFF"/>
        </w:rPr>
        <w:t>(174), pp.159-166.</w:t>
      </w:r>
    </w:p>
    <w:p w14:paraId="3B4BCC8C" w14:textId="77777777" w:rsidR="00777EA5" w:rsidRPr="00777EA5" w:rsidRDefault="00777EA5" w:rsidP="00777EA5">
      <w:pPr>
        <w:pStyle w:val="Normal1"/>
        <w:spacing w:line="480" w:lineRule="auto"/>
        <w:jc w:val="both"/>
        <w:rPr>
          <w:color w:val="222222"/>
          <w:szCs w:val="20"/>
          <w:shd w:val="clear" w:color="auto" w:fill="FFFFFF"/>
        </w:rPr>
      </w:pPr>
      <w:r w:rsidRPr="00777EA5">
        <w:rPr>
          <w:color w:val="222222"/>
          <w:szCs w:val="20"/>
          <w:shd w:val="clear" w:color="auto" w:fill="FFFFFF"/>
        </w:rPr>
        <w:t xml:space="preserve">Perera, A.A.S., Rahmat, A.K., Khatibi, A. and Azam, S.F., </w:t>
      </w:r>
      <w:r>
        <w:rPr>
          <w:color w:val="222222"/>
          <w:szCs w:val="20"/>
          <w:shd w:val="clear" w:color="auto" w:fill="FFFFFF"/>
        </w:rPr>
        <w:t>(</w:t>
      </w:r>
      <w:r w:rsidRPr="00777EA5">
        <w:rPr>
          <w:color w:val="222222"/>
          <w:szCs w:val="20"/>
          <w:shd w:val="clear" w:color="auto" w:fill="FFFFFF"/>
        </w:rPr>
        <w:t>2020</w:t>
      </w:r>
      <w:r>
        <w:rPr>
          <w:color w:val="222222"/>
          <w:szCs w:val="20"/>
          <w:shd w:val="clear" w:color="auto" w:fill="FFFFFF"/>
        </w:rPr>
        <w:t>)</w:t>
      </w:r>
      <w:r w:rsidRPr="00777EA5">
        <w:rPr>
          <w:color w:val="222222"/>
          <w:szCs w:val="20"/>
          <w:shd w:val="clear" w:color="auto" w:fill="FFFFFF"/>
        </w:rPr>
        <w:t>. Review of literature: implementation of enterprise risk management into higher education. </w:t>
      </w:r>
      <w:r w:rsidRPr="00777EA5">
        <w:rPr>
          <w:i/>
          <w:iCs/>
          <w:color w:val="222222"/>
          <w:szCs w:val="20"/>
          <w:shd w:val="clear" w:color="auto" w:fill="FFFFFF"/>
        </w:rPr>
        <w:t>International Journal of Education and Research</w:t>
      </w:r>
      <w:r w:rsidRPr="00777EA5">
        <w:rPr>
          <w:color w:val="222222"/>
          <w:szCs w:val="20"/>
          <w:shd w:val="clear" w:color="auto" w:fill="FFFFFF"/>
        </w:rPr>
        <w:t>, </w:t>
      </w:r>
      <w:r w:rsidRPr="00777EA5">
        <w:rPr>
          <w:i/>
          <w:iCs/>
          <w:color w:val="222222"/>
          <w:szCs w:val="20"/>
          <w:shd w:val="clear" w:color="auto" w:fill="FFFFFF"/>
        </w:rPr>
        <w:t>8</w:t>
      </w:r>
      <w:r w:rsidRPr="00777EA5">
        <w:rPr>
          <w:color w:val="222222"/>
          <w:szCs w:val="20"/>
          <w:shd w:val="clear" w:color="auto" w:fill="FFFFFF"/>
        </w:rPr>
        <w:t>(10), pp.155-172.</w:t>
      </w:r>
    </w:p>
    <w:p w14:paraId="65F2E229" w14:textId="77777777" w:rsidR="00777EA5" w:rsidRPr="00777EA5" w:rsidRDefault="00777EA5" w:rsidP="00777EA5">
      <w:pPr>
        <w:pStyle w:val="Normal1"/>
        <w:spacing w:line="480" w:lineRule="auto"/>
        <w:jc w:val="both"/>
        <w:rPr>
          <w:sz w:val="32"/>
        </w:rPr>
      </w:pPr>
      <w:r w:rsidRPr="00777EA5">
        <w:rPr>
          <w:color w:val="222222"/>
          <w:szCs w:val="20"/>
          <w:shd w:val="clear" w:color="auto" w:fill="FFFFFF"/>
        </w:rPr>
        <w:t xml:space="preserve">Smith, P.G. and Merritt, G.M., </w:t>
      </w:r>
      <w:r>
        <w:rPr>
          <w:color w:val="222222"/>
          <w:szCs w:val="20"/>
          <w:shd w:val="clear" w:color="auto" w:fill="FFFFFF"/>
        </w:rPr>
        <w:t>(</w:t>
      </w:r>
      <w:r w:rsidRPr="00777EA5">
        <w:rPr>
          <w:color w:val="222222"/>
          <w:szCs w:val="20"/>
          <w:shd w:val="clear" w:color="auto" w:fill="FFFFFF"/>
        </w:rPr>
        <w:t>2020</w:t>
      </w:r>
      <w:r>
        <w:rPr>
          <w:color w:val="222222"/>
          <w:szCs w:val="20"/>
          <w:shd w:val="clear" w:color="auto" w:fill="FFFFFF"/>
        </w:rPr>
        <w:t>)</w:t>
      </w:r>
      <w:r w:rsidRPr="00777EA5">
        <w:rPr>
          <w:color w:val="222222"/>
          <w:szCs w:val="20"/>
          <w:shd w:val="clear" w:color="auto" w:fill="FFFFFF"/>
        </w:rPr>
        <w:t>. </w:t>
      </w:r>
      <w:r w:rsidRPr="00777EA5">
        <w:rPr>
          <w:i/>
          <w:iCs/>
          <w:color w:val="222222"/>
          <w:szCs w:val="20"/>
          <w:shd w:val="clear" w:color="auto" w:fill="FFFFFF"/>
        </w:rPr>
        <w:t>Proactive risk management: Controlling uncertainty in product development</w:t>
      </w:r>
      <w:r w:rsidRPr="00777EA5">
        <w:rPr>
          <w:color w:val="222222"/>
          <w:szCs w:val="20"/>
          <w:shd w:val="clear" w:color="auto" w:fill="FFFFFF"/>
        </w:rPr>
        <w:t>. productivity press</w:t>
      </w:r>
      <w:r>
        <w:rPr>
          <w:color w:val="222222"/>
          <w:szCs w:val="20"/>
          <w:shd w:val="clear" w:color="auto" w:fill="FFFFFF"/>
        </w:rPr>
        <w:t xml:space="preserve">. </w:t>
      </w:r>
    </w:p>
    <w:sectPr w:rsidR="00777EA5" w:rsidRPr="00777EA5" w:rsidSect="000B3973">
      <w:headerReference w:type="default" r:id="rId8"/>
      <w:footerReference w:type="default" r:id="rId9"/>
      <w:pgSz w:w="12240" w:h="15840"/>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9A3FE" w14:textId="77777777" w:rsidR="000B3973" w:rsidRDefault="000B3973" w:rsidP="00777EA5">
      <w:pPr>
        <w:spacing w:line="240" w:lineRule="auto"/>
      </w:pPr>
      <w:r>
        <w:separator/>
      </w:r>
    </w:p>
  </w:endnote>
  <w:endnote w:type="continuationSeparator" w:id="0">
    <w:p w14:paraId="23AE56FD" w14:textId="77777777" w:rsidR="000B3973" w:rsidRDefault="000B3973" w:rsidP="00777E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3607477"/>
      <w:docPartObj>
        <w:docPartGallery w:val="Page Numbers (Bottom of Page)"/>
        <w:docPartUnique/>
      </w:docPartObj>
    </w:sdtPr>
    <w:sdtContent>
      <w:sdt>
        <w:sdtPr>
          <w:id w:val="-1769616900"/>
          <w:docPartObj>
            <w:docPartGallery w:val="Page Numbers (Top of Page)"/>
            <w:docPartUnique/>
          </w:docPartObj>
        </w:sdtPr>
        <w:sdtContent>
          <w:p w14:paraId="205E9F42" w14:textId="3602E7F0" w:rsidR="00777EA5" w:rsidRDefault="00777EA5">
            <w:pPr>
              <w:pStyle w:val="Subsol"/>
              <w:jc w:val="right"/>
            </w:pPr>
            <w:r>
              <w:t xml:space="preserve">Page </w:t>
            </w:r>
            <w:r>
              <w:rPr>
                <w:b/>
                <w:bCs/>
              </w:rPr>
              <w:fldChar w:fldCharType="begin"/>
            </w:r>
            <w:r>
              <w:rPr>
                <w:b/>
                <w:bCs/>
              </w:rPr>
              <w:instrText xml:space="preserve"> PAGE </w:instrText>
            </w:r>
            <w:r>
              <w:rPr>
                <w:b/>
                <w:bCs/>
              </w:rPr>
              <w:fldChar w:fldCharType="separate"/>
            </w:r>
            <w:r w:rsidR="00C538F4">
              <w:rPr>
                <w:b/>
                <w:bCs/>
                <w:noProof/>
              </w:rPr>
              <w:t>4</w:t>
            </w:r>
            <w:r>
              <w:rPr>
                <w:b/>
                <w:bCs/>
              </w:rPr>
              <w:fldChar w:fldCharType="end"/>
            </w:r>
            <w:r>
              <w:t xml:space="preserve"> of </w:t>
            </w:r>
            <w:r>
              <w:rPr>
                <w:b/>
                <w:bCs/>
              </w:rPr>
              <w:fldChar w:fldCharType="begin"/>
            </w:r>
            <w:r>
              <w:rPr>
                <w:b/>
                <w:bCs/>
              </w:rPr>
              <w:instrText xml:space="preserve"> NUMPAGES  </w:instrText>
            </w:r>
            <w:r>
              <w:rPr>
                <w:b/>
                <w:bCs/>
              </w:rPr>
              <w:fldChar w:fldCharType="separate"/>
            </w:r>
            <w:r w:rsidR="00C538F4">
              <w:rPr>
                <w:b/>
                <w:bCs/>
                <w:noProof/>
              </w:rPr>
              <w:t>12</w:t>
            </w:r>
            <w:r>
              <w:rPr>
                <w:b/>
                <w:bCs/>
              </w:rPr>
              <w:fldChar w:fldCharType="end"/>
            </w:r>
          </w:p>
        </w:sdtContent>
      </w:sdt>
    </w:sdtContent>
  </w:sdt>
  <w:p w14:paraId="1E046ED9" w14:textId="77777777" w:rsidR="00777EA5" w:rsidRDefault="00777EA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0922C" w14:textId="77777777" w:rsidR="000B3973" w:rsidRDefault="000B3973" w:rsidP="00777EA5">
      <w:pPr>
        <w:spacing w:line="240" w:lineRule="auto"/>
      </w:pPr>
      <w:r>
        <w:separator/>
      </w:r>
    </w:p>
  </w:footnote>
  <w:footnote w:type="continuationSeparator" w:id="0">
    <w:p w14:paraId="2CC9DBF7" w14:textId="77777777" w:rsidR="000B3973" w:rsidRDefault="000B3973" w:rsidP="00777EA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E7D76" w14:textId="323B29E2" w:rsidR="00777EA5" w:rsidRPr="00777EA5" w:rsidRDefault="00777EA5" w:rsidP="00777EA5">
    <w:pPr>
      <w:jc w:val="right"/>
    </w:pPr>
    <w:r w:rsidRPr="00777EA5">
      <w:t>International Financial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0D6C9A"/>
    <w:multiLevelType w:val="hybridMultilevel"/>
    <w:tmpl w:val="00000000"/>
    <w:lvl w:ilvl="0" w:tplc="1C125554">
      <w:start w:val="1"/>
      <w:numFmt w:val="lowerLetter"/>
      <w:lvlText w:val="%1."/>
      <w:lvlJc w:val="left"/>
      <w:pPr>
        <w:ind w:left="720" w:hanging="360"/>
      </w:pPr>
      <w:rPr>
        <w:rFonts w:ascii="Arial" w:eastAsia="Arial" w:hAnsi="Arial" w:cs="Arial"/>
        <w:b/>
        <w:u w:val="none"/>
      </w:rPr>
    </w:lvl>
    <w:lvl w:ilvl="1" w:tplc="05142EF6">
      <w:start w:val="1"/>
      <w:numFmt w:val="lowerRoman"/>
      <w:lvlText w:val="%2."/>
      <w:lvlJc w:val="right"/>
      <w:pPr>
        <w:ind w:left="1440" w:hanging="360"/>
      </w:pPr>
      <w:rPr>
        <w:u w:val="none"/>
      </w:rPr>
    </w:lvl>
    <w:lvl w:ilvl="2" w:tplc="EA9C0998">
      <w:start w:val="1"/>
      <w:numFmt w:val="decimal"/>
      <w:lvlText w:val="%3."/>
      <w:lvlJc w:val="left"/>
      <w:pPr>
        <w:ind w:left="2160" w:hanging="360"/>
      </w:pPr>
      <w:rPr>
        <w:u w:val="none"/>
      </w:rPr>
    </w:lvl>
    <w:lvl w:ilvl="3" w:tplc="681C7670">
      <w:start w:val="1"/>
      <w:numFmt w:val="lowerLetter"/>
      <w:lvlText w:val="%4."/>
      <w:lvlJc w:val="left"/>
      <w:pPr>
        <w:ind w:left="2880" w:hanging="360"/>
      </w:pPr>
      <w:rPr>
        <w:u w:val="none"/>
      </w:rPr>
    </w:lvl>
    <w:lvl w:ilvl="4" w:tplc="34A2A1FC">
      <w:start w:val="1"/>
      <w:numFmt w:val="lowerRoman"/>
      <w:lvlText w:val="%5."/>
      <w:lvlJc w:val="right"/>
      <w:pPr>
        <w:ind w:left="3600" w:hanging="360"/>
      </w:pPr>
      <w:rPr>
        <w:u w:val="none"/>
      </w:rPr>
    </w:lvl>
    <w:lvl w:ilvl="5" w:tplc="EE3405F0">
      <w:start w:val="1"/>
      <w:numFmt w:val="decimal"/>
      <w:lvlText w:val="%6."/>
      <w:lvlJc w:val="left"/>
      <w:pPr>
        <w:ind w:left="4320" w:hanging="360"/>
      </w:pPr>
      <w:rPr>
        <w:u w:val="none"/>
      </w:rPr>
    </w:lvl>
    <w:lvl w:ilvl="6" w:tplc="3720305A">
      <w:start w:val="1"/>
      <w:numFmt w:val="lowerLetter"/>
      <w:lvlText w:val="%7."/>
      <w:lvlJc w:val="left"/>
      <w:pPr>
        <w:ind w:left="5040" w:hanging="360"/>
      </w:pPr>
      <w:rPr>
        <w:u w:val="none"/>
      </w:rPr>
    </w:lvl>
    <w:lvl w:ilvl="7" w:tplc="62E66EAC">
      <w:start w:val="1"/>
      <w:numFmt w:val="lowerRoman"/>
      <w:lvlText w:val="%8."/>
      <w:lvlJc w:val="right"/>
      <w:pPr>
        <w:ind w:left="5760" w:hanging="360"/>
      </w:pPr>
      <w:rPr>
        <w:u w:val="none"/>
      </w:rPr>
    </w:lvl>
    <w:lvl w:ilvl="8" w:tplc="57BC5ABE">
      <w:start w:val="1"/>
      <w:numFmt w:val="decimal"/>
      <w:lvlText w:val="%9."/>
      <w:lvlJc w:val="left"/>
      <w:pPr>
        <w:ind w:left="6480" w:hanging="360"/>
      </w:pPr>
      <w:rPr>
        <w:u w:val="none"/>
      </w:rPr>
    </w:lvl>
  </w:abstractNum>
  <w:abstractNum w:abstractNumId="1" w15:restartNumberingAfterBreak="0">
    <w:nsid w:val="606DBF20"/>
    <w:multiLevelType w:val="hybridMultilevel"/>
    <w:tmpl w:val="00000000"/>
    <w:lvl w:ilvl="0" w:tplc="0CD6E734">
      <w:start w:val="1"/>
      <w:numFmt w:val="lowerLetter"/>
      <w:lvlText w:val="%1."/>
      <w:lvlJc w:val="left"/>
      <w:pPr>
        <w:ind w:left="720" w:hanging="360"/>
      </w:pPr>
      <w:rPr>
        <w:rFonts w:ascii="Arial" w:eastAsia="Arial" w:hAnsi="Arial" w:cs="Arial"/>
        <w:b/>
        <w:u w:val="none"/>
      </w:rPr>
    </w:lvl>
    <w:lvl w:ilvl="1" w:tplc="6A34CF18">
      <w:start w:val="1"/>
      <w:numFmt w:val="lowerRoman"/>
      <w:lvlText w:val="%2."/>
      <w:lvlJc w:val="right"/>
      <w:pPr>
        <w:ind w:left="1440" w:hanging="360"/>
      </w:pPr>
      <w:rPr>
        <w:u w:val="none"/>
      </w:rPr>
    </w:lvl>
    <w:lvl w:ilvl="2" w:tplc="40D81000">
      <w:start w:val="1"/>
      <w:numFmt w:val="decimal"/>
      <w:lvlText w:val="%3."/>
      <w:lvlJc w:val="left"/>
      <w:pPr>
        <w:ind w:left="2160" w:hanging="360"/>
      </w:pPr>
      <w:rPr>
        <w:u w:val="none"/>
      </w:rPr>
    </w:lvl>
    <w:lvl w:ilvl="3" w:tplc="43383202">
      <w:start w:val="1"/>
      <w:numFmt w:val="lowerLetter"/>
      <w:lvlText w:val="%4."/>
      <w:lvlJc w:val="left"/>
      <w:pPr>
        <w:ind w:left="2880" w:hanging="360"/>
      </w:pPr>
      <w:rPr>
        <w:u w:val="none"/>
      </w:rPr>
    </w:lvl>
    <w:lvl w:ilvl="4" w:tplc="D8DE3F38">
      <w:start w:val="1"/>
      <w:numFmt w:val="lowerRoman"/>
      <w:lvlText w:val="%5."/>
      <w:lvlJc w:val="right"/>
      <w:pPr>
        <w:ind w:left="3600" w:hanging="360"/>
      </w:pPr>
      <w:rPr>
        <w:u w:val="none"/>
      </w:rPr>
    </w:lvl>
    <w:lvl w:ilvl="5" w:tplc="D0724B0C">
      <w:start w:val="1"/>
      <w:numFmt w:val="decimal"/>
      <w:lvlText w:val="%6."/>
      <w:lvlJc w:val="left"/>
      <w:pPr>
        <w:ind w:left="4320" w:hanging="360"/>
      </w:pPr>
      <w:rPr>
        <w:u w:val="none"/>
      </w:rPr>
    </w:lvl>
    <w:lvl w:ilvl="6" w:tplc="5E96FEC0">
      <w:start w:val="1"/>
      <w:numFmt w:val="lowerLetter"/>
      <w:lvlText w:val="%7."/>
      <w:lvlJc w:val="left"/>
      <w:pPr>
        <w:ind w:left="5040" w:hanging="360"/>
      </w:pPr>
      <w:rPr>
        <w:u w:val="none"/>
      </w:rPr>
    </w:lvl>
    <w:lvl w:ilvl="7" w:tplc="9DD22E88">
      <w:start w:val="1"/>
      <w:numFmt w:val="lowerRoman"/>
      <w:lvlText w:val="%8."/>
      <w:lvlJc w:val="right"/>
      <w:pPr>
        <w:ind w:left="5760" w:hanging="360"/>
      </w:pPr>
      <w:rPr>
        <w:u w:val="none"/>
      </w:rPr>
    </w:lvl>
    <w:lvl w:ilvl="8" w:tplc="61EC1BA2">
      <w:start w:val="1"/>
      <w:numFmt w:val="decimal"/>
      <w:lvlText w:val="%9."/>
      <w:lvlJc w:val="left"/>
      <w:pPr>
        <w:ind w:left="6480" w:hanging="360"/>
      </w:pPr>
      <w:rPr>
        <w:u w:val="none"/>
      </w:rPr>
    </w:lvl>
  </w:abstractNum>
  <w:abstractNum w:abstractNumId="2" w15:restartNumberingAfterBreak="0">
    <w:nsid w:val="6A4F31BF"/>
    <w:multiLevelType w:val="hybridMultilevel"/>
    <w:tmpl w:val="37D2E6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15495312">
    <w:abstractNumId w:val="0"/>
  </w:num>
  <w:num w:numId="2" w16cid:durableId="410614971">
    <w:abstractNumId w:val="1"/>
  </w:num>
  <w:num w:numId="3" w16cid:durableId="11091580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3"/>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A00"/>
    <w:rsid w:val="000B3973"/>
    <w:rsid w:val="005710C2"/>
    <w:rsid w:val="005B0EC7"/>
    <w:rsid w:val="00631114"/>
    <w:rsid w:val="00777EA5"/>
    <w:rsid w:val="007F5FB1"/>
    <w:rsid w:val="00C538F4"/>
    <w:rsid w:val="00DC104F"/>
    <w:rsid w:val="00E01A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43160C"/>
  <w15:docId w15:val="{4FC5FAA3-81AB-46F5-960E-7B9A51439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Titlu1">
    <w:name w:val="heading 1"/>
    <w:basedOn w:val="Normal1"/>
    <w:next w:val="Normal1"/>
    <w:pPr>
      <w:keepNext/>
      <w:keepLines/>
      <w:outlineLvl w:val="0"/>
    </w:pPr>
    <w:rPr>
      <w:b/>
      <w:sz w:val="28"/>
      <w:szCs w:val="28"/>
    </w:rPr>
  </w:style>
  <w:style w:type="paragraph" w:styleId="Titlu2">
    <w:name w:val="heading 2"/>
    <w:basedOn w:val="Normal1"/>
    <w:next w:val="Normal1"/>
    <w:pPr>
      <w:keepNext/>
      <w:keepLines/>
      <w:outlineLvl w:val="1"/>
    </w:pPr>
    <w:rPr>
      <w:b/>
      <w:sz w:val="26"/>
      <w:szCs w:val="26"/>
    </w:rPr>
  </w:style>
  <w:style w:type="paragraph" w:styleId="Titlu3">
    <w:name w:val="heading 3"/>
    <w:basedOn w:val="Normal1"/>
    <w:next w:val="Normal1"/>
    <w:pPr>
      <w:keepNext/>
      <w:keepLines/>
      <w:outlineLvl w:val="2"/>
    </w:pPr>
    <w:rPr>
      <w:i/>
      <w:u w:val="single"/>
    </w:rPr>
  </w:style>
  <w:style w:type="paragraph" w:styleId="Titlu4">
    <w:name w:val="heading 4"/>
    <w:basedOn w:val="Normal1"/>
    <w:next w:val="Normal1"/>
    <w:pPr>
      <w:keepNext/>
      <w:keepLines/>
      <w:spacing w:before="280" w:after="80"/>
      <w:outlineLvl w:val="3"/>
    </w:pPr>
    <w:rPr>
      <w:color w:val="666666"/>
    </w:rPr>
  </w:style>
  <w:style w:type="paragraph" w:styleId="Titlu5">
    <w:name w:val="heading 5"/>
    <w:basedOn w:val="Normal1"/>
    <w:next w:val="Normal1"/>
    <w:pPr>
      <w:keepNext/>
      <w:keepLines/>
      <w:spacing w:before="240" w:after="80"/>
      <w:outlineLvl w:val="4"/>
    </w:pPr>
    <w:rPr>
      <w:color w:val="666666"/>
      <w:sz w:val="22"/>
      <w:szCs w:val="22"/>
    </w:rPr>
  </w:style>
  <w:style w:type="paragraph" w:styleId="Titlu6">
    <w:name w:val="heading 6"/>
    <w:basedOn w:val="Normal1"/>
    <w:next w:val="Normal1"/>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u">
    <w:name w:val="Title"/>
    <w:basedOn w:val="Normal1"/>
    <w:next w:val="Normal1"/>
    <w:pPr>
      <w:keepNext/>
      <w:keepLines/>
      <w:spacing w:after="60"/>
    </w:pPr>
    <w:rPr>
      <w:sz w:val="52"/>
      <w:szCs w:val="52"/>
    </w:rPr>
  </w:style>
  <w:style w:type="paragraph" w:styleId="Subtitlu">
    <w:name w:val="Subtitle"/>
    <w:basedOn w:val="Normal1"/>
    <w:next w:val="Normal1"/>
    <w:pPr>
      <w:keepNext/>
      <w:keepLines/>
      <w:spacing w:after="320"/>
    </w:pPr>
    <w:rPr>
      <w:rFonts w:ascii="Arial" w:eastAsia="Arial" w:hAnsi="Arial" w:cs="Arial"/>
      <w:color w:val="666666"/>
      <w:sz w:val="30"/>
      <w:szCs w:val="30"/>
    </w:rPr>
  </w:style>
  <w:style w:type="paragraph" w:styleId="Antet">
    <w:name w:val="header"/>
    <w:basedOn w:val="Normal"/>
    <w:link w:val="AntetCaracter"/>
    <w:uiPriority w:val="99"/>
    <w:unhideWhenUsed/>
    <w:rsid w:val="00777EA5"/>
    <w:pPr>
      <w:tabs>
        <w:tab w:val="center" w:pos="4680"/>
        <w:tab w:val="right" w:pos="9360"/>
      </w:tabs>
      <w:spacing w:line="240" w:lineRule="auto"/>
    </w:pPr>
  </w:style>
  <w:style w:type="character" w:customStyle="1" w:styleId="AntetCaracter">
    <w:name w:val="Antet Caracter"/>
    <w:basedOn w:val="Fontdeparagrafimplicit"/>
    <w:link w:val="Antet"/>
    <w:uiPriority w:val="99"/>
    <w:rsid w:val="00777EA5"/>
  </w:style>
  <w:style w:type="paragraph" w:styleId="Subsol">
    <w:name w:val="footer"/>
    <w:basedOn w:val="Normal"/>
    <w:link w:val="SubsolCaracter"/>
    <w:uiPriority w:val="99"/>
    <w:unhideWhenUsed/>
    <w:rsid w:val="00777EA5"/>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777EA5"/>
  </w:style>
  <w:style w:type="paragraph" w:styleId="Titlucuprins">
    <w:name w:val="TOC Heading"/>
    <w:basedOn w:val="Titlu1"/>
    <w:next w:val="Normal"/>
    <w:uiPriority w:val="39"/>
    <w:unhideWhenUsed/>
    <w:qFormat/>
    <w:rsid w:val="00C538F4"/>
    <w:pPr>
      <w:spacing w:before="24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Cuprins1">
    <w:name w:val="toc 1"/>
    <w:basedOn w:val="Normal"/>
    <w:next w:val="Normal"/>
    <w:autoRedefine/>
    <w:uiPriority w:val="39"/>
    <w:unhideWhenUsed/>
    <w:rsid w:val="00C538F4"/>
    <w:pPr>
      <w:spacing w:after="100"/>
    </w:pPr>
  </w:style>
  <w:style w:type="paragraph" w:styleId="Cuprins2">
    <w:name w:val="toc 2"/>
    <w:basedOn w:val="Normal"/>
    <w:next w:val="Normal"/>
    <w:autoRedefine/>
    <w:uiPriority w:val="39"/>
    <w:unhideWhenUsed/>
    <w:rsid w:val="00C538F4"/>
    <w:pPr>
      <w:spacing w:after="100"/>
      <w:ind w:left="240"/>
    </w:pPr>
  </w:style>
  <w:style w:type="paragraph" w:styleId="Cuprins3">
    <w:name w:val="toc 3"/>
    <w:basedOn w:val="Normal"/>
    <w:next w:val="Normal"/>
    <w:autoRedefine/>
    <w:uiPriority w:val="39"/>
    <w:unhideWhenUsed/>
    <w:rsid w:val="00C538F4"/>
    <w:pPr>
      <w:spacing w:after="100"/>
      <w:ind w:left="480"/>
    </w:pPr>
  </w:style>
  <w:style w:type="character" w:styleId="Hyperlink">
    <w:name w:val="Hyperlink"/>
    <w:basedOn w:val="Fontdeparagrafimplicit"/>
    <w:uiPriority w:val="99"/>
    <w:unhideWhenUsed/>
    <w:rsid w:val="00C538F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90BDAF-B5BF-44DE-9EA6-3B60A266933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1838</Words>
  <Characters>10663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tanasaroxana@yahoo.com</cp:lastModifiedBy>
  <cp:revision>3</cp:revision>
  <dcterms:created xsi:type="dcterms:W3CDTF">2024-03-18T07:48:00Z</dcterms:created>
  <dcterms:modified xsi:type="dcterms:W3CDTF">2024-04-01T19:15:00Z</dcterms:modified>
</cp:coreProperties>
</file>