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E7C" w:rsidRPr="00B82358" w:rsidRDefault="00001E7C" w:rsidP="00001E7C">
      <w:pPr>
        <w:pStyle w:val="Heading3"/>
        <w:rPr>
          <w:color w:val="F79646"/>
        </w:rPr>
      </w:pPr>
      <w:r w:rsidRPr="00B82358">
        <w:rPr>
          <w:color w:val="F79646"/>
        </w:rPr>
        <w:t xml:space="preserve">The Book of Genesis in its </w:t>
      </w:r>
      <w:r>
        <w:rPr>
          <w:color w:val="F79646"/>
        </w:rPr>
        <w:t xml:space="preserve">Literary and </w:t>
      </w:r>
      <w:r w:rsidRPr="00B82358">
        <w:rPr>
          <w:color w:val="F79646"/>
        </w:rPr>
        <w:t>Canonical Setting</w:t>
      </w:r>
    </w:p>
    <w:p w:rsidR="00001E7C" w:rsidRDefault="00001E7C" w:rsidP="00001E7C">
      <w:pPr>
        <w:jc w:val="both"/>
        <w:rPr>
          <w:rFonts w:ascii="Arial" w:hAnsi="Arial" w:cs="Arial"/>
        </w:rPr>
      </w:pPr>
    </w:p>
    <w:p w:rsidR="00001E7C" w:rsidRDefault="00001E7C" w:rsidP="00001E7C">
      <w:pPr>
        <w:jc w:val="both"/>
        <w:rPr>
          <w:rFonts w:ascii="Arial" w:hAnsi="Arial" w:cs="Arial"/>
          <w:b/>
          <w:bCs/>
        </w:rPr>
      </w:pPr>
    </w:p>
    <w:p w:rsidR="00001E7C" w:rsidRPr="00B82358" w:rsidRDefault="00001E7C" w:rsidP="00001E7C">
      <w:pPr>
        <w:jc w:val="both"/>
        <w:rPr>
          <w:rFonts w:ascii="Arial" w:hAnsi="Arial" w:cs="Arial"/>
          <w:b/>
          <w:bCs/>
          <w:color w:val="1F497D"/>
        </w:rPr>
      </w:pPr>
      <w:r w:rsidRPr="00B82358">
        <w:rPr>
          <w:rFonts w:ascii="Arial" w:hAnsi="Arial" w:cs="Arial"/>
          <w:b/>
          <w:bCs/>
          <w:color w:val="1F497D"/>
        </w:rPr>
        <w:t>Context:</w:t>
      </w:r>
    </w:p>
    <w:p w:rsidR="00001E7C" w:rsidRDefault="00001E7C" w:rsidP="00001E7C">
      <w:pPr>
        <w:jc w:val="both"/>
        <w:rPr>
          <w:rFonts w:ascii="Arial" w:hAnsi="Arial" w:cs="Arial"/>
        </w:rPr>
      </w:pPr>
    </w:p>
    <w:p w:rsidR="00001E7C" w:rsidRDefault="00001E7C" w:rsidP="00001E7C">
      <w:pPr>
        <w:pStyle w:val="BodyText"/>
      </w:pPr>
      <w:r>
        <w:t xml:space="preserve">The Book of Genesis is the first of five books known as the Pentateuch (Greek meaning a five volume work).  The Pentateuch essentially takes the form of a narrative running from the creation to the death of Moses just before the entry to the Promised Land at the end of the Book of Deuteronomy. The Pentateuch is also known in Jewish tradition as the Torah - often translated as law but better represented as </w:t>
      </w:r>
      <w:r>
        <w:rPr>
          <w:i/>
          <w:iCs/>
        </w:rPr>
        <w:t>instruction</w:t>
      </w:r>
      <w:r>
        <w:t xml:space="preserve"> or </w:t>
      </w:r>
      <w:r>
        <w:rPr>
          <w:i/>
          <w:iCs/>
        </w:rPr>
        <w:t>guidance</w:t>
      </w:r>
      <w:r>
        <w:t xml:space="preserve"> (see Clines in </w:t>
      </w:r>
      <w:r>
        <w:rPr>
          <w:i/>
          <w:iCs/>
        </w:rPr>
        <w:t xml:space="preserve">Metzger and </w:t>
      </w:r>
      <w:proofErr w:type="spellStart"/>
      <w:r>
        <w:rPr>
          <w:i/>
          <w:iCs/>
        </w:rPr>
        <w:t>Coogan</w:t>
      </w:r>
      <w:proofErr w:type="spellEnd"/>
      <w:r>
        <w:t>, p. 391).</w:t>
      </w:r>
    </w:p>
    <w:p w:rsidR="00001E7C" w:rsidRDefault="00001E7C" w:rsidP="00001E7C">
      <w:pPr>
        <w:pStyle w:val="NormalWeb"/>
        <w:spacing w:before="0" w:beforeAutospacing="0" w:after="0" w:afterAutospacing="0"/>
        <w:jc w:val="both"/>
        <w:rPr>
          <w:rFonts w:ascii="Arial" w:hAnsi="Arial" w:cs="Arial"/>
        </w:rPr>
      </w:pPr>
    </w:p>
    <w:p w:rsidR="00001E7C" w:rsidRDefault="00001E7C" w:rsidP="00001E7C">
      <w:pPr>
        <w:jc w:val="both"/>
        <w:rPr>
          <w:rFonts w:ascii="Arial" w:hAnsi="Arial" w:cs="Arial"/>
        </w:rPr>
      </w:pPr>
      <w:r>
        <w:rPr>
          <w:rFonts w:ascii="Arial" w:hAnsi="Arial" w:cs="Arial"/>
        </w:rPr>
        <w:t xml:space="preserve">Although the Pentateuch in most centuries has been known as the five books of Moses, it has long been recognised that this is not the work of any one author and the work is anonymous. In biblical scholarship, the origin of the Pentateuch has been generally explained as the outcome of a process of compilation of various documents from different periods in Israelite history.  From the 1860s, the Documentary Hypothesis of </w:t>
      </w:r>
      <w:proofErr w:type="spellStart"/>
      <w:r>
        <w:rPr>
          <w:rFonts w:ascii="Arial" w:hAnsi="Arial" w:cs="Arial"/>
        </w:rPr>
        <w:t>Wellhausen</w:t>
      </w:r>
      <w:proofErr w:type="spellEnd"/>
      <w:r>
        <w:rPr>
          <w:rFonts w:ascii="Arial" w:hAnsi="Arial" w:cs="Arial"/>
        </w:rPr>
        <w:t xml:space="preserve"> by which he explained the various sources within the Pentateuch has held sway.  Essentially, the Documentary Hypothesis holds that the oldest written source of the Pentateuch is J (so-called from its author, the </w:t>
      </w:r>
      <w:proofErr w:type="spellStart"/>
      <w:r>
        <w:rPr>
          <w:rFonts w:ascii="Arial" w:hAnsi="Arial" w:cs="Arial"/>
        </w:rPr>
        <w:t>Jahwist</w:t>
      </w:r>
      <w:proofErr w:type="spellEnd"/>
      <w:r>
        <w:rPr>
          <w:rFonts w:ascii="Arial" w:hAnsi="Arial" w:cs="Arial"/>
        </w:rPr>
        <w:t xml:space="preserve">, who used the name </w:t>
      </w:r>
      <w:r>
        <w:rPr>
          <w:rFonts w:ascii="Arial" w:hAnsi="Arial" w:cs="Arial"/>
          <w:i/>
          <w:iCs/>
        </w:rPr>
        <w:t>Yahweh</w:t>
      </w:r>
      <w:r>
        <w:rPr>
          <w:rFonts w:ascii="Arial" w:hAnsi="Arial" w:cs="Arial"/>
        </w:rPr>
        <w:t xml:space="preserve"> or </w:t>
      </w:r>
      <w:proofErr w:type="spellStart"/>
      <w:r>
        <w:rPr>
          <w:rFonts w:ascii="Arial" w:hAnsi="Arial" w:cs="Arial"/>
          <w:i/>
          <w:iCs/>
        </w:rPr>
        <w:t>Jahweh</w:t>
      </w:r>
      <w:proofErr w:type="spellEnd"/>
      <w:r>
        <w:rPr>
          <w:rFonts w:ascii="Arial" w:hAnsi="Arial" w:cs="Arial"/>
        </w:rPr>
        <w:t xml:space="preserve">) from the ninth century BCE, the E document (from the </w:t>
      </w:r>
      <w:proofErr w:type="spellStart"/>
      <w:r>
        <w:rPr>
          <w:rFonts w:ascii="Arial" w:hAnsi="Arial" w:cs="Arial"/>
        </w:rPr>
        <w:t>Elohist</w:t>
      </w:r>
      <w:proofErr w:type="spellEnd"/>
      <w:r>
        <w:rPr>
          <w:rFonts w:ascii="Arial" w:hAnsi="Arial" w:cs="Arial"/>
        </w:rPr>
        <w:t xml:space="preserve"> who employed the Hebrew term </w:t>
      </w:r>
      <w:proofErr w:type="spellStart"/>
      <w:r>
        <w:rPr>
          <w:rFonts w:ascii="Arial" w:hAnsi="Arial" w:cs="Arial"/>
          <w:i/>
          <w:iCs/>
        </w:rPr>
        <w:t>Elohim</w:t>
      </w:r>
      <w:proofErr w:type="spellEnd"/>
      <w:r>
        <w:rPr>
          <w:rFonts w:ascii="Arial" w:hAnsi="Arial" w:cs="Arial"/>
        </w:rPr>
        <w:t xml:space="preserve"> for God) from the 8</w:t>
      </w:r>
      <w:r>
        <w:rPr>
          <w:rFonts w:ascii="Arial" w:hAnsi="Arial" w:cs="Arial"/>
          <w:vertAlign w:val="superscript"/>
        </w:rPr>
        <w:t>th</w:t>
      </w:r>
      <w:r>
        <w:rPr>
          <w:rFonts w:ascii="Arial" w:hAnsi="Arial" w:cs="Arial"/>
        </w:rPr>
        <w:t xml:space="preserve"> century and the J and E sources which were combined by an author from the 7</w:t>
      </w:r>
      <w:r>
        <w:rPr>
          <w:rFonts w:ascii="Arial" w:hAnsi="Arial" w:cs="Arial"/>
          <w:vertAlign w:val="superscript"/>
        </w:rPr>
        <w:t>th</w:t>
      </w:r>
      <w:r>
        <w:rPr>
          <w:rFonts w:ascii="Arial" w:hAnsi="Arial" w:cs="Arial"/>
        </w:rPr>
        <w:t xml:space="preserve"> century. The book of Deuteronomy, a separate source dating from 621 BCE, was added to the JE material in the mid 6</w:t>
      </w:r>
      <w:r>
        <w:rPr>
          <w:rFonts w:ascii="Arial" w:hAnsi="Arial" w:cs="Arial"/>
          <w:vertAlign w:val="superscript"/>
        </w:rPr>
        <w:t>th</w:t>
      </w:r>
      <w:r>
        <w:rPr>
          <w:rFonts w:ascii="Arial" w:hAnsi="Arial" w:cs="Arial"/>
        </w:rPr>
        <w:t xml:space="preserve"> century. The final source P (Priestly work) was combined with the earlier sources about 400 BCE. The Pentateuch came into existence no earlier than the end of the fifth century BCE.  </w:t>
      </w:r>
    </w:p>
    <w:p w:rsidR="00001E7C" w:rsidRDefault="00001E7C" w:rsidP="00001E7C">
      <w:pPr>
        <w:jc w:val="both"/>
        <w:rPr>
          <w:rFonts w:ascii="Arial" w:hAnsi="Arial" w:cs="Arial"/>
        </w:rPr>
      </w:pPr>
    </w:p>
    <w:p w:rsidR="00001E7C" w:rsidRDefault="00001E7C" w:rsidP="00001E7C">
      <w:pPr>
        <w:jc w:val="both"/>
        <w:rPr>
          <w:rFonts w:ascii="Arial" w:hAnsi="Arial" w:cs="Arial"/>
        </w:rPr>
      </w:pPr>
      <w:r>
        <w:rPr>
          <w:rFonts w:ascii="Arial" w:hAnsi="Arial" w:cs="Arial"/>
        </w:rPr>
        <w:t xml:space="preserve">The Documentary Hypothesis has been challenged quite radically in recent years particularly by those who advocate pursuing more recent approaches based on literary and narrative criticism; they prefer to read the text as a literary unit rather than concentrating on its constituent parts. Nevertheless, the Documentary Hypothesis still remains the point of departure for all serious </w:t>
      </w:r>
      <w:proofErr w:type="spellStart"/>
      <w:r>
        <w:rPr>
          <w:rFonts w:ascii="Arial" w:hAnsi="Arial" w:cs="Arial"/>
        </w:rPr>
        <w:t>Pentateuchal</w:t>
      </w:r>
      <w:proofErr w:type="spellEnd"/>
      <w:r>
        <w:rPr>
          <w:rFonts w:ascii="Arial" w:hAnsi="Arial" w:cs="Arial"/>
        </w:rPr>
        <w:t xml:space="preserve"> Studies.  Clines (</w:t>
      </w:r>
      <w:r>
        <w:rPr>
          <w:rFonts w:ascii="Arial" w:hAnsi="Arial" w:cs="Arial"/>
          <w:i/>
          <w:iCs/>
        </w:rPr>
        <w:t xml:space="preserve">Metzger and </w:t>
      </w:r>
      <w:proofErr w:type="spellStart"/>
      <w:r>
        <w:rPr>
          <w:rFonts w:ascii="Arial" w:hAnsi="Arial" w:cs="Arial"/>
          <w:i/>
          <w:iCs/>
        </w:rPr>
        <w:t>Coogan</w:t>
      </w:r>
      <w:proofErr w:type="spellEnd"/>
      <w:r>
        <w:rPr>
          <w:rFonts w:ascii="Arial" w:hAnsi="Arial" w:cs="Arial"/>
        </w:rPr>
        <w:t>, p.394) sums up very clearly the theme of the Pentateuch, with due regard for its literary qualities and final arrangement of material:</w:t>
      </w:r>
    </w:p>
    <w:p w:rsidR="00001E7C" w:rsidRDefault="00001E7C" w:rsidP="00001E7C">
      <w:pPr>
        <w:jc w:val="both"/>
        <w:rPr>
          <w:rFonts w:ascii="Arial" w:hAnsi="Arial" w:cs="Arial"/>
          <w:sz w:val="20"/>
        </w:rPr>
      </w:pPr>
    </w:p>
    <w:p w:rsidR="00001E7C" w:rsidRDefault="00001E7C" w:rsidP="00001E7C">
      <w:pPr>
        <w:jc w:val="both"/>
        <w:rPr>
          <w:rFonts w:ascii="Arial" w:hAnsi="Arial" w:cs="Arial"/>
          <w:sz w:val="20"/>
        </w:rPr>
      </w:pPr>
    </w:p>
    <w:p w:rsidR="00001E7C" w:rsidRDefault="00001E7C" w:rsidP="00001E7C">
      <w:pPr>
        <w:jc w:val="both"/>
        <w:rPr>
          <w:rFonts w:ascii="Arial" w:hAnsi="Arial" w:cs="Arial"/>
          <w:sz w:val="20"/>
        </w:rPr>
      </w:pPr>
      <w:r>
        <w:rPr>
          <w:rFonts w:ascii="Arial" w:hAnsi="Arial" w:cs="Arial"/>
          <w:sz w:val="20"/>
        </w:rPr>
        <w:t xml:space="preserve">The mainspring of the action of the Pentateuch seems to be the divine promise of Genesis 12:1-3, repeated with varying emphases in 15:4-5, 13-16, 18-21; 17:4-8; 22:16-18 and alluded to in scores of passages throughout the Pentateuch.  This promise contains three elements: a posterity (I will make of you a great nation), a relationship (I will bless you) and a gift of land (the land I will show you).  It is the fulfilment and the partial </w:t>
      </w:r>
      <w:proofErr w:type="spellStart"/>
      <w:r>
        <w:rPr>
          <w:rFonts w:ascii="Arial" w:hAnsi="Arial" w:cs="Arial"/>
          <w:sz w:val="20"/>
        </w:rPr>
        <w:t>nonfulfilment</w:t>
      </w:r>
      <w:proofErr w:type="spellEnd"/>
      <w:r>
        <w:rPr>
          <w:rFonts w:ascii="Arial" w:hAnsi="Arial" w:cs="Arial"/>
          <w:sz w:val="20"/>
        </w:rPr>
        <w:t xml:space="preserve"> of these promises that may be said to be the theme of the Pentateuch.</w:t>
      </w:r>
    </w:p>
    <w:p w:rsidR="00001E7C" w:rsidRDefault="00001E7C" w:rsidP="00001E7C">
      <w:pPr>
        <w:jc w:val="both"/>
        <w:rPr>
          <w:rFonts w:ascii="Arial" w:hAnsi="Arial" w:cs="Arial"/>
          <w:sz w:val="20"/>
        </w:rPr>
      </w:pPr>
    </w:p>
    <w:p w:rsidR="00001E7C" w:rsidRDefault="00001E7C" w:rsidP="00001E7C">
      <w:pPr>
        <w:jc w:val="both"/>
        <w:rPr>
          <w:rFonts w:ascii="Arial" w:hAnsi="Arial" w:cs="Arial"/>
          <w:sz w:val="20"/>
        </w:rPr>
      </w:pPr>
      <w:r>
        <w:rPr>
          <w:rFonts w:ascii="Arial" w:hAnsi="Arial" w:cs="Arial"/>
          <w:sz w:val="20"/>
        </w:rPr>
        <w:t>The theme of the posterity is plainly the theme of Genesis.  In the Abraham cycle of stories, the theme appears mostly in the shape of anxious questions: Will there be a son at all? What will become of him? Here lies the significance of many Genesis narratives of threats to the family’s survival; the sterility of matriarchs, the strife between brothers, often with near-fatal consequences, and the repeated famines in the land of promise.</w:t>
      </w:r>
    </w:p>
    <w:p w:rsidR="00001E7C" w:rsidRDefault="00001E7C" w:rsidP="00001E7C">
      <w:pPr>
        <w:rPr>
          <w:rFonts w:ascii="Arial" w:hAnsi="Arial" w:cs="Arial"/>
          <w:sz w:val="20"/>
        </w:rPr>
      </w:pPr>
    </w:p>
    <w:p w:rsidR="00001E7C" w:rsidRDefault="00001E7C" w:rsidP="00001E7C">
      <w:pPr>
        <w:jc w:val="both"/>
        <w:rPr>
          <w:rFonts w:ascii="Arial" w:hAnsi="Arial" w:cs="Arial"/>
          <w:sz w:val="20"/>
        </w:rPr>
      </w:pPr>
      <w:r>
        <w:rPr>
          <w:rFonts w:ascii="Arial" w:hAnsi="Arial" w:cs="Arial"/>
          <w:sz w:val="20"/>
        </w:rPr>
        <w:t xml:space="preserve">The theme of the divine-human relationship comes most strongly to expression in Exodus and Leviticus. Both at the Exodus and Sinai it becomes plain what the words of the promise (“I will bless </w:t>
      </w:r>
      <w:r>
        <w:rPr>
          <w:rFonts w:ascii="Arial" w:hAnsi="Arial" w:cs="Arial"/>
          <w:sz w:val="20"/>
        </w:rPr>
        <w:lastRenderedPageBreak/>
        <w:t xml:space="preserve">you”, “I will my covenant between me and you”, </w:t>
      </w:r>
      <w:proofErr w:type="gramStart"/>
      <w:r>
        <w:rPr>
          <w:rFonts w:ascii="Arial" w:hAnsi="Arial" w:cs="Arial"/>
          <w:sz w:val="20"/>
        </w:rPr>
        <w:t>“</w:t>
      </w:r>
      <w:proofErr w:type="gramEnd"/>
      <w:r>
        <w:rPr>
          <w:rFonts w:ascii="Arial" w:hAnsi="Arial" w:cs="Arial"/>
          <w:sz w:val="20"/>
        </w:rPr>
        <w:t xml:space="preserve">I will be your God”) meant.  The blessing comes in the form of salvation from </w:t>
      </w:r>
      <w:smartTag w:uri="urn:schemas-microsoft-com:office:smarttags" w:element="country-region">
        <w:smartTag w:uri="urn:schemas-microsoft-com:office:smarttags" w:element="place">
          <w:r>
            <w:rPr>
              <w:rFonts w:ascii="Arial" w:hAnsi="Arial" w:cs="Arial"/>
              <w:sz w:val="20"/>
            </w:rPr>
            <w:t>Egypt</w:t>
          </w:r>
        </w:smartTag>
      </w:smartTag>
      <w:r>
        <w:rPr>
          <w:rFonts w:ascii="Arial" w:hAnsi="Arial" w:cs="Arial"/>
          <w:sz w:val="20"/>
        </w:rPr>
        <w:t xml:space="preserve"> and in the gift of the law. The covenant of Sinai of which the opening words are “I am Yahweh your God”, formalises the relationship adumbrated by the covenant with the forbearers. Leviticus spells out how the relationship now established by Yahweh is to be maintained; the sacrificial system is to exist, not as a human means of access to God, but as the divinely ordered method whereby breaches of the covenant may be repaired and atoned for.</w:t>
      </w:r>
    </w:p>
    <w:p w:rsidR="00001E7C" w:rsidRDefault="00001E7C" w:rsidP="00001E7C">
      <w:pPr>
        <w:jc w:val="both"/>
        <w:rPr>
          <w:rFonts w:ascii="Arial" w:hAnsi="Arial" w:cs="Arial"/>
          <w:sz w:val="20"/>
        </w:rPr>
      </w:pPr>
    </w:p>
    <w:p w:rsidR="00001E7C" w:rsidRDefault="00001E7C" w:rsidP="00001E7C">
      <w:pPr>
        <w:jc w:val="both"/>
        <w:rPr>
          <w:rFonts w:ascii="Arial" w:hAnsi="Arial" w:cs="Arial"/>
          <w:sz w:val="20"/>
        </w:rPr>
      </w:pPr>
      <w:r>
        <w:rPr>
          <w:rFonts w:ascii="Arial" w:hAnsi="Arial" w:cs="Arial"/>
          <w:sz w:val="20"/>
        </w:rPr>
        <w:t xml:space="preserve">The theme of the land dominates Numbers and Deuteronomy. Numbers begins with preparations for the occupation of the land and ends with the occupation of that part of it lying to the east of </w:t>
      </w:r>
      <w:smartTag w:uri="urn:schemas-microsoft-com:office:smarttags" w:element="country-region">
        <w:smartTag w:uri="urn:schemas-microsoft-com:office:smarttags" w:element="place">
          <w:r>
            <w:rPr>
              <w:rFonts w:ascii="Arial" w:hAnsi="Arial" w:cs="Arial"/>
              <w:sz w:val="20"/>
            </w:rPr>
            <w:t>Jordan</w:t>
          </w:r>
        </w:smartTag>
      </w:smartTag>
      <w:r>
        <w:rPr>
          <w:rFonts w:ascii="Arial" w:hAnsi="Arial" w:cs="Arial"/>
          <w:sz w:val="20"/>
        </w:rPr>
        <w:t xml:space="preserve"> by two and a half of the tribes.  </w:t>
      </w:r>
      <w:proofErr w:type="gramStart"/>
      <w:r>
        <w:rPr>
          <w:rFonts w:ascii="Arial" w:hAnsi="Arial" w:cs="Arial"/>
          <w:sz w:val="20"/>
        </w:rPr>
        <w:t>Deuteronomy sets before the people laws for their life under God, explicitly “in the land which Yahweh, God of you fathers, is giving to you” (Deut. 4:1).</w:t>
      </w:r>
      <w:proofErr w:type="gramEnd"/>
    </w:p>
    <w:p w:rsidR="00001E7C" w:rsidRDefault="00001E7C" w:rsidP="00001E7C">
      <w:pPr>
        <w:jc w:val="both"/>
        <w:rPr>
          <w:rFonts w:ascii="Arial" w:hAnsi="Arial" w:cs="Arial"/>
          <w:sz w:val="20"/>
        </w:rPr>
      </w:pPr>
    </w:p>
    <w:p w:rsidR="00001E7C" w:rsidRDefault="00001E7C" w:rsidP="00001E7C">
      <w:pPr>
        <w:jc w:val="both"/>
        <w:rPr>
          <w:rFonts w:ascii="Arial" w:hAnsi="Arial" w:cs="Arial"/>
          <w:sz w:val="20"/>
        </w:rPr>
      </w:pPr>
      <w:r>
        <w:rPr>
          <w:rFonts w:ascii="Arial" w:hAnsi="Arial" w:cs="Arial"/>
          <w:sz w:val="20"/>
        </w:rPr>
        <w:t>The whole structure of the Pentateuch, then, is shaped by the promises to Abraham, which are never final but always point to a future yet to be realized”.</w:t>
      </w:r>
    </w:p>
    <w:p w:rsidR="00001E7C" w:rsidRDefault="00001E7C" w:rsidP="00001E7C">
      <w:pPr>
        <w:pStyle w:val="NormalWeb"/>
        <w:spacing w:before="0" w:beforeAutospacing="0" w:after="0" w:afterAutospacing="0"/>
        <w:rPr>
          <w:rFonts w:ascii="Arial" w:hAnsi="Arial" w:cs="Arial"/>
        </w:rPr>
      </w:pPr>
    </w:p>
    <w:p w:rsidR="00001E7C" w:rsidRDefault="00001E7C" w:rsidP="00001E7C"/>
    <w:p w:rsidR="00177086" w:rsidRPr="00942B1A" w:rsidRDefault="00942B1A">
      <w:pPr>
        <w:rPr>
          <w:rFonts w:asciiTheme="minorHAnsi" w:hAnsiTheme="minorHAnsi"/>
          <w:b/>
          <w:color w:val="FFC000"/>
          <w:sz w:val="32"/>
          <w:szCs w:val="32"/>
        </w:rPr>
      </w:pPr>
      <w:r w:rsidRPr="00942B1A">
        <w:rPr>
          <w:rFonts w:asciiTheme="minorHAnsi" w:hAnsiTheme="minorHAnsi"/>
          <w:b/>
          <w:color w:val="FFC000"/>
          <w:sz w:val="32"/>
          <w:szCs w:val="32"/>
        </w:rPr>
        <w:t>Now read......</w:t>
      </w:r>
    </w:p>
    <w:p w:rsidR="00942B1A" w:rsidRDefault="00942B1A">
      <w:pPr>
        <w:rPr>
          <w:rFonts w:asciiTheme="minorHAnsi" w:hAnsiTheme="minorHAnsi"/>
          <w:b/>
          <w:color w:val="FFC000"/>
          <w:sz w:val="28"/>
          <w:szCs w:val="28"/>
        </w:rPr>
      </w:pPr>
    </w:p>
    <w:p w:rsidR="00942B1A" w:rsidRPr="00F2432C" w:rsidRDefault="00942B1A">
      <w:pPr>
        <w:rPr>
          <w:rFonts w:asciiTheme="minorHAnsi" w:hAnsiTheme="minorHAnsi"/>
          <w:b/>
          <w:i/>
          <w:color w:val="000000" w:themeColor="text1"/>
          <w:sz w:val="28"/>
          <w:szCs w:val="28"/>
        </w:rPr>
      </w:pPr>
      <w:r w:rsidRPr="00F2432C">
        <w:rPr>
          <w:rFonts w:asciiTheme="minorHAnsi" w:hAnsiTheme="minorHAnsi"/>
          <w:b/>
          <w:color w:val="000000" w:themeColor="text1"/>
          <w:sz w:val="28"/>
          <w:szCs w:val="28"/>
        </w:rPr>
        <w:t xml:space="preserve">Read the entries for ‘Genesis’ and ‘Pentateuch’ in Metzger and </w:t>
      </w:r>
      <w:proofErr w:type="spellStart"/>
      <w:r w:rsidRPr="00F2432C">
        <w:rPr>
          <w:rFonts w:asciiTheme="minorHAnsi" w:hAnsiTheme="minorHAnsi"/>
          <w:b/>
          <w:color w:val="000000" w:themeColor="text1"/>
          <w:sz w:val="28"/>
          <w:szCs w:val="28"/>
        </w:rPr>
        <w:t>Coogan</w:t>
      </w:r>
      <w:proofErr w:type="spellEnd"/>
      <w:r w:rsidRPr="00F2432C">
        <w:rPr>
          <w:rFonts w:asciiTheme="minorHAnsi" w:hAnsiTheme="minorHAnsi"/>
          <w:b/>
          <w:color w:val="000000" w:themeColor="text1"/>
          <w:sz w:val="28"/>
          <w:szCs w:val="28"/>
        </w:rPr>
        <w:t xml:space="preserve">, </w:t>
      </w:r>
      <w:r w:rsidRPr="00F2432C">
        <w:rPr>
          <w:rFonts w:asciiTheme="minorHAnsi" w:hAnsiTheme="minorHAnsi"/>
          <w:b/>
          <w:i/>
          <w:color w:val="000000" w:themeColor="text1"/>
          <w:sz w:val="28"/>
          <w:szCs w:val="28"/>
        </w:rPr>
        <w:t>Oxford Companion to the Bible.</w:t>
      </w:r>
    </w:p>
    <w:p w:rsidR="00942B1A" w:rsidRDefault="00942B1A">
      <w:pPr>
        <w:rPr>
          <w:rFonts w:asciiTheme="minorHAnsi" w:hAnsiTheme="minorHAnsi"/>
          <w:b/>
          <w:color w:val="000000" w:themeColor="text1"/>
          <w:sz w:val="28"/>
          <w:szCs w:val="28"/>
        </w:rPr>
      </w:pPr>
    </w:p>
    <w:p w:rsidR="00942B1A" w:rsidRDefault="00942B1A">
      <w:pPr>
        <w:rPr>
          <w:rFonts w:asciiTheme="minorHAnsi" w:hAnsiTheme="minorHAnsi"/>
          <w:b/>
          <w:color w:val="000000" w:themeColor="text1"/>
          <w:sz w:val="28"/>
          <w:szCs w:val="28"/>
        </w:rPr>
      </w:pPr>
      <w:r w:rsidRPr="00F2432C">
        <w:rPr>
          <w:rFonts w:asciiTheme="minorHAnsi" w:hAnsiTheme="minorHAnsi"/>
          <w:b/>
          <w:color w:val="FF0000"/>
          <w:sz w:val="28"/>
          <w:szCs w:val="28"/>
          <w:u w:val="single"/>
        </w:rPr>
        <w:t>Note:</w:t>
      </w:r>
      <w:r>
        <w:rPr>
          <w:rFonts w:asciiTheme="minorHAnsi" w:hAnsiTheme="minorHAnsi"/>
          <w:b/>
          <w:color w:val="000000" w:themeColor="text1"/>
          <w:sz w:val="28"/>
          <w:szCs w:val="28"/>
        </w:rPr>
        <w:t xml:space="preserve">  this is an e-book and it may require your ATHENS password. </w:t>
      </w:r>
    </w:p>
    <w:p w:rsidR="00F2432C" w:rsidRDefault="00F2432C">
      <w:pPr>
        <w:rPr>
          <w:rFonts w:asciiTheme="minorHAnsi" w:hAnsiTheme="minorHAnsi"/>
          <w:b/>
          <w:color w:val="000000" w:themeColor="text1"/>
          <w:sz w:val="28"/>
          <w:szCs w:val="28"/>
        </w:rPr>
      </w:pPr>
    </w:p>
    <w:p w:rsidR="00F2432C" w:rsidRDefault="00F2432C">
      <w:pPr>
        <w:rPr>
          <w:rFonts w:asciiTheme="minorHAnsi" w:hAnsiTheme="minorHAnsi"/>
          <w:b/>
          <w:i/>
          <w:color w:val="000000" w:themeColor="text1"/>
          <w:sz w:val="28"/>
          <w:szCs w:val="28"/>
        </w:rPr>
      </w:pPr>
      <w:r>
        <w:rPr>
          <w:rFonts w:asciiTheme="minorHAnsi" w:hAnsiTheme="minorHAnsi"/>
          <w:b/>
          <w:color w:val="000000" w:themeColor="text1"/>
          <w:sz w:val="28"/>
          <w:szCs w:val="28"/>
        </w:rPr>
        <w:t xml:space="preserve">Read Chapter 8 (John Barton, ‘Canons of the Old Testament’) in A.D.H. Mayes, </w:t>
      </w:r>
      <w:r w:rsidRPr="00F2432C">
        <w:rPr>
          <w:rFonts w:asciiTheme="minorHAnsi" w:hAnsiTheme="minorHAnsi"/>
          <w:b/>
          <w:i/>
          <w:color w:val="000000" w:themeColor="text1"/>
          <w:sz w:val="28"/>
          <w:szCs w:val="28"/>
        </w:rPr>
        <w:t>Text in Context</w:t>
      </w:r>
      <w:r>
        <w:rPr>
          <w:rFonts w:asciiTheme="minorHAnsi" w:hAnsiTheme="minorHAnsi"/>
          <w:b/>
          <w:i/>
          <w:color w:val="000000" w:themeColor="text1"/>
          <w:sz w:val="28"/>
          <w:szCs w:val="28"/>
        </w:rPr>
        <w:t xml:space="preserve">. </w:t>
      </w:r>
    </w:p>
    <w:p w:rsidR="00F2432C" w:rsidRDefault="00F2432C">
      <w:pPr>
        <w:rPr>
          <w:rFonts w:asciiTheme="minorHAnsi" w:hAnsiTheme="minorHAnsi"/>
          <w:b/>
          <w:color w:val="000000" w:themeColor="text1"/>
          <w:sz w:val="28"/>
          <w:szCs w:val="28"/>
        </w:rPr>
      </w:pPr>
    </w:p>
    <w:p w:rsidR="00F2432C" w:rsidRDefault="00F2432C">
      <w:pPr>
        <w:rPr>
          <w:rFonts w:asciiTheme="minorHAnsi" w:hAnsiTheme="minorHAnsi"/>
          <w:color w:val="000000" w:themeColor="text1"/>
          <w:sz w:val="28"/>
          <w:szCs w:val="28"/>
        </w:rPr>
      </w:pPr>
      <w:r w:rsidRPr="00F2432C">
        <w:rPr>
          <w:rFonts w:asciiTheme="minorHAnsi" w:hAnsiTheme="minorHAnsi"/>
          <w:b/>
          <w:color w:val="FF0000"/>
          <w:sz w:val="28"/>
          <w:szCs w:val="28"/>
          <w:u w:val="single"/>
        </w:rPr>
        <w:t>Note:</w:t>
      </w:r>
      <w:r>
        <w:rPr>
          <w:rFonts w:asciiTheme="minorHAnsi" w:hAnsiTheme="minorHAnsi"/>
          <w:b/>
          <w:color w:val="000000" w:themeColor="text1"/>
          <w:sz w:val="28"/>
          <w:szCs w:val="28"/>
        </w:rPr>
        <w:t xml:space="preserve">  </w:t>
      </w:r>
      <w:r w:rsidRPr="009624B6">
        <w:rPr>
          <w:rFonts w:asciiTheme="minorHAnsi" w:hAnsiTheme="minorHAnsi"/>
          <w:b/>
          <w:i/>
          <w:color w:val="000000" w:themeColor="text1"/>
          <w:sz w:val="28"/>
          <w:szCs w:val="28"/>
        </w:rPr>
        <w:t>Text in Context</w:t>
      </w:r>
      <w:r>
        <w:rPr>
          <w:rFonts w:asciiTheme="minorHAnsi" w:hAnsiTheme="minorHAnsi"/>
          <w:b/>
          <w:color w:val="000000" w:themeColor="text1"/>
          <w:sz w:val="28"/>
          <w:szCs w:val="28"/>
        </w:rPr>
        <w:t xml:space="preserve"> is a really excellent book and contains chapters that will be very useful to </w:t>
      </w:r>
      <w:r w:rsidRPr="009624B6">
        <w:rPr>
          <w:rFonts w:asciiTheme="minorHAnsi" w:hAnsiTheme="minorHAnsi"/>
          <w:b/>
          <w:color w:val="000000" w:themeColor="text1"/>
          <w:sz w:val="28"/>
          <w:szCs w:val="28"/>
          <w:u w:val="single"/>
        </w:rPr>
        <w:t>several</w:t>
      </w:r>
      <w:r>
        <w:rPr>
          <w:rFonts w:asciiTheme="minorHAnsi" w:hAnsiTheme="minorHAnsi"/>
          <w:b/>
          <w:color w:val="000000" w:themeColor="text1"/>
          <w:sz w:val="28"/>
          <w:szCs w:val="28"/>
        </w:rPr>
        <w:t xml:space="preserve"> of your units in this module.</w:t>
      </w:r>
      <w:r>
        <w:rPr>
          <w:rFonts w:asciiTheme="minorHAnsi" w:hAnsiTheme="minorHAnsi"/>
          <w:b/>
          <w:i/>
          <w:color w:val="000000" w:themeColor="text1"/>
          <w:sz w:val="28"/>
          <w:szCs w:val="28"/>
        </w:rPr>
        <w:t xml:space="preserve"> </w:t>
      </w:r>
      <w:r w:rsidR="009624B6">
        <w:rPr>
          <w:rFonts w:asciiTheme="minorHAnsi" w:hAnsiTheme="minorHAnsi"/>
          <w:color w:val="000000" w:themeColor="text1"/>
          <w:sz w:val="28"/>
          <w:szCs w:val="28"/>
        </w:rPr>
        <w:t xml:space="preserve"> It is an e-book and should be accessible by you in its entirety. </w:t>
      </w:r>
    </w:p>
    <w:p w:rsidR="00F938F5" w:rsidRDefault="00F938F5">
      <w:pPr>
        <w:rPr>
          <w:rFonts w:asciiTheme="minorHAnsi" w:hAnsiTheme="minorHAnsi"/>
          <w:color w:val="000000" w:themeColor="text1"/>
          <w:sz w:val="28"/>
          <w:szCs w:val="28"/>
        </w:rPr>
      </w:pPr>
    </w:p>
    <w:p w:rsidR="00F938F5" w:rsidRDefault="00F938F5">
      <w:pPr>
        <w:rPr>
          <w:rFonts w:asciiTheme="minorHAnsi" w:hAnsiTheme="minorHAnsi"/>
          <w:color w:val="000000" w:themeColor="text1"/>
          <w:sz w:val="28"/>
          <w:szCs w:val="28"/>
        </w:rPr>
      </w:pPr>
      <w:r>
        <w:rPr>
          <w:rFonts w:asciiTheme="minorHAnsi" w:hAnsiTheme="minorHAnsi"/>
          <w:color w:val="000000" w:themeColor="text1"/>
          <w:sz w:val="28"/>
          <w:szCs w:val="28"/>
        </w:rPr>
        <w:t>Also browse through relevant sections of these books:</w:t>
      </w:r>
    </w:p>
    <w:p w:rsidR="00F938F5" w:rsidRPr="00E3093C" w:rsidRDefault="00F8665E" w:rsidP="00F938F5">
      <w:pPr>
        <w:numPr>
          <w:ilvl w:val="0"/>
          <w:numId w:val="1"/>
        </w:numPr>
        <w:shd w:val="clear" w:color="auto" w:fill="EDEFF4"/>
        <w:spacing w:beforeAutospacing="1" w:afterAutospacing="1" w:line="408" w:lineRule="atLeast"/>
        <w:ind w:left="0"/>
        <w:rPr>
          <w:rFonts w:asciiTheme="minorHAnsi" w:hAnsiTheme="minorHAnsi" w:cs="Arial"/>
          <w:color w:val="000000" w:themeColor="text1"/>
          <w:sz w:val="20"/>
          <w:szCs w:val="20"/>
        </w:rPr>
      </w:pPr>
      <w:hyperlink r:id="rId5" w:history="1">
        <w:r w:rsidR="00F938F5" w:rsidRPr="00E3093C">
          <w:rPr>
            <w:rStyle w:val="Hyperlink"/>
            <w:rFonts w:asciiTheme="minorHAnsi" w:hAnsiTheme="minorHAnsi"/>
            <w:color w:val="000000" w:themeColor="text1"/>
            <w:sz w:val="20"/>
            <w:szCs w:val="20"/>
          </w:rPr>
          <w:t xml:space="preserve">T. </w:t>
        </w:r>
        <w:proofErr w:type="spellStart"/>
        <w:r w:rsidR="00F938F5" w:rsidRPr="00E3093C">
          <w:rPr>
            <w:rStyle w:val="Hyperlink"/>
            <w:rFonts w:asciiTheme="minorHAnsi" w:hAnsiTheme="minorHAnsi"/>
            <w:color w:val="000000" w:themeColor="text1"/>
            <w:sz w:val="20"/>
            <w:szCs w:val="20"/>
          </w:rPr>
          <w:t>Brodie</w:t>
        </w:r>
        <w:proofErr w:type="spellEnd"/>
        <w:r w:rsidR="00F938F5" w:rsidRPr="00E3093C">
          <w:rPr>
            <w:rStyle w:val="Hyperlink"/>
            <w:rFonts w:asciiTheme="minorHAnsi" w:hAnsiTheme="minorHAnsi"/>
            <w:color w:val="000000" w:themeColor="text1"/>
            <w:sz w:val="20"/>
            <w:szCs w:val="20"/>
          </w:rPr>
          <w:t xml:space="preserve"> (</w:t>
        </w:r>
        <w:r w:rsidR="00F938F5" w:rsidRPr="00E3093C">
          <w:rPr>
            <w:rStyle w:val="Hyperlink"/>
            <w:rFonts w:asciiTheme="minorHAnsi" w:hAnsiTheme="minorHAnsi"/>
            <w:i/>
            <w:color w:val="000000" w:themeColor="text1"/>
            <w:sz w:val="20"/>
            <w:szCs w:val="20"/>
          </w:rPr>
          <w:t>Genesis as Dialogue: A Commentary</w:t>
        </w:r>
        <w:r w:rsidR="00F938F5" w:rsidRPr="00E3093C">
          <w:rPr>
            <w:rStyle w:val="Hyperlink"/>
            <w:rFonts w:asciiTheme="minorHAnsi" w:hAnsiTheme="minorHAnsi"/>
            <w:color w:val="000000" w:themeColor="text1"/>
            <w:sz w:val="20"/>
            <w:szCs w:val="20"/>
          </w:rPr>
          <w:t>)</w:t>
        </w:r>
        <w:r w:rsidR="00F938F5" w:rsidRPr="00E3093C">
          <w:rPr>
            <w:rStyle w:val="accesshide1"/>
            <w:rFonts w:asciiTheme="minorHAnsi" w:hAnsiTheme="minorHAnsi" w:cs="Arial"/>
            <w:color w:val="000000" w:themeColor="text1"/>
            <w:sz w:val="20"/>
            <w:szCs w:val="20"/>
          </w:rPr>
          <w:t xml:space="preserve"> </w:t>
        </w:r>
      </w:hyperlink>
    </w:p>
    <w:p w:rsidR="00F938F5" w:rsidRPr="00E3093C" w:rsidRDefault="00F8665E" w:rsidP="00F938F5">
      <w:pPr>
        <w:numPr>
          <w:ilvl w:val="0"/>
          <w:numId w:val="1"/>
        </w:numPr>
        <w:shd w:val="clear" w:color="auto" w:fill="EDEFF4"/>
        <w:spacing w:beforeAutospacing="1" w:afterAutospacing="1" w:line="408" w:lineRule="atLeast"/>
        <w:ind w:left="0"/>
        <w:rPr>
          <w:rFonts w:asciiTheme="minorHAnsi" w:hAnsiTheme="minorHAnsi" w:cs="Arial"/>
          <w:color w:val="000000" w:themeColor="text1"/>
          <w:sz w:val="20"/>
          <w:szCs w:val="20"/>
        </w:rPr>
      </w:pPr>
      <w:hyperlink r:id="rId6" w:history="1">
        <w:r w:rsidR="00F938F5" w:rsidRPr="00E3093C">
          <w:rPr>
            <w:rStyle w:val="Hyperlink"/>
            <w:rFonts w:asciiTheme="minorHAnsi" w:hAnsiTheme="minorHAnsi"/>
            <w:color w:val="000000" w:themeColor="text1"/>
            <w:sz w:val="20"/>
            <w:szCs w:val="20"/>
          </w:rPr>
          <w:t xml:space="preserve">Metzger and </w:t>
        </w:r>
        <w:proofErr w:type="spellStart"/>
        <w:r w:rsidR="00F938F5" w:rsidRPr="00E3093C">
          <w:rPr>
            <w:rStyle w:val="Hyperlink"/>
            <w:rFonts w:asciiTheme="minorHAnsi" w:hAnsiTheme="minorHAnsi"/>
            <w:color w:val="000000" w:themeColor="text1"/>
            <w:sz w:val="20"/>
            <w:szCs w:val="20"/>
          </w:rPr>
          <w:t>Coogan</w:t>
        </w:r>
        <w:proofErr w:type="spellEnd"/>
        <w:r w:rsidR="00F938F5" w:rsidRPr="00E3093C">
          <w:rPr>
            <w:rStyle w:val="Hyperlink"/>
            <w:rFonts w:asciiTheme="minorHAnsi" w:hAnsiTheme="minorHAnsi"/>
            <w:color w:val="000000" w:themeColor="text1"/>
            <w:sz w:val="20"/>
            <w:szCs w:val="20"/>
          </w:rPr>
          <w:t xml:space="preserve"> (</w:t>
        </w:r>
        <w:r w:rsidR="00F938F5" w:rsidRPr="00E3093C">
          <w:rPr>
            <w:rStyle w:val="Hyperlink"/>
            <w:rFonts w:asciiTheme="minorHAnsi" w:hAnsiTheme="minorHAnsi"/>
            <w:i/>
            <w:color w:val="000000" w:themeColor="text1"/>
            <w:sz w:val="20"/>
            <w:szCs w:val="20"/>
          </w:rPr>
          <w:t>Ideas and Issues in the Bible</w:t>
        </w:r>
        <w:r w:rsidR="00F938F5" w:rsidRPr="00E3093C">
          <w:rPr>
            <w:rStyle w:val="Hyperlink"/>
            <w:rFonts w:asciiTheme="minorHAnsi" w:hAnsiTheme="minorHAnsi"/>
            <w:color w:val="000000" w:themeColor="text1"/>
            <w:sz w:val="20"/>
            <w:szCs w:val="20"/>
          </w:rPr>
          <w:t>)</w:t>
        </w:r>
        <w:r w:rsidR="00F938F5" w:rsidRPr="00E3093C">
          <w:rPr>
            <w:rStyle w:val="accesshide1"/>
            <w:rFonts w:asciiTheme="minorHAnsi" w:hAnsiTheme="minorHAnsi" w:cs="Arial"/>
            <w:color w:val="000000" w:themeColor="text1"/>
            <w:sz w:val="20"/>
            <w:szCs w:val="20"/>
          </w:rPr>
          <w:t xml:space="preserve"> </w:t>
        </w:r>
      </w:hyperlink>
    </w:p>
    <w:p w:rsidR="00F938F5" w:rsidRPr="00E3093C" w:rsidRDefault="00F8665E" w:rsidP="00F938F5">
      <w:pPr>
        <w:numPr>
          <w:ilvl w:val="0"/>
          <w:numId w:val="1"/>
        </w:numPr>
        <w:shd w:val="clear" w:color="auto" w:fill="EDEFF4"/>
        <w:spacing w:beforeAutospacing="1" w:afterAutospacing="1" w:line="408" w:lineRule="atLeast"/>
        <w:ind w:left="0"/>
        <w:rPr>
          <w:rFonts w:asciiTheme="minorHAnsi" w:hAnsiTheme="minorHAnsi" w:cs="Arial"/>
          <w:color w:val="000000" w:themeColor="text1"/>
          <w:sz w:val="20"/>
          <w:szCs w:val="20"/>
        </w:rPr>
      </w:pPr>
      <w:hyperlink r:id="rId7" w:history="1">
        <w:r w:rsidR="00F938F5" w:rsidRPr="00E3093C">
          <w:rPr>
            <w:rStyle w:val="Hyperlink"/>
            <w:rFonts w:asciiTheme="minorHAnsi" w:hAnsiTheme="minorHAnsi"/>
            <w:color w:val="000000" w:themeColor="text1"/>
            <w:sz w:val="20"/>
            <w:szCs w:val="20"/>
          </w:rPr>
          <w:t xml:space="preserve">Metzger and </w:t>
        </w:r>
        <w:proofErr w:type="spellStart"/>
        <w:r w:rsidR="00F938F5" w:rsidRPr="00E3093C">
          <w:rPr>
            <w:rStyle w:val="Hyperlink"/>
            <w:rFonts w:asciiTheme="minorHAnsi" w:hAnsiTheme="minorHAnsi"/>
            <w:color w:val="000000" w:themeColor="text1"/>
            <w:sz w:val="20"/>
            <w:szCs w:val="20"/>
          </w:rPr>
          <w:t>Coogan</w:t>
        </w:r>
        <w:proofErr w:type="spellEnd"/>
        <w:r w:rsidR="00F938F5" w:rsidRPr="00E3093C">
          <w:rPr>
            <w:rStyle w:val="Hyperlink"/>
            <w:rFonts w:asciiTheme="minorHAnsi" w:hAnsiTheme="minorHAnsi"/>
            <w:color w:val="000000" w:themeColor="text1"/>
            <w:sz w:val="20"/>
            <w:szCs w:val="20"/>
          </w:rPr>
          <w:t xml:space="preserve"> (</w:t>
        </w:r>
        <w:r w:rsidR="00F938F5" w:rsidRPr="00E3093C">
          <w:rPr>
            <w:rStyle w:val="Hyperlink"/>
            <w:rFonts w:asciiTheme="minorHAnsi" w:hAnsiTheme="minorHAnsi"/>
            <w:i/>
            <w:color w:val="000000" w:themeColor="text1"/>
            <w:sz w:val="20"/>
            <w:szCs w:val="20"/>
          </w:rPr>
          <w:t>People and Places of the Bible</w:t>
        </w:r>
        <w:r w:rsidR="00F938F5" w:rsidRPr="00E3093C">
          <w:rPr>
            <w:rStyle w:val="Hyperlink"/>
            <w:rFonts w:asciiTheme="minorHAnsi" w:hAnsiTheme="minorHAnsi"/>
            <w:color w:val="000000" w:themeColor="text1"/>
            <w:sz w:val="20"/>
            <w:szCs w:val="20"/>
          </w:rPr>
          <w:t>)</w:t>
        </w:r>
      </w:hyperlink>
      <w:r w:rsidR="00F938F5" w:rsidRPr="00E3093C">
        <w:rPr>
          <w:rFonts w:asciiTheme="minorHAnsi" w:hAnsiTheme="minorHAnsi" w:cs="Arial"/>
          <w:color w:val="000000" w:themeColor="text1"/>
          <w:sz w:val="20"/>
          <w:szCs w:val="20"/>
        </w:rPr>
        <w:t xml:space="preserve"> </w:t>
      </w:r>
    </w:p>
    <w:p w:rsidR="000C7B4F" w:rsidRDefault="000C7B4F" w:rsidP="000C7B4F">
      <w:pPr>
        <w:rPr>
          <w:rFonts w:ascii="Arial" w:hAnsi="Arial" w:cs="Arial"/>
          <w:i/>
          <w:iCs/>
        </w:rPr>
      </w:pPr>
    </w:p>
    <w:p w:rsidR="000C7B4F" w:rsidRDefault="000C7B4F" w:rsidP="000C7B4F">
      <w:pPr>
        <w:rPr>
          <w:rFonts w:ascii="Arial" w:hAnsi="Arial" w:cs="Arial"/>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22"/>
      </w:tblGrid>
      <w:tr w:rsidR="000C7B4F" w:rsidTr="007035B0">
        <w:tc>
          <w:tcPr>
            <w:tcW w:w="8522" w:type="dxa"/>
          </w:tcPr>
          <w:p w:rsidR="000C7B4F" w:rsidRDefault="000C7B4F" w:rsidP="007035B0">
            <w:pPr>
              <w:rPr>
                <w:rFonts w:ascii="Arial" w:hAnsi="Arial" w:cs="Arial"/>
                <w:b/>
                <w:bCs/>
              </w:rPr>
            </w:pPr>
          </w:p>
          <w:p w:rsidR="000C7B4F" w:rsidRDefault="000C7B4F" w:rsidP="007035B0">
            <w:pPr>
              <w:rPr>
                <w:rFonts w:ascii="Arial" w:hAnsi="Arial" w:cs="Arial"/>
                <w:b/>
                <w:bCs/>
              </w:rPr>
            </w:pPr>
            <w:r>
              <w:rPr>
                <w:rFonts w:ascii="Arial" w:hAnsi="Arial" w:cs="Arial"/>
                <w:b/>
                <w:bCs/>
              </w:rPr>
              <w:t>Issues to explore:</w:t>
            </w:r>
          </w:p>
          <w:p w:rsidR="000C7B4F" w:rsidRDefault="000C7B4F" w:rsidP="007035B0">
            <w:pPr>
              <w:rPr>
                <w:rFonts w:ascii="Arial" w:hAnsi="Arial" w:cs="Arial"/>
              </w:rPr>
            </w:pPr>
          </w:p>
          <w:p w:rsidR="000C7B4F" w:rsidRDefault="000C7B4F" w:rsidP="000C7B4F">
            <w:pPr>
              <w:numPr>
                <w:ilvl w:val="0"/>
                <w:numId w:val="2"/>
              </w:numPr>
              <w:jc w:val="both"/>
              <w:rPr>
                <w:rFonts w:ascii="Arial" w:hAnsi="Arial" w:cs="Arial"/>
              </w:rPr>
            </w:pPr>
            <w:r>
              <w:rPr>
                <w:rFonts w:ascii="Arial" w:hAnsi="Arial" w:cs="Arial"/>
              </w:rPr>
              <w:t xml:space="preserve">The movement in biblical studies away from an over-reliance on </w:t>
            </w:r>
            <w:proofErr w:type="spellStart"/>
            <w:r>
              <w:rPr>
                <w:rFonts w:ascii="Arial" w:hAnsi="Arial" w:cs="Arial"/>
              </w:rPr>
              <w:t>Wellhausen’s</w:t>
            </w:r>
            <w:proofErr w:type="spellEnd"/>
            <w:r>
              <w:rPr>
                <w:rFonts w:ascii="Arial" w:hAnsi="Arial" w:cs="Arial"/>
              </w:rPr>
              <w:t xml:space="preserve"> </w:t>
            </w:r>
            <w:r>
              <w:rPr>
                <w:rFonts w:ascii="Arial" w:hAnsi="Arial" w:cs="Arial"/>
                <w:i/>
                <w:iCs/>
              </w:rPr>
              <w:t>Documentary Hypothesis</w:t>
            </w:r>
            <w:r>
              <w:rPr>
                <w:rFonts w:ascii="Arial" w:hAnsi="Arial" w:cs="Arial"/>
              </w:rPr>
              <w:t xml:space="preserve"> to a more literary, holistic reading of the text</w:t>
            </w:r>
          </w:p>
          <w:p w:rsidR="000C7B4F" w:rsidRDefault="000C7B4F" w:rsidP="000C7B4F">
            <w:pPr>
              <w:numPr>
                <w:ilvl w:val="0"/>
                <w:numId w:val="2"/>
              </w:numPr>
              <w:jc w:val="both"/>
              <w:rPr>
                <w:rFonts w:ascii="Arial" w:hAnsi="Arial" w:cs="Arial"/>
              </w:rPr>
            </w:pPr>
            <w:r>
              <w:rPr>
                <w:rFonts w:ascii="Arial" w:hAnsi="Arial" w:cs="Arial"/>
              </w:rPr>
              <w:t>The usefulness of literary approaches in appreciating the importance of plot, narrative and characters</w:t>
            </w:r>
          </w:p>
          <w:p w:rsidR="000C7B4F" w:rsidRDefault="000C7B4F" w:rsidP="000C7B4F">
            <w:pPr>
              <w:numPr>
                <w:ilvl w:val="0"/>
                <w:numId w:val="2"/>
              </w:numPr>
              <w:jc w:val="both"/>
              <w:rPr>
                <w:rFonts w:ascii="Arial" w:hAnsi="Arial" w:cs="Arial"/>
              </w:rPr>
            </w:pPr>
            <w:r>
              <w:rPr>
                <w:rFonts w:ascii="Arial" w:hAnsi="Arial" w:cs="Arial"/>
              </w:rPr>
              <w:t xml:space="preserve">Should we look for a single unified message in Genesis or for several </w:t>
            </w:r>
            <w:r>
              <w:rPr>
                <w:rFonts w:ascii="Arial" w:hAnsi="Arial" w:cs="Arial"/>
              </w:rPr>
              <w:lastRenderedPageBreak/>
              <w:t>different and sometimes divergent opinions?</w:t>
            </w:r>
          </w:p>
          <w:p w:rsidR="000C7B4F" w:rsidRDefault="000C7B4F" w:rsidP="007035B0">
            <w:pPr>
              <w:rPr>
                <w:rFonts w:ascii="Arial" w:hAnsi="Arial" w:cs="Arial"/>
              </w:rPr>
            </w:pPr>
          </w:p>
          <w:p w:rsidR="000C7B4F" w:rsidRDefault="000C7B4F" w:rsidP="007035B0">
            <w:pPr>
              <w:rPr>
                <w:rFonts w:ascii="Arial" w:hAnsi="Arial" w:cs="Arial"/>
                <w:b/>
                <w:bCs/>
              </w:rPr>
            </w:pPr>
            <w:r>
              <w:rPr>
                <w:rFonts w:ascii="Arial" w:hAnsi="Arial" w:cs="Arial"/>
                <w:b/>
                <w:bCs/>
              </w:rPr>
              <w:t>Formative assignment:</w:t>
            </w:r>
          </w:p>
          <w:p w:rsidR="000C7B4F" w:rsidRDefault="000C7B4F" w:rsidP="007035B0">
            <w:pPr>
              <w:rPr>
                <w:rFonts w:ascii="Arial" w:hAnsi="Arial" w:cs="Arial"/>
              </w:rPr>
            </w:pPr>
          </w:p>
          <w:p w:rsidR="000C7B4F" w:rsidRDefault="000C7B4F" w:rsidP="007035B0">
            <w:pPr>
              <w:rPr>
                <w:rFonts w:ascii="Arial" w:hAnsi="Arial" w:cs="Arial"/>
              </w:rPr>
            </w:pPr>
            <w:r>
              <w:rPr>
                <w:rFonts w:ascii="Arial" w:hAnsi="Arial" w:cs="Arial"/>
              </w:rPr>
              <w:t>By the end of this unit, you should be able to answer the following question, in the context of contemporary scholarship:</w:t>
            </w:r>
          </w:p>
          <w:p w:rsidR="000C7B4F" w:rsidRDefault="000C7B4F" w:rsidP="007035B0">
            <w:pPr>
              <w:jc w:val="both"/>
              <w:rPr>
                <w:rFonts w:ascii="Arial" w:hAnsi="Arial" w:cs="Arial"/>
              </w:rPr>
            </w:pPr>
          </w:p>
          <w:p w:rsidR="000C7B4F" w:rsidRDefault="000C7B4F" w:rsidP="007035B0">
            <w:pPr>
              <w:jc w:val="both"/>
              <w:rPr>
                <w:rFonts w:ascii="Arial" w:hAnsi="Arial" w:cs="Arial"/>
                <w:b/>
                <w:bCs/>
              </w:rPr>
            </w:pPr>
            <w:r>
              <w:rPr>
                <w:rFonts w:ascii="Arial" w:hAnsi="Arial" w:cs="Arial"/>
                <w:b/>
                <w:bCs/>
                <w:sz w:val="22"/>
              </w:rPr>
              <w:t xml:space="preserve">What are the advantages and disadvantages of using current literary approaches which emphasise reading Genesis as a unit as opposed to the more traditional historical-critical approach centred on the </w:t>
            </w:r>
            <w:r>
              <w:rPr>
                <w:rFonts w:ascii="Arial" w:hAnsi="Arial" w:cs="Arial"/>
                <w:b/>
                <w:bCs/>
                <w:i/>
                <w:iCs/>
                <w:sz w:val="22"/>
              </w:rPr>
              <w:t>Documentary Hypothesis</w:t>
            </w:r>
            <w:r>
              <w:rPr>
                <w:rFonts w:ascii="Arial" w:hAnsi="Arial" w:cs="Arial"/>
                <w:b/>
                <w:bCs/>
                <w:sz w:val="22"/>
              </w:rPr>
              <w:t>?</w:t>
            </w:r>
          </w:p>
        </w:tc>
      </w:tr>
    </w:tbl>
    <w:p w:rsidR="00F938F5" w:rsidRPr="009624B6" w:rsidRDefault="00F938F5">
      <w:pPr>
        <w:rPr>
          <w:rFonts w:asciiTheme="minorHAnsi" w:hAnsiTheme="minorHAnsi"/>
          <w:color w:val="000000" w:themeColor="text1"/>
          <w:sz w:val="28"/>
          <w:szCs w:val="28"/>
        </w:rPr>
      </w:pPr>
    </w:p>
    <w:sectPr w:rsidR="00F938F5" w:rsidRPr="009624B6" w:rsidSect="00F2432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FF0F1F"/>
    <w:multiLevelType w:val="hybridMultilevel"/>
    <w:tmpl w:val="B338EB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37C4A45"/>
    <w:multiLevelType w:val="multilevel"/>
    <w:tmpl w:val="16900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01E7C"/>
    <w:rsid w:val="00001E7C"/>
    <w:rsid w:val="000C7B4F"/>
    <w:rsid w:val="00126C45"/>
    <w:rsid w:val="00177086"/>
    <w:rsid w:val="004E6746"/>
    <w:rsid w:val="00884716"/>
    <w:rsid w:val="00942B1A"/>
    <w:rsid w:val="009624B6"/>
    <w:rsid w:val="00D567DF"/>
    <w:rsid w:val="00E3093C"/>
    <w:rsid w:val="00F2432C"/>
    <w:rsid w:val="00F8665E"/>
    <w:rsid w:val="00F938F5"/>
    <w:rsid w:val="00FE739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E7C"/>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001E7C"/>
    <w:pPr>
      <w:keepNext/>
      <w:jc w:val="center"/>
      <w:outlineLvl w:val="2"/>
    </w:pPr>
    <w:rPr>
      <w:rFonts w:ascii="Arial" w:hAnsi="Arial"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01E7C"/>
    <w:rPr>
      <w:rFonts w:ascii="Arial" w:eastAsia="Times New Roman" w:hAnsi="Arial" w:cs="Arial"/>
      <w:b/>
      <w:bCs/>
      <w:sz w:val="28"/>
      <w:szCs w:val="24"/>
    </w:rPr>
  </w:style>
  <w:style w:type="paragraph" w:styleId="BodyText">
    <w:name w:val="Body Text"/>
    <w:basedOn w:val="Normal"/>
    <w:link w:val="BodyTextChar"/>
    <w:rsid w:val="00001E7C"/>
    <w:pPr>
      <w:jc w:val="both"/>
    </w:pPr>
    <w:rPr>
      <w:rFonts w:ascii="Arial" w:hAnsi="Arial" w:cs="Arial"/>
    </w:rPr>
  </w:style>
  <w:style w:type="character" w:customStyle="1" w:styleId="BodyTextChar">
    <w:name w:val="Body Text Char"/>
    <w:basedOn w:val="DefaultParagraphFont"/>
    <w:link w:val="BodyText"/>
    <w:rsid w:val="00001E7C"/>
    <w:rPr>
      <w:rFonts w:ascii="Arial" w:eastAsia="Times New Roman" w:hAnsi="Arial" w:cs="Arial"/>
      <w:sz w:val="24"/>
      <w:szCs w:val="24"/>
    </w:rPr>
  </w:style>
  <w:style w:type="paragraph" w:styleId="NormalWeb">
    <w:name w:val="Normal (Web)"/>
    <w:basedOn w:val="Normal"/>
    <w:uiPriority w:val="99"/>
    <w:rsid w:val="00001E7C"/>
    <w:pPr>
      <w:spacing w:before="100" w:beforeAutospacing="1" w:after="100" w:afterAutospacing="1"/>
    </w:pPr>
  </w:style>
  <w:style w:type="character" w:styleId="Hyperlink">
    <w:name w:val="Hyperlink"/>
    <w:basedOn w:val="DefaultParagraphFont"/>
    <w:uiPriority w:val="99"/>
    <w:semiHidden/>
    <w:unhideWhenUsed/>
    <w:rsid w:val="00F938F5"/>
    <w:rPr>
      <w:rFonts w:ascii="Verdana" w:hAnsi="Verdana" w:hint="default"/>
      <w:b/>
      <w:bCs/>
      <w:strike w:val="0"/>
      <w:dstrike w:val="0"/>
      <w:color w:val="003366"/>
      <w:sz w:val="24"/>
      <w:szCs w:val="24"/>
      <w:u w:val="none"/>
      <w:effect w:val="none"/>
    </w:rPr>
  </w:style>
  <w:style w:type="character" w:styleId="Emphasis">
    <w:name w:val="Emphasis"/>
    <w:basedOn w:val="DefaultParagraphFont"/>
    <w:uiPriority w:val="20"/>
    <w:qFormat/>
    <w:rsid w:val="00F938F5"/>
    <w:rPr>
      <w:i/>
      <w:iCs/>
    </w:rPr>
  </w:style>
  <w:style w:type="character" w:customStyle="1" w:styleId="accesshide1">
    <w:name w:val="accesshide1"/>
    <w:basedOn w:val="DefaultParagraphFont"/>
    <w:rsid w:val="00F938F5"/>
    <w:rPr>
      <w:b w:val="0"/>
      <w:bCs w:val="0"/>
      <w:sz w:val="24"/>
      <w:szCs w:val="24"/>
    </w:rPr>
  </w:style>
  <w:style w:type="paragraph" w:styleId="BalloonText">
    <w:name w:val="Balloon Text"/>
    <w:basedOn w:val="Normal"/>
    <w:link w:val="BalloonTextChar"/>
    <w:uiPriority w:val="99"/>
    <w:semiHidden/>
    <w:unhideWhenUsed/>
    <w:rsid w:val="00F938F5"/>
    <w:rPr>
      <w:rFonts w:ascii="Tahoma" w:hAnsi="Tahoma" w:cs="Tahoma"/>
      <w:sz w:val="16"/>
      <w:szCs w:val="16"/>
    </w:rPr>
  </w:style>
  <w:style w:type="character" w:customStyle="1" w:styleId="BalloonTextChar">
    <w:name w:val="Balloon Text Char"/>
    <w:basedOn w:val="DefaultParagraphFont"/>
    <w:link w:val="BalloonText"/>
    <w:uiPriority w:val="99"/>
    <w:semiHidden/>
    <w:rsid w:val="00F938F5"/>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12369389">
      <w:bodyDiv w:val="1"/>
      <w:marLeft w:val="0"/>
      <w:marRight w:val="0"/>
      <w:marTop w:val="0"/>
      <w:marBottom w:val="0"/>
      <w:divBdr>
        <w:top w:val="none" w:sz="0" w:space="0" w:color="auto"/>
        <w:left w:val="none" w:sz="0" w:space="0" w:color="auto"/>
        <w:bottom w:val="none" w:sz="0" w:space="0" w:color="auto"/>
        <w:right w:val="none" w:sz="0" w:space="0" w:color="auto"/>
      </w:divBdr>
      <w:divsChild>
        <w:div w:id="1914656848">
          <w:marLeft w:val="0"/>
          <w:marRight w:val="0"/>
          <w:marTop w:val="0"/>
          <w:marBottom w:val="0"/>
          <w:divBdr>
            <w:top w:val="none" w:sz="0" w:space="0" w:color="auto"/>
            <w:left w:val="none" w:sz="0" w:space="0" w:color="auto"/>
            <w:bottom w:val="none" w:sz="0" w:space="0" w:color="auto"/>
            <w:right w:val="none" w:sz="0" w:space="0" w:color="auto"/>
          </w:divBdr>
          <w:divsChild>
            <w:div w:id="57166185">
              <w:marLeft w:val="0"/>
              <w:marRight w:val="0"/>
              <w:marTop w:val="0"/>
              <w:marBottom w:val="0"/>
              <w:divBdr>
                <w:top w:val="none" w:sz="0" w:space="0" w:color="auto"/>
                <w:left w:val="none" w:sz="0" w:space="0" w:color="auto"/>
                <w:bottom w:val="none" w:sz="0" w:space="0" w:color="auto"/>
                <w:right w:val="none" w:sz="0" w:space="0" w:color="auto"/>
              </w:divBdr>
              <w:divsChild>
                <w:div w:id="981614263">
                  <w:marLeft w:val="0"/>
                  <w:marRight w:val="0"/>
                  <w:marTop w:val="0"/>
                  <w:marBottom w:val="0"/>
                  <w:divBdr>
                    <w:top w:val="none" w:sz="0" w:space="0" w:color="auto"/>
                    <w:left w:val="none" w:sz="0" w:space="0" w:color="auto"/>
                    <w:bottom w:val="none" w:sz="0" w:space="0" w:color="auto"/>
                    <w:right w:val="none" w:sz="0" w:space="0" w:color="auto"/>
                  </w:divBdr>
                  <w:divsChild>
                    <w:div w:id="93089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ysgu.ydds.ac.uk/mod/resource/view.php?id=561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ysgu.ydds.ac.uk/mod/resource/view.php?id=56103" TargetMode="External"/><Relationship Id="rId5" Type="http://schemas.openxmlformats.org/officeDocument/2006/relationships/hyperlink" Target="http://dysgu.ydds.ac.uk/mod/resource/view.php?id=5609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933</Words>
  <Characters>5322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7</cp:revision>
  <dcterms:created xsi:type="dcterms:W3CDTF">2012-08-29T14:33:00Z</dcterms:created>
  <dcterms:modified xsi:type="dcterms:W3CDTF">2012-09-11T07:59:00Z</dcterms:modified>
</cp:coreProperties>
</file>