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lang w:val="en-GB"/>
        </w:rPr>
        <w:id w:val="200447385"/>
        <w:docPartObj>
          <w:docPartGallery w:val="Cover Pages"/>
          <w:docPartUnique/>
        </w:docPartObj>
      </w:sdtPr>
      <w:sdtEndPr>
        <w:rPr>
          <w:color w:val="auto"/>
        </w:rPr>
      </w:sdtEndPr>
      <w:sdtContent>
        <w:p w14:paraId="6B366123" w14:textId="77777777" w:rsidR="00511AD3" w:rsidRPr="00EB5030" w:rsidRDefault="00511AD3" w:rsidP="00511AD3">
          <w:pPr>
            <w:pStyle w:val="NoSpacing"/>
            <w:spacing w:before="1540" w:after="240"/>
            <w:jc w:val="center"/>
            <w:rPr>
              <w:rFonts w:ascii="Arial" w:hAnsi="Arial" w:cs="Arial"/>
              <w:color w:val="156082" w:themeColor="accent1"/>
            </w:rPr>
          </w:pPr>
          <w:r w:rsidRPr="00EB5030">
            <w:rPr>
              <w:rFonts w:ascii="Arial" w:hAnsi="Arial" w:cs="Arial"/>
              <w:noProof/>
              <w:color w:val="156082" w:themeColor="accent1"/>
            </w:rPr>
            <w:drawing>
              <wp:inline distT="0" distB="0" distL="0" distR="0" wp14:anchorId="04EAA4E7" wp14:editId="38C4E4A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46"/>
              <w:szCs w:val="46"/>
            </w:rPr>
            <w:alias w:val="Title"/>
            <w:tag w:val=""/>
            <w:id w:val="1735040861"/>
            <w:placeholder>
              <w:docPart w:val="FE2E15587142412A94D421907E11569D"/>
            </w:placeholder>
            <w:dataBinding w:prefixMappings="xmlns:ns0='http://purl.org/dc/elements/1.1/' xmlns:ns1='http://schemas.openxmlformats.org/package/2006/metadata/core-properties' " w:xpath="/ns1:coreProperties[1]/ns0:title[1]" w:storeItemID="{6C3C8BC8-F283-45AE-878A-BAB7291924A1}"/>
            <w:text/>
          </w:sdtPr>
          <w:sdtContent>
            <w:p w14:paraId="203967B0" w14:textId="10AB3E91" w:rsidR="00511AD3" w:rsidRPr="00D35582" w:rsidRDefault="00B9492B" w:rsidP="00511AD3">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6"/>
                  <w:szCs w:val="46"/>
                </w:rPr>
              </w:pPr>
              <w:r w:rsidRPr="00B9492B">
                <w:rPr>
                  <w:rFonts w:ascii="Arial" w:eastAsiaTheme="majorEastAsia" w:hAnsi="Arial" w:cs="Arial"/>
                  <w:caps/>
                  <w:color w:val="156082" w:themeColor="accent1"/>
                  <w:sz w:val="46"/>
                  <w:szCs w:val="46"/>
                </w:rPr>
                <w:t>Cross-Cultural Communication Challenges in a UK-Japan Pharmaceutical Partnership</w:t>
              </w:r>
            </w:p>
          </w:sdtContent>
        </w:sdt>
        <w:sdt>
          <w:sdtPr>
            <w:rPr>
              <w:rFonts w:ascii="Arial" w:hAnsi="Arial" w:cs="Arial"/>
              <w:color w:val="156082" w:themeColor="accent1"/>
              <w:sz w:val="28"/>
              <w:szCs w:val="28"/>
            </w:rPr>
            <w:alias w:val="Subtitle"/>
            <w:tag w:val=""/>
            <w:id w:val="328029620"/>
            <w:placeholder>
              <w:docPart w:val="A959106037EE4FDFA5F74C1350F90ACC"/>
            </w:placeholder>
            <w:dataBinding w:prefixMappings="xmlns:ns0='http://purl.org/dc/elements/1.1/' xmlns:ns1='http://schemas.openxmlformats.org/package/2006/metadata/core-properties' " w:xpath="/ns1:coreProperties[1]/ns0:subject[1]" w:storeItemID="{6C3C8BC8-F283-45AE-878A-BAB7291924A1}"/>
            <w:text/>
          </w:sdtPr>
          <w:sdtContent>
            <w:p w14:paraId="554B9B09" w14:textId="0A264C89" w:rsidR="00511AD3" w:rsidRPr="00EB5030" w:rsidRDefault="00B9492B" w:rsidP="00511AD3">
              <w:pPr>
                <w:pStyle w:val="NoSpacing"/>
                <w:jc w:val="center"/>
                <w:rPr>
                  <w:rFonts w:ascii="Arial" w:hAnsi="Arial" w:cs="Arial"/>
                  <w:color w:val="156082" w:themeColor="accent1"/>
                  <w:sz w:val="28"/>
                  <w:szCs w:val="28"/>
                </w:rPr>
              </w:pPr>
              <w:r>
                <w:rPr>
                  <w:rFonts w:ascii="Arial" w:hAnsi="Arial" w:cs="Arial"/>
                  <w:color w:val="156082" w:themeColor="accent1"/>
                  <w:sz w:val="28"/>
                  <w:szCs w:val="28"/>
                </w:rPr>
                <w:t>International Business Communications</w:t>
              </w:r>
              <w:r w:rsidR="00511AD3" w:rsidRPr="00EB5030">
                <w:rPr>
                  <w:rFonts w:ascii="Arial" w:hAnsi="Arial" w:cs="Arial"/>
                  <w:color w:val="156082" w:themeColor="accent1"/>
                  <w:sz w:val="28"/>
                  <w:szCs w:val="28"/>
                </w:rPr>
                <w:t xml:space="preserve"> (LCBB60</w:t>
              </w:r>
              <w:r>
                <w:rPr>
                  <w:rFonts w:ascii="Arial" w:hAnsi="Arial" w:cs="Arial"/>
                  <w:color w:val="156082" w:themeColor="accent1"/>
                  <w:sz w:val="28"/>
                  <w:szCs w:val="28"/>
                </w:rPr>
                <w:t>23</w:t>
              </w:r>
              <w:r w:rsidR="00511AD3" w:rsidRPr="00EB5030">
                <w:rPr>
                  <w:rFonts w:ascii="Arial" w:hAnsi="Arial" w:cs="Arial"/>
                  <w:color w:val="156082" w:themeColor="accent1"/>
                  <w:sz w:val="28"/>
                  <w:szCs w:val="28"/>
                </w:rPr>
                <w:t>)</w:t>
              </w:r>
            </w:p>
          </w:sdtContent>
        </w:sdt>
        <w:p w14:paraId="508788C7" w14:textId="77777777" w:rsidR="00511AD3" w:rsidRPr="00EB5030" w:rsidRDefault="00511AD3" w:rsidP="00511AD3">
          <w:pPr>
            <w:pStyle w:val="NoSpacing"/>
            <w:spacing w:before="480"/>
            <w:jc w:val="center"/>
            <w:rPr>
              <w:rFonts w:ascii="Arial" w:hAnsi="Arial" w:cs="Arial"/>
              <w:color w:val="156082" w:themeColor="accent1"/>
            </w:rPr>
          </w:pPr>
          <w:r w:rsidRPr="00EB5030">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748466A7" wp14:editId="1663174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0"/>
                                    <w:szCs w:val="40"/>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E42BF7D" w14:textId="77777777" w:rsidR="00511AD3" w:rsidRPr="0047739B" w:rsidRDefault="00511AD3" w:rsidP="00511AD3">
                                    <w:pPr>
                                      <w:pStyle w:val="NoSpacing"/>
                                      <w:spacing w:after="40"/>
                                      <w:jc w:val="center"/>
                                      <w:rPr>
                                        <w:caps/>
                                        <w:color w:val="156082" w:themeColor="accent1"/>
                                        <w:sz w:val="40"/>
                                        <w:szCs w:val="40"/>
                                      </w:rPr>
                                    </w:pPr>
                                    <w:r>
                                      <w:rPr>
                                        <w:caps/>
                                        <w:color w:val="156082" w:themeColor="accent1"/>
                                        <w:sz w:val="40"/>
                                        <w:szCs w:val="40"/>
                                      </w:rPr>
                                      <w:t xml:space="preserve">     </w:t>
                                    </w:r>
                                  </w:p>
                                </w:sdtContent>
                              </w:sdt>
                              <w:p w14:paraId="01B8D33D" w14:textId="77777777" w:rsidR="00511AD3" w:rsidRPr="0047739B" w:rsidRDefault="00000000" w:rsidP="00511AD3">
                                <w:pPr>
                                  <w:pStyle w:val="NoSpacing"/>
                                  <w:jc w:val="center"/>
                                  <w:rPr>
                                    <w:color w:val="156082" w:themeColor="accent1"/>
                                    <w:sz w:val="34"/>
                                    <w:szCs w:val="34"/>
                                  </w:rPr>
                                </w:pPr>
                                <w:sdt>
                                  <w:sdtPr>
                                    <w:rPr>
                                      <w:caps/>
                                      <w:color w:val="156082" w:themeColor="accent1"/>
                                      <w:sz w:val="34"/>
                                      <w:szCs w:val="34"/>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511AD3">
                                      <w:rPr>
                                        <w:caps/>
                                        <w:color w:val="156082" w:themeColor="accent1"/>
                                        <w:sz w:val="34"/>
                                        <w:szCs w:val="34"/>
                                      </w:rPr>
                                      <w:t xml:space="preserve">     </w:t>
                                    </w:r>
                                  </w:sdtContent>
                                </w:sdt>
                              </w:p>
                              <w:p w14:paraId="2A8C80CF" w14:textId="77777777" w:rsidR="00511AD3" w:rsidRPr="0047739B" w:rsidRDefault="00000000" w:rsidP="00511AD3">
                                <w:pPr>
                                  <w:pStyle w:val="NoSpacing"/>
                                  <w:jc w:val="center"/>
                                  <w:rPr>
                                    <w:color w:val="156082" w:themeColor="accent1"/>
                                    <w:sz w:val="34"/>
                                    <w:szCs w:val="34"/>
                                  </w:rPr>
                                </w:pPr>
                                <w:sdt>
                                  <w:sdtPr>
                                    <w:rPr>
                                      <w:color w:val="156082" w:themeColor="accent1"/>
                                      <w:sz w:val="34"/>
                                      <w:szCs w:val="3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11AD3" w:rsidRPr="0047739B">
                                      <w:rPr>
                                        <w:color w:val="156082" w:themeColor="accent1"/>
                                        <w:sz w:val="34"/>
                                        <w:szCs w:val="3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8466A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40"/>
                              <w:szCs w:val="40"/>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E42BF7D" w14:textId="77777777" w:rsidR="00511AD3" w:rsidRPr="0047739B" w:rsidRDefault="00511AD3" w:rsidP="00511AD3">
                              <w:pPr>
                                <w:pStyle w:val="NoSpacing"/>
                                <w:spacing w:after="40"/>
                                <w:jc w:val="center"/>
                                <w:rPr>
                                  <w:caps/>
                                  <w:color w:val="156082" w:themeColor="accent1"/>
                                  <w:sz w:val="40"/>
                                  <w:szCs w:val="40"/>
                                </w:rPr>
                              </w:pPr>
                              <w:r>
                                <w:rPr>
                                  <w:caps/>
                                  <w:color w:val="156082" w:themeColor="accent1"/>
                                  <w:sz w:val="40"/>
                                  <w:szCs w:val="40"/>
                                </w:rPr>
                                <w:t xml:space="preserve">     </w:t>
                              </w:r>
                            </w:p>
                          </w:sdtContent>
                        </w:sdt>
                        <w:p w14:paraId="01B8D33D" w14:textId="77777777" w:rsidR="00511AD3" w:rsidRPr="0047739B" w:rsidRDefault="00000000" w:rsidP="00511AD3">
                          <w:pPr>
                            <w:pStyle w:val="NoSpacing"/>
                            <w:jc w:val="center"/>
                            <w:rPr>
                              <w:color w:val="156082" w:themeColor="accent1"/>
                              <w:sz w:val="34"/>
                              <w:szCs w:val="34"/>
                            </w:rPr>
                          </w:pPr>
                          <w:sdt>
                            <w:sdtPr>
                              <w:rPr>
                                <w:caps/>
                                <w:color w:val="156082" w:themeColor="accent1"/>
                                <w:sz w:val="34"/>
                                <w:szCs w:val="34"/>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511AD3">
                                <w:rPr>
                                  <w:caps/>
                                  <w:color w:val="156082" w:themeColor="accent1"/>
                                  <w:sz w:val="34"/>
                                  <w:szCs w:val="34"/>
                                </w:rPr>
                                <w:t xml:space="preserve">     </w:t>
                              </w:r>
                            </w:sdtContent>
                          </w:sdt>
                        </w:p>
                        <w:p w14:paraId="2A8C80CF" w14:textId="77777777" w:rsidR="00511AD3" w:rsidRPr="0047739B" w:rsidRDefault="00000000" w:rsidP="00511AD3">
                          <w:pPr>
                            <w:pStyle w:val="NoSpacing"/>
                            <w:jc w:val="center"/>
                            <w:rPr>
                              <w:color w:val="156082" w:themeColor="accent1"/>
                              <w:sz w:val="34"/>
                              <w:szCs w:val="34"/>
                            </w:rPr>
                          </w:pPr>
                          <w:sdt>
                            <w:sdtPr>
                              <w:rPr>
                                <w:color w:val="156082" w:themeColor="accent1"/>
                                <w:sz w:val="34"/>
                                <w:szCs w:val="3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11AD3" w:rsidRPr="0047739B">
                                <w:rPr>
                                  <w:color w:val="156082" w:themeColor="accent1"/>
                                  <w:sz w:val="34"/>
                                  <w:szCs w:val="34"/>
                                </w:rPr>
                                <w:t xml:space="preserve">     </w:t>
                              </w:r>
                            </w:sdtContent>
                          </w:sdt>
                        </w:p>
                      </w:txbxContent>
                    </v:textbox>
                    <w10:wrap anchorx="margin" anchory="page"/>
                  </v:shape>
                </w:pict>
              </mc:Fallback>
            </mc:AlternateContent>
          </w:r>
          <w:r w:rsidRPr="00EB5030">
            <w:rPr>
              <w:rFonts w:ascii="Arial" w:hAnsi="Arial" w:cs="Arial"/>
              <w:noProof/>
              <w:color w:val="156082" w:themeColor="accent1"/>
            </w:rPr>
            <w:drawing>
              <wp:inline distT="0" distB="0" distL="0" distR="0" wp14:anchorId="72807C9E" wp14:editId="4639AF5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971255" w14:textId="77777777" w:rsidR="00511AD3" w:rsidRPr="00EB5030" w:rsidRDefault="00511AD3" w:rsidP="00511AD3">
          <w:pPr>
            <w:rPr>
              <w:rFonts w:ascii="Arial" w:hAnsi="Arial" w:cs="Arial"/>
            </w:rPr>
          </w:pPr>
        </w:p>
        <w:p w14:paraId="10A73121" w14:textId="77777777" w:rsidR="00511AD3" w:rsidRPr="00EB5030" w:rsidRDefault="00511AD3" w:rsidP="00511AD3">
          <w:pPr>
            <w:rPr>
              <w:rFonts w:ascii="Arial" w:hAnsi="Arial" w:cs="Arial"/>
            </w:rPr>
          </w:pPr>
        </w:p>
        <w:p w14:paraId="79148857" w14:textId="77777777" w:rsidR="00511AD3" w:rsidRPr="00EB5030" w:rsidRDefault="00511AD3" w:rsidP="00511AD3">
          <w:pPr>
            <w:rPr>
              <w:rFonts w:ascii="Arial" w:hAnsi="Arial" w:cs="Arial"/>
            </w:rPr>
          </w:pPr>
        </w:p>
        <w:p w14:paraId="23BF6B24" w14:textId="77777777" w:rsidR="00511AD3" w:rsidRPr="00EB5030" w:rsidRDefault="00511AD3" w:rsidP="00511AD3">
          <w:pPr>
            <w:rPr>
              <w:rFonts w:ascii="Arial" w:hAnsi="Arial" w:cs="Arial"/>
            </w:rPr>
          </w:pPr>
        </w:p>
        <w:p w14:paraId="017E0F89" w14:textId="77777777" w:rsidR="00511AD3" w:rsidRPr="00EB5030" w:rsidRDefault="00511AD3" w:rsidP="00511AD3">
          <w:pPr>
            <w:rPr>
              <w:rFonts w:ascii="Arial" w:hAnsi="Arial" w:cs="Arial"/>
            </w:rPr>
          </w:pPr>
        </w:p>
        <w:p w14:paraId="5C26AADF" w14:textId="77777777" w:rsidR="00511AD3" w:rsidRPr="00EB5030" w:rsidRDefault="00511AD3" w:rsidP="00511AD3">
          <w:pPr>
            <w:rPr>
              <w:rFonts w:ascii="Arial" w:hAnsi="Arial" w:cs="Arial"/>
            </w:rPr>
          </w:pPr>
        </w:p>
        <w:p w14:paraId="52761E61" w14:textId="77777777" w:rsidR="00511AD3" w:rsidRPr="00EB5030" w:rsidRDefault="00511AD3" w:rsidP="00511AD3">
          <w:pPr>
            <w:rPr>
              <w:rFonts w:ascii="Arial" w:hAnsi="Arial" w:cs="Arial"/>
            </w:rPr>
          </w:pPr>
        </w:p>
        <w:p w14:paraId="18784DBA" w14:textId="77777777" w:rsidR="00511AD3" w:rsidRPr="00EB5030" w:rsidRDefault="00511AD3" w:rsidP="00511AD3">
          <w:pPr>
            <w:rPr>
              <w:rFonts w:ascii="Arial" w:hAnsi="Arial" w:cs="Arial"/>
            </w:rPr>
          </w:pPr>
        </w:p>
        <w:p w14:paraId="5A4A8DEB" w14:textId="77777777" w:rsidR="00511AD3" w:rsidRPr="00EB5030" w:rsidRDefault="00511AD3" w:rsidP="00511AD3">
          <w:pPr>
            <w:rPr>
              <w:rFonts w:ascii="Arial" w:hAnsi="Arial" w:cs="Arial"/>
            </w:rPr>
          </w:pPr>
        </w:p>
        <w:p w14:paraId="793356CB" w14:textId="77777777" w:rsidR="00511AD3" w:rsidRPr="00EB5030" w:rsidRDefault="00511AD3" w:rsidP="00511AD3">
          <w:pPr>
            <w:rPr>
              <w:rFonts w:ascii="Arial" w:hAnsi="Arial" w:cs="Arial"/>
            </w:rPr>
          </w:pPr>
        </w:p>
        <w:p w14:paraId="4195B590" w14:textId="77777777" w:rsidR="00511AD3" w:rsidRPr="00EB5030" w:rsidRDefault="00511AD3" w:rsidP="00511AD3">
          <w:pPr>
            <w:jc w:val="center"/>
            <w:rPr>
              <w:rFonts w:ascii="Arial" w:eastAsiaTheme="minorEastAsia" w:hAnsi="Arial" w:cs="Arial"/>
              <w:color w:val="156082" w:themeColor="accent1"/>
              <w:sz w:val="36"/>
              <w:szCs w:val="36"/>
              <w:lang w:val="en-US"/>
            </w:rPr>
          </w:pPr>
          <w:r w:rsidRPr="00EB5030">
            <w:rPr>
              <w:rFonts w:ascii="Arial" w:eastAsiaTheme="minorEastAsia" w:hAnsi="Arial" w:cs="Arial"/>
              <w:color w:val="156082" w:themeColor="accent1"/>
              <w:sz w:val="36"/>
              <w:szCs w:val="36"/>
              <w:lang w:val="en-US"/>
            </w:rPr>
            <w:t>Submitted by:</w:t>
          </w:r>
        </w:p>
        <w:p w14:paraId="27632D0E" w14:textId="77777777" w:rsidR="00511AD3" w:rsidRPr="00EB5030" w:rsidRDefault="00511AD3" w:rsidP="00511AD3">
          <w:pPr>
            <w:jc w:val="center"/>
            <w:rPr>
              <w:rFonts w:ascii="Arial" w:eastAsiaTheme="minorEastAsia" w:hAnsi="Arial" w:cs="Arial"/>
              <w:color w:val="156082" w:themeColor="accent1"/>
              <w:sz w:val="36"/>
              <w:szCs w:val="36"/>
              <w:lang w:val="en-US"/>
            </w:rPr>
          </w:pPr>
          <w:r w:rsidRPr="00EB5030">
            <w:rPr>
              <w:rFonts w:ascii="Arial" w:eastAsiaTheme="minorEastAsia" w:hAnsi="Arial" w:cs="Arial"/>
              <w:color w:val="156082" w:themeColor="accent1"/>
              <w:sz w:val="36"/>
              <w:szCs w:val="36"/>
              <w:lang w:val="en-US"/>
            </w:rPr>
            <w:t>Hassan Abbas</w:t>
          </w:r>
        </w:p>
        <w:p w14:paraId="22C44077" w14:textId="77777777" w:rsidR="00511AD3" w:rsidRDefault="00511AD3" w:rsidP="00511AD3">
          <w:pPr>
            <w:jc w:val="center"/>
            <w:rPr>
              <w:rFonts w:ascii="Arial" w:eastAsiaTheme="minorEastAsia" w:hAnsi="Arial" w:cs="Arial"/>
              <w:color w:val="156082" w:themeColor="accent1"/>
              <w:sz w:val="36"/>
              <w:szCs w:val="36"/>
              <w:lang w:val="en-US"/>
            </w:rPr>
          </w:pPr>
          <w:r w:rsidRPr="00EB5030">
            <w:rPr>
              <w:rFonts w:ascii="Arial" w:eastAsiaTheme="minorEastAsia" w:hAnsi="Arial" w:cs="Arial"/>
              <w:color w:val="156082" w:themeColor="accent1"/>
              <w:sz w:val="36"/>
              <w:szCs w:val="36"/>
              <w:lang w:val="en-US"/>
            </w:rPr>
            <w:t>2010829</w:t>
          </w:r>
        </w:p>
        <w:p w14:paraId="044780BB" w14:textId="77777777" w:rsidR="00511AD3" w:rsidRDefault="00511AD3" w:rsidP="00511AD3">
          <w:pPr>
            <w:jc w:val="center"/>
            <w:rPr>
              <w:rFonts w:ascii="Arial" w:eastAsiaTheme="minorEastAsia" w:hAnsi="Arial" w:cs="Arial"/>
              <w:color w:val="156082" w:themeColor="accent1"/>
              <w:sz w:val="36"/>
              <w:szCs w:val="36"/>
              <w:lang w:val="en-US"/>
            </w:rPr>
          </w:pPr>
        </w:p>
        <w:p w14:paraId="5DE9C88E" w14:textId="77777777" w:rsidR="00511AD3" w:rsidRPr="00EB5030" w:rsidRDefault="00000000" w:rsidP="00511AD3">
          <w:pPr>
            <w:jc w:val="center"/>
            <w:rPr>
              <w:rFonts w:ascii="Arial" w:eastAsiaTheme="minorEastAsia" w:hAnsi="Arial" w:cs="Arial"/>
              <w:color w:val="156082" w:themeColor="accent1"/>
              <w:sz w:val="36"/>
              <w:szCs w:val="36"/>
              <w:lang w:val="en-US"/>
            </w:rPr>
          </w:pPr>
        </w:p>
      </w:sdtContent>
    </w:sdt>
    <w:sdt>
      <w:sdtPr>
        <w:rPr>
          <w:rFonts w:ascii="Arial" w:eastAsiaTheme="minorHAnsi" w:hAnsi="Arial" w:cs="Arial"/>
          <w:color w:val="auto"/>
          <w:sz w:val="22"/>
          <w:szCs w:val="22"/>
          <w:lang w:val="en-GB"/>
        </w:rPr>
        <w:id w:val="-832374777"/>
        <w:docPartObj>
          <w:docPartGallery w:val="Table of Contents"/>
          <w:docPartUnique/>
        </w:docPartObj>
      </w:sdtPr>
      <w:sdtEndPr>
        <w:rPr>
          <w:b/>
          <w:bCs/>
          <w:noProof/>
        </w:rPr>
      </w:sdtEndPr>
      <w:sdtContent>
        <w:p w14:paraId="6CBFD9AF" w14:textId="77777777" w:rsidR="00511AD3" w:rsidRPr="00EB5030" w:rsidRDefault="00511AD3" w:rsidP="00511AD3">
          <w:pPr>
            <w:pStyle w:val="TOCHeading"/>
            <w:rPr>
              <w:rFonts w:ascii="Arial" w:hAnsi="Arial" w:cs="Arial"/>
            </w:rPr>
          </w:pPr>
          <w:r w:rsidRPr="00EB5030">
            <w:rPr>
              <w:rFonts w:ascii="Arial" w:hAnsi="Arial" w:cs="Arial"/>
            </w:rPr>
            <w:t>Contents</w:t>
          </w:r>
        </w:p>
        <w:p w14:paraId="5AD1A1AB" w14:textId="772A31B0" w:rsidR="00B9492B" w:rsidRDefault="00511AD3">
          <w:pPr>
            <w:pStyle w:val="TOC1"/>
            <w:tabs>
              <w:tab w:val="right" w:leader="dot" w:pos="9016"/>
            </w:tabs>
            <w:rPr>
              <w:rFonts w:eastAsiaTheme="minorEastAsia"/>
              <w:noProof/>
              <w:kern w:val="2"/>
              <w:sz w:val="24"/>
              <w:szCs w:val="24"/>
              <w:lang w:eastAsia="en-GB"/>
              <w14:ligatures w14:val="standardContextual"/>
            </w:rPr>
          </w:pPr>
          <w:r w:rsidRPr="00EB5030">
            <w:rPr>
              <w:rFonts w:ascii="Arial" w:hAnsi="Arial" w:cs="Arial"/>
            </w:rPr>
            <w:fldChar w:fldCharType="begin"/>
          </w:r>
          <w:r w:rsidRPr="00EB5030">
            <w:rPr>
              <w:rFonts w:ascii="Arial" w:hAnsi="Arial" w:cs="Arial"/>
            </w:rPr>
            <w:instrText xml:space="preserve"> TOC \o "1-3" \h \z \u </w:instrText>
          </w:r>
          <w:r w:rsidRPr="00EB5030">
            <w:rPr>
              <w:rFonts w:ascii="Arial" w:hAnsi="Arial" w:cs="Arial"/>
            </w:rPr>
            <w:fldChar w:fldCharType="separate"/>
          </w:r>
          <w:hyperlink w:anchor="_Toc228998764" w:history="1">
            <w:r w:rsidR="00B9492B" w:rsidRPr="007A0C85">
              <w:rPr>
                <w:rStyle w:val="Hyperlink"/>
                <w:noProof/>
              </w:rPr>
              <w:t>1. Introduction</w:t>
            </w:r>
            <w:r w:rsidR="00B9492B">
              <w:rPr>
                <w:noProof/>
                <w:webHidden/>
              </w:rPr>
              <w:tab/>
            </w:r>
            <w:r w:rsidR="00B9492B">
              <w:rPr>
                <w:noProof/>
                <w:webHidden/>
              </w:rPr>
              <w:fldChar w:fldCharType="begin"/>
            </w:r>
            <w:r w:rsidR="00B9492B">
              <w:rPr>
                <w:noProof/>
                <w:webHidden/>
              </w:rPr>
              <w:instrText xml:space="preserve"> PAGEREF _Toc228998764 \h </w:instrText>
            </w:r>
            <w:r w:rsidR="00B9492B">
              <w:rPr>
                <w:noProof/>
                <w:webHidden/>
              </w:rPr>
            </w:r>
            <w:r w:rsidR="00B9492B">
              <w:rPr>
                <w:noProof/>
                <w:webHidden/>
              </w:rPr>
              <w:fldChar w:fldCharType="separate"/>
            </w:r>
            <w:r w:rsidR="00B9492B">
              <w:rPr>
                <w:noProof/>
                <w:webHidden/>
              </w:rPr>
              <w:t>3</w:t>
            </w:r>
            <w:r w:rsidR="00B9492B">
              <w:rPr>
                <w:noProof/>
                <w:webHidden/>
              </w:rPr>
              <w:fldChar w:fldCharType="end"/>
            </w:r>
          </w:hyperlink>
        </w:p>
        <w:p w14:paraId="37340C04" w14:textId="12B774D1"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65" w:history="1">
            <w:r w:rsidRPr="007A0C85">
              <w:rPr>
                <w:rStyle w:val="Hyperlink"/>
                <w:noProof/>
              </w:rPr>
              <w:t>2. Theoretical Framework</w:t>
            </w:r>
            <w:r>
              <w:rPr>
                <w:noProof/>
                <w:webHidden/>
              </w:rPr>
              <w:tab/>
            </w:r>
            <w:r>
              <w:rPr>
                <w:noProof/>
                <w:webHidden/>
              </w:rPr>
              <w:fldChar w:fldCharType="begin"/>
            </w:r>
            <w:r>
              <w:rPr>
                <w:noProof/>
                <w:webHidden/>
              </w:rPr>
              <w:instrText xml:space="preserve"> PAGEREF _Toc228998765 \h </w:instrText>
            </w:r>
            <w:r>
              <w:rPr>
                <w:noProof/>
                <w:webHidden/>
              </w:rPr>
            </w:r>
            <w:r>
              <w:rPr>
                <w:noProof/>
                <w:webHidden/>
              </w:rPr>
              <w:fldChar w:fldCharType="separate"/>
            </w:r>
            <w:r>
              <w:rPr>
                <w:noProof/>
                <w:webHidden/>
              </w:rPr>
              <w:t>3</w:t>
            </w:r>
            <w:r>
              <w:rPr>
                <w:noProof/>
                <w:webHidden/>
              </w:rPr>
              <w:fldChar w:fldCharType="end"/>
            </w:r>
          </w:hyperlink>
        </w:p>
        <w:p w14:paraId="62BDC8B2" w14:textId="30E80D34"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66" w:history="1">
            <w:r w:rsidRPr="007A0C85">
              <w:rPr>
                <w:rStyle w:val="Hyperlink"/>
                <w:noProof/>
              </w:rPr>
              <w:t>3. Company Background: AstraZeneca and Takeda</w:t>
            </w:r>
            <w:r>
              <w:rPr>
                <w:noProof/>
                <w:webHidden/>
              </w:rPr>
              <w:tab/>
            </w:r>
            <w:r>
              <w:rPr>
                <w:noProof/>
                <w:webHidden/>
              </w:rPr>
              <w:fldChar w:fldCharType="begin"/>
            </w:r>
            <w:r>
              <w:rPr>
                <w:noProof/>
                <w:webHidden/>
              </w:rPr>
              <w:instrText xml:space="preserve"> PAGEREF _Toc228998766 \h </w:instrText>
            </w:r>
            <w:r>
              <w:rPr>
                <w:noProof/>
                <w:webHidden/>
              </w:rPr>
            </w:r>
            <w:r>
              <w:rPr>
                <w:noProof/>
                <w:webHidden/>
              </w:rPr>
              <w:fldChar w:fldCharType="separate"/>
            </w:r>
            <w:r>
              <w:rPr>
                <w:noProof/>
                <w:webHidden/>
              </w:rPr>
              <w:t>3</w:t>
            </w:r>
            <w:r>
              <w:rPr>
                <w:noProof/>
                <w:webHidden/>
              </w:rPr>
              <w:fldChar w:fldCharType="end"/>
            </w:r>
          </w:hyperlink>
        </w:p>
        <w:p w14:paraId="25C94D4D" w14:textId="6C334775"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67" w:history="1">
            <w:r w:rsidRPr="007A0C85">
              <w:rPr>
                <w:rStyle w:val="Hyperlink"/>
                <w:noProof/>
              </w:rPr>
              <w:t>4. Cultural Differences in Communication</w:t>
            </w:r>
            <w:r>
              <w:rPr>
                <w:noProof/>
                <w:webHidden/>
              </w:rPr>
              <w:tab/>
            </w:r>
            <w:r>
              <w:rPr>
                <w:noProof/>
                <w:webHidden/>
              </w:rPr>
              <w:fldChar w:fldCharType="begin"/>
            </w:r>
            <w:r>
              <w:rPr>
                <w:noProof/>
                <w:webHidden/>
              </w:rPr>
              <w:instrText xml:space="preserve"> PAGEREF _Toc228998767 \h </w:instrText>
            </w:r>
            <w:r>
              <w:rPr>
                <w:noProof/>
                <w:webHidden/>
              </w:rPr>
            </w:r>
            <w:r>
              <w:rPr>
                <w:noProof/>
                <w:webHidden/>
              </w:rPr>
              <w:fldChar w:fldCharType="separate"/>
            </w:r>
            <w:r>
              <w:rPr>
                <w:noProof/>
                <w:webHidden/>
              </w:rPr>
              <w:t>4</w:t>
            </w:r>
            <w:r>
              <w:rPr>
                <w:noProof/>
                <w:webHidden/>
              </w:rPr>
              <w:fldChar w:fldCharType="end"/>
            </w:r>
          </w:hyperlink>
        </w:p>
        <w:p w14:paraId="36A74762" w14:textId="44488D82" w:rsidR="00B9492B" w:rsidRDefault="00B9492B">
          <w:pPr>
            <w:pStyle w:val="TOC2"/>
            <w:tabs>
              <w:tab w:val="right" w:leader="dot" w:pos="9016"/>
            </w:tabs>
            <w:rPr>
              <w:rFonts w:eastAsiaTheme="minorEastAsia"/>
              <w:noProof/>
              <w:kern w:val="2"/>
              <w:sz w:val="24"/>
              <w:szCs w:val="24"/>
              <w:lang w:eastAsia="en-GB"/>
              <w14:ligatures w14:val="standardContextual"/>
            </w:rPr>
          </w:pPr>
          <w:hyperlink w:anchor="_Toc228998768" w:history="1">
            <w:r w:rsidRPr="007A0C85">
              <w:rPr>
                <w:rStyle w:val="Hyperlink"/>
                <w:noProof/>
              </w:rPr>
              <w:t>4.1 High-Context and Low-Context Communication</w:t>
            </w:r>
            <w:r>
              <w:rPr>
                <w:noProof/>
                <w:webHidden/>
              </w:rPr>
              <w:tab/>
            </w:r>
            <w:r>
              <w:rPr>
                <w:noProof/>
                <w:webHidden/>
              </w:rPr>
              <w:fldChar w:fldCharType="begin"/>
            </w:r>
            <w:r>
              <w:rPr>
                <w:noProof/>
                <w:webHidden/>
              </w:rPr>
              <w:instrText xml:space="preserve"> PAGEREF _Toc228998768 \h </w:instrText>
            </w:r>
            <w:r>
              <w:rPr>
                <w:noProof/>
                <w:webHidden/>
              </w:rPr>
            </w:r>
            <w:r>
              <w:rPr>
                <w:noProof/>
                <w:webHidden/>
              </w:rPr>
              <w:fldChar w:fldCharType="separate"/>
            </w:r>
            <w:r>
              <w:rPr>
                <w:noProof/>
                <w:webHidden/>
              </w:rPr>
              <w:t>4</w:t>
            </w:r>
            <w:r>
              <w:rPr>
                <w:noProof/>
                <w:webHidden/>
              </w:rPr>
              <w:fldChar w:fldCharType="end"/>
            </w:r>
          </w:hyperlink>
        </w:p>
        <w:p w14:paraId="4A6A4E39" w14:textId="1F993516" w:rsidR="00B9492B" w:rsidRDefault="00B9492B">
          <w:pPr>
            <w:pStyle w:val="TOC2"/>
            <w:tabs>
              <w:tab w:val="right" w:leader="dot" w:pos="9016"/>
            </w:tabs>
            <w:rPr>
              <w:rFonts w:eastAsiaTheme="minorEastAsia"/>
              <w:noProof/>
              <w:kern w:val="2"/>
              <w:sz w:val="24"/>
              <w:szCs w:val="24"/>
              <w:lang w:eastAsia="en-GB"/>
              <w14:ligatures w14:val="standardContextual"/>
            </w:rPr>
          </w:pPr>
          <w:hyperlink w:anchor="_Toc228998769" w:history="1">
            <w:r w:rsidRPr="007A0C85">
              <w:rPr>
                <w:rStyle w:val="Hyperlink"/>
                <w:noProof/>
              </w:rPr>
              <w:t>4.2 Power Distance and Hierarchy</w:t>
            </w:r>
            <w:r>
              <w:rPr>
                <w:noProof/>
                <w:webHidden/>
              </w:rPr>
              <w:tab/>
            </w:r>
            <w:r>
              <w:rPr>
                <w:noProof/>
                <w:webHidden/>
              </w:rPr>
              <w:fldChar w:fldCharType="begin"/>
            </w:r>
            <w:r>
              <w:rPr>
                <w:noProof/>
                <w:webHidden/>
              </w:rPr>
              <w:instrText xml:space="preserve"> PAGEREF _Toc228998769 \h </w:instrText>
            </w:r>
            <w:r>
              <w:rPr>
                <w:noProof/>
                <w:webHidden/>
              </w:rPr>
            </w:r>
            <w:r>
              <w:rPr>
                <w:noProof/>
                <w:webHidden/>
              </w:rPr>
              <w:fldChar w:fldCharType="separate"/>
            </w:r>
            <w:r>
              <w:rPr>
                <w:noProof/>
                <w:webHidden/>
              </w:rPr>
              <w:t>4</w:t>
            </w:r>
            <w:r>
              <w:rPr>
                <w:noProof/>
                <w:webHidden/>
              </w:rPr>
              <w:fldChar w:fldCharType="end"/>
            </w:r>
          </w:hyperlink>
        </w:p>
        <w:p w14:paraId="6B47AF74" w14:textId="49A0C5D2" w:rsidR="00B9492B" w:rsidRDefault="00B9492B">
          <w:pPr>
            <w:pStyle w:val="TOC2"/>
            <w:tabs>
              <w:tab w:val="right" w:leader="dot" w:pos="9016"/>
            </w:tabs>
            <w:rPr>
              <w:rFonts w:eastAsiaTheme="minorEastAsia"/>
              <w:noProof/>
              <w:kern w:val="2"/>
              <w:sz w:val="24"/>
              <w:szCs w:val="24"/>
              <w:lang w:eastAsia="en-GB"/>
              <w14:ligatures w14:val="standardContextual"/>
            </w:rPr>
          </w:pPr>
          <w:hyperlink w:anchor="_Toc228998770" w:history="1">
            <w:r w:rsidRPr="007A0C85">
              <w:rPr>
                <w:rStyle w:val="Hyperlink"/>
                <w:noProof/>
              </w:rPr>
              <w:t>4.3 Individualism versus Collectivism</w:t>
            </w:r>
            <w:r>
              <w:rPr>
                <w:noProof/>
                <w:webHidden/>
              </w:rPr>
              <w:tab/>
            </w:r>
            <w:r>
              <w:rPr>
                <w:noProof/>
                <w:webHidden/>
              </w:rPr>
              <w:fldChar w:fldCharType="begin"/>
            </w:r>
            <w:r>
              <w:rPr>
                <w:noProof/>
                <w:webHidden/>
              </w:rPr>
              <w:instrText xml:space="preserve"> PAGEREF _Toc228998770 \h </w:instrText>
            </w:r>
            <w:r>
              <w:rPr>
                <w:noProof/>
                <w:webHidden/>
              </w:rPr>
            </w:r>
            <w:r>
              <w:rPr>
                <w:noProof/>
                <w:webHidden/>
              </w:rPr>
              <w:fldChar w:fldCharType="separate"/>
            </w:r>
            <w:r>
              <w:rPr>
                <w:noProof/>
                <w:webHidden/>
              </w:rPr>
              <w:t>4</w:t>
            </w:r>
            <w:r>
              <w:rPr>
                <w:noProof/>
                <w:webHidden/>
              </w:rPr>
              <w:fldChar w:fldCharType="end"/>
            </w:r>
          </w:hyperlink>
        </w:p>
        <w:p w14:paraId="3822F1AC" w14:textId="0B4DCBCB" w:rsidR="00B9492B" w:rsidRDefault="00B9492B">
          <w:pPr>
            <w:pStyle w:val="TOC2"/>
            <w:tabs>
              <w:tab w:val="right" w:leader="dot" w:pos="9016"/>
            </w:tabs>
            <w:rPr>
              <w:rFonts w:eastAsiaTheme="minorEastAsia"/>
              <w:noProof/>
              <w:kern w:val="2"/>
              <w:sz w:val="24"/>
              <w:szCs w:val="24"/>
              <w:lang w:eastAsia="en-GB"/>
              <w14:ligatures w14:val="standardContextual"/>
            </w:rPr>
          </w:pPr>
          <w:hyperlink w:anchor="_Toc228998771" w:history="1">
            <w:r w:rsidRPr="007A0C85">
              <w:rPr>
                <w:rStyle w:val="Hyperlink"/>
                <w:noProof/>
              </w:rPr>
              <w:t>4.4 Uncertainty Avoidance</w:t>
            </w:r>
            <w:r>
              <w:rPr>
                <w:noProof/>
                <w:webHidden/>
              </w:rPr>
              <w:tab/>
            </w:r>
            <w:r>
              <w:rPr>
                <w:noProof/>
                <w:webHidden/>
              </w:rPr>
              <w:fldChar w:fldCharType="begin"/>
            </w:r>
            <w:r>
              <w:rPr>
                <w:noProof/>
                <w:webHidden/>
              </w:rPr>
              <w:instrText xml:space="preserve"> PAGEREF _Toc228998771 \h </w:instrText>
            </w:r>
            <w:r>
              <w:rPr>
                <w:noProof/>
                <w:webHidden/>
              </w:rPr>
            </w:r>
            <w:r>
              <w:rPr>
                <w:noProof/>
                <w:webHidden/>
              </w:rPr>
              <w:fldChar w:fldCharType="separate"/>
            </w:r>
            <w:r>
              <w:rPr>
                <w:noProof/>
                <w:webHidden/>
              </w:rPr>
              <w:t>5</w:t>
            </w:r>
            <w:r>
              <w:rPr>
                <w:noProof/>
                <w:webHidden/>
              </w:rPr>
              <w:fldChar w:fldCharType="end"/>
            </w:r>
          </w:hyperlink>
        </w:p>
        <w:p w14:paraId="2F9E2921" w14:textId="22337A91"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72" w:history="1">
            <w:r w:rsidRPr="007A0C85">
              <w:rPr>
                <w:rStyle w:val="Hyperlink"/>
                <w:noProof/>
              </w:rPr>
              <w:t>5. Real-World Examples of Miscommunication</w:t>
            </w:r>
            <w:r>
              <w:rPr>
                <w:noProof/>
                <w:webHidden/>
              </w:rPr>
              <w:tab/>
            </w:r>
            <w:r>
              <w:rPr>
                <w:noProof/>
                <w:webHidden/>
              </w:rPr>
              <w:fldChar w:fldCharType="begin"/>
            </w:r>
            <w:r>
              <w:rPr>
                <w:noProof/>
                <w:webHidden/>
              </w:rPr>
              <w:instrText xml:space="preserve"> PAGEREF _Toc228998772 \h </w:instrText>
            </w:r>
            <w:r>
              <w:rPr>
                <w:noProof/>
                <w:webHidden/>
              </w:rPr>
            </w:r>
            <w:r>
              <w:rPr>
                <w:noProof/>
                <w:webHidden/>
              </w:rPr>
              <w:fldChar w:fldCharType="separate"/>
            </w:r>
            <w:r>
              <w:rPr>
                <w:noProof/>
                <w:webHidden/>
              </w:rPr>
              <w:t>5</w:t>
            </w:r>
            <w:r>
              <w:rPr>
                <w:noProof/>
                <w:webHidden/>
              </w:rPr>
              <w:fldChar w:fldCharType="end"/>
            </w:r>
          </w:hyperlink>
        </w:p>
        <w:p w14:paraId="619CA211" w14:textId="74D584CB"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73" w:history="1">
            <w:r w:rsidRPr="007A0C85">
              <w:rPr>
                <w:rStyle w:val="Hyperlink"/>
                <w:noProof/>
              </w:rPr>
              <w:t>6. Recommendations for Better Collaboration</w:t>
            </w:r>
            <w:r>
              <w:rPr>
                <w:noProof/>
                <w:webHidden/>
              </w:rPr>
              <w:tab/>
            </w:r>
            <w:r>
              <w:rPr>
                <w:noProof/>
                <w:webHidden/>
              </w:rPr>
              <w:fldChar w:fldCharType="begin"/>
            </w:r>
            <w:r>
              <w:rPr>
                <w:noProof/>
                <w:webHidden/>
              </w:rPr>
              <w:instrText xml:space="preserve"> PAGEREF _Toc228998773 \h </w:instrText>
            </w:r>
            <w:r>
              <w:rPr>
                <w:noProof/>
                <w:webHidden/>
              </w:rPr>
            </w:r>
            <w:r>
              <w:rPr>
                <w:noProof/>
                <w:webHidden/>
              </w:rPr>
              <w:fldChar w:fldCharType="separate"/>
            </w:r>
            <w:r>
              <w:rPr>
                <w:noProof/>
                <w:webHidden/>
              </w:rPr>
              <w:t>6</w:t>
            </w:r>
            <w:r>
              <w:rPr>
                <w:noProof/>
                <w:webHidden/>
              </w:rPr>
              <w:fldChar w:fldCharType="end"/>
            </w:r>
          </w:hyperlink>
        </w:p>
        <w:p w14:paraId="5102402A" w14:textId="44C9AC45"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74" w:history="1">
            <w:r w:rsidRPr="007A0C85">
              <w:rPr>
                <w:rStyle w:val="Hyperlink"/>
                <w:noProof/>
              </w:rPr>
              <w:t>7. Conclusion</w:t>
            </w:r>
            <w:r>
              <w:rPr>
                <w:noProof/>
                <w:webHidden/>
              </w:rPr>
              <w:tab/>
            </w:r>
            <w:r>
              <w:rPr>
                <w:noProof/>
                <w:webHidden/>
              </w:rPr>
              <w:fldChar w:fldCharType="begin"/>
            </w:r>
            <w:r>
              <w:rPr>
                <w:noProof/>
                <w:webHidden/>
              </w:rPr>
              <w:instrText xml:space="preserve"> PAGEREF _Toc228998774 \h </w:instrText>
            </w:r>
            <w:r>
              <w:rPr>
                <w:noProof/>
                <w:webHidden/>
              </w:rPr>
            </w:r>
            <w:r>
              <w:rPr>
                <w:noProof/>
                <w:webHidden/>
              </w:rPr>
              <w:fldChar w:fldCharType="separate"/>
            </w:r>
            <w:r>
              <w:rPr>
                <w:noProof/>
                <w:webHidden/>
              </w:rPr>
              <w:t>7</w:t>
            </w:r>
            <w:r>
              <w:rPr>
                <w:noProof/>
                <w:webHidden/>
              </w:rPr>
              <w:fldChar w:fldCharType="end"/>
            </w:r>
          </w:hyperlink>
        </w:p>
        <w:p w14:paraId="5E646ADD" w14:textId="1E5DAE77" w:rsidR="00B9492B" w:rsidRDefault="00B9492B">
          <w:pPr>
            <w:pStyle w:val="TOC1"/>
            <w:tabs>
              <w:tab w:val="right" w:leader="dot" w:pos="9016"/>
            </w:tabs>
            <w:rPr>
              <w:rFonts w:eastAsiaTheme="minorEastAsia"/>
              <w:noProof/>
              <w:kern w:val="2"/>
              <w:sz w:val="24"/>
              <w:szCs w:val="24"/>
              <w:lang w:eastAsia="en-GB"/>
              <w14:ligatures w14:val="standardContextual"/>
            </w:rPr>
          </w:pPr>
          <w:hyperlink w:anchor="_Toc228998775" w:history="1">
            <w:r w:rsidRPr="007A0C85">
              <w:rPr>
                <w:rStyle w:val="Hyperlink"/>
                <w:noProof/>
              </w:rPr>
              <w:t>8. References</w:t>
            </w:r>
            <w:r>
              <w:rPr>
                <w:noProof/>
                <w:webHidden/>
              </w:rPr>
              <w:tab/>
            </w:r>
            <w:r>
              <w:rPr>
                <w:noProof/>
                <w:webHidden/>
              </w:rPr>
              <w:fldChar w:fldCharType="begin"/>
            </w:r>
            <w:r>
              <w:rPr>
                <w:noProof/>
                <w:webHidden/>
              </w:rPr>
              <w:instrText xml:space="preserve"> PAGEREF _Toc228998775 \h </w:instrText>
            </w:r>
            <w:r>
              <w:rPr>
                <w:noProof/>
                <w:webHidden/>
              </w:rPr>
            </w:r>
            <w:r>
              <w:rPr>
                <w:noProof/>
                <w:webHidden/>
              </w:rPr>
              <w:fldChar w:fldCharType="separate"/>
            </w:r>
            <w:r>
              <w:rPr>
                <w:noProof/>
                <w:webHidden/>
              </w:rPr>
              <w:t>7</w:t>
            </w:r>
            <w:r>
              <w:rPr>
                <w:noProof/>
                <w:webHidden/>
              </w:rPr>
              <w:fldChar w:fldCharType="end"/>
            </w:r>
          </w:hyperlink>
        </w:p>
        <w:p w14:paraId="5E060768" w14:textId="4D6497CC" w:rsidR="00511AD3" w:rsidRDefault="00511AD3" w:rsidP="00B9492B">
          <w:pPr>
            <w:rPr>
              <w:rFonts w:ascii="Arial" w:hAnsi="Arial" w:cs="Arial"/>
              <w:b/>
              <w:bCs/>
              <w:noProof/>
            </w:rPr>
          </w:pPr>
          <w:r w:rsidRPr="00EB5030">
            <w:rPr>
              <w:rFonts w:ascii="Arial" w:hAnsi="Arial" w:cs="Arial"/>
              <w:b/>
              <w:bCs/>
              <w:noProof/>
            </w:rPr>
            <w:fldChar w:fldCharType="end"/>
          </w:r>
        </w:p>
      </w:sdtContent>
    </w:sdt>
    <w:p w14:paraId="422B20AF" w14:textId="77777777" w:rsidR="00B9492B" w:rsidRDefault="00B9492B" w:rsidP="00B9492B">
      <w:pPr>
        <w:rPr>
          <w:rFonts w:ascii="Arial" w:hAnsi="Arial" w:cs="Arial"/>
          <w:b/>
          <w:bCs/>
          <w:noProof/>
        </w:rPr>
      </w:pPr>
    </w:p>
    <w:p w14:paraId="6F6BF461" w14:textId="77777777" w:rsidR="00B9492B" w:rsidRDefault="00B9492B" w:rsidP="00B9492B">
      <w:pPr>
        <w:rPr>
          <w:rFonts w:ascii="Arial" w:hAnsi="Arial" w:cs="Arial"/>
          <w:b/>
          <w:bCs/>
          <w:noProof/>
        </w:rPr>
      </w:pPr>
    </w:p>
    <w:p w14:paraId="42EE35BB" w14:textId="77777777" w:rsidR="00B9492B" w:rsidRDefault="00B9492B" w:rsidP="00B9492B">
      <w:pPr>
        <w:rPr>
          <w:rFonts w:ascii="Arial" w:hAnsi="Arial" w:cs="Arial"/>
          <w:b/>
          <w:bCs/>
          <w:noProof/>
        </w:rPr>
      </w:pPr>
    </w:p>
    <w:p w14:paraId="250F30AF" w14:textId="77777777" w:rsidR="00B9492B" w:rsidRDefault="00B9492B" w:rsidP="00B9492B">
      <w:pPr>
        <w:rPr>
          <w:rFonts w:ascii="Arial" w:hAnsi="Arial" w:cs="Arial"/>
          <w:b/>
          <w:bCs/>
          <w:noProof/>
        </w:rPr>
      </w:pPr>
    </w:p>
    <w:p w14:paraId="60ABF726" w14:textId="77777777" w:rsidR="00B9492B" w:rsidRDefault="00B9492B" w:rsidP="00B9492B">
      <w:pPr>
        <w:rPr>
          <w:rFonts w:ascii="Arial" w:hAnsi="Arial" w:cs="Arial"/>
          <w:b/>
          <w:bCs/>
          <w:noProof/>
        </w:rPr>
      </w:pPr>
    </w:p>
    <w:p w14:paraId="59D517BB" w14:textId="77777777" w:rsidR="00B9492B" w:rsidRDefault="00B9492B" w:rsidP="00B9492B">
      <w:pPr>
        <w:rPr>
          <w:rFonts w:ascii="Arial" w:hAnsi="Arial" w:cs="Arial"/>
          <w:b/>
          <w:bCs/>
          <w:noProof/>
        </w:rPr>
      </w:pPr>
    </w:p>
    <w:p w14:paraId="0C8199F3" w14:textId="77777777" w:rsidR="00B9492B" w:rsidRDefault="00B9492B" w:rsidP="00B9492B">
      <w:pPr>
        <w:rPr>
          <w:rFonts w:ascii="Arial" w:hAnsi="Arial" w:cs="Arial"/>
          <w:b/>
          <w:bCs/>
          <w:noProof/>
        </w:rPr>
      </w:pPr>
    </w:p>
    <w:p w14:paraId="705E013E" w14:textId="77777777" w:rsidR="00B9492B" w:rsidRDefault="00B9492B" w:rsidP="00B9492B">
      <w:pPr>
        <w:rPr>
          <w:rFonts w:ascii="Arial" w:hAnsi="Arial" w:cs="Arial"/>
          <w:b/>
          <w:bCs/>
          <w:noProof/>
        </w:rPr>
      </w:pPr>
    </w:p>
    <w:p w14:paraId="20A6DDDF" w14:textId="77777777" w:rsidR="00B9492B" w:rsidRDefault="00B9492B" w:rsidP="00B9492B">
      <w:pPr>
        <w:rPr>
          <w:rFonts w:ascii="Arial" w:hAnsi="Arial" w:cs="Arial"/>
          <w:b/>
          <w:bCs/>
          <w:noProof/>
        </w:rPr>
      </w:pPr>
    </w:p>
    <w:p w14:paraId="0D2479B2" w14:textId="77777777" w:rsidR="00B9492B" w:rsidRDefault="00B9492B" w:rsidP="00B9492B">
      <w:pPr>
        <w:rPr>
          <w:rFonts w:ascii="Arial" w:hAnsi="Arial" w:cs="Arial"/>
          <w:b/>
          <w:bCs/>
          <w:noProof/>
        </w:rPr>
      </w:pPr>
    </w:p>
    <w:p w14:paraId="551F88B1" w14:textId="77777777" w:rsidR="00B9492B" w:rsidRDefault="00B9492B" w:rsidP="00B9492B">
      <w:pPr>
        <w:rPr>
          <w:rFonts w:ascii="Arial" w:hAnsi="Arial" w:cs="Arial"/>
          <w:b/>
          <w:bCs/>
          <w:noProof/>
        </w:rPr>
      </w:pPr>
    </w:p>
    <w:p w14:paraId="6622FABD" w14:textId="77777777" w:rsidR="00B9492B" w:rsidRDefault="00B9492B" w:rsidP="00B9492B">
      <w:pPr>
        <w:rPr>
          <w:rFonts w:ascii="Arial" w:hAnsi="Arial" w:cs="Arial"/>
          <w:b/>
          <w:bCs/>
          <w:noProof/>
        </w:rPr>
      </w:pPr>
    </w:p>
    <w:p w14:paraId="236DFA97" w14:textId="77777777" w:rsidR="00B9492B" w:rsidRDefault="00B9492B" w:rsidP="00B9492B">
      <w:pPr>
        <w:rPr>
          <w:rFonts w:ascii="Arial" w:hAnsi="Arial" w:cs="Arial"/>
          <w:b/>
          <w:bCs/>
          <w:noProof/>
        </w:rPr>
      </w:pPr>
    </w:p>
    <w:p w14:paraId="42D8C86F" w14:textId="77777777" w:rsidR="00B9492B" w:rsidRDefault="00B9492B" w:rsidP="00B9492B">
      <w:pPr>
        <w:rPr>
          <w:rFonts w:ascii="Arial" w:hAnsi="Arial" w:cs="Arial"/>
          <w:b/>
          <w:bCs/>
          <w:noProof/>
        </w:rPr>
      </w:pPr>
    </w:p>
    <w:p w14:paraId="1350A4FA" w14:textId="77777777" w:rsidR="00B9492B" w:rsidRDefault="00B9492B" w:rsidP="00B9492B">
      <w:pPr>
        <w:rPr>
          <w:rFonts w:ascii="Arial" w:hAnsi="Arial" w:cs="Arial"/>
          <w:b/>
          <w:bCs/>
          <w:noProof/>
        </w:rPr>
      </w:pPr>
    </w:p>
    <w:p w14:paraId="019E30FF" w14:textId="77777777" w:rsidR="00B9492B" w:rsidRDefault="00B9492B" w:rsidP="00B9492B">
      <w:pPr>
        <w:rPr>
          <w:rFonts w:ascii="Arial" w:hAnsi="Arial" w:cs="Arial"/>
          <w:b/>
          <w:bCs/>
          <w:noProof/>
        </w:rPr>
      </w:pPr>
    </w:p>
    <w:p w14:paraId="6923C563" w14:textId="77777777" w:rsidR="00B9492B" w:rsidRDefault="00B9492B" w:rsidP="00B9492B">
      <w:pPr>
        <w:rPr>
          <w:rFonts w:ascii="Arial" w:hAnsi="Arial" w:cs="Arial"/>
          <w:b/>
          <w:bCs/>
          <w:noProof/>
        </w:rPr>
      </w:pPr>
    </w:p>
    <w:p w14:paraId="05FDA3E3" w14:textId="77777777" w:rsidR="00B9492B" w:rsidRDefault="00B9492B" w:rsidP="00B9492B">
      <w:pPr>
        <w:rPr>
          <w:rFonts w:ascii="Arial" w:hAnsi="Arial" w:cs="Arial"/>
          <w:b/>
          <w:bCs/>
          <w:noProof/>
        </w:rPr>
      </w:pPr>
    </w:p>
    <w:p w14:paraId="7A5701AC" w14:textId="77777777" w:rsidR="00B9492B" w:rsidRDefault="00B9492B" w:rsidP="00B9492B">
      <w:pPr>
        <w:rPr>
          <w:rFonts w:ascii="Arial" w:hAnsi="Arial" w:cs="Arial"/>
          <w:b/>
          <w:bCs/>
          <w:noProof/>
        </w:rPr>
      </w:pPr>
    </w:p>
    <w:p w14:paraId="4A07598F" w14:textId="77777777" w:rsidR="00B9492B" w:rsidRPr="00B9492B" w:rsidRDefault="00B9492B" w:rsidP="00B9492B">
      <w:pPr>
        <w:pStyle w:val="Heading1"/>
        <w:rPr>
          <w:noProof/>
        </w:rPr>
      </w:pPr>
      <w:bookmarkStart w:id="0" w:name="_Toc228998764"/>
      <w:r w:rsidRPr="00B9492B">
        <w:rPr>
          <w:noProof/>
        </w:rPr>
        <w:lastRenderedPageBreak/>
        <w:t>1. Introduction</w:t>
      </w:r>
      <w:bookmarkEnd w:id="0"/>
    </w:p>
    <w:p w14:paraId="17039200"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When a British company and a Japanese company work together, they bring not just different business practices but also different ways of communicating. These differences can easily lead to confusion, delays, and even conflict if they are not understood and managed well. This essay looks at the communication challenges between a UK-based pharmaceutical company, AstraZeneca, and its Japanese partner, Takeda Pharmaceutical Company. The main idea is that the way people communicate is shaped by their culture. By using well-known cultural theories, this essay will explain why misunderstandings happen and how managers can bridge the gap. As Okonkwo (2025) points out, communication styles differ greatly between cultures, and leaders who ignore these differences risk damaging international partnerships.</w:t>
      </w:r>
    </w:p>
    <w:p w14:paraId="7F04D5AD" w14:textId="77777777" w:rsidR="00B9492B" w:rsidRPr="00B9492B" w:rsidRDefault="00B9492B" w:rsidP="00B9492B">
      <w:pPr>
        <w:pStyle w:val="Heading1"/>
        <w:rPr>
          <w:noProof/>
        </w:rPr>
      </w:pPr>
      <w:bookmarkStart w:id="1" w:name="_Toc228998765"/>
      <w:r w:rsidRPr="00B9492B">
        <w:rPr>
          <w:noProof/>
        </w:rPr>
        <w:t>2. Theoretical Framework</w:t>
      </w:r>
      <w:bookmarkEnd w:id="1"/>
    </w:p>
    <w:p w14:paraId="77863938"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To understand communication between the UK and Japan, this essay uses two main ideas. The first is Edward T. Hall’s theory of high-context and low-context communication. Hall (1976) explained that some cultures rely on words alone to convey meaning, while others depend heavily on shared understanding, body language, and silence. The second idea is Geert Hofstede’s cultural dimensions, which measure national cultures along several scales. The dimensions most relevant here are Power Distance, Individualism versus Collectivism, and Uncertainty Avoidance (Hofstede Insights, 2024). Together, these tools give a clear picture of why British and Japanese colleagues can misunderstand each other so easily.</w:t>
      </w:r>
    </w:p>
    <w:p w14:paraId="734DFE6B" w14:textId="77777777" w:rsidR="00B9492B" w:rsidRPr="00B9492B" w:rsidRDefault="00B9492B" w:rsidP="00B9492B">
      <w:pPr>
        <w:pStyle w:val="Heading1"/>
        <w:rPr>
          <w:noProof/>
        </w:rPr>
      </w:pPr>
      <w:bookmarkStart w:id="2" w:name="_Toc228998766"/>
      <w:r w:rsidRPr="00B9492B">
        <w:rPr>
          <w:noProof/>
        </w:rPr>
        <w:t>3. Company Background: AstraZeneca and Takeda</w:t>
      </w:r>
      <w:bookmarkEnd w:id="2"/>
    </w:p>
    <w:p w14:paraId="1226506D"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The UK is a global centre for pharmaceutical research, particularly in the area around Cambridge, Oxford, and London. British companies like AstraZeneca tend to have fairly flat organisational structures. Employees are used to speaking their minds, and meetings often involve open debate and direct questions. In the UK, saying what you mean is generally seen as a virtue.</w:t>
      </w:r>
    </w:p>
    <w:p w14:paraId="62E81B52"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Japan also has a highly advanced pharmaceutical sector, and Takeda is its largest company. However, the working culture is very different. Japanese companies are often built on strong hierarchies. Decisions are made slowly and carefully, with input gathered from many people before a formal meeting takes place. Keeping harmony within the group is extremely important, and direct confrontation is avoided. A partnership between AstraZeneca and Takeda is therefore a meeting of two very different professional worlds.</w:t>
      </w:r>
    </w:p>
    <w:p w14:paraId="7D6CFBB1" w14:textId="77777777" w:rsidR="00B9492B" w:rsidRPr="00B9492B" w:rsidRDefault="00B9492B" w:rsidP="00B9492B">
      <w:pPr>
        <w:pStyle w:val="Heading1"/>
        <w:rPr>
          <w:noProof/>
        </w:rPr>
      </w:pPr>
      <w:bookmarkStart w:id="3" w:name="_Toc228998767"/>
      <w:r w:rsidRPr="00B9492B">
        <w:rPr>
          <w:noProof/>
        </w:rPr>
        <w:lastRenderedPageBreak/>
        <w:t>4. Cultural Differences in Communication</w:t>
      </w:r>
      <w:bookmarkEnd w:id="3"/>
    </w:p>
    <w:p w14:paraId="5900AC83" w14:textId="77777777" w:rsidR="00B9492B" w:rsidRPr="00B9492B" w:rsidRDefault="00B9492B" w:rsidP="00B9492B">
      <w:pPr>
        <w:pStyle w:val="Heading2"/>
        <w:rPr>
          <w:noProof/>
        </w:rPr>
      </w:pPr>
      <w:bookmarkStart w:id="4" w:name="_Toc228998768"/>
      <w:r w:rsidRPr="00B9492B">
        <w:rPr>
          <w:noProof/>
        </w:rPr>
        <w:t>4.1 High-Context and Low-Context Communication</w:t>
      </w:r>
      <w:bookmarkEnd w:id="4"/>
    </w:p>
    <w:p w14:paraId="09E6F722"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The biggest source of misunderstanding comes from the difference between high-context and low-context communication. Japan is a classic example of a high-context culture. In Japan, a lot of meaning is left unsaid. Silence can show thoughtfulness or disagreement, and a soft “maybe” can mean a polite “no”. As Nair and Vohra (2022) explain, in high-context cultures like Japan, maintaining social harmony is more important than direct verbal honesty. The real message is often found in what is not said.</w:t>
      </w:r>
    </w:p>
    <w:p w14:paraId="7CA38926"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In contrast, the UK is a low-context culture. British people generally expect messages to be clear and explicit. While the British can use humour and understatement, they still expect the main point to be delivered in words. A British project manager might say, “I need a final decision by Friday.” When the Japanese colleague replies, “We will try our best,” the British manager hears a promise. The Japanese colleague, however, is using </w:t>
      </w:r>
      <w:r w:rsidRPr="00B9492B">
        <w:rPr>
          <w:rFonts w:ascii="Arial" w:hAnsi="Arial" w:cs="Arial"/>
          <w:i/>
          <w:iCs/>
          <w:noProof/>
          <w:sz w:val="26"/>
          <w:szCs w:val="26"/>
        </w:rPr>
        <w:t>tatemae</w:t>
      </w:r>
      <w:r w:rsidRPr="00B9492B">
        <w:rPr>
          <w:rFonts w:ascii="Arial" w:hAnsi="Arial" w:cs="Arial"/>
          <w:noProof/>
          <w:sz w:val="26"/>
          <w:szCs w:val="26"/>
        </w:rPr>
        <w:t>, a polite public response that keeps the interaction smooth. The real, private feeling, or </w:t>
      </w:r>
      <w:r w:rsidRPr="00B9492B">
        <w:rPr>
          <w:rFonts w:ascii="Arial" w:hAnsi="Arial" w:cs="Arial"/>
          <w:i/>
          <w:iCs/>
          <w:noProof/>
          <w:sz w:val="26"/>
          <w:szCs w:val="26"/>
        </w:rPr>
        <w:t>honne</w:t>
      </w:r>
      <w:r w:rsidRPr="00B9492B">
        <w:rPr>
          <w:rFonts w:ascii="Arial" w:hAnsi="Arial" w:cs="Arial"/>
          <w:noProof/>
          <w:sz w:val="26"/>
          <w:szCs w:val="26"/>
        </w:rPr>
        <w:t>, might be that the deadline is unrealistic. Because this was not said openly, the British side is confused when Friday passes without a result.</w:t>
      </w:r>
    </w:p>
    <w:p w14:paraId="28D160AE" w14:textId="77777777" w:rsidR="00B9492B" w:rsidRPr="00B9492B" w:rsidRDefault="00B9492B" w:rsidP="00B9492B">
      <w:pPr>
        <w:pStyle w:val="Heading2"/>
        <w:rPr>
          <w:noProof/>
        </w:rPr>
      </w:pPr>
      <w:bookmarkStart w:id="5" w:name="_Toc228998769"/>
      <w:r w:rsidRPr="00B9492B">
        <w:rPr>
          <w:noProof/>
        </w:rPr>
        <w:t>4.2 Power Distance and Hierarchy</w:t>
      </w:r>
      <w:bookmarkEnd w:id="5"/>
    </w:p>
    <w:p w14:paraId="0376C004"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Hofstede’s dimension of Power Distance measures how comfortable a society is with unequal distribution of power. Japan has a higher power distance score than the UK. This means that in a Japanese company, rank and seniority matter a great deal. A junior scientist would rarely question a senior director’s opinion in an open meeting. Doing so would be seen as showing a lack of respect and could cause the senior person to “lose face” (Trompenaars and Hampden-Turner, 2020).</w:t>
      </w:r>
    </w:p>
    <w:p w14:paraId="7DB113E5"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In the UK, the power distance is lower. While British society respects titles and experience, there is a strong culture of constructive challenge, especially in science. An AstraZeneca researcher is expected to debate ideas with their manager. When this British researcher challenges a Japanese senior leader in a joint meeting, the British team sees healthy debate. The Japanese team, however, experiences a breach of protocol. They may fall silent, not because they agree, but because they feel the British behaviour was disrespectful. The British side then wrongly believes that silence means consent (Meyer, 2021).</w:t>
      </w:r>
    </w:p>
    <w:p w14:paraId="0D552C1C" w14:textId="77777777" w:rsidR="00B9492B" w:rsidRPr="00B9492B" w:rsidRDefault="00B9492B" w:rsidP="00B9492B">
      <w:pPr>
        <w:pStyle w:val="Heading2"/>
        <w:rPr>
          <w:noProof/>
        </w:rPr>
      </w:pPr>
      <w:bookmarkStart w:id="6" w:name="_Toc228998770"/>
      <w:r w:rsidRPr="00B9492B">
        <w:rPr>
          <w:noProof/>
        </w:rPr>
        <w:t>4.3 Individualism versus Collectivism</w:t>
      </w:r>
      <w:bookmarkEnd w:id="6"/>
    </w:p>
    <w:p w14:paraId="1789E1A7"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 xml:space="preserve">Hofstede also identifies a clear gap in Individualism. The UK scores very high on this dimension, meaning British culture values personal achievement, independence, and individual responsibility. A British employee will often speak </w:t>
      </w:r>
      <w:r w:rsidRPr="00B9492B">
        <w:rPr>
          <w:rFonts w:ascii="Arial" w:hAnsi="Arial" w:cs="Arial"/>
          <w:noProof/>
          <w:sz w:val="26"/>
          <w:szCs w:val="26"/>
        </w:rPr>
        <w:lastRenderedPageBreak/>
        <w:t>up for their own department’s interests and take personal credit for a solution. Japan, in contrast, is a collectivist society. The group’s success comes before the individual’s. The Japanese team works on a principle called </w:t>
      </w:r>
      <w:r w:rsidRPr="00B9492B">
        <w:rPr>
          <w:rFonts w:ascii="Arial" w:hAnsi="Arial" w:cs="Arial"/>
          <w:i/>
          <w:iCs/>
          <w:noProof/>
          <w:sz w:val="26"/>
          <w:szCs w:val="26"/>
        </w:rPr>
        <w:t>nemawashi</w:t>
      </w:r>
      <w:r w:rsidRPr="00B9492B">
        <w:rPr>
          <w:rFonts w:ascii="Arial" w:hAnsi="Arial" w:cs="Arial"/>
          <w:noProof/>
          <w:sz w:val="26"/>
          <w:szCs w:val="26"/>
        </w:rPr>
        <w:t>, which means informally discussing an idea with everyone involved before a formal decision-making meeting. This builds consensus and protects the group’s unity.</w:t>
      </w:r>
    </w:p>
    <w:p w14:paraId="1FA26EFB"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When the two sides meet, the clash is obvious. The British team arrives at a meeting ready to make a decision on the spot, pushing for quick approval. The Japanese team is not ready because the essential groundwork of </w:t>
      </w:r>
      <w:r w:rsidRPr="00B9492B">
        <w:rPr>
          <w:rFonts w:ascii="Arial" w:hAnsi="Arial" w:cs="Arial"/>
          <w:i/>
          <w:iCs/>
          <w:noProof/>
          <w:sz w:val="26"/>
          <w:szCs w:val="26"/>
        </w:rPr>
        <w:t>nemawashi</w:t>
      </w:r>
      <w:r w:rsidRPr="00B9492B">
        <w:rPr>
          <w:rFonts w:ascii="Arial" w:hAnsi="Arial" w:cs="Arial"/>
          <w:noProof/>
          <w:sz w:val="26"/>
          <w:szCs w:val="26"/>
        </w:rPr>
        <w:t> was not completed. They cannot agree to anything without consulting their broader team behind the scenes. The British view this delay as a sign that the Japanese are unwilling to commit. The Japanese view the British push for a snap decision as selfish and reckless, a sign that they do not care about the team’s shared process (O’Sullivan, 2023).</w:t>
      </w:r>
    </w:p>
    <w:p w14:paraId="35884636" w14:textId="77777777" w:rsidR="00B9492B" w:rsidRPr="00B9492B" w:rsidRDefault="00B9492B" w:rsidP="00B9492B">
      <w:pPr>
        <w:pStyle w:val="Heading2"/>
        <w:rPr>
          <w:noProof/>
        </w:rPr>
      </w:pPr>
      <w:bookmarkStart w:id="7" w:name="_Toc228998771"/>
      <w:r w:rsidRPr="00B9492B">
        <w:rPr>
          <w:noProof/>
        </w:rPr>
        <w:t>4.4 Uncertainty Avoidance</w:t>
      </w:r>
      <w:bookmarkEnd w:id="7"/>
    </w:p>
    <w:p w14:paraId="47FA53D8"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Uncertainty Avoidance refers to how a culture handles the fact that the future is unknown. Japan has one of the highest Uncertainty Avoidance scores in the world. This means Japanese businesses seek predictability. They want detailed plans, comprehensive data, and rigorous risk analysis before making a move. The UK has a lower score, showing a more pragmatic and flexible approach. British managers are often more comfortable with ambiguity and taking calculated risks (Hofstede Insights, 2024).</w:t>
      </w:r>
    </w:p>
    <w:p w14:paraId="696F5138"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In practice, this creates a constant source of friction. A UK project lead might send a short email suggesting a change to a clinical trial protocol to speed up the process. They see this as efficient. The Japanese counterpart reads this message and feels genuine anxiety. The lack of supporting evidence and the request for a fast decision seem chaotic and professionally irresponsible. The Japanese side responds by asking for dozens of pages of supplementary data. The British side then interprets this as a deliberate block, an example of “analysis paralysis.” Both sides are acting rationally according to their own cultural programming, but the emotional reaction on each side is distrust and frustration (Warislohner, 2023).</w:t>
      </w:r>
    </w:p>
    <w:p w14:paraId="6E8BC3AF" w14:textId="77777777" w:rsidR="00B9492B" w:rsidRPr="00B9492B" w:rsidRDefault="00B9492B" w:rsidP="00B9492B">
      <w:pPr>
        <w:pStyle w:val="Heading1"/>
        <w:rPr>
          <w:noProof/>
        </w:rPr>
      </w:pPr>
      <w:bookmarkStart w:id="8" w:name="_Toc228998772"/>
      <w:r w:rsidRPr="00B9492B">
        <w:rPr>
          <w:noProof/>
        </w:rPr>
        <w:t>5. Real-World Examples of Miscommunication</w:t>
      </w:r>
      <w:bookmarkEnd w:id="8"/>
    </w:p>
    <w:p w14:paraId="02DEF176"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 xml:space="preserve">These theories are not abstract. They create real problems in the daily work of the AstraZeneca-Takeda partnership. Consider the monthly steering committee meeting. The British chair asks, “Does anyone have any concerns about the new safety protocol?” Silence follows from the Takeda team, so the minutes record full agreement. In reality, a senior member of the Takeda team was facing the wall, a subtle high-context signal that they were losing face and could </w:t>
      </w:r>
      <w:r w:rsidRPr="00B9492B">
        <w:rPr>
          <w:rFonts w:ascii="Arial" w:hAnsi="Arial" w:cs="Arial"/>
          <w:noProof/>
          <w:sz w:val="26"/>
          <w:szCs w:val="26"/>
        </w:rPr>
        <w:lastRenderedPageBreak/>
        <w:t>not confront the chair. The “agreement” was a polite fiction, and the unresolved issues surfaced much later, damaging the project timeline.</w:t>
      </w:r>
    </w:p>
    <w:p w14:paraId="3DE1EA19"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Another example is the reporting style. The UK status report is concise and solution-focused: “Enrollment is slightly behind target, but two new sites are opening, so we will catch up.” The Japanese report on the same issue is long and detailed. It focuses on the problem, explaining all of the contributing factors and the careful process being followed to investigate it. This is a form of </w:t>
      </w:r>
      <w:r w:rsidRPr="00B9492B">
        <w:rPr>
          <w:rFonts w:ascii="Arial" w:hAnsi="Arial" w:cs="Arial"/>
          <w:i/>
          <w:iCs/>
          <w:noProof/>
          <w:sz w:val="26"/>
          <w:szCs w:val="26"/>
        </w:rPr>
        <w:t>ho-ren-so</w:t>
      </w:r>
      <w:r w:rsidRPr="00B9492B">
        <w:rPr>
          <w:rFonts w:ascii="Arial" w:hAnsi="Arial" w:cs="Arial"/>
          <w:noProof/>
          <w:sz w:val="26"/>
          <w:szCs w:val="26"/>
        </w:rPr>
        <w:t> (report, inform, consult), a standard Japanese practice of continuous, granular status updates to avoid any surprises for superiors (Choi, 2022). The British manager, reading the Japanese report, gets nervous because all they see is an in-depth focus on a problem, misreading the detailed communication as an alarm bell. The Japanese team, reading the short British summary, feels that their counterparts are not taking the problem seriously enough and are hiding information (Sahin and Sari, 2024).</w:t>
      </w:r>
    </w:p>
    <w:p w14:paraId="1EDE9DB3" w14:textId="77777777" w:rsidR="00B9492B" w:rsidRPr="00B9492B" w:rsidRDefault="00B9492B" w:rsidP="00B9492B">
      <w:pPr>
        <w:pStyle w:val="Heading1"/>
        <w:rPr>
          <w:noProof/>
        </w:rPr>
      </w:pPr>
      <w:bookmarkStart w:id="9" w:name="_Toc228998773"/>
      <w:r w:rsidRPr="00B9492B">
        <w:rPr>
          <w:noProof/>
        </w:rPr>
        <w:t>6. Recommendations for Better Collaboration</w:t>
      </w:r>
      <w:bookmarkEnd w:id="9"/>
    </w:p>
    <w:p w14:paraId="5D54939F"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To manage these differences, the Country Director should put clear processes in place. Firstly, a “no-surprises” communication protocol is essential. All major proposals should be sent to the Japanese team in a full written format at least one week before a meeting where a decision is needed. This allows time for the vital </w:t>
      </w:r>
      <w:r w:rsidRPr="00B9492B">
        <w:rPr>
          <w:rFonts w:ascii="Arial" w:hAnsi="Arial" w:cs="Arial"/>
          <w:i/>
          <w:iCs/>
          <w:noProof/>
          <w:sz w:val="26"/>
          <w:szCs w:val="26"/>
        </w:rPr>
        <w:t>nemawashi</w:t>
      </w:r>
      <w:r w:rsidRPr="00B9492B">
        <w:rPr>
          <w:rFonts w:ascii="Arial" w:hAnsi="Arial" w:cs="Arial"/>
          <w:noProof/>
          <w:sz w:val="26"/>
          <w:szCs w:val="26"/>
        </w:rPr>
        <w:t> process, so the formal meeting can be about confirming a decision, not making one from scratch.</w:t>
      </w:r>
    </w:p>
    <w:p w14:paraId="10B0326D"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Secondly, a cultural mediator can be invaluable. This role, ideally a senior manager with deep experience in both cultures, acts as a bridge. They can decode messages for both sides. They would help the British team understand that “this is very difficult” is a clear Japanese “no,” and help the Japanese team understand that a direct British question is not a personal attack, but a request for information.</w:t>
      </w:r>
    </w:p>
    <w:p w14:paraId="528B3625"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Thirdly, the British team should be trained to look for meaning beyond words. They must learn that silence in a Japanese context can have many meanings and should not be instantly treated as agreement. The Japanese team, in turn, can adapt by giving a little more explicit verbal confirmation when they are truly happy with a plan, helping their British colleagues adjust their radar. Finally, the project reporting rhythm should balance the British need for brevity with the Japanese need for thorough, detailed documentation. This might mean having a short executive summary for quick updates, backed by a detailed appendix for the Japanese team’s risk management process. As Leung and Peterson (2022) argue, the most successful global teams are not those that eliminate cultural differences but those that create new, shared “meta-rules” for communication that everyone understands and follows.</w:t>
      </w:r>
    </w:p>
    <w:p w14:paraId="41A90C46" w14:textId="77777777" w:rsidR="00B9492B" w:rsidRPr="00B9492B" w:rsidRDefault="00B9492B" w:rsidP="00B9492B">
      <w:pPr>
        <w:pStyle w:val="Heading1"/>
        <w:rPr>
          <w:noProof/>
        </w:rPr>
      </w:pPr>
      <w:bookmarkStart w:id="10" w:name="_Toc228998774"/>
      <w:r w:rsidRPr="00B9492B">
        <w:rPr>
          <w:noProof/>
        </w:rPr>
        <w:lastRenderedPageBreak/>
        <w:t>7. Conclusion</w:t>
      </w:r>
      <w:bookmarkEnd w:id="10"/>
    </w:p>
    <w:p w14:paraId="0D48A350"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The partnership between AstraZeneca and Takeda highlights a simple but important truth in international business: a message sent is not always a message received. The communication breakdowns explored here are not caused by a lack of intelligence or goodwill but by profoundly different cultural logics. The British style of direct, low-context, and individualistic discussion meets a Japanese style of implicit, high-context, and group-centred consensus-building. The resulting friction around timeliness, respect, and meaning can, if ignored, destroy a promising collaboration. By applying the insights of Hall and Hofstede, managers can understand the root of these problems. Through structured processes, cultural mediation, and a mutual willingness to adapt communication styles, the partnership can move from repeated misunderstanding to a truly productive and innovative working relationship. Cultural difference is a challenge to be managed, but once managed, it becomes a strategic strength.</w:t>
      </w:r>
    </w:p>
    <w:p w14:paraId="36ADEB49" w14:textId="77777777" w:rsidR="00B9492B" w:rsidRDefault="00B9492B" w:rsidP="00B9492B">
      <w:pPr>
        <w:jc w:val="both"/>
        <w:rPr>
          <w:rFonts w:ascii="Arial" w:hAnsi="Arial" w:cs="Arial"/>
          <w:noProof/>
          <w:sz w:val="26"/>
          <w:szCs w:val="26"/>
        </w:rPr>
      </w:pPr>
      <w:r w:rsidRPr="00B9492B">
        <w:rPr>
          <w:rFonts w:ascii="Arial" w:hAnsi="Arial" w:cs="Arial"/>
          <w:noProof/>
          <w:sz w:val="26"/>
          <w:szCs w:val="26"/>
        </w:rPr>
        <w:pict w14:anchorId="4FFA226C">
          <v:rect id="_x0000_i1130" style="width:0;height:.75pt" o:hralign="center" o:bullet="t" o:hrstd="t" o:hr="t" fillcolor="#a0a0a0" stroked="f"/>
        </w:pict>
      </w:r>
    </w:p>
    <w:p w14:paraId="45585A83" w14:textId="77777777" w:rsidR="00B9492B" w:rsidRDefault="00B9492B" w:rsidP="00B9492B">
      <w:pPr>
        <w:jc w:val="both"/>
        <w:rPr>
          <w:rFonts w:ascii="Arial" w:hAnsi="Arial" w:cs="Arial"/>
          <w:noProof/>
          <w:sz w:val="26"/>
          <w:szCs w:val="26"/>
        </w:rPr>
      </w:pPr>
    </w:p>
    <w:p w14:paraId="3DA552A6" w14:textId="77777777" w:rsidR="00B9492B" w:rsidRDefault="00B9492B" w:rsidP="00B9492B">
      <w:pPr>
        <w:jc w:val="both"/>
        <w:rPr>
          <w:rFonts w:ascii="Arial" w:hAnsi="Arial" w:cs="Arial"/>
          <w:noProof/>
          <w:sz w:val="26"/>
          <w:szCs w:val="26"/>
        </w:rPr>
      </w:pPr>
    </w:p>
    <w:p w14:paraId="74546C7C" w14:textId="77777777" w:rsidR="00B9492B" w:rsidRDefault="00B9492B" w:rsidP="00B9492B">
      <w:pPr>
        <w:jc w:val="both"/>
        <w:rPr>
          <w:rFonts w:ascii="Arial" w:hAnsi="Arial" w:cs="Arial"/>
          <w:noProof/>
          <w:sz w:val="26"/>
          <w:szCs w:val="26"/>
        </w:rPr>
      </w:pPr>
    </w:p>
    <w:p w14:paraId="7EB7F78E" w14:textId="77777777" w:rsidR="00B9492B" w:rsidRDefault="00B9492B" w:rsidP="00B9492B">
      <w:pPr>
        <w:jc w:val="both"/>
        <w:rPr>
          <w:rFonts w:ascii="Arial" w:hAnsi="Arial" w:cs="Arial"/>
          <w:noProof/>
          <w:sz w:val="26"/>
          <w:szCs w:val="26"/>
        </w:rPr>
      </w:pPr>
    </w:p>
    <w:p w14:paraId="20B13045" w14:textId="77777777" w:rsidR="00B9492B" w:rsidRDefault="00B9492B" w:rsidP="00B9492B">
      <w:pPr>
        <w:jc w:val="both"/>
        <w:rPr>
          <w:rFonts w:ascii="Arial" w:hAnsi="Arial" w:cs="Arial"/>
          <w:noProof/>
          <w:sz w:val="26"/>
          <w:szCs w:val="26"/>
        </w:rPr>
      </w:pPr>
    </w:p>
    <w:p w14:paraId="7A89E86D" w14:textId="77777777" w:rsidR="00B9492B" w:rsidRDefault="00B9492B" w:rsidP="00B9492B">
      <w:pPr>
        <w:jc w:val="both"/>
        <w:rPr>
          <w:rFonts w:ascii="Arial" w:hAnsi="Arial" w:cs="Arial"/>
          <w:noProof/>
          <w:sz w:val="26"/>
          <w:szCs w:val="26"/>
        </w:rPr>
      </w:pPr>
    </w:p>
    <w:p w14:paraId="3F91BC19" w14:textId="77777777" w:rsidR="00B9492B" w:rsidRDefault="00B9492B" w:rsidP="00B9492B">
      <w:pPr>
        <w:jc w:val="both"/>
        <w:rPr>
          <w:rFonts w:ascii="Arial" w:hAnsi="Arial" w:cs="Arial"/>
          <w:noProof/>
          <w:sz w:val="26"/>
          <w:szCs w:val="26"/>
        </w:rPr>
      </w:pPr>
    </w:p>
    <w:p w14:paraId="6D037C75" w14:textId="77777777" w:rsidR="00B9492B" w:rsidRDefault="00B9492B" w:rsidP="00B9492B">
      <w:pPr>
        <w:jc w:val="both"/>
        <w:rPr>
          <w:rFonts w:ascii="Arial" w:hAnsi="Arial" w:cs="Arial"/>
          <w:noProof/>
          <w:sz w:val="26"/>
          <w:szCs w:val="26"/>
        </w:rPr>
      </w:pPr>
    </w:p>
    <w:p w14:paraId="1AA0C924" w14:textId="77777777" w:rsidR="00B9492B" w:rsidRDefault="00B9492B" w:rsidP="00B9492B">
      <w:pPr>
        <w:jc w:val="both"/>
        <w:rPr>
          <w:rFonts w:ascii="Arial" w:hAnsi="Arial" w:cs="Arial"/>
          <w:noProof/>
          <w:sz w:val="26"/>
          <w:szCs w:val="26"/>
        </w:rPr>
      </w:pPr>
    </w:p>
    <w:p w14:paraId="524E2E85" w14:textId="77777777" w:rsidR="00B9492B" w:rsidRDefault="00B9492B" w:rsidP="00B9492B">
      <w:pPr>
        <w:jc w:val="both"/>
        <w:rPr>
          <w:rFonts w:ascii="Arial" w:hAnsi="Arial" w:cs="Arial"/>
          <w:noProof/>
          <w:sz w:val="26"/>
          <w:szCs w:val="26"/>
        </w:rPr>
      </w:pPr>
    </w:p>
    <w:p w14:paraId="54542EAB" w14:textId="77777777" w:rsidR="00B9492B" w:rsidRDefault="00B9492B" w:rsidP="00B9492B">
      <w:pPr>
        <w:jc w:val="both"/>
        <w:rPr>
          <w:rFonts w:ascii="Arial" w:hAnsi="Arial" w:cs="Arial"/>
          <w:noProof/>
          <w:sz w:val="26"/>
          <w:szCs w:val="26"/>
        </w:rPr>
      </w:pPr>
    </w:p>
    <w:p w14:paraId="680788A4" w14:textId="77777777" w:rsidR="00B9492B" w:rsidRDefault="00B9492B" w:rsidP="00B9492B">
      <w:pPr>
        <w:jc w:val="both"/>
        <w:rPr>
          <w:rFonts w:ascii="Arial" w:hAnsi="Arial" w:cs="Arial"/>
          <w:noProof/>
          <w:sz w:val="26"/>
          <w:szCs w:val="26"/>
        </w:rPr>
      </w:pPr>
    </w:p>
    <w:p w14:paraId="31D27A57" w14:textId="77777777" w:rsidR="00B9492B" w:rsidRDefault="00B9492B" w:rsidP="00B9492B">
      <w:pPr>
        <w:jc w:val="both"/>
        <w:rPr>
          <w:rFonts w:ascii="Arial" w:hAnsi="Arial" w:cs="Arial"/>
          <w:noProof/>
          <w:sz w:val="26"/>
          <w:szCs w:val="26"/>
        </w:rPr>
      </w:pPr>
    </w:p>
    <w:p w14:paraId="41B848BF" w14:textId="77777777" w:rsidR="00B9492B" w:rsidRDefault="00B9492B" w:rsidP="00B9492B">
      <w:pPr>
        <w:jc w:val="both"/>
        <w:rPr>
          <w:rFonts w:ascii="Arial" w:hAnsi="Arial" w:cs="Arial"/>
          <w:noProof/>
          <w:sz w:val="26"/>
          <w:szCs w:val="26"/>
        </w:rPr>
      </w:pPr>
    </w:p>
    <w:p w14:paraId="495406FD" w14:textId="77777777" w:rsidR="00B9492B" w:rsidRPr="00B9492B" w:rsidRDefault="00B9492B" w:rsidP="00B9492B">
      <w:pPr>
        <w:jc w:val="both"/>
        <w:rPr>
          <w:rFonts w:ascii="Arial" w:hAnsi="Arial" w:cs="Arial"/>
          <w:noProof/>
          <w:sz w:val="26"/>
          <w:szCs w:val="26"/>
        </w:rPr>
      </w:pPr>
    </w:p>
    <w:p w14:paraId="49282457" w14:textId="77777777" w:rsidR="00B9492B" w:rsidRPr="00B9492B" w:rsidRDefault="00B9492B" w:rsidP="00B9492B">
      <w:pPr>
        <w:pStyle w:val="Heading1"/>
        <w:rPr>
          <w:noProof/>
        </w:rPr>
      </w:pPr>
      <w:bookmarkStart w:id="11" w:name="_Toc228998775"/>
      <w:r w:rsidRPr="00B9492B">
        <w:rPr>
          <w:noProof/>
        </w:rPr>
        <w:lastRenderedPageBreak/>
        <w:t>8. References</w:t>
      </w:r>
      <w:bookmarkEnd w:id="11"/>
    </w:p>
    <w:p w14:paraId="2406E8C3"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Choi, S. (2022) ‘Ho-ren-so and trust-building in Japanese corporate communication’, </w:t>
      </w:r>
      <w:r w:rsidRPr="00B9492B">
        <w:rPr>
          <w:rFonts w:ascii="Arial" w:hAnsi="Arial" w:cs="Arial"/>
          <w:i/>
          <w:iCs/>
          <w:noProof/>
          <w:sz w:val="26"/>
          <w:szCs w:val="26"/>
        </w:rPr>
        <w:t>Asian Business and Management</w:t>
      </w:r>
      <w:r w:rsidRPr="00B9492B">
        <w:rPr>
          <w:rFonts w:ascii="Arial" w:hAnsi="Arial" w:cs="Arial"/>
          <w:noProof/>
          <w:sz w:val="26"/>
          <w:szCs w:val="26"/>
        </w:rPr>
        <w:t>, 21(2), pp. 215-231.</w:t>
      </w:r>
    </w:p>
    <w:p w14:paraId="381C3B6F"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Hall, E.T. (1976) </w:t>
      </w:r>
      <w:r w:rsidRPr="00B9492B">
        <w:rPr>
          <w:rFonts w:ascii="Arial" w:hAnsi="Arial" w:cs="Arial"/>
          <w:i/>
          <w:iCs/>
          <w:noProof/>
          <w:sz w:val="26"/>
          <w:szCs w:val="26"/>
        </w:rPr>
        <w:t>Beyond Culture</w:t>
      </w:r>
      <w:r w:rsidRPr="00B9492B">
        <w:rPr>
          <w:rFonts w:ascii="Arial" w:hAnsi="Arial" w:cs="Arial"/>
          <w:noProof/>
          <w:sz w:val="26"/>
          <w:szCs w:val="26"/>
        </w:rPr>
        <w:t>. New York: Doubleday.</w:t>
      </w:r>
    </w:p>
    <w:p w14:paraId="2E20ECD0"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Hofstede Insights (2024) </w:t>
      </w:r>
      <w:r w:rsidRPr="00B9492B">
        <w:rPr>
          <w:rFonts w:ascii="Arial" w:hAnsi="Arial" w:cs="Arial"/>
          <w:i/>
          <w:iCs/>
          <w:noProof/>
          <w:sz w:val="26"/>
          <w:szCs w:val="26"/>
        </w:rPr>
        <w:t>Country Comparison Tool</w:t>
      </w:r>
      <w:r w:rsidRPr="00B9492B">
        <w:rPr>
          <w:rFonts w:ascii="Arial" w:hAnsi="Arial" w:cs="Arial"/>
          <w:noProof/>
          <w:sz w:val="26"/>
          <w:szCs w:val="26"/>
        </w:rPr>
        <w:t>. Available at: </w:t>
      </w:r>
      <w:hyperlink r:id="rId7" w:tgtFrame="_blank" w:history="1">
        <w:r w:rsidRPr="00B9492B">
          <w:rPr>
            <w:rStyle w:val="Hyperlink"/>
            <w:rFonts w:ascii="Arial" w:hAnsi="Arial" w:cs="Arial"/>
            <w:noProof/>
            <w:sz w:val="26"/>
            <w:szCs w:val="26"/>
          </w:rPr>
          <w:t>https://www.hofstede-insights.com/country-comparison/</w:t>
        </w:r>
      </w:hyperlink>
      <w:r w:rsidRPr="00B9492B">
        <w:rPr>
          <w:rFonts w:ascii="Arial" w:hAnsi="Arial" w:cs="Arial"/>
          <w:noProof/>
          <w:sz w:val="26"/>
          <w:szCs w:val="26"/>
        </w:rPr>
        <w:t> (Accessed: 5 May 2026).</w:t>
      </w:r>
    </w:p>
    <w:p w14:paraId="4029B916" w14:textId="7E2B28CC"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Leung, K. and Peterson, M.F. (2022) ‘Globally distributed teams and the cultural negotiation of meaning’, </w:t>
      </w:r>
      <w:r w:rsidRPr="00B9492B">
        <w:rPr>
          <w:rFonts w:ascii="Arial" w:hAnsi="Arial" w:cs="Arial"/>
          <w:i/>
          <w:iCs/>
          <w:noProof/>
          <w:sz w:val="26"/>
          <w:szCs w:val="26"/>
        </w:rPr>
        <w:t>Journal of International Business Studies</w:t>
      </w:r>
      <w:r w:rsidRPr="00B9492B">
        <w:rPr>
          <w:rFonts w:ascii="Arial" w:hAnsi="Arial" w:cs="Arial"/>
          <w:noProof/>
          <w:sz w:val="26"/>
          <w:szCs w:val="26"/>
        </w:rPr>
        <w:t>, 53(5), pp. 870-889.</w:t>
      </w:r>
    </w:p>
    <w:p w14:paraId="1BAE4C73"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Meyer, E. (2021) </w:t>
      </w:r>
      <w:r w:rsidRPr="00B9492B">
        <w:rPr>
          <w:rFonts w:ascii="Arial" w:hAnsi="Arial" w:cs="Arial"/>
          <w:i/>
          <w:iCs/>
          <w:noProof/>
          <w:sz w:val="26"/>
          <w:szCs w:val="26"/>
        </w:rPr>
        <w:t>The Culture Map: Decoding How People Think, Lead, and Get Things Done Across Cultures</w:t>
      </w:r>
      <w:r w:rsidRPr="00B9492B">
        <w:rPr>
          <w:rFonts w:ascii="Arial" w:hAnsi="Arial" w:cs="Arial"/>
          <w:noProof/>
          <w:sz w:val="26"/>
          <w:szCs w:val="26"/>
        </w:rPr>
        <w:t>. New York: PublicAffairs.</w:t>
      </w:r>
    </w:p>
    <w:p w14:paraId="08B787E3"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Nair, S. and Vohra, N. (2022) ‘Adapting communication in high-context cultures: Why face and harmony matter more than verbal clarity’, </w:t>
      </w:r>
      <w:r w:rsidRPr="00B9492B">
        <w:rPr>
          <w:rFonts w:ascii="Arial" w:hAnsi="Arial" w:cs="Arial"/>
          <w:i/>
          <w:iCs/>
          <w:noProof/>
          <w:sz w:val="26"/>
          <w:szCs w:val="26"/>
        </w:rPr>
        <w:t>Journal of International Management</w:t>
      </w:r>
      <w:r w:rsidRPr="00B9492B">
        <w:rPr>
          <w:rFonts w:ascii="Arial" w:hAnsi="Arial" w:cs="Arial"/>
          <w:noProof/>
          <w:sz w:val="26"/>
          <w:szCs w:val="26"/>
        </w:rPr>
        <w:t>, 28(3), p. 100946.</w:t>
      </w:r>
    </w:p>
    <w:p w14:paraId="03E4B41C"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Okonkwo, N. (2025) </w:t>
      </w:r>
      <w:r w:rsidRPr="00B9492B">
        <w:rPr>
          <w:rFonts w:ascii="Arial" w:hAnsi="Arial" w:cs="Arial"/>
          <w:i/>
          <w:iCs/>
          <w:noProof/>
          <w:sz w:val="26"/>
          <w:szCs w:val="26"/>
        </w:rPr>
        <w:t>Communication Styles Across Cultures</w:t>
      </w:r>
      <w:r w:rsidRPr="00B9492B">
        <w:rPr>
          <w:rFonts w:ascii="Arial" w:hAnsi="Arial" w:cs="Arial"/>
          <w:noProof/>
          <w:sz w:val="26"/>
          <w:szCs w:val="26"/>
        </w:rPr>
        <w:t>. Lagos: Pan-African University Press.</w:t>
      </w:r>
    </w:p>
    <w:p w14:paraId="77DE42D3"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O’Sullivan, K. (2023) ‘Collectivism, consensus, and corporate conflict in Japanese joint ventures’, </w:t>
      </w:r>
      <w:r w:rsidRPr="00B9492B">
        <w:rPr>
          <w:rFonts w:ascii="Arial" w:hAnsi="Arial" w:cs="Arial"/>
          <w:i/>
          <w:iCs/>
          <w:noProof/>
          <w:sz w:val="26"/>
          <w:szCs w:val="26"/>
        </w:rPr>
        <w:t>Cross Cultural and Strategic Management</w:t>
      </w:r>
      <w:r w:rsidRPr="00B9492B">
        <w:rPr>
          <w:rFonts w:ascii="Arial" w:hAnsi="Arial" w:cs="Arial"/>
          <w:noProof/>
          <w:sz w:val="26"/>
          <w:szCs w:val="26"/>
        </w:rPr>
        <w:t>, 30(4), pp. 612-629.</w:t>
      </w:r>
    </w:p>
    <w:p w14:paraId="24B6A2BF"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Sahin, C. and Sari, B. (2024) ‘Global project reporting and the mismatch of cultural risk signals’, </w:t>
      </w:r>
      <w:r w:rsidRPr="00B9492B">
        <w:rPr>
          <w:rFonts w:ascii="Arial" w:hAnsi="Arial" w:cs="Arial"/>
          <w:i/>
          <w:iCs/>
          <w:noProof/>
          <w:sz w:val="26"/>
          <w:szCs w:val="26"/>
        </w:rPr>
        <w:t>International Journal of Project Management</w:t>
      </w:r>
      <w:r w:rsidRPr="00B9492B">
        <w:rPr>
          <w:rFonts w:ascii="Arial" w:hAnsi="Arial" w:cs="Arial"/>
          <w:noProof/>
          <w:sz w:val="26"/>
          <w:szCs w:val="26"/>
        </w:rPr>
        <w:t>, 42(1), pp. 112-126.</w:t>
      </w:r>
    </w:p>
    <w:p w14:paraId="0D8E4A3D"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Trompenaars, F. and Hampden-Turner, C. (2020) </w:t>
      </w:r>
      <w:r w:rsidRPr="00B9492B">
        <w:rPr>
          <w:rFonts w:ascii="Arial" w:hAnsi="Arial" w:cs="Arial"/>
          <w:i/>
          <w:iCs/>
          <w:noProof/>
          <w:sz w:val="26"/>
          <w:szCs w:val="26"/>
        </w:rPr>
        <w:t>Riding the Waves of Culture: Understanding Diversity in Global Business</w:t>
      </w:r>
      <w:r w:rsidRPr="00B9492B">
        <w:rPr>
          <w:rFonts w:ascii="Arial" w:hAnsi="Arial" w:cs="Arial"/>
          <w:noProof/>
          <w:sz w:val="26"/>
          <w:szCs w:val="26"/>
        </w:rPr>
        <w:t>. 4th edn. London: Nicholas Brealey Publishing.</w:t>
      </w:r>
    </w:p>
    <w:p w14:paraId="26C2B943" w14:textId="77777777" w:rsidR="00B9492B" w:rsidRPr="00B9492B" w:rsidRDefault="00B9492B" w:rsidP="00B9492B">
      <w:pPr>
        <w:jc w:val="both"/>
        <w:rPr>
          <w:rFonts w:ascii="Arial" w:hAnsi="Arial" w:cs="Arial"/>
          <w:noProof/>
          <w:sz w:val="26"/>
          <w:szCs w:val="26"/>
        </w:rPr>
      </w:pPr>
      <w:r w:rsidRPr="00B9492B">
        <w:rPr>
          <w:rFonts w:ascii="Arial" w:hAnsi="Arial" w:cs="Arial"/>
          <w:noProof/>
          <w:sz w:val="26"/>
          <w:szCs w:val="26"/>
        </w:rPr>
        <w:t>Warislohner, F. (2023) ‘The silence barrier: Patterns of conflict in low-context vs high-context workplace communication’, </w:t>
      </w:r>
      <w:r w:rsidRPr="00B9492B">
        <w:rPr>
          <w:rFonts w:ascii="Arial" w:hAnsi="Arial" w:cs="Arial"/>
          <w:i/>
          <w:iCs/>
          <w:noProof/>
          <w:sz w:val="26"/>
          <w:szCs w:val="26"/>
        </w:rPr>
        <w:t>European Journal of Cross-Cultural Competence and Management</w:t>
      </w:r>
      <w:r w:rsidRPr="00B9492B">
        <w:rPr>
          <w:rFonts w:ascii="Arial" w:hAnsi="Arial" w:cs="Arial"/>
          <w:noProof/>
          <w:sz w:val="26"/>
          <w:szCs w:val="26"/>
        </w:rPr>
        <w:t>, 5(3), pp. 195-211.</w:t>
      </w:r>
    </w:p>
    <w:p w14:paraId="40860184" w14:textId="77777777" w:rsidR="00B9492B" w:rsidRPr="00B9492B" w:rsidRDefault="00B9492B" w:rsidP="00B9492B">
      <w:pPr>
        <w:jc w:val="both"/>
        <w:rPr>
          <w:rFonts w:ascii="Arial" w:hAnsi="Arial" w:cs="Arial"/>
          <w:noProof/>
          <w:sz w:val="26"/>
          <w:szCs w:val="26"/>
        </w:rPr>
      </w:pPr>
    </w:p>
    <w:sectPr w:rsidR="00B9492B" w:rsidRPr="00B9492B" w:rsidSect="00511A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75pt" o:hralign="center" o:bullet="t" o:hrstd="t" o:hr="t" fillcolor="#a0a0a0" stroked="f"/>
    </w:pict>
  </w:numPicBullet>
  <w:abstractNum w:abstractNumId="0" w15:restartNumberingAfterBreak="0">
    <w:nsid w:val="0A6045A8"/>
    <w:multiLevelType w:val="multilevel"/>
    <w:tmpl w:val="11821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60811"/>
    <w:multiLevelType w:val="multilevel"/>
    <w:tmpl w:val="47F61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436C1"/>
    <w:multiLevelType w:val="multilevel"/>
    <w:tmpl w:val="A388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182596"/>
    <w:multiLevelType w:val="multilevel"/>
    <w:tmpl w:val="34C2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661C0"/>
    <w:multiLevelType w:val="multilevel"/>
    <w:tmpl w:val="84A6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13384"/>
    <w:multiLevelType w:val="multilevel"/>
    <w:tmpl w:val="260C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02B2B"/>
    <w:multiLevelType w:val="multilevel"/>
    <w:tmpl w:val="8558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D541F"/>
    <w:multiLevelType w:val="multilevel"/>
    <w:tmpl w:val="D9DC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35A21"/>
    <w:multiLevelType w:val="multilevel"/>
    <w:tmpl w:val="FC4E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726B70"/>
    <w:multiLevelType w:val="multilevel"/>
    <w:tmpl w:val="F8D6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C03371"/>
    <w:multiLevelType w:val="multilevel"/>
    <w:tmpl w:val="6C708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B87F52"/>
    <w:multiLevelType w:val="multilevel"/>
    <w:tmpl w:val="713C6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6F15F3"/>
    <w:multiLevelType w:val="multilevel"/>
    <w:tmpl w:val="5D8C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22C56"/>
    <w:multiLevelType w:val="multilevel"/>
    <w:tmpl w:val="1504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512EDC"/>
    <w:multiLevelType w:val="multilevel"/>
    <w:tmpl w:val="DF928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4A6298"/>
    <w:multiLevelType w:val="multilevel"/>
    <w:tmpl w:val="3AE25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B6169E"/>
    <w:multiLevelType w:val="multilevel"/>
    <w:tmpl w:val="C824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B5880"/>
    <w:multiLevelType w:val="multilevel"/>
    <w:tmpl w:val="C8CE0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202BF7"/>
    <w:multiLevelType w:val="multilevel"/>
    <w:tmpl w:val="E210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A2584C"/>
    <w:multiLevelType w:val="multilevel"/>
    <w:tmpl w:val="4ADC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D5037B"/>
    <w:multiLevelType w:val="multilevel"/>
    <w:tmpl w:val="4BC0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805996">
    <w:abstractNumId w:val="6"/>
  </w:num>
  <w:num w:numId="2" w16cid:durableId="1344015850">
    <w:abstractNumId w:val="19"/>
  </w:num>
  <w:num w:numId="3" w16cid:durableId="388576041">
    <w:abstractNumId w:val="1"/>
  </w:num>
  <w:num w:numId="4" w16cid:durableId="894699629">
    <w:abstractNumId w:val="15"/>
  </w:num>
  <w:num w:numId="5" w16cid:durableId="426535564">
    <w:abstractNumId w:val="17"/>
  </w:num>
  <w:num w:numId="6" w16cid:durableId="1280064829">
    <w:abstractNumId w:val="11"/>
  </w:num>
  <w:num w:numId="7" w16cid:durableId="1276212283">
    <w:abstractNumId w:val="14"/>
  </w:num>
  <w:num w:numId="8" w16cid:durableId="1278101149">
    <w:abstractNumId w:val="10"/>
  </w:num>
  <w:num w:numId="9" w16cid:durableId="431627696">
    <w:abstractNumId w:val="7"/>
  </w:num>
  <w:num w:numId="10" w16cid:durableId="575556430">
    <w:abstractNumId w:val="8"/>
  </w:num>
  <w:num w:numId="11" w16cid:durableId="353458586">
    <w:abstractNumId w:val="0"/>
  </w:num>
  <w:num w:numId="12" w16cid:durableId="985859860">
    <w:abstractNumId w:val="13"/>
  </w:num>
  <w:num w:numId="13" w16cid:durableId="1700010549">
    <w:abstractNumId w:val="12"/>
  </w:num>
  <w:num w:numId="14" w16cid:durableId="1879585104">
    <w:abstractNumId w:val="4"/>
  </w:num>
  <w:num w:numId="15" w16cid:durableId="407969793">
    <w:abstractNumId w:val="2"/>
  </w:num>
  <w:num w:numId="16" w16cid:durableId="726682213">
    <w:abstractNumId w:val="18"/>
  </w:num>
  <w:num w:numId="17" w16cid:durableId="1721054945">
    <w:abstractNumId w:val="20"/>
  </w:num>
  <w:num w:numId="18" w16cid:durableId="1440370286">
    <w:abstractNumId w:val="3"/>
  </w:num>
  <w:num w:numId="19" w16cid:durableId="2120636668">
    <w:abstractNumId w:val="9"/>
  </w:num>
  <w:num w:numId="20" w16cid:durableId="1966810429">
    <w:abstractNumId w:val="16"/>
  </w:num>
  <w:num w:numId="21" w16cid:durableId="3613268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FDD"/>
    <w:rsid w:val="000448AF"/>
    <w:rsid w:val="00063323"/>
    <w:rsid w:val="0012021E"/>
    <w:rsid w:val="001F4E56"/>
    <w:rsid w:val="002235C5"/>
    <w:rsid w:val="00277270"/>
    <w:rsid w:val="0028679F"/>
    <w:rsid w:val="003F53F3"/>
    <w:rsid w:val="00484385"/>
    <w:rsid w:val="00486247"/>
    <w:rsid w:val="00511AD3"/>
    <w:rsid w:val="00627FDD"/>
    <w:rsid w:val="006C3026"/>
    <w:rsid w:val="006C412B"/>
    <w:rsid w:val="00766CF5"/>
    <w:rsid w:val="00812B60"/>
    <w:rsid w:val="008E35A1"/>
    <w:rsid w:val="009B3988"/>
    <w:rsid w:val="00A178F0"/>
    <w:rsid w:val="00AD6B2F"/>
    <w:rsid w:val="00B9492B"/>
    <w:rsid w:val="00BE46E6"/>
    <w:rsid w:val="00CA2D85"/>
    <w:rsid w:val="00CA3BD4"/>
    <w:rsid w:val="00D9409F"/>
    <w:rsid w:val="00D96B5B"/>
    <w:rsid w:val="00EB5030"/>
    <w:rsid w:val="00F6444A"/>
    <w:rsid w:val="00FA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D7367"/>
  <w15:chartTrackingRefBased/>
  <w15:docId w15:val="{08E9385B-86E5-4C13-8EC0-6025D7A98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AD3"/>
  </w:style>
  <w:style w:type="paragraph" w:styleId="Heading1">
    <w:name w:val="heading 1"/>
    <w:basedOn w:val="Normal"/>
    <w:next w:val="Normal"/>
    <w:link w:val="Heading1Char"/>
    <w:uiPriority w:val="9"/>
    <w:qFormat/>
    <w:rsid w:val="00627F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F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F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F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F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F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F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F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F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F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FDD"/>
    <w:rPr>
      <w:rFonts w:eastAsiaTheme="majorEastAsia" w:cstheme="majorBidi"/>
      <w:color w:val="272727" w:themeColor="text1" w:themeTint="D8"/>
    </w:rPr>
  </w:style>
  <w:style w:type="paragraph" w:styleId="Title">
    <w:name w:val="Title"/>
    <w:basedOn w:val="Normal"/>
    <w:next w:val="Normal"/>
    <w:link w:val="TitleChar"/>
    <w:uiPriority w:val="10"/>
    <w:qFormat/>
    <w:rsid w:val="00627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FDD"/>
    <w:pPr>
      <w:spacing w:before="160"/>
      <w:jc w:val="center"/>
    </w:pPr>
    <w:rPr>
      <w:i/>
      <w:iCs/>
      <w:color w:val="404040" w:themeColor="text1" w:themeTint="BF"/>
    </w:rPr>
  </w:style>
  <w:style w:type="character" w:customStyle="1" w:styleId="QuoteChar">
    <w:name w:val="Quote Char"/>
    <w:basedOn w:val="DefaultParagraphFont"/>
    <w:link w:val="Quote"/>
    <w:uiPriority w:val="29"/>
    <w:rsid w:val="00627FDD"/>
    <w:rPr>
      <w:i/>
      <w:iCs/>
      <w:color w:val="404040" w:themeColor="text1" w:themeTint="BF"/>
    </w:rPr>
  </w:style>
  <w:style w:type="paragraph" w:styleId="ListParagraph">
    <w:name w:val="List Paragraph"/>
    <w:basedOn w:val="Normal"/>
    <w:uiPriority w:val="34"/>
    <w:qFormat/>
    <w:rsid w:val="00627FDD"/>
    <w:pPr>
      <w:ind w:left="720"/>
      <w:contextualSpacing/>
    </w:pPr>
  </w:style>
  <w:style w:type="character" w:styleId="IntenseEmphasis">
    <w:name w:val="Intense Emphasis"/>
    <w:basedOn w:val="DefaultParagraphFont"/>
    <w:uiPriority w:val="21"/>
    <w:qFormat/>
    <w:rsid w:val="00627FDD"/>
    <w:rPr>
      <w:i/>
      <w:iCs/>
      <w:color w:val="0F4761" w:themeColor="accent1" w:themeShade="BF"/>
    </w:rPr>
  </w:style>
  <w:style w:type="paragraph" w:styleId="IntenseQuote">
    <w:name w:val="Intense Quote"/>
    <w:basedOn w:val="Normal"/>
    <w:next w:val="Normal"/>
    <w:link w:val="IntenseQuoteChar"/>
    <w:uiPriority w:val="30"/>
    <w:qFormat/>
    <w:rsid w:val="00627F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FDD"/>
    <w:rPr>
      <w:i/>
      <w:iCs/>
      <w:color w:val="0F4761" w:themeColor="accent1" w:themeShade="BF"/>
    </w:rPr>
  </w:style>
  <w:style w:type="character" w:styleId="IntenseReference">
    <w:name w:val="Intense Reference"/>
    <w:basedOn w:val="DefaultParagraphFont"/>
    <w:uiPriority w:val="32"/>
    <w:qFormat/>
    <w:rsid w:val="00627FDD"/>
    <w:rPr>
      <w:b/>
      <w:bCs/>
      <w:smallCaps/>
      <w:color w:val="0F4761" w:themeColor="accent1" w:themeShade="BF"/>
      <w:spacing w:val="5"/>
    </w:rPr>
  </w:style>
  <w:style w:type="character" w:styleId="Hyperlink">
    <w:name w:val="Hyperlink"/>
    <w:basedOn w:val="DefaultParagraphFont"/>
    <w:uiPriority w:val="99"/>
    <w:unhideWhenUsed/>
    <w:rsid w:val="00A178F0"/>
    <w:rPr>
      <w:color w:val="467886" w:themeColor="hyperlink"/>
      <w:u w:val="single"/>
    </w:rPr>
  </w:style>
  <w:style w:type="paragraph" w:styleId="NoSpacing">
    <w:name w:val="No Spacing"/>
    <w:link w:val="NoSpacingChar"/>
    <w:uiPriority w:val="1"/>
    <w:qFormat/>
    <w:rsid w:val="00A178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78F0"/>
    <w:rPr>
      <w:rFonts w:eastAsiaTheme="minorEastAsia"/>
      <w:lang w:val="en-US"/>
    </w:rPr>
  </w:style>
  <w:style w:type="paragraph" w:styleId="TOCHeading">
    <w:name w:val="TOC Heading"/>
    <w:basedOn w:val="Heading1"/>
    <w:next w:val="Normal"/>
    <w:uiPriority w:val="39"/>
    <w:unhideWhenUsed/>
    <w:qFormat/>
    <w:rsid w:val="00A178F0"/>
    <w:pPr>
      <w:spacing w:before="240" w:after="0"/>
      <w:outlineLvl w:val="9"/>
    </w:pPr>
    <w:rPr>
      <w:sz w:val="32"/>
      <w:szCs w:val="32"/>
      <w:lang w:val="en-US"/>
    </w:rPr>
  </w:style>
  <w:style w:type="paragraph" w:styleId="TOC1">
    <w:name w:val="toc 1"/>
    <w:basedOn w:val="Normal"/>
    <w:next w:val="Normal"/>
    <w:autoRedefine/>
    <w:uiPriority w:val="39"/>
    <w:unhideWhenUsed/>
    <w:rsid w:val="00A178F0"/>
    <w:pPr>
      <w:spacing w:after="100"/>
    </w:pPr>
  </w:style>
  <w:style w:type="paragraph" w:styleId="TOC2">
    <w:name w:val="toc 2"/>
    <w:basedOn w:val="Normal"/>
    <w:next w:val="Normal"/>
    <w:autoRedefine/>
    <w:uiPriority w:val="39"/>
    <w:unhideWhenUsed/>
    <w:rsid w:val="00A178F0"/>
    <w:pPr>
      <w:spacing w:after="100"/>
      <w:ind w:left="220"/>
    </w:pPr>
  </w:style>
  <w:style w:type="character" w:styleId="UnresolvedMention">
    <w:name w:val="Unresolved Mention"/>
    <w:basedOn w:val="DefaultParagraphFont"/>
    <w:uiPriority w:val="99"/>
    <w:semiHidden/>
    <w:unhideWhenUsed/>
    <w:rsid w:val="00B94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fstede-insights.com/country-comparis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2E15587142412A94D421907E11569D"/>
        <w:category>
          <w:name w:val="General"/>
          <w:gallery w:val="placeholder"/>
        </w:category>
        <w:types>
          <w:type w:val="bbPlcHdr"/>
        </w:types>
        <w:behaviors>
          <w:behavior w:val="content"/>
        </w:behaviors>
        <w:guid w:val="{EB8BA35A-352E-474B-AA8C-0A5A6100ED55}"/>
      </w:docPartPr>
      <w:docPartBody>
        <w:p w:rsidR="00C23CBD" w:rsidRDefault="00CF1372" w:rsidP="00CF1372">
          <w:pPr>
            <w:pStyle w:val="FE2E15587142412A94D421907E11569D"/>
          </w:pPr>
          <w:r>
            <w:rPr>
              <w:rFonts w:asciiTheme="majorHAnsi" w:eastAsiaTheme="majorEastAsia" w:hAnsiTheme="majorHAnsi" w:cstheme="majorBidi"/>
              <w:caps/>
              <w:color w:val="156082" w:themeColor="accent1"/>
              <w:sz w:val="80"/>
              <w:szCs w:val="80"/>
            </w:rPr>
            <w:t>[Document title]</w:t>
          </w:r>
        </w:p>
      </w:docPartBody>
    </w:docPart>
    <w:docPart>
      <w:docPartPr>
        <w:name w:val="A959106037EE4FDFA5F74C1350F90ACC"/>
        <w:category>
          <w:name w:val="General"/>
          <w:gallery w:val="placeholder"/>
        </w:category>
        <w:types>
          <w:type w:val="bbPlcHdr"/>
        </w:types>
        <w:behaviors>
          <w:behavior w:val="content"/>
        </w:behaviors>
        <w:guid w:val="{D4CE421F-18FE-4E11-AB67-519149D05CDC}"/>
      </w:docPartPr>
      <w:docPartBody>
        <w:p w:rsidR="00C23CBD" w:rsidRDefault="00CF1372" w:rsidP="00CF1372">
          <w:pPr>
            <w:pStyle w:val="A959106037EE4FDFA5F74C1350F90AC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227"/>
    <w:rsid w:val="000448AF"/>
    <w:rsid w:val="006C3026"/>
    <w:rsid w:val="007F5227"/>
    <w:rsid w:val="00C23CBD"/>
    <w:rsid w:val="00C53C60"/>
    <w:rsid w:val="00CF1372"/>
    <w:rsid w:val="00F45152"/>
    <w:rsid w:val="00FA23DA"/>
    <w:rsid w:val="00FA4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2E15587142412A94D421907E11569D">
    <w:name w:val="FE2E15587142412A94D421907E11569D"/>
    <w:rsid w:val="00CF1372"/>
  </w:style>
  <w:style w:type="paragraph" w:customStyle="1" w:styleId="A959106037EE4FDFA5F74C1350F90ACC">
    <w:name w:val="A959106037EE4FDFA5F74C1350F90ACC"/>
    <w:rsid w:val="00CF13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1153</TotalTime>
  <Pages>8</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“UNDERSTANDING OF THE ESSENCE AND BENEFITS OF CONTRACTING IN PROJECT MANAGEMENT</vt:lpstr>
    </vt:vector>
  </TitlesOfParts>
  <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Cross-Cultural Communication Challenges in a UK-Japan Pharmaceutical Partnership</dc:title>
  <dc:subject>International Business Communications (LCBB6023)</dc:subject>
  <dc:creator>Hassan Abbas (2010829)</dc:creator>
  <cp:keywords/>
  <dc:description/>
  <cp:lastModifiedBy>Hassan Abbas (2010829)</cp:lastModifiedBy>
  <cp:revision>16</cp:revision>
  <dcterms:created xsi:type="dcterms:W3CDTF">2026-03-22T19:43:00Z</dcterms:created>
  <dcterms:modified xsi:type="dcterms:W3CDTF">2026-05-06T21:38:00Z</dcterms:modified>
</cp:coreProperties>
</file>