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6A81BE" w14:textId="77777777" w:rsidR="00EB6FF6" w:rsidRPr="00EF16CD" w:rsidRDefault="00EB6FF6" w:rsidP="00EB6FF6">
      <w:pPr>
        <w:pBdr>
          <w:bottom w:val="single" w:sz="24" w:space="1" w:color="2E4057"/>
        </w:pBdr>
      </w:pPr>
    </w:p>
    <w:p w14:paraId="66004C1C" w14:textId="77777777" w:rsidR="00EB6FF6" w:rsidRPr="00EF16CD" w:rsidRDefault="00732FA7" w:rsidP="00EB6FF6">
      <w:pPr>
        <w:spacing w:before="2880"/>
      </w:pPr>
      <w:r w:rsidRPr="00EF16CD">
        <w:rPr>
          <w:rFonts w:asciiTheme="minorBidi" w:hAnsiTheme="minorBidi"/>
          <w:noProof/>
          <w:sz w:val="22"/>
        </w:rPr>
        <w:drawing>
          <wp:anchor distT="0" distB="0" distL="114300" distR="114300" simplePos="0" relativeHeight="251659264" behindDoc="0" locked="0" layoutInCell="1" allowOverlap="1" wp14:anchorId="777679EB" wp14:editId="17301353">
            <wp:simplePos x="0" y="0"/>
            <wp:positionH relativeFrom="column">
              <wp:posOffset>-114300</wp:posOffset>
            </wp:positionH>
            <wp:positionV relativeFrom="paragraph">
              <wp:posOffset>256540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474B234" w14:textId="77777777" w:rsidR="00EB6FF6" w:rsidRPr="00EF16CD" w:rsidRDefault="00EB6FF6" w:rsidP="00EB6FF6">
      <w:pPr>
        <w:spacing w:after="240"/>
        <w:jc w:val="center"/>
      </w:pPr>
      <w:r w:rsidRPr="00EF16CD">
        <w:rPr>
          <w:b/>
          <w:bCs/>
          <w:sz w:val="40"/>
          <w:szCs w:val="40"/>
        </w:rPr>
        <w:t>Dementia: Disease Management,</w:t>
      </w:r>
    </w:p>
    <w:p w14:paraId="7BE53B2C" w14:textId="77777777" w:rsidR="00EB6FF6" w:rsidRPr="00EF16CD" w:rsidRDefault="00EB6FF6" w:rsidP="00EB6FF6">
      <w:pPr>
        <w:spacing w:after="240"/>
        <w:jc w:val="center"/>
      </w:pPr>
      <w:r w:rsidRPr="00EF16CD">
        <w:rPr>
          <w:b/>
          <w:bCs/>
          <w:sz w:val="40"/>
          <w:szCs w:val="40"/>
        </w:rPr>
        <w:t>Community Impact, and Health</w:t>
      </w:r>
    </w:p>
    <w:p w14:paraId="241BEF5D" w14:textId="77777777" w:rsidR="00EB6FF6" w:rsidRPr="00EF16CD" w:rsidRDefault="00EB6FF6" w:rsidP="00EB6FF6">
      <w:pPr>
        <w:spacing w:after="480"/>
        <w:jc w:val="center"/>
      </w:pPr>
      <w:r w:rsidRPr="00EF16CD">
        <w:rPr>
          <w:b/>
          <w:bCs/>
          <w:sz w:val="40"/>
          <w:szCs w:val="40"/>
        </w:rPr>
        <w:t>and Social Care Provision</w:t>
      </w:r>
    </w:p>
    <w:p w14:paraId="5EBA774F" w14:textId="77777777" w:rsidR="00EB6FF6" w:rsidRPr="00EF16CD" w:rsidRDefault="00EB6FF6" w:rsidP="00EB6FF6">
      <w:pPr>
        <w:pBdr>
          <w:bottom w:val="single" w:sz="6" w:space="1" w:color="4A90A4"/>
        </w:pBdr>
        <w:spacing w:after="480"/>
        <w:jc w:val="center"/>
      </w:pPr>
    </w:p>
    <w:p w14:paraId="327FF834" w14:textId="77777777" w:rsidR="00EB6FF6" w:rsidRPr="00EF16CD" w:rsidRDefault="00EB6FF6" w:rsidP="00EB6FF6">
      <w:pPr>
        <w:spacing w:after="2400"/>
        <w:jc w:val="center"/>
      </w:pPr>
      <w:r w:rsidRPr="00EF16CD">
        <w:rPr>
          <w:i/>
          <w:iCs/>
          <w:sz w:val="28"/>
          <w:szCs w:val="28"/>
        </w:rPr>
        <w:t>A Written Report</w:t>
      </w:r>
    </w:p>
    <w:p w14:paraId="7261A8F2" w14:textId="77777777" w:rsidR="00EB6FF6" w:rsidRPr="00EF16CD" w:rsidRDefault="00EB6FF6" w:rsidP="00EB6FF6">
      <w:pPr>
        <w:spacing w:after="120"/>
        <w:jc w:val="center"/>
      </w:pPr>
      <w:r w:rsidRPr="00EF16CD">
        <w:t>Module: Introduction to Public Health (LCHS 4008)</w:t>
      </w:r>
    </w:p>
    <w:p w14:paraId="279B45C0" w14:textId="77777777" w:rsidR="00EB6FF6" w:rsidRPr="00EF16CD" w:rsidRDefault="00EB6FF6" w:rsidP="00EB6FF6">
      <w:pPr>
        <w:spacing w:after="120"/>
      </w:pPr>
    </w:p>
    <w:p w14:paraId="0ACF97B7" w14:textId="77777777" w:rsidR="00EB6FF6" w:rsidRPr="00EF16CD" w:rsidRDefault="00EB6FF6" w:rsidP="00EB6FF6">
      <w:pPr>
        <w:spacing w:after="120"/>
        <w:jc w:val="center"/>
      </w:pPr>
      <w:r w:rsidRPr="00EF16CD">
        <w:t>Assessment: Task 1 – Written Report</w:t>
      </w:r>
    </w:p>
    <w:p w14:paraId="58FC0D76" w14:textId="77777777" w:rsidR="00EB6FF6" w:rsidRPr="00EF16CD" w:rsidRDefault="00EB6FF6" w:rsidP="00EB6FF6">
      <w:pPr>
        <w:spacing w:after="120"/>
        <w:jc w:val="center"/>
      </w:pPr>
      <w:r w:rsidRPr="00EF16CD">
        <w:t>Name: Prince Peter Ojeabulu Okhueidiata (2509560)</w:t>
      </w:r>
    </w:p>
    <w:p w14:paraId="589D5ABB" w14:textId="77777777" w:rsidR="00EB6FF6" w:rsidRPr="00EF16CD" w:rsidRDefault="00EB6FF6" w:rsidP="00EB6FF6">
      <w:pPr>
        <w:spacing w:after="120"/>
        <w:jc w:val="center"/>
      </w:pPr>
      <w:r w:rsidRPr="00EF16CD">
        <w:t>Date: April 2025</w:t>
      </w:r>
    </w:p>
    <w:p w14:paraId="27AEA33C" w14:textId="77777777" w:rsidR="00EB6FF6" w:rsidRPr="00EF16CD" w:rsidRDefault="00EB6FF6" w:rsidP="00EB6FF6">
      <w:pPr>
        <w:pBdr>
          <w:bottom w:val="single" w:sz="24" w:space="1" w:color="2E4057"/>
        </w:pBdr>
        <w:spacing w:before="1440"/>
      </w:pPr>
    </w:p>
    <w:p w14:paraId="71B8EC77" w14:textId="77777777" w:rsidR="00EB6FF6" w:rsidRPr="00EF16CD" w:rsidRDefault="00EB6FF6" w:rsidP="00EB6FF6">
      <w:pPr>
        <w:sectPr w:rsidR="00EB6FF6" w:rsidRPr="00EF16CD">
          <w:pgSz w:w="11906" w:h="16838"/>
          <w:pgMar w:top="1440" w:right="1440" w:bottom="1440" w:left="1440" w:header="708" w:footer="708" w:gutter="0"/>
          <w:cols w:space="720"/>
          <w:docGrid w:linePitch="360"/>
        </w:sectPr>
      </w:pPr>
    </w:p>
    <w:p w14:paraId="5E548FDC" w14:textId="77777777" w:rsidR="00EB6FF6" w:rsidRPr="00EF16CD" w:rsidRDefault="00EB6FF6" w:rsidP="00EB6FF6">
      <w:pPr>
        <w:spacing w:after="400"/>
        <w:jc w:val="center"/>
      </w:pPr>
      <w:r w:rsidRPr="00EF16CD">
        <w:rPr>
          <w:b/>
          <w:bCs/>
          <w:sz w:val="32"/>
          <w:szCs w:val="32"/>
        </w:rPr>
        <w:lastRenderedPageBreak/>
        <w:t>Table of Contents</w:t>
      </w:r>
    </w:p>
    <w:sdt>
      <w:sdtPr>
        <w:id w:val="-107823524"/>
        <w:docPartObj>
          <w:docPartGallery w:val="Table of Contents"/>
          <w:docPartUnique/>
        </w:docPartObj>
      </w:sdtPr>
      <w:sdtEndPr>
        <w:rPr>
          <w:rFonts w:ascii="Arial" w:eastAsia="Arial" w:hAnsi="Arial" w:cs="Arial"/>
          <w:b/>
          <w:bCs/>
          <w:noProof/>
          <w:color w:val="auto"/>
          <w:sz w:val="24"/>
          <w:szCs w:val="24"/>
          <w:lang w:val="en-GB" w:eastAsia="en-GB"/>
        </w:rPr>
      </w:sdtEndPr>
      <w:sdtContent>
        <w:p w14:paraId="2CB06372" w14:textId="0B7403FD" w:rsidR="000118E6" w:rsidRDefault="000118E6">
          <w:pPr>
            <w:pStyle w:val="TOCHeading"/>
          </w:pPr>
          <w:r>
            <w:t>Contents</w:t>
          </w:r>
        </w:p>
        <w:p w14:paraId="66B62576" w14:textId="77777777" w:rsidR="000118E6" w:rsidRDefault="000118E6">
          <w:pPr>
            <w:pStyle w:val="TOC1"/>
            <w:tabs>
              <w:tab w:val="right" w:leader="dot" w:pos="9016"/>
            </w:tabs>
            <w:rPr>
              <w:noProof/>
            </w:rPr>
          </w:pPr>
          <w:r>
            <w:fldChar w:fldCharType="begin"/>
          </w:r>
          <w:r>
            <w:instrText xml:space="preserve"> TOC \o "1-3" \h \z \u </w:instrText>
          </w:r>
          <w:r>
            <w:fldChar w:fldCharType="separate"/>
          </w:r>
          <w:hyperlink w:anchor="_Toc226971599" w:history="1">
            <w:r w:rsidRPr="00852D25">
              <w:rPr>
                <w:rStyle w:val="Hyperlink"/>
                <w:noProof/>
              </w:rPr>
              <w:t>Overview</w:t>
            </w:r>
            <w:r>
              <w:rPr>
                <w:noProof/>
                <w:webHidden/>
              </w:rPr>
              <w:tab/>
            </w:r>
            <w:r>
              <w:rPr>
                <w:noProof/>
                <w:webHidden/>
              </w:rPr>
              <w:fldChar w:fldCharType="begin"/>
            </w:r>
            <w:r>
              <w:rPr>
                <w:noProof/>
                <w:webHidden/>
              </w:rPr>
              <w:instrText xml:space="preserve"> PAGEREF _Toc226971599 \h </w:instrText>
            </w:r>
            <w:r>
              <w:rPr>
                <w:noProof/>
                <w:webHidden/>
              </w:rPr>
            </w:r>
            <w:r>
              <w:rPr>
                <w:noProof/>
                <w:webHidden/>
              </w:rPr>
              <w:fldChar w:fldCharType="separate"/>
            </w:r>
            <w:r>
              <w:rPr>
                <w:noProof/>
                <w:webHidden/>
              </w:rPr>
              <w:t>2</w:t>
            </w:r>
            <w:r>
              <w:rPr>
                <w:noProof/>
                <w:webHidden/>
              </w:rPr>
              <w:fldChar w:fldCharType="end"/>
            </w:r>
          </w:hyperlink>
        </w:p>
        <w:p w14:paraId="74C806E4" w14:textId="77777777" w:rsidR="000118E6" w:rsidRDefault="000118E6">
          <w:pPr>
            <w:pStyle w:val="TOC1"/>
            <w:tabs>
              <w:tab w:val="right" w:leader="dot" w:pos="9016"/>
            </w:tabs>
            <w:rPr>
              <w:noProof/>
            </w:rPr>
          </w:pPr>
          <w:hyperlink w:anchor="_Toc226971600" w:history="1">
            <w:r w:rsidRPr="00852D25">
              <w:rPr>
                <w:rStyle w:val="Hyperlink"/>
                <w:noProof/>
              </w:rPr>
              <w:t>Main body</w:t>
            </w:r>
            <w:r>
              <w:rPr>
                <w:noProof/>
                <w:webHidden/>
              </w:rPr>
              <w:tab/>
            </w:r>
            <w:r>
              <w:rPr>
                <w:noProof/>
                <w:webHidden/>
              </w:rPr>
              <w:fldChar w:fldCharType="begin"/>
            </w:r>
            <w:r>
              <w:rPr>
                <w:noProof/>
                <w:webHidden/>
              </w:rPr>
              <w:instrText xml:space="preserve"> PAGEREF _Toc226971600 \h </w:instrText>
            </w:r>
            <w:r>
              <w:rPr>
                <w:noProof/>
                <w:webHidden/>
              </w:rPr>
            </w:r>
            <w:r>
              <w:rPr>
                <w:noProof/>
                <w:webHidden/>
              </w:rPr>
              <w:fldChar w:fldCharType="separate"/>
            </w:r>
            <w:r>
              <w:rPr>
                <w:noProof/>
                <w:webHidden/>
              </w:rPr>
              <w:t>2</w:t>
            </w:r>
            <w:r>
              <w:rPr>
                <w:noProof/>
                <w:webHidden/>
              </w:rPr>
              <w:fldChar w:fldCharType="end"/>
            </w:r>
          </w:hyperlink>
        </w:p>
        <w:p w14:paraId="38BD4FAA" w14:textId="77777777" w:rsidR="000118E6" w:rsidRDefault="000118E6">
          <w:pPr>
            <w:pStyle w:val="TOC2"/>
            <w:tabs>
              <w:tab w:val="right" w:leader="dot" w:pos="9016"/>
            </w:tabs>
            <w:rPr>
              <w:noProof/>
            </w:rPr>
          </w:pPr>
          <w:hyperlink w:anchor="_Toc226971601" w:history="1">
            <w:r w:rsidRPr="00852D25">
              <w:rPr>
                <w:rStyle w:val="Hyperlink"/>
                <w:noProof/>
              </w:rPr>
              <w:t>i. Tracking and Assessing Dementia across the Population</w:t>
            </w:r>
            <w:r>
              <w:rPr>
                <w:noProof/>
                <w:webHidden/>
              </w:rPr>
              <w:tab/>
            </w:r>
            <w:r>
              <w:rPr>
                <w:noProof/>
                <w:webHidden/>
              </w:rPr>
              <w:fldChar w:fldCharType="begin"/>
            </w:r>
            <w:r>
              <w:rPr>
                <w:noProof/>
                <w:webHidden/>
              </w:rPr>
              <w:instrText xml:space="preserve"> PAGEREF _Toc226971601 \h </w:instrText>
            </w:r>
            <w:r>
              <w:rPr>
                <w:noProof/>
                <w:webHidden/>
              </w:rPr>
            </w:r>
            <w:r>
              <w:rPr>
                <w:noProof/>
                <w:webHidden/>
              </w:rPr>
              <w:fldChar w:fldCharType="separate"/>
            </w:r>
            <w:r>
              <w:rPr>
                <w:noProof/>
                <w:webHidden/>
              </w:rPr>
              <w:t>2</w:t>
            </w:r>
            <w:r>
              <w:rPr>
                <w:noProof/>
                <w:webHidden/>
              </w:rPr>
              <w:fldChar w:fldCharType="end"/>
            </w:r>
          </w:hyperlink>
        </w:p>
        <w:p w14:paraId="51A609E5" w14:textId="77777777" w:rsidR="000118E6" w:rsidRDefault="000118E6">
          <w:pPr>
            <w:pStyle w:val="TOC2"/>
            <w:tabs>
              <w:tab w:val="right" w:leader="dot" w:pos="9016"/>
            </w:tabs>
            <w:rPr>
              <w:noProof/>
            </w:rPr>
          </w:pPr>
          <w:hyperlink w:anchor="_Toc226971602" w:history="1">
            <w:r w:rsidRPr="00852D25">
              <w:rPr>
                <w:rStyle w:val="Hyperlink"/>
                <w:noProof/>
              </w:rPr>
              <w:t>ii. Strategies for Managing and Reducing the Impact of Dementia</w:t>
            </w:r>
            <w:r>
              <w:rPr>
                <w:noProof/>
                <w:webHidden/>
              </w:rPr>
              <w:tab/>
            </w:r>
            <w:r>
              <w:rPr>
                <w:noProof/>
                <w:webHidden/>
              </w:rPr>
              <w:fldChar w:fldCharType="begin"/>
            </w:r>
            <w:r>
              <w:rPr>
                <w:noProof/>
                <w:webHidden/>
              </w:rPr>
              <w:instrText xml:space="preserve"> PAGEREF _Toc226971602 \h </w:instrText>
            </w:r>
            <w:r>
              <w:rPr>
                <w:noProof/>
                <w:webHidden/>
              </w:rPr>
            </w:r>
            <w:r>
              <w:rPr>
                <w:noProof/>
                <w:webHidden/>
              </w:rPr>
              <w:fldChar w:fldCharType="separate"/>
            </w:r>
            <w:r>
              <w:rPr>
                <w:noProof/>
                <w:webHidden/>
              </w:rPr>
              <w:t>3</w:t>
            </w:r>
            <w:r>
              <w:rPr>
                <w:noProof/>
                <w:webHidden/>
              </w:rPr>
              <w:fldChar w:fldCharType="end"/>
            </w:r>
          </w:hyperlink>
        </w:p>
        <w:p w14:paraId="69D66790" w14:textId="77777777" w:rsidR="000118E6" w:rsidRDefault="000118E6">
          <w:pPr>
            <w:pStyle w:val="TOC2"/>
            <w:tabs>
              <w:tab w:val="right" w:leader="dot" w:pos="9016"/>
            </w:tabs>
            <w:rPr>
              <w:noProof/>
            </w:rPr>
          </w:pPr>
          <w:hyperlink w:anchor="_Toc226971603" w:history="1">
            <w:r w:rsidRPr="00852D25">
              <w:rPr>
                <w:rStyle w:val="Hyperlink"/>
                <w:noProof/>
              </w:rPr>
              <w:t>iii. How Dementia Affects Individuals, Families, and Wider Society</w:t>
            </w:r>
            <w:r>
              <w:rPr>
                <w:noProof/>
                <w:webHidden/>
              </w:rPr>
              <w:tab/>
            </w:r>
            <w:r>
              <w:rPr>
                <w:noProof/>
                <w:webHidden/>
              </w:rPr>
              <w:fldChar w:fldCharType="begin"/>
            </w:r>
            <w:r>
              <w:rPr>
                <w:noProof/>
                <w:webHidden/>
              </w:rPr>
              <w:instrText xml:space="preserve"> PAGEREF _Toc226971603 \h </w:instrText>
            </w:r>
            <w:r>
              <w:rPr>
                <w:noProof/>
                <w:webHidden/>
              </w:rPr>
            </w:r>
            <w:r>
              <w:rPr>
                <w:noProof/>
                <w:webHidden/>
              </w:rPr>
              <w:fldChar w:fldCharType="separate"/>
            </w:r>
            <w:r>
              <w:rPr>
                <w:noProof/>
                <w:webHidden/>
              </w:rPr>
              <w:t>3</w:t>
            </w:r>
            <w:r>
              <w:rPr>
                <w:noProof/>
                <w:webHidden/>
              </w:rPr>
              <w:fldChar w:fldCharType="end"/>
            </w:r>
          </w:hyperlink>
        </w:p>
        <w:p w14:paraId="614FE331" w14:textId="77777777" w:rsidR="000118E6" w:rsidRDefault="000118E6">
          <w:pPr>
            <w:pStyle w:val="TOC2"/>
            <w:tabs>
              <w:tab w:val="right" w:leader="dot" w:pos="9016"/>
            </w:tabs>
            <w:rPr>
              <w:noProof/>
            </w:rPr>
          </w:pPr>
          <w:hyperlink w:anchor="_Toc226971604" w:history="1">
            <w:r w:rsidRPr="00852D25">
              <w:rPr>
                <w:rStyle w:val="Hyperlink"/>
                <w:noProof/>
              </w:rPr>
              <w:t>iv. The Role of Health, Social Care, and Voluntary Services</w:t>
            </w:r>
            <w:r>
              <w:rPr>
                <w:noProof/>
                <w:webHidden/>
              </w:rPr>
              <w:tab/>
            </w:r>
            <w:r>
              <w:rPr>
                <w:noProof/>
                <w:webHidden/>
              </w:rPr>
              <w:fldChar w:fldCharType="begin"/>
            </w:r>
            <w:r>
              <w:rPr>
                <w:noProof/>
                <w:webHidden/>
              </w:rPr>
              <w:instrText xml:space="preserve"> PAGEREF _Toc226971604 \h </w:instrText>
            </w:r>
            <w:r>
              <w:rPr>
                <w:noProof/>
                <w:webHidden/>
              </w:rPr>
            </w:r>
            <w:r>
              <w:rPr>
                <w:noProof/>
                <w:webHidden/>
              </w:rPr>
              <w:fldChar w:fldCharType="separate"/>
            </w:r>
            <w:r>
              <w:rPr>
                <w:noProof/>
                <w:webHidden/>
              </w:rPr>
              <w:t>4</w:t>
            </w:r>
            <w:r>
              <w:rPr>
                <w:noProof/>
                <w:webHidden/>
              </w:rPr>
              <w:fldChar w:fldCharType="end"/>
            </w:r>
          </w:hyperlink>
        </w:p>
        <w:p w14:paraId="50CBAD82" w14:textId="77777777" w:rsidR="000118E6" w:rsidRDefault="000118E6">
          <w:pPr>
            <w:pStyle w:val="TOC1"/>
            <w:tabs>
              <w:tab w:val="right" w:leader="dot" w:pos="9016"/>
            </w:tabs>
            <w:rPr>
              <w:noProof/>
            </w:rPr>
          </w:pPr>
          <w:hyperlink w:anchor="_Toc226971605" w:history="1">
            <w:r w:rsidRPr="00852D25">
              <w:rPr>
                <w:rStyle w:val="Hyperlink"/>
                <w:noProof/>
              </w:rPr>
              <w:t>Final Thoughts</w:t>
            </w:r>
            <w:r>
              <w:rPr>
                <w:noProof/>
                <w:webHidden/>
              </w:rPr>
              <w:tab/>
            </w:r>
            <w:r>
              <w:rPr>
                <w:noProof/>
                <w:webHidden/>
              </w:rPr>
              <w:fldChar w:fldCharType="begin"/>
            </w:r>
            <w:r>
              <w:rPr>
                <w:noProof/>
                <w:webHidden/>
              </w:rPr>
              <w:instrText xml:space="preserve"> PAGEREF _Toc226971605 \h </w:instrText>
            </w:r>
            <w:r>
              <w:rPr>
                <w:noProof/>
                <w:webHidden/>
              </w:rPr>
            </w:r>
            <w:r>
              <w:rPr>
                <w:noProof/>
                <w:webHidden/>
              </w:rPr>
              <w:fldChar w:fldCharType="separate"/>
            </w:r>
            <w:r>
              <w:rPr>
                <w:noProof/>
                <w:webHidden/>
              </w:rPr>
              <w:t>5</w:t>
            </w:r>
            <w:r>
              <w:rPr>
                <w:noProof/>
                <w:webHidden/>
              </w:rPr>
              <w:fldChar w:fldCharType="end"/>
            </w:r>
          </w:hyperlink>
        </w:p>
        <w:p w14:paraId="30CC44D8" w14:textId="77777777" w:rsidR="000118E6" w:rsidRDefault="000118E6">
          <w:pPr>
            <w:pStyle w:val="TOC1"/>
            <w:tabs>
              <w:tab w:val="right" w:leader="dot" w:pos="9016"/>
            </w:tabs>
            <w:rPr>
              <w:noProof/>
            </w:rPr>
          </w:pPr>
          <w:hyperlink w:anchor="_Toc226971606" w:history="1">
            <w:r w:rsidRPr="00852D25">
              <w:rPr>
                <w:rStyle w:val="Hyperlink"/>
                <w:noProof/>
              </w:rPr>
              <w:t>References</w:t>
            </w:r>
            <w:r>
              <w:rPr>
                <w:noProof/>
                <w:webHidden/>
              </w:rPr>
              <w:tab/>
            </w:r>
            <w:r>
              <w:rPr>
                <w:noProof/>
                <w:webHidden/>
              </w:rPr>
              <w:fldChar w:fldCharType="begin"/>
            </w:r>
            <w:r>
              <w:rPr>
                <w:noProof/>
                <w:webHidden/>
              </w:rPr>
              <w:instrText xml:space="preserve"> PAGEREF _Toc226971606 \h </w:instrText>
            </w:r>
            <w:r>
              <w:rPr>
                <w:noProof/>
                <w:webHidden/>
              </w:rPr>
            </w:r>
            <w:r>
              <w:rPr>
                <w:noProof/>
                <w:webHidden/>
              </w:rPr>
              <w:fldChar w:fldCharType="separate"/>
            </w:r>
            <w:r>
              <w:rPr>
                <w:noProof/>
                <w:webHidden/>
              </w:rPr>
              <w:t>5</w:t>
            </w:r>
            <w:r>
              <w:rPr>
                <w:noProof/>
                <w:webHidden/>
              </w:rPr>
              <w:fldChar w:fldCharType="end"/>
            </w:r>
          </w:hyperlink>
        </w:p>
        <w:p w14:paraId="05E3D506" w14:textId="2779EC89" w:rsidR="000118E6" w:rsidRDefault="000118E6">
          <w:r>
            <w:rPr>
              <w:b/>
              <w:bCs/>
              <w:noProof/>
            </w:rPr>
            <w:fldChar w:fldCharType="end"/>
          </w:r>
        </w:p>
      </w:sdtContent>
    </w:sdt>
    <w:p w14:paraId="02A2A91D" w14:textId="77777777" w:rsidR="00EB6FF6" w:rsidRPr="00EF16CD" w:rsidRDefault="00EB6FF6" w:rsidP="00EB6FF6">
      <w:r w:rsidRPr="00EF16CD">
        <w:br w:type="page"/>
      </w:r>
    </w:p>
    <w:p w14:paraId="353E62ED" w14:textId="77777777" w:rsidR="00EB6FF6" w:rsidRPr="00EF16CD" w:rsidRDefault="00EB6FF6" w:rsidP="00EB6FF6">
      <w:pPr>
        <w:sectPr w:rsidR="00EB6FF6" w:rsidRPr="00EF16CD">
          <w:footerReference w:type="default" r:id="rId8"/>
          <w:pgSz w:w="11906" w:h="16838"/>
          <w:pgMar w:top="1440" w:right="1440" w:bottom="1440" w:left="1440" w:header="708" w:footer="708" w:gutter="0"/>
          <w:pgNumType w:start="1"/>
          <w:cols w:space="720"/>
          <w:docGrid w:linePitch="360"/>
        </w:sectPr>
      </w:pPr>
    </w:p>
    <w:p w14:paraId="5A998012" w14:textId="77777777" w:rsidR="000118E6" w:rsidRPr="000118E6" w:rsidRDefault="000118E6" w:rsidP="000118E6">
      <w:pPr>
        <w:pStyle w:val="Heading1"/>
        <w:jc w:val="both"/>
        <w:rPr>
          <w:color w:val="auto"/>
        </w:rPr>
      </w:pPr>
      <w:bookmarkStart w:id="0" w:name="_Toc226971599"/>
      <w:r w:rsidRPr="000118E6">
        <w:rPr>
          <w:color w:val="auto"/>
        </w:rPr>
        <w:lastRenderedPageBreak/>
        <w:t>Overview</w:t>
      </w:r>
      <w:bookmarkEnd w:id="0"/>
    </w:p>
    <w:p w14:paraId="4DD31D76" w14:textId="77777777" w:rsidR="000118E6" w:rsidRPr="000118E6" w:rsidRDefault="000118E6" w:rsidP="000118E6">
      <w:pPr>
        <w:spacing w:after="200"/>
        <w:jc w:val="both"/>
      </w:pPr>
      <w:r w:rsidRPr="000118E6">
        <w:t xml:space="preserve">Dementia refers to a collection of progressive brain disorders that impair cognitive function in ways that go well beyond the natural effects of growing older. Those affected experience a gradual decline in areas such as memory, reasoning, language, spatial awareness, and the ability to make decisions (World Health Organization, 2023). Among its various forms, Alzheimer's disease is by far the most prevalent, accounting for roughly 60 to 70 per cent of all diagnoses globally, with vascular dementia, </w:t>
      </w:r>
      <w:proofErr w:type="spellStart"/>
      <w:r w:rsidRPr="000118E6">
        <w:t>Lewy</w:t>
      </w:r>
      <w:proofErr w:type="spellEnd"/>
      <w:r w:rsidRPr="000118E6">
        <w:t xml:space="preserve"> body dementia, and </w:t>
      </w:r>
      <w:proofErr w:type="spellStart"/>
      <w:r w:rsidRPr="000118E6">
        <w:t>frontotemporal</w:t>
      </w:r>
      <w:proofErr w:type="spellEnd"/>
      <w:r w:rsidRPr="000118E6">
        <w:t xml:space="preserve"> dementia making up much of the remainder (Alzheimer's </w:t>
      </w:r>
      <w:proofErr w:type="gramStart"/>
      <w:r w:rsidRPr="000118E6">
        <w:t>Disease</w:t>
      </w:r>
      <w:proofErr w:type="gramEnd"/>
      <w:r w:rsidRPr="000118E6">
        <w:t xml:space="preserve"> International, 2023).</w:t>
      </w:r>
    </w:p>
    <w:p w14:paraId="371E196D" w14:textId="77777777" w:rsidR="000118E6" w:rsidRPr="000118E6" w:rsidRDefault="000118E6" w:rsidP="000118E6">
      <w:pPr>
        <w:spacing w:after="200"/>
        <w:jc w:val="both"/>
      </w:pPr>
      <w:r w:rsidRPr="000118E6">
        <w:t>The condition presents differently depending on its type and stage, but recognisable features include ongoing forgetfulness, particularly of things that happened recently, difficulty concentrating or making plans, disorientation in relation to time and surroundings, problems with spoken and written communication, and a tendency to withdraw from previously enjoyed social activities (NHS, 2023). When the illness reaches its more advanced stages, the person affected will typically require round-the-clock support and may no longer be able to manage the tasks of daily life without assistance.</w:t>
      </w:r>
    </w:p>
    <w:p w14:paraId="18C2311C" w14:textId="77777777" w:rsidR="000118E6" w:rsidRPr="000118E6" w:rsidRDefault="000118E6" w:rsidP="000118E6">
      <w:pPr>
        <w:spacing w:after="200"/>
        <w:jc w:val="both"/>
      </w:pPr>
      <w:r w:rsidRPr="000118E6">
        <w:t>Globally, dementia represents a growing crisis. According to the World Health Organization (2023), over 55 million people across the world are currently living with the condition, and approximately 10 million new cases are identified every year. Within the UK, figures from Alzheimer's Research UK (2023) indicate that close to 944,000 people are affected, and this number is expected to climb to 1.6 million before 2040. Dementia has now become the leading cause of death in England and Wales, surpassing heart disease in recent years (Office for National Statistics, 2022), which reflects just how serious a challenge it poses to individuals, their loved ones, and public health systems more broadly.</w:t>
      </w:r>
    </w:p>
    <w:p w14:paraId="6CE2AFB9" w14:textId="5F4380A5" w:rsidR="000118E6" w:rsidRPr="000118E6" w:rsidRDefault="000118E6" w:rsidP="000118E6">
      <w:pPr>
        <w:pStyle w:val="Heading1"/>
        <w:jc w:val="both"/>
        <w:rPr>
          <w:color w:val="auto"/>
        </w:rPr>
      </w:pPr>
      <w:bookmarkStart w:id="1" w:name="_Toc226971600"/>
      <w:r w:rsidRPr="000118E6">
        <w:rPr>
          <w:color w:val="auto"/>
        </w:rPr>
        <w:t>Main body</w:t>
      </w:r>
      <w:bookmarkEnd w:id="1"/>
    </w:p>
    <w:p w14:paraId="4F7C4105" w14:textId="2746B336" w:rsidR="000118E6" w:rsidRPr="000118E6" w:rsidRDefault="000118E6" w:rsidP="000118E6">
      <w:pPr>
        <w:pStyle w:val="Heading2"/>
        <w:jc w:val="both"/>
        <w:rPr>
          <w:color w:val="auto"/>
        </w:rPr>
      </w:pPr>
      <w:bookmarkStart w:id="2" w:name="_Toc226971601"/>
      <w:proofErr w:type="spellStart"/>
      <w:r w:rsidRPr="000118E6">
        <w:rPr>
          <w:color w:val="auto"/>
        </w:rPr>
        <w:t>i</w:t>
      </w:r>
      <w:proofErr w:type="spellEnd"/>
      <w:r w:rsidRPr="000118E6">
        <w:rPr>
          <w:color w:val="auto"/>
        </w:rPr>
        <w:t>. T</w:t>
      </w:r>
      <w:r w:rsidRPr="000118E6">
        <w:rPr>
          <w:color w:val="auto"/>
        </w:rPr>
        <w:t>racking and Assessing Dementia a</w:t>
      </w:r>
      <w:r w:rsidRPr="000118E6">
        <w:rPr>
          <w:color w:val="auto"/>
        </w:rPr>
        <w:t>cross the Population</w:t>
      </w:r>
      <w:bookmarkEnd w:id="2"/>
    </w:p>
    <w:p w14:paraId="6CD73D8C" w14:textId="77777777" w:rsidR="000118E6" w:rsidRPr="000118E6" w:rsidRDefault="000118E6" w:rsidP="000118E6">
      <w:pPr>
        <w:spacing w:after="200"/>
        <w:jc w:val="both"/>
      </w:pPr>
      <w:r w:rsidRPr="000118E6">
        <w:t>Gathering reliable data on dementia is a necessary foundation for any effective public health response. Researchers rely on two key epidemiological methods: prevalence studies, which capture how many people are living with dementia at a particular moment, and incidence studies, which record how many new cases emerge within a given timeframe. Longitudinal research such as the English Longitudinal Study of Ageing has proven especially useful in this regard, as it tracks the long-term health, financial, and social circumstances of people over the age of 50, offering meaningful insight into the factors that increase a person's likelihood of developing dementia (Banks et al., 2019).</w:t>
      </w:r>
    </w:p>
    <w:p w14:paraId="186110CF" w14:textId="77777777" w:rsidR="000118E6" w:rsidRPr="000118E6" w:rsidRDefault="000118E6" w:rsidP="000118E6">
      <w:pPr>
        <w:spacing w:after="200"/>
        <w:jc w:val="both"/>
      </w:pPr>
      <w:r w:rsidRPr="000118E6">
        <w:t>Alongside population-level research, clinicians rely on standardised assessment tools to identify and monitor cognitive decline in individual patients. Instruments such as the Mini-Mental State Examination and the Montreal Cognitive Assessment are routinely used in GP surgeries and hospital outpatient departments to screen for impairment and observe how it changes over time (</w:t>
      </w:r>
      <w:proofErr w:type="spellStart"/>
      <w:r w:rsidRPr="000118E6">
        <w:t>Folstein</w:t>
      </w:r>
      <w:proofErr w:type="spellEnd"/>
      <w:r w:rsidRPr="000118E6">
        <w:t xml:space="preserve"> et al., 1975; </w:t>
      </w:r>
      <w:proofErr w:type="spellStart"/>
      <w:r w:rsidRPr="000118E6">
        <w:t>Nasreddine</w:t>
      </w:r>
      <w:proofErr w:type="spellEnd"/>
      <w:r w:rsidRPr="000118E6">
        <w:t xml:space="preserve"> et al., 2005). Advances in neuroimaging have added another dimension to this work: MRI and PET </w:t>
      </w:r>
      <w:r w:rsidRPr="000118E6">
        <w:lastRenderedPageBreak/>
        <w:t>scanning technologies can now detect characteristic changes in brain structure and activity well before a person shows obvious outward symptoms, enabling earlier clinical intervention (Jack et al., 2018).</w:t>
      </w:r>
    </w:p>
    <w:p w14:paraId="5ECE8CDF" w14:textId="77777777" w:rsidR="000118E6" w:rsidRPr="000118E6" w:rsidRDefault="000118E6" w:rsidP="000118E6">
      <w:pPr>
        <w:spacing w:after="200"/>
        <w:jc w:val="both"/>
      </w:pPr>
      <w:r w:rsidRPr="000118E6">
        <w:t>At a national level, data gathered through GP records, inpatient admissions, and death registrations are compiled by NHS Digital and Public Health England to build a picture of how dementia is distributed and evolving across England. Incentive schemes such as the Quality and Outcomes Framework encourage family doctors to keep up-to-date registers of patients with a dementia diagnosis, which helps to improve the reliability of this national data (NHS Digital, 2022). When viewed together, these various streams of information provide health authorities with a thorough and multidimensional understanding of the condition's reach.</w:t>
      </w:r>
    </w:p>
    <w:p w14:paraId="34FF1F47" w14:textId="77777777" w:rsidR="000118E6" w:rsidRPr="000118E6" w:rsidRDefault="000118E6" w:rsidP="000118E6">
      <w:pPr>
        <w:pStyle w:val="Heading2"/>
        <w:jc w:val="both"/>
        <w:rPr>
          <w:color w:val="auto"/>
        </w:rPr>
      </w:pPr>
      <w:bookmarkStart w:id="3" w:name="_Toc226971602"/>
      <w:r w:rsidRPr="000118E6">
        <w:rPr>
          <w:color w:val="auto"/>
        </w:rPr>
        <w:t>ii. Strategies for Managing and Reducing the Impact of Dementia</w:t>
      </w:r>
      <w:bookmarkEnd w:id="3"/>
    </w:p>
    <w:p w14:paraId="3A5FBF95" w14:textId="77777777" w:rsidR="000118E6" w:rsidRPr="000118E6" w:rsidRDefault="000118E6" w:rsidP="000118E6">
      <w:pPr>
        <w:spacing w:after="200"/>
        <w:jc w:val="both"/>
      </w:pPr>
      <w:r w:rsidRPr="000118E6">
        <w:t>Given that no curative treatment for dementia currently exists, the focus of management falls on reducing the likelihood of the condition developing in the first place, catching it as early as possible, and helping those affected to maintain a good quality of life. A substantial body of evidence now links a range of everyday behaviours and health conditions to a person's long-term dementia risk. The Lancet Commission's landmark report identified twelve factors that can be modified through lifestyle change or medical management, among them physical inactivity, tobacco use, heavy drinking, overweight, high blood pressure, and limited social connection, which collectively may be responsible for around two-fifths of all dementia cases worldwide (Livingston et al., 2020). Health promotion initiatives that encourage physical activity, a balanced diet, and the management of conditions such as hypertension therefore play an important part in dementia prevention at a population level.</w:t>
      </w:r>
    </w:p>
    <w:p w14:paraId="06459A56" w14:textId="77777777" w:rsidR="000118E6" w:rsidRPr="000118E6" w:rsidRDefault="000118E6" w:rsidP="000118E6">
      <w:pPr>
        <w:spacing w:after="200"/>
        <w:jc w:val="both"/>
      </w:pPr>
      <w:r w:rsidRPr="000118E6">
        <w:t xml:space="preserve">The UK government has pursued a policy of expanding access to timely diagnosis through the National Dementia Strategy and related programmes, recognising that people who receive support earlier in the course of the illness tend to fare better and generate lower long-term costs for the health service (Department of Health and Social Care, 2021). Where drug treatment is appropriate, medications such as donepezil and </w:t>
      </w:r>
      <w:proofErr w:type="spellStart"/>
      <w:r w:rsidRPr="000118E6">
        <w:t>memantine</w:t>
      </w:r>
      <w:proofErr w:type="spellEnd"/>
      <w:r w:rsidRPr="000118E6">
        <w:t xml:space="preserve"> can offer a modest slowing of cognitive deterioration in Alzheimer's disease, though neither reverses or halts the underlying process (NICE, 2018). Alongside these pharmacological options, therapies such as cognitive stimulation, life history work, and music-based activities have been shown to support emotional well-being and help people with dementia maintain a sense of self and connection (Woods et al., 2012).</w:t>
      </w:r>
    </w:p>
    <w:p w14:paraId="373E9B9A" w14:textId="77777777" w:rsidR="000118E6" w:rsidRPr="000118E6" w:rsidRDefault="000118E6" w:rsidP="000118E6">
      <w:pPr>
        <w:spacing w:after="200"/>
        <w:jc w:val="both"/>
      </w:pPr>
      <w:r w:rsidRPr="000118E6">
        <w:t>What becomes clear is that tackling dementia demands more than medical expertise alone. It requires a cultural shift towards greater awareness, reduced stigma, inclusive community design, and recognition of the enormous contribution made by unpaid carers. These social dimensions of dementia management are just as important as any clinical intervention.</w:t>
      </w:r>
    </w:p>
    <w:p w14:paraId="77E42BEC" w14:textId="77777777" w:rsidR="000118E6" w:rsidRPr="000118E6" w:rsidRDefault="000118E6" w:rsidP="000118E6">
      <w:pPr>
        <w:pStyle w:val="Heading2"/>
        <w:jc w:val="both"/>
        <w:rPr>
          <w:color w:val="auto"/>
        </w:rPr>
      </w:pPr>
      <w:bookmarkStart w:id="4" w:name="_Toc226971603"/>
      <w:r w:rsidRPr="000118E6">
        <w:rPr>
          <w:color w:val="auto"/>
        </w:rPr>
        <w:t>iii. How Dementia Affects Individuals, Families, and Wider Society</w:t>
      </w:r>
      <w:bookmarkEnd w:id="4"/>
    </w:p>
    <w:p w14:paraId="0775F9CB" w14:textId="77777777" w:rsidR="000118E6" w:rsidRPr="000118E6" w:rsidRDefault="000118E6" w:rsidP="000118E6">
      <w:pPr>
        <w:spacing w:after="200"/>
        <w:jc w:val="both"/>
      </w:pPr>
      <w:r w:rsidRPr="000118E6">
        <w:t xml:space="preserve">Living with dementia takes a heavy toll on the person at the centre of the diagnosis. As the condition progresses, individuals find it harder to retain their sense of independence and to participate in the aspects of life that once gave them purpose. The psychological consequences are significant: rates of depression and anxiety </w:t>
      </w:r>
      <w:r w:rsidRPr="000118E6">
        <w:lastRenderedPageBreak/>
        <w:t>among people with dementia are high, affecting more than two in five individuals at some stage of their illness (Alzheimer's Society, 2022). Many people also become increasingly cut off from those around them, either because they feel ashamed of their difficulties or because their symptoms make it genuinely harder to engage safely in social situations.</w:t>
      </w:r>
    </w:p>
    <w:p w14:paraId="53FC9A5D" w14:textId="77777777" w:rsidR="000118E6" w:rsidRPr="000118E6" w:rsidRDefault="000118E6" w:rsidP="000118E6">
      <w:pPr>
        <w:spacing w:after="200"/>
        <w:jc w:val="both"/>
      </w:pPr>
      <w:r w:rsidRPr="000118E6">
        <w:t>Those who provide unpaid care to people with dementia carry an immense responsibility. There are estimated to be around 700,000 informal carers in the UK supporting a family member or friend with the condition, and a considerable proportion of them report that the demands of caregiving take a lasting toll on their own health and emotional resilience (Carers UK, 2021). The phenomenon of carer burnout, in which prolonged stress erodes a person's capacity to cope, is widely recognised in the literature and has serious implications for the sustainability of informal care. From an economic standpoint, the figures are sobering: dementia is estimated to cost the UK roughly £34.7 billion annually, and that figure is set to grow considerably as the population ages (Wittenberg et al., 2019).</w:t>
      </w:r>
    </w:p>
    <w:p w14:paraId="1CBAD5C7" w14:textId="77777777" w:rsidR="000118E6" w:rsidRPr="000118E6" w:rsidRDefault="000118E6" w:rsidP="000118E6">
      <w:pPr>
        <w:spacing w:after="200"/>
        <w:jc w:val="both"/>
      </w:pPr>
      <w:r w:rsidRPr="000118E6">
        <w:t>The ripple effects of dementia are also felt at a neighbourhood and community level. People living with the condition face elevated risks of falls, disorientation, financial scams, and inadequate supervision, placing new demands on local services, housing providers, and community volunteers. In response to this, the dementia-friendly community movement, strongly promoted by the Alzheimer's Society, has worked to make public spaces, businesses, and local institutions more welcoming and navigable for people living with cognitive impairment (Alzheimer's Society, 2022).</w:t>
      </w:r>
    </w:p>
    <w:p w14:paraId="46A7EDA9" w14:textId="77777777" w:rsidR="000118E6" w:rsidRPr="000118E6" w:rsidRDefault="000118E6" w:rsidP="000118E6">
      <w:pPr>
        <w:pStyle w:val="Heading2"/>
        <w:jc w:val="both"/>
        <w:rPr>
          <w:color w:val="auto"/>
        </w:rPr>
      </w:pPr>
      <w:bookmarkStart w:id="5" w:name="_Toc226971604"/>
      <w:proofErr w:type="gramStart"/>
      <w:r w:rsidRPr="000118E6">
        <w:rPr>
          <w:color w:val="auto"/>
        </w:rPr>
        <w:t>iv</w:t>
      </w:r>
      <w:proofErr w:type="gramEnd"/>
      <w:r w:rsidRPr="000118E6">
        <w:rPr>
          <w:color w:val="auto"/>
        </w:rPr>
        <w:t>. The Role of Health, Social Care, and Voluntary Services</w:t>
      </w:r>
      <w:bookmarkEnd w:id="5"/>
    </w:p>
    <w:p w14:paraId="33555957" w14:textId="77777777" w:rsidR="000118E6" w:rsidRPr="000118E6" w:rsidRDefault="000118E6" w:rsidP="000118E6">
      <w:pPr>
        <w:spacing w:after="200"/>
        <w:jc w:val="both"/>
      </w:pPr>
      <w:r w:rsidRPr="000118E6">
        <w:t>A person living with dementia will typically draw on support from several different parts of the care system as their needs evolve over time. In the first instance, general practice plays a central gatekeeping role: GPs identify early warning signs, arrange referrals to specialist services, and oversee the coordination of ongoing care. Memory assessment services offer comprehensive diagnostic evaluations carried out by multidisciplinary teams and provide follow-on support after a diagnosis has been confirmed, which may include specialist input from Admiral Nurses trained specifically to work alongside families living with dementia (Dementia UK, 2023).</w:t>
      </w:r>
    </w:p>
    <w:p w14:paraId="6C513C7D" w14:textId="77777777" w:rsidR="000118E6" w:rsidRPr="000118E6" w:rsidRDefault="000118E6" w:rsidP="000118E6">
      <w:pPr>
        <w:spacing w:after="200"/>
        <w:jc w:val="both"/>
      </w:pPr>
      <w:r w:rsidRPr="000118E6">
        <w:t>A range of community-based resources help people to remain connected and engaged outside of clinical settings. Structured day services and peer support groups create opportunities for meaningful social interaction and purposeful activity, both of which have been shown to support well-being and reduce feelings of loneliness. Carer respite schemes offer family members a genuine break from their caring responsibilities, providing an important safety valve for those at risk of exhaustion. Occupational therapists contribute significantly to enabling independent living by helping individuals adapt their physical environment and modify their daily habits in response to changing cognitive abilities (College of Occupational Therapists, 2015).</w:t>
      </w:r>
    </w:p>
    <w:p w14:paraId="038A781B" w14:textId="77777777" w:rsidR="000118E6" w:rsidRPr="000118E6" w:rsidRDefault="000118E6" w:rsidP="000118E6">
      <w:pPr>
        <w:spacing w:after="200"/>
        <w:jc w:val="both"/>
      </w:pPr>
      <w:r w:rsidRPr="000118E6">
        <w:t xml:space="preserve">When the illness reaches a point where the person can no longer be safely supported at home, a move into a residential or nursing care setting may become necessary. Under the Care Act 2014, local authorities have a statutory responsibility to conduct formal assessments and arrange appropriate care for eligible individuals and their </w:t>
      </w:r>
      <w:proofErr w:type="spellStart"/>
      <w:r w:rsidRPr="000118E6">
        <w:t>carers</w:t>
      </w:r>
      <w:proofErr w:type="spellEnd"/>
      <w:r w:rsidRPr="000118E6">
        <w:t xml:space="preserve">, although the financial framework for funding this care places a substantial burden on many families (Local Government Association, 2020). Specialist mental </w:t>
      </w:r>
      <w:r w:rsidRPr="000118E6">
        <w:lastRenderedPageBreak/>
        <w:t>health input remains important throughout the illness trajectory, particularly for addressing distressing psychological symptoms and challenging behaviours.</w:t>
      </w:r>
    </w:p>
    <w:p w14:paraId="722E5E7A" w14:textId="77777777" w:rsidR="000118E6" w:rsidRPr="000118E6" w:rsidRDefault="000118E6" w:rsidP="000118E6">
      <w:pPr>
        <w:spacing w:after="200"/>
        <w:jc w:val="both"/>
      </w:pPr>
      <w:r w:rsidRPr="000118E6">
        <w:t>Charities and voluntary organisations represent an essential layer of support that complements statutory services. Bodies such as the Alzheimer's Society, Dementia UK, and Age UK operate helplines, run local support networks, offer one-to-one befriending, and provide practical guidance on legal and financial matters. For many people, these organisations are the first port of call when a diagnosis is received, and they continue to fill significant gaps where statutory provision falls short (Age UK, 2022).</w:t>
      </w:r>
    </w:p>
    <w:p w14:paraId="77EB50C6" w14:textId="77777777" w:rsidR="000118E6" w:rsidRPr="000118E6" w:rsidRDefault="000118E6" w:rsidP="000118E6">
      <w:pPr>
        <w:pStyle w:val="Heading1"/>
        <w:jc w:val="both"/>
        <w:rPr>
          <w:color w:val="auto"/>
        </w:rPr>
      </w:pPr>
      <w:bookmarkStart w:id="6" w:name="_Toc226971605"/>
      <w:r w:rsidRPr="000118E6">
        <w:rPr>
          <w:color w:val="auto"/>
        </w:rPr>
        <w:t>Final Thoughts</w:t>
      </w:r>
      <w:bookmarkEnd w:id="6"/>
    </w:p>
    <w:p w14:paraId="1986AFD9" w14:textId="77777777" w:rsidR="000118E6" w:rsidRPr="000118E6" w:rsidRDefault="000118E6" w:rsidP="000118E6">
      <w:pPr>
        <w:spacing w:after="200"/>
        <w:jc w:val="both"/>
      </w:pPr>
      <w:r w:rsidRPr="000118E6">
        <w:t>Dementia stands as one of the defining health challenges of this generation, with consequences that extend far beyond the consulting room. Families are reshaped by it, communities must adapt to it, and healthcare systems are stretched by the scale of need it generates. Although a cure remains out of reach, significant progress has been made in identifying risk factors that can be addressed, in developing tools that support earlier detection, and in creating therapies and services that improve day-to-day life for those affected. The social and economic costs of dementia are substantial and will only grow unless meaningful action is taken across all levels of society.</w:t>
      </w:r>
    </w:p>
    <w:p w14:paraId="5F14CB4E" w14:textId="77777777" w:rsidR="000118E6" w:rsidRDefault="000118E6" w:rsidP="000118E6">
      <w:pPr>
        <w:spacing w:after="200"/>
        <w:jc w:val="both"/>
      </w:pPr>
      <w:r w:rsidRPr="000118E6">
        <w:t>What is needed above all is a coordinated, forward-thinking response: one that invests in prevention, cham</w:t>
      </w:r>
      <w:bookmarkStart w:id="7" w:name="_GoBack"/>
      <w:bookmarkEnd w:id="7"/>
      <w:r w:rsidRPr="000118E6">
        <w:t>pions timely diagnosis, values the contribution of unpaid carers, and ensures that high-quality support is genuinely accessible to everyone who needs it. As the number of people living with dementia rises in the years ahead, the ambition must be to build a society in which they can continue to live with purpose, dignity, and the maximum degree of independence possible.</w:t>
      </w:r>
    </w:p>
    <w:p w14:paraId="6AE87519" w14:textId="72E13CC3" w:rsidR="000118E6" w:rsidRDefault="000118E6">
      <w:pPr>
        <w:spacing w:after="160" w:line="259" w:lineRule="auto"/>
      </w:pPr>
      <w:r>
        <w:br w:type="page"/>
      </w:r>
    </w:p>
    <w:p w14:paraId="45E4E845" w14:textId="77777777" w:rsidR="000118E6" w:rsidRPr="000118E6" w:rsidRDefault="000118E6" w:rsidP="000118E6">
      <w:pPr>
        <w:spacing w:after="200"/>
        <w:jc w:val="both"/>
      </w:pPr>
    </w:p>
    <w:p w14:paraId="3BC8675F" w14:textId="77777777" w:rsidR="000118E6" w:rsidRPr="000118E6" w:rsidRDefault="000118E6" w:rsidP="000118E6">
      <w:pPr>
        <w:pStyle w:val="Heading1"/>
        <w:rPr>
          <w:color w:val="auto"/>
        </w:rPr>
      </w:pPr>
      <w:bookmarkStart w:id="8" w:name="_Toc226971606"/>
      <w:r w:rsidRPr="000118E6">
        <w:rPr>
          <w:color w:val="auto"/>
        </w:rPr>
        <w:t>References</w:t>
      </w:r>
      <w:bookmarkEnd w:id="8"/>
    </w:p>
    <w:p w14:paraId="123280E7" w14:textId="77777777" w:rsidR="000118E6" w:rsidRDefault="000118E6" w:rsidP="000118E6">
      <w:pPr>
        <w:spacing w:after="140"/>
        <w:ind w:left="720" w:hanging="720"/>
      </w:pPr>
      <w:r>
        <w:rPr>
          <w:sz w:val="22"/>
          <w:szCs w:val="22"/>
        </w:rPr>
        <w:t>Age UK (2022) Dementia support services. Available at: https://www.ageuk.org.uk (Accessed: 15 March 2025).</w:t>
      </w:r>
    </w:p>
    <w:p w14:paraId="3687EC25" w14:textId="77777777" w:rsidR="000118E6" w:rsidRDefault="000118E6" w:rsidP="000118E6">
      <w:pPr>
        <w:spacing w:after="140"/>
        <w:ind w:left="720" w:hanging="720"/>
      </w:pPr>
      <w:r>
        <w:rPr>
          <w:sz w:val="22"/>
          <w:szCs w:val="22"/>
        </w:rPr>
        <w:t xml:space="preserve">Alzheimer's </w:t>
      </w:r>
      <w:proofErr w:type="gramStart"/>
      <w:r>
        <w:rPr>
          <w:sz w:val="22"/>
          <w:szCs w:val="22"/>
        </w:rPr>
        <w:t>Disease</w:t>
      </w:r>
      <w:proofErr w:type="gramEnd"/>
      <w:r>
        <w:rPr>
          <w:sz w:val="22"/>
          <w:szCs w:val="22"/>
        </w:rPr>
        <w:t xml:space="preserve"> International (2023) World Alzheimer Report 2023. London: Alzheimer's </w:t>
      </w:r>
      <w:proofErr w:type="gramStart"/>
      <w:r>
        <w:rPr>
          <w:sz w:val="22"/>
          <w:szCs w:val="22"/>
        </w:rPr>
        <w:t>Disease</w:t>
      </w:r>
      <w:proofErr w:type="gramEnd"/>
      <w:r>
        <w:rPr>
          <w:sz w:val="22"/>
          <w:szCs w:val="22"/>
        </w:rPr>
        <w:t xml:space="preserve"> International.</w:t>
      </w:r>
    </w:p>
    <w:p w14:paraId="177B1332" w14:textId="77777777" w:rsidR="000118E6" w:rsidRDefault="000118E6" w:rsidP="000118E6">
      <w:pPr>
        <w:spacing w:after="140"/>
        <w:ind w:left="720" w:hanging="720"/>
      </w:pPr>
      <w:r>
        <w:rPr>
          <w:sz w:val="22"/>
          <w:szCs w:val="22"/>
        </w:rPr>
        <w:t>Alzheimer's Research UK (2023) Dementia statistics. Available at: https://www.alzheimersresearchuk.org (Accessed: 15 March 2025).</w:t>
      </w:r>
    </w:p>
    <w:p w14:paraId="679C3124" w14:textId="77777777" w:rsidR="000118E6" w:rsidRDefault="000118E6" w:rsidP="000118E6">
      <w:pPr>
        <w:spacing w:after="140"/>
        <w:ind w:left="720" w:hanging="720"/>
      </w:pPr>
      <w:r>
        <w:rPr>
          <w:sz w:val="22"/>
          <w:szCs w:val="22"/>
        </w:rPr>
        <w:t xml:space="preserve">Alzheimer's Society (2022) Dementia UK Report. 3rd </w:t>
      </w:r>
      <w:proofErr w:type="spellStart"/>
      <w:r>
        <w:rPr>
          <w:sz w:val="22"/>
          <w:szCs w:val="22"/>
        </w:rPr>
        <w:t>edn</w:t>
      </w:r>
      <w:proofErr w:type="spellEnd"/>
      <w:r>
        <w:rPr>
          <w:sz w:val="22"/>
          <w:szCs w:val="22"/>
        </w:rPr>
        <w:t>. London: Alzheimer's Society.</w:t>
      </w:r>
    </w:p>
    <w:p w14:paraId="6E1612F5" w14:textId="77777777" w:rsidR="000118E6" w:rsidRDefault="000118E6" w:rsidP="000118E6">
      <w:pPr>
        <w:spacing w:after="140"/>
        <w:ind w:left="720" w:hanging="720"/>
      </w:pPr>
      <w:r>
        <w:rPr>
          <w:sz w:val="22"/>
          <w:szCs w:val="22"/>
        </w:rPr>
        <w:t xml:space="preserve">Banks, J., Batty, G.D., Coughlin, K., Dangerfield, P., Marmot, M., </w:t>
      </w:r>
      <w:proofErr w:type="spellStart"/>
      <w:r>
        <w:rPr>
          <w:sz w:val="22"/>
          <w:szCs w:val="22"/>
        </w:rPr>
        <w:t>Nazroo</w:t>
      </w:r>
      <w:proofErr w:type="spellEnd"/>
      <w:r>
        <w:rPr>
          <w:sz w:val="22"/>
          <w:szCs w:val="22"/>
        </w:rPr>
        <w:t xml:space="preserve">, J., Oldfield, Z., Steel, N., Steptoe, A., Wood, M. and </w:t>
      </w:r>
      <w:proofErr w:type="spellStart"/>
      <w:r>
        <w:rPr>
          <w:sz w:val="22"/>
          <w:szCs w:val="22"/>
        </w:rPr>
        <w:t>Zaninotto</w:t>
      </w:r>
      <w:proofErr w:type="spellEnd"/>
      <w:r>
        <w:rPr>
          <w:sz w:val="22"/>
          <w:szCs w:val="22"/>
        </w:rPr>
        <w:t>, P. (2019) English Longitudinal Study of Ageing: waves 0-9, 1998-2019. UK Data Service. SN: 5050.</w:t>
      </w:r>
    </w:p>
    <w:p w14:paraId="5FE23BE2" w14:textId="77777777" w:rsidR="000118E6" w:rsidRDefault="000118E6" w:rsidP="000118E6">
      <w:pPr>
        <w:spacing w:after="140"/>
        <w:ind w:left="720" w:hanging="720"/>
      </w:pPr>
      <w:r>
        <w:rPr>
          <w:sz w:val="22"/>
          <w:szCs w:val="22"/>
        </w:rPr>
        <w:t>Carers UK (2021) State of Caring 2021: A snapshot of unpaid care in the UK. London: Carers UK.</w:t>
      </w:r>
    </w:p>
    <w:p w14:paraId="0520491D" w14:textId="77777777" w:rsidR="000118E6" w:rsidRDefault="000118E6" w:rsidP="000118E6">
      <w:pPr>
        <w:spacing w:after="140"/>
        <w:ind w:left="720" w:hanging="720"/>
      </w:pPr>
      <w:r>
        <w:rPr>
          <w:sz w:val="22"/>
          <w:szCs w:val="22"/>
        </w:rPr>
        <w:t xml:space="preserve">College of Occupational Therapists (2015) </w:t>
      </w:r>
      <w:proofErr w:type="gramStart"/>
      <w:r>
        <w:rPr>
          <w:sz w:val="22"/>
          <w:szCs w:val="22"/>
        </w:rPr>
        <w:t>Living</w:t>
      </w:r>
      <w:proofErr w:type="gramEnd"/>
      <w:r>
        <w:rPr>
          <w:sz w:val="22"/>
          <w:szCs w:val="22"/>
        </w:rPr>
        <w:t xml:space="preserve"> well through activity in care homes: The toolkit. London: College of Occupational Therapists.</w:t>
      </w:r>
    </w:p>
    <w:p w14:paraId="42A18240" w14:textId="77777777" w:rsidR="000118E6" w:rsidRDefault="000118E6" w:rsidP="000118E6">
      <w:pPr>
        <w:spacing w:after="140"/>
        <w:ind w:left="720" w:hanging="720"/>
      </w:pPr>
      <w:r>
        <w:rPr>
          <w:sz w:val="22"/>
          <w:szCs w:val="22"/>
        </w:rPr>
        <w:t>Dementia UK (2023) Admiral Nursing. Available at: https://www.dementiauk.org (Accessed: 15 March 2025).</w:t>
      </w:r>
    </w:p>
    <w:p w14:paraId="490EAB3D" w14:textId="77777777" w:rsidR="000118E6" w:rsidRDefault="000118E6" w:rsidP="000118E6">
      <w:pPr>
        <w:spacing w:after="140"/>
        <w:ind w:left="720" w:hanging="720"/>
      </w:pPr>
      <w:r>
        <w:rPr>
          <w:sz w:val="22"/>
          <w:szCs w:val="22"/>
        </w:rPr>
        <w:t>Department of Health and Social Care (2021) Dementia 2020 challenge: Final report. London: DHSC.</w:t>
      </w:r>
    </w:p>
    <w:p w14:paraId="52CC22C5" w14:textId="77777777" w:rsidR="000118E6" w:rsidRDefault="000118E6" w:rsidP="000118E6">
      <w:pPr>
        <w:spacing w:after="140"/>
        <w:ind w:left="720" w:hanging="720"/>
      </w:pPr>
      <w:proofErr w:type="spellStart"/>
      <w:r>
        <w:rPr>
          <w:sz w:val="22"/>
          <w:szCs w:val="22"/>
        </w:rPr>
        <w:t>Folstein</w:t>
      </w:r>
      <w:proofErr w:type="spellEnd"/>
      <w:r>
        <w:rPr>
          <w:sz w:val="22"/>
          <w:szCs w:val="22"/>
        </w:rPr>
        <w:t xml:space="preserve">, M.F., </w:t>
      </w:r>
      <w:proofErr w:type="spellStart"/>
      <w:r>
        <w:rPr>
          <w:sz w:val="22"/>
          <w:szCs w:val="22"/>
        </w:rPr>
        <w:t>Folstein</w:t>
      </w:r>
      <w:proofErr w:type="spellEnd"/>
      <w:r>
        <w:rPr>
          <w:sz w:val="22"/>
          <w:szCs w:val="22"/>
        </w:rPr>
        <w:t>, S.E. and McHugh, P.R. (1975) 'Mini-mental state: A practical method for grading the cognitive state of patients for the clinician', Journal of Psychiatric Research, 12(3), pp. 189-198.</w:t>
      </w:r>
    </w:p>
    <w:p w14:paraId="7C5EB0B6" w14:textId="77777777" w:rsidR="000118E6" w:rsidRDefault="000118E6" w:rsidP="000118E6">
      <w:pPr>
        <w:spacing w:after="140"/>
        <w:ind w:left="720" w:hanging="720"/>
      </w:pPr>
      <w:r>
        <w:rPr>
          <w:sz w:val="22"/>
          <w:szCs w:val="22"/>
        </w:rPr>
        <w:t xml:space="preserve">Jack, C.R., Bennett, D.A., </w:t>
      </w:r>
      <w:proofErr w:type="spellStart"/>
      <w:r>
        <w:rPr>
          <w:sz w:val="22"/>
          <w:szCs w:val="22"/>
        </w:rPr>
        <w:t>Blennow</w:t>
      </w:r>
      <w:proofErr w:type="spellEnd"/>
      <w:r>
        <w:rPr>
          <w:sz w:val="22"/>
          <w:szCs w:val="22"/>
        </w:rPr>
        <w:t xml:space="preserve">, K., Carrillo, M.C., Dunn, B., </w:t>
      </w:r>
      <w:proofErr w:type="spellStart"/>
      <w:r>
        <w:rPr>
          <w:sz w:val="22"/>
          <w:szCs w:val="22"/>
        </w:rPr>
        <w:t>Haeberlein</w:t>
      </w:r>
      <w:proofErr w:type="spellEnd"/>
      <w:r>
        <w:rPr>
          <w:sz w:val="22"/>
          <w:szCs w:val="22"/>
        </w:rPr>
        <w:t xml:space="preserve">, S.B. and </w:t>
      </w:r>
      <w:proofErr w:type="spellStart"/>
      <w:r>
        <w:rPr>
          <w:sz w:val="22"/>
          <w:szCs w:val="22"/>
        </w:rPr>
        <w:t>Sperling</w:t>
      </w:r>
      <w:proofErr w:type="spellEnd"/>
      <w:r>
        <w:rPr>
          <w:sz w:val="22"/>
          <w:szCs w:val="22"/>
        </w:rPr>
        <w:t>, R. (2018) 'NIA-AA Research Framework: Toward a biological definition of Alzheimer's disease', Alzheimer's and Dementia, 14(4), pp. 535-562.</w:t>
      </w:r>
    </w:p>
    <w:p w14:paraId="57AE2B74" w14:textId="77777777" w:rsidR="000118E6" w:rsidRDefault="000118E6" w:rsidP="000118E6">
      <w:pPr>
        <w:spacing w:after="140"/>
        <w:ind w:left="720" w:hanging="720"/>
      </w:pPr>
      <w:r>
        <w:rPr>
          <w:sz w:val="22"/>
          <w:szCs w:val="22"/>
        </w:rPr>
        <w:t xml:space="preserve">Livingston, G., Huntley, J., </w:t>
      </w:r>
      <w:proofErr w:type="spellStart"/>
      <w:r>
        <w:rPr>
          <w:sz w:val="22"/>
          <w:szCs w:val="22"/>
        </w:rPr>
        <w:t>Sommerlad</w:t>
      </w:r>
      <w:proofErr w:type="spellEnd"/>
      <w:r>
        <w:rPr>
          <w:sz w:val="22"/>
          <w:szCs w:val="22"/>
        </w:rPr>
        <w:t xml:space="preserve">, A., Ames, D., Ballard, C., Banerjee, S. and </w:t>
      </w:r>
      <w:proofErr w:type="spellStart"/>
      <w:r>
        <w:rPr>
          <w:sz w:val="22"/>
          <w:szCs w:val="22"/>
        </w:rPr>
        <w:t>Mukadam</w:t>
      </w:r>
      <w:proofErr w:type="spellEnd"/>
      <w:r>
        <w:rPr>
          <w:sz w:val="22"/>
          <w:szCs w:val="22"/>
        </w:rPr>
        <w:t>, N. (2020) 'Dementia prevention, intervention, and care: 2020 report of the Lancet Commission', The Lancet, 396(10248), pp. 413-446.</w:t>
      </w:r>
    </w:p>
    <w:p w14:paraId="4FC5EC5D" w14:textId="77777777" w:rsidR="000118E6" w:rsidRDefault="000118E6" w:rsidP="000118E6">
      <w:pPr>
        <w:spacing w:after="140"/>
        <w:ind w:left="720" w:hanging="720"/>
      </w:pPr>
      <w:r>
        <w:rPr>
          <w:sz w:val="22"/>
          <w:szCs w:val="22"/>
        </w:rPr>
        <w:t>Local Government Association (2020) Dementia and the Care Act 2014. London: LGA.</w:t>
      </w:r>
    </w:p>
    <w:p w14:paraId="770982D9" w14:textId="77777777" w:rsidR="000118E6" w:rsidRDefault="000118E6" w:rsidP="000118E6">
      <w:pPr>
        <w:spacing w:after="140"/>
        <w:ind w:left="720" w:hanging="720"/>
      </w:pPr>
      <w:proofErr w:type="spellStart"/>
      <w:r>
        <w:rPr>
          <w:sz w:val="22"/>
          <w:szCs w:val="22"/>
        </w:rPr>
        <w:t>Nasreddine</w:t>
      </w:r>
      <w:proofErr w:type="spellEnd"/>
      <w:r>
        <w:rPr>
          <w:sz w:val="22"/>
          <w:szCs w:val="22"/>
        </w:rPr>
        <w:t xml:space="preserve">, Z.S., Phillips, N.A., </w:t>
      </w:r>
      <w:proofErr w:type="spellStart"/>
      <w:r>
        <w:rPr>
          <w:sz w:val="22"/>
          <w:szCs w:val="22"/>
        </w:rPr>
        <w:t>Bedirian</w:t>
      </w:r>
      <w:proofErr w:type="spellEnd"/>
      <w:r>
        <w:rPr>
          <w:sz w:val="22"/>
          <w:szCs w:val="22"/>
        </w:rPr>
        <w:t xml:space="preserve">, V., Charbonneau, S., Whitehead, V., Collin, I. and </w:t>
      </w:r>
      <w:proofErr w:type="spellStart"/>
      <w:r>
        <w:rPr>
          <w:sz w:val="22"/>
          <w:szCs w:val="22"/>
        </w:rPr>
        <w:t>Chertkow</w:t>
      </w:r>
      <w:proofErr w:type="spellEnd"/>
      <w:r>
        <w:rPr>
          <w:sz w:val="22"/>
          <w:szCs w:val="22"/>
        </w:rPr>
        <w:t xml:space="preserve">, H. (2005) 'The Montreal Cognitive Assessment, </w:t>
      </w:r>
      <w:proofErr w:type="spellStart"/>
      <w:r>
        <w:rPr>
          <w:sz w:val="22"/>
          <w:szCs w:val="22"/>
        </w:rPr>
        <w:t>MoCA</w:t>
      </w:r>
      <w:proofErr w:type="spellEnd"/>
      <w:r>
        <w:rPr>
          <w:sz w:val="22"/>
          <w:szCs w:val="22"/>
        </w:rPr>
        <w:t>: A brief screening tool for mild cognitive impairment', Journal of the American Geriatrics Society, 53(4), pp. 695-699.</w:t>
      </w:r>
    </w:p>
    <w:p w14:paraId="42EDC195" w14:textId="77777777" w:rsidR="000118E6" w:rsidRDefault="000118E6" w:rsidP="000118E6">
      <w:pPr>
        <w:spacing w:after="140"/>
        <w:ind w:left="720" w:hanging="720"/>
      </w:pPr>
      <w:r>
        <w:rPr>
          <w:sz w:val="22"/>
          <w:szCs w:val="22"/>
        </w:rPr>
        <w:t>NHS (2023) Dementia: Symptoms and causes. Available at: https://www.nhs.uk/conditions/dementia (Accessed: 15 March 2025).</w:t>
      </w:r>
    </w:p>
    <w:p w14:paraId="3628499F" w14:textId="77777777" w:rsidR="000118E6" w:rsidRDefault="000118E6" w:rsidP="000118E6">
      <w:pPr>
        <w:spacing w:after="140"/>
        <w:ind w:left="720" w:hanging="720"/>
      </w:pPr>
      <w:r>
        <w:rPr>
          <w:sz w:val="22"/>
          <w:szCs w:val="22"/>
        </w:rPr>
        <w:t>NHS Digital (2022) Quality and Outcomes Framework 2021/22. Leeds: NHS Digital.</w:t>
      </w:r>
    </w:p>
    <w:p w14:paraId="429D2018" w14:textId="77777777" w:rsidR="000118E6" w:rsidRDefault="000118E6" w:rsidP="000118E6">
      <w:pPr>
        <w:spacing w:after="140"/>
        <w:ind w:left="720" w:hanging="720"/>
      </w:pPr>
      <w:r>
        <w:rPr>
          <w:sz w:val="22"/>
          <w:szCs w:val="22"/>
        </w:rPr>
        <w:t xml:space="preserve">NICE (2018) Dementia: Assessment, management and support for people living with dementia and their </w:t>
      </w:r>
      <w:proofErr w:type="spellStart"/>
      <w:r>
        <w:rPr>
          <w:sz w:val="22"/>
          <w:szCs w:val="22"/>
        </w:rPr>
        <w:t>carers</w:t>
      </w:r>
      <w:proofErr w:type="spellEnd"/>
      <w:r>
        <w:rPr>
          <w:sz w:val="22"/>
          <w:szCs w:val="22"/>
        </w:rPr>
        <w:t>. NICE Guideline NG97. London: National Institute for Health and Care Excellence.</w:t>
      </w:r>
    </w:p>
    <w:p w14:paraId="20E50F90" w14:textId="77777777" w:rsidR="000118E6" w:rsidRDefault="000118E6" w:rsidP="000118E6">
      <w:pPr>
        <w:spacing w:after="140"/>
        <w:ind w:left="720" w:hanging="720"/>
      </w:pPr>
      <w:r>
        <w:rPr>
          <w:sz w:val="22"/>
          <w:szCs w:val="22"/>
        </w:rPr>
        <w:t>Office for National Statistics (2022) Deaths registered in England and Wales: 2021. Newport: ONS.</w:t>
      </w:r>
    </w:p>
    <w:p w14:paraId="0E92CECC" w14:textId="77777777" w:rsidR="000118E6" w:rsidRDefault="000118E6" w:rsidP="000118E6">
      <w:pPr>
        <w:spacing w:after="140"/>
        <w:ind w:left="720" w:hanging="720"/>
      </w:pPr>
      <w:r>
        <w:rPr>
          <w:sz w:val="22"/>
          <w:szCs w:val="22"/>
        </w:rPr>
        <w:lastRenderedPageBreak/>
        <w:t>Wittenberg, R., Hu, B., Barraza-</w:t>
      </w:r>
      <w:proofErr w:type="spellStart"/>
      <w:r>
        <w:rPr>
          <w:sz w:val="22"/>
          <w:szCs w:val="22"/>
        </w:rPr>
        <w:t>Araiza</w:t>
      </w:r>
      <w:proofErr w:type="spellEnd"/>
      <w:r>
        <w:rPr>
          <w:sz w:val="22"/>
          <w:szCs w:val="22"/>
        </w:rPr>
        <w:t xml:space="preserve">, L.F. and </w:t>
      </w:r>
      <w:proofErr w:type="spellStart"/>
      <w:r>
        <w:rPr>
          <w:sz w:val="22"/>
          <w:szCs w:val="22"/>
        </w:rPr>
        <w:t>Rehill</w:t>
      </w:r>
      <w:proofErr w:type="spellEnd"/>
      <w:r>
        <w:rPr>
          <w:sz w:val="22"/>
          <w:szCs w:val="22"/>
        </w:rPr>
        <w:t>, A. (2019) Projections of older people with dementia and costs of dementia care in the United Kingdom, 2019-2040. CPEC Working Paper 5. London: Care Policy and Evaluation Centre.</w:t>
      </w:r>
    </w:p>
    <w:p w14:paraId="31142687" w14:textId="77777777" w:rsidR="000118E6" w:rsidRDefault="000118E6" w:rsidP="000118E6">
      <w:pPr>
        <w:spacing w:after="140"/>
        <w:ind w:left="720" w:hanging="720"/>
      </w:pPr>
      <w:r>
        <w:rPr>
          <w:sz w:val="22"/>
          <w:szCs w:val="22"/>
        </w:rPr>
        <w:t xml:space="preserve">Woods, B., Aguirre, E., Spector, A.E. and </w:t>
      </w:r>
      <w:proofErr w:type="spellStart"/>
      <w:r>
        <w:rPr>
          <w:sz w:val="22"/>
          <w:szCs w:val="22"/>
        </w:rPr>
        <w:t>Orrell</w:t>
      </w:r>
      <w:proofErr w:type="spellEnd"/>
      <w:r>
        <w:rPr>
          <w:sz w:val="22"/>
          <w:szCs w:val="22"/>
        </w:rPr>
        <w:t>, M. (2012) 'Cognitive stimulation to improve cognitive functioning in people with dementia', Cochrane Database of Systematic Reviews, 2012(2), CD005562.</w:t>
      </w:r>
    </w:p>
    <w:p w14:paraId="6D16C848" w14:textId="77777777" w:rsidR="000118E6" w:rsidRDefault="000118E6" w:rsidP="000118E6">
      <w:pPr>
        <w:spacing w:after="140"/>
        <w:ind w:left="720" w:hanging="720"/>
      </w:pPr>
      <w:r>
        <w:rPr>
          <w:sz w:val="22"/>
          <w:szCs w:val="22"/>
        </w:rPr>
        <w:t>World Health Organization (2023) Dementia. Available at: https://www.who.int/news-room/fact-sheets/detail/dementia (Accessed: 15 March 2025).</w:t>
      </w:r>
    </w:p>
    <w:p w14:paraId="5062C042" w14:textId="77777777" w:rsidR="00050E53" w:rsidRPr="00EF16CD" w:rsidRDefault="00050E53" w:rsidP="000118E6">
      <w:pPr>
        <w:pStyle w:val="Heading1"/>
        <w:spacing w:line="276" w:lineRule="auto"/>
        <w:jc w:val="both"/>
        <w:rPr>
          <w:sz w:val="22"/>
          <w:szCs w:val="22"/>
        </w:rPr>
      </w:pPr>
    </w:p>
    <w:sectPr w:rsidR="00050E53" w:rsidRPr="00EF16CD" w:rsidSect="000118E6">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759997" w14:textId="77777777" w:rsidR="00693531" w:rsidRDefault="00693531">
      <w:r>
        <w:separator/>
      </w:r>
    </w:p>
  </w:endnote>
  <w:endnote w:type="continuationSeparator" w:id="0">
    <w:p w14:paraId="403821F6" w14:textId="77777777" w:rsidR="00693531" w:rsidRDefault="00693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1C8A16" w14:textId="77777777" w:rsidR="009E536B" w:rsidRDefault="00EB6FF6">
    <w:pPr>
      <w:jc w:val="center"/>
    </w:pPr>
    <w:r>
      <w:rPr>
        <w:sz w:val="20"/>
        <w:szCs w:val="20"/>
      </w:rPr>
      <w:fldChar w:fldCharType="begin"/>
    </w:r>
    <w:r>
      <w:rPr>
        <w:sz w:val="20"/>
        <w:szCs w:val="20"/>
      </w:rPr>
      <w:instrText>PAGE</w:instrText>
    </w:r>
    <w:r>
      <w:rPr>
        <w:sz w:val="20"/>
        <w:szCs w:val="20"/>
      </w:rPr>
      <w:fldChar w:fldCharType="separate"/>
    </w:r>
    <w:r w:rsidR="000118E6">
      <w:rPr>
        <w:noProof/>
        <w:sz w:val="20"/>
        <w:szCs w:val="20"/>
      </w:rPr>
      <w:t>7</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70B200" w14:textId="77777777" w:rsidR="00693531" w:rsidRDefault="00693531">
      <w:r>
        <w:separator/>
      </w:r>
    </w:p>
  </w:footnote>
  <w:footnote w:type="continuationSeparator" w:id="0">
    <w:p w14:paraId="5EB57C80" w14:textId="77777777" w:rsidR="00693531" w:rsidRDefault="0069353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6FF6"/>
    <w:rsid w:val="000118E6"/>
    <w:rsid w:val="00050E53"/>
    <w:rsid w:val="002847DB"/>
    <w:rsid w:val="003B4842"/>
    <w:rsid w:val="005D5044"/>
    <w:rsid w:val="00693531"/>
    <w:rsid w:val="00732FA7"/>
    <w:rsid w:val="007641F0"/>
    <w:rsid w:val="0083507E"/>
    <w:rsid w:val="00922E12"/>
    <w:rsid w:val="009E536B"/>
    <w:rsid w:val="00AC4F9D"/>
    <w:rsid w:val="00E850CB"/>
    <w:rsid w:val="00EB6FF6"/>
    <w:rsid w:val="00EF16CD"/>
    <w:rsid w:val="00F95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20950"/>
  <w15:chartTrackingRefBased/>
  <w15:docId w15:val="{2A742176-4BA7-4D52-A4E4-9D70F49B6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6FF6"/>
    <w:pPr>
      <w:spacing w:after="0" w:line="240" w:lineRule="auto"/>
    </w:pPr>
    <w:rPr>
      <w:rFonts w:ascii="Arial" w:eastAsia="Arial" w:hAnsi="Arial" w:cs="Arial"/>
      <w:sz w:val="24"/>
      <w:szCs w:val="24"/>
      <w:lang w:eastAsia="en-GB"/>
    </w:rPr>
  </w:style>
  <w:style w:type="paragraph" w:styleId="Heading1">
    <w:name w:val="heading 1"/>
    <w:link w:val="Heading1Char"/>
    <w:qFormat/>
    <w:rsid w:val="00EB6FF6"/>
    <w:pPr>
      <w:spacing w:before="300" w:after="150" w:line="240" w:lineRule="auto"/>
      <w:outlineLvl w:val="0"/>
    </w:pPr>
    <w:rPr>
      <w:rFonts w:ascii="Arial" w:eastAsia="Arial" w:hAnsi="Arial" w:cs="Arial"/>
      <w:b/>
      <w:bCs/>
      <w:color w:val="2E4057"/>
      <w:sz w:val="28"/>
      <w:szCs w:val="28"/>
      <w:lang w:eastAsia="en-GB"/>
    </w:rPr>
  </w:style>
  <w:style w:type="paragraph" w:styleId="Heading2">
    <w:name w:val="heading 2"/>
    <w:link w:val="Heading2Char"/>
    <w:qFormat/>
    <w:rsid w:val="00EB6FF6"/>
    <w:pPr>
      <w:spacing w:before="240" w:after="120" w:line="240" w:lineRule="auto"/>
      <w:outlineLvl w:val="1"/>
    </w:pPr>
    <w:rPr>
      <w:rFonts w:ascii="Arial" w:eastAsia="Arial" w:hAnsi="Arial" w:cs="Arial"/>
      <w:b/>
      <w:bCs/>
      <w:color w:val="2E4057"/>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B6FF6"/>
    <w:rPr>
      <w:rFonts w:ascii="Arial" w:eastAsia="Arial" w:hAnsi="Arial" w:cs="Arial"/>
      <w:b/>
      <w:bCs/>
      <w:color w:val="2E4057"/>
      <w:sz w:val="28"/>
      <w:szCs w:val="28"/>
      <w:lang w:eastAsia="en-GB"/>
    </w:rPr>
  </w:style>
  <w:style w:type="character" w:customStyle="1" w:styleId="Heading2Char">
    <w:name w:val="Heading 2 Char"/>
    <w:basedOn w:val="DefaultParagraphFont"/>
    <w:link w:val="Heading2"/>
    <w:rsid w:val="00EB6FF6"/>
    <w:rPr>
      <w:rFonts w:ascii="Arial" w:eastAsia="Arial" w:hAnsi="Arial" w:cs="Arial"/>
      <w:b/>
      <w:bCs/>
      <w:color w:val="2E4057"/>
      <w:sz w:val="26"/>
      <w:szCs w:val="26"/>
      <w:lang w:eastAsia="en-GB"/>
    </w:rPr>
  </w:style>
  <w:style w:type="paragraph" w:styleId="TOCHeading">
    <w:name w:val="TOC Heading"/>
    <w:basedOn w:val="Heading1"/>
    <w:next w:val="Normal"/>
    <w:uiPriority w:val="39"/>
    <w:unhideWhenUsed/>
    <w:qFormat/>
    <w:rsid w:val="000118E6"/>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0118E6"/>
    <w:pPr>
      <w:spacing w:after="100"/>
    </w:pPr>
  </w:style>
  <w:style w:type="paragraph" w:styleId="TOC2">
    <w:name w:val="toc 2"/>
    <w:basedOn w:val="Normal"/>
    <w:next w:val="Normal"/>
    <w:autoRedefine/>
    <w:uiPriority w:val="39"/>
    <w:unhideWhenUsed/>
    <w:rsid w:val="000118E6"/>
    <w:pPr>
      <w:spacing w:after="100"/>
      <w:ind w:left="240"/>
    </w:pPr>
  </w:style>
  <w:style w:type="character" w:styleId="Hyperlink">
    <w:name w:val="Hyperlink"/>
    <w:basedOn w:val="DefaultParagraphFont"/>
    <w:uiPriority w:val="99"/>
    <w:unhideWhenUsed/>
    <w:rsid w:val="000118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A80E4D-CFD3-4C6A-9506-2B42B8554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2472</Words>
  <Characters>14096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dc:creator>
  <cp:keywords/>
  <dc:description/>
  <cp:lastModifiedBy>Kwame</cp:lastModifiedBy>
  <cp:revision>5</cp:revision>
  <dcterms:created xsi:type="dcterms:W3CDTF">2026-04-09T00:48:00Z</dcterms:created>
  <dcterms:modified xsi:type="dcterms:W3CDTF">2026-04-13T10:21:00Z</dcterms:modified>
</cp:coreProperties>
</file>