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C0F52" w14:textId="77777777" w:rsidR="004C690A" w:rsidRDefault="004C690A" w:rsidP="00C955D6">
      <w:pPr>
        <w:jc w:val="center"/>
        <w:rPr>
          <w:rFonts w:ascii="Arial Black" w:hAnsi="Arial Black"/>
          <w:b/>
          <w:bCs/>
          <w:sz w:val="72"/>
          <w:szCs w:val="72"/>
        </w:rPr>
      </w:pPr>
    </w:p>
    <w:p w14:paraId="6BC49919" w14:textId="77777777" w:rsidR="00E16233" w:rsidRDefault="00E16233" w:rsidP="00C955D6">
      <w:pPr>
        <w:jc w:val="center"/>
        <w:rPr>
          <w:rFonts w:ascii="Arial Black" w:hAnsi="Arial Black"/>
          <w:b/>
          <w:bCs/>
          <w:sz w:val="72"/>
          <w:szCs w:val="72"/>
        </w:rPr>
      </w:pPr>
      <w:r>
        <w:rPr>
          <w:rFonts w:ascii="Arial Black" w:hAnsi="Arial Black"/>
          <w:b/>
          <w:bCs/>
          <w:sz w:val="72"/>
          <w:szCs w:val="72"/>
        </w:rPr>
        <w:t xml:space="preserve">The Savoy, A Fairmont </w:t>
      </w:r>
      <w:r w:rsidR="00C955D6">
        <w:rPr>
          <w:rFonts w:ascii="Arial Black" w:hAnsi="Arial Black"/>
          <w:b/>
          <w:bCs/>
          <w:sz w:val="72"/>
          <w:szCs w:val="72"/>
        </w:rPr>
        <w:t xml:space="preserve">    </w:t>
      </w:r>
      <w:r w:rsidRPr="00E16233">
        <w:rPr>
          <w:rFonts w:ascii="Arial Black" w:hAnsi="Arial Black"/>
          <w:b/>
          <w:bCs/>
          <w:sz w:val="72"/>
          <w:szCs w:val="72"/>
        </w:rPr>
        <w:t>Managed Hotel</w:t>
      </w:r>
    </w:p>
    <w:p w14:paraId="70324BE4" w14:textId="77777777" w:rsidR="00C955D6" w:rsidRDefault="00C955D6" w:rsidP="00C955D6">
      <w:pPr>
        <w:jc w:val="center"/>
        <w:rPr>
          <w:rFonts w:ascii="Arial Black" w:hAnsi="Arial Black"/>
          <w:b/>
          <w:bCs/>
          <w:sz w:val="72"/>
          <w:szCs w:val="72"/>
        </w:rPr>
      </w:pPr>
    </w:p>
    <w:p w14:paraId="549654C0" w14:textId="77777777" w:rsidR="00C955D6" w:rsidRPr="00C955D6" w:rsidRDefault="00C955D6" w:rsidP="00E16233">
      <w:pPr>
        <w:jc w:val="center"/>
        <w:rPr>
          <w:rFonts w:ascii="Arial Black" w:hAnsi="Arial Black"/>
          <w:b/>
          <w:bCs/>
        </w:rPr>
      </w:pPr>
    </w:p>
    <w:p w14:paraId="263E2B62" w14:textId="77777777" w:rsidR="00C955D6" w:rsidRDefault="00C955D6" w:rsidP="00E16233">
      <w:pPr>
        <w:jc w:val="center"/>
        <w:rPr>
          <w:rFonts w:ascii="Arial Black" w:hAnsi="Arial Black"/>
        </w:rPr>
      </w:pPr>
      <w:r w:rsidRPr="00C955D6">
        <w:rPr>
          <w:rFonts w:ascii="Arial Black" w:hAnsi="Arial Black"/>
          <w:b/>
          <w:bCs/>
          <w:noProof/>
          <w:sz w:val="72"/>
          <w:szCs w:val="72"/>
        </w:rPr>
        <w:drawing>
          <wp:inline distT="0" distB="0" distL="0" distR="0" wp14:anchorId="60CC411B" wp14:editId="16EAA172">
            <wp:extent cx="2460353" cy="1619700"/>
            <wp:effectExtent l="19050" t="19050" r="16147" b="18600"/>
            <wp:docPr id="1200863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63352" name=""/>
                    <pic:cNvPicPr/>
                  </pic:nvPicPr>
                  <pic:blipFill>
                    <a:blip r:embed="rId5" cstate="print"/>
                    <a:stretch>
                      <a:fillRect/>
                    </a:stretch>
                  </pic:blipFill>
                  <pic:spPr>
                    <a:xfrm>
                      <a:off x="0" y="0"/>
                      <a:ext cx="2465490" cy="1623082"/>
                    </a:xfrm>
                    <a:prstGeom prst="rect">
                      <a:avLst/>
                    </a:prstGeom>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pic:spPr>
                </pic:pic>
              </a:graphicData>
            </a:graphic>
          </wp:inline>
        </w:drawing>
      </w:r>
    </w:p>
    <w:p w14:paraId="3A131C14" w14:textId="77777777" w:rsidR="00C955D6" w:rsidRPr="00E16233" w:rsidRDefault="00C955D6" w:rsidP="00E16233">
      <w:pPr>
        <w:jc w:val="center"/>
        <w:rPr>
          <w:rFonts w:ascii="Arial Black" w:hAnsi="Arial Black"/>
          <w:sz w:val="72"/>
          <w:szCs w:val="72"/>
        </w:rPr>
      </w:pPr>
      <w:r w:rsidRPr="00FA7F4B">
        <w:rPr>
          <w:b/>
          <w:bCs/>
        </w:rPr>
        <w:t>Sterling Hospitality Strategists</w:t>
      </w:r>
    </w:p>
    <w:p w14:paraId="0A28FE11" w14:textId="77777777" w:rsidR="008525DB" w:rsidRDefault="008525DB"/>
    <w:p w14:paraId="61A77AA3" w14:textId="77777777" w:rsidR="00C955D6" w:rsidRDefault="00C955D6"/>
    <w:tbl>
      <w:tblPr>
        <w:tblpPr w:leftFromText="187" w:rightFromText="187" w:horzAnchor="margin" w:tblpXSpec="center" w:tblpYSpec="bottom"/>
        <w:tblW w:w="4000" w:type="pct"/>
        <w:tblLook w:val="04A0" w:firstRow="1" w:lastRow="0" w:firstColumn="1" w:lastColumn="0" w:noHBand="0" w:noVBand="1"/>
      </w:tblPr>
      <w:tblGrid>
        <w:gridCol w:w="7672"/>
      </w:tblGrid>
      <w:tr w:rsidR="00C955D6" w14:paraId="22E8B18A" w14:textId="77777777" w:rsidTr="00F93E6C">
        <w:tc>
          <w:tcPr>
            <w:tcW w:w="7672" w:type="dxa"/>
            <w:tcMar>
              <w:top w:w="216" w:type="dxa"/>
              <w:left w:w="115" w:type="dxa"/>
              <w:bottom w:w="216" w:type="dxa"/>
              <w:right w:w="115" w:type="dxa"/>
            </w:tcMar>
          </w:tcPr>
          <w:sdt>
            <w:sdtPr>
              <w:rPr>
                <w:rFonts w:ascii="Arial" w:hAnsi="Arial" w:cs="Arial"/>
                <w:sz w:val="24"/>
                <w:szCs w:val="24"/>
              </w:rPr>
              <w:alias w:val="Author"/>
              <w:id w:val="13406928"/>
              <w:placeholder>
                <w:docPart w:val="6313021E5A094FB19C0969D574B02D69"/>
              </w:placeholder>
              <w:dataBinding w:prefixMappings="xmlns:ns0='http://schemas.openxmlformats.org/package/2006/metadata/core-properties' xmlns:ns1='http://purl.org/dc/elements/1.1/'" w:xpath="/ns0:coreProperties[1]/ns1:creator[1]" w:storeItemID="{6C3C8BC8-F283-45AE-878A-BAB7291924A1}"/>
              <w:text/>
            </w:sdtPr>
            <w:sdtContent>
              <w:p w14:paraId="71189C59" w14:textId="77777777" w:rsidR="00C955D6" w:rsidRDefault="00C955D6" w:rsidP="00F93E6C">
                <w:pPr>
                  <w:pStyle w:val="NoSpacing"/>
                  <w:rPr>
                    <w:color w:val="4F81BD" w:themeColor="accent1"/>
                  </w:rPr>
                </w:pPr>
                <w:r w:rsidRPr="00C955D6">
                  <w:rPr>
                    <w:rFonts w:ascii="Arial" w:hAnsi="Arial" w:cs="Arial"/>
                    <w:sz w:val="24"/>
                    <w:szCs w:val="24"/>
                  </w:rPr>
                  <w:t>Organisational Consultancy  BMIH6005                                                                                                        Lecturer: Neil Dyer                                                                                                                                                               Student nam</w:t>
                </w:r>
                <w:r>
                  <w:rPr>
                    <w:rFonts w:ascii="Arial" w:hAnsi="Arial" w:cs="Arial"/>
                    <w:sz w:val="24"/>
                    <w:szCs w:val="24"/>
                  </w:rPr>
                  <w:t>e</w:t>
                </w:r>
                <w:r w:rsidRPr="00C955D6">
                  <w:rPr>
                    <w:rFonts w:ascii="Arial" w:hAnsi="Arial" w:cs="Arial"/>
                    <w:sz w:val="24"/>
                    <w:szCs w:val="24"/>
                  </w:rPr>
                  <w:t>:  Razvan Cristian Nicolae                                                                                                                                                Student ID: 2222787</w:t>
                </w:r>
              </w:p>
            </w:sdtContent>
          </w:sdt>
          <w:sdt>
            <w:sdtPr>
              <w:rPr>
                <w:color w:val="4F81BD" w:themeColor="accent1"/>
              </w:rPr>
              <w:alias w:val="Date"/>
              <w:id w:val="13406932"/>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5832FA11" w14:textId="77777777" w:rsidR="00C955D6" w:rsidRDefault="00C955D6" w:rsidP="00F93E6C">
                <w:pPr>
                  <w:pStyle w:val="NoSpacing"/>
                  <w:rPr>
                    <w:color w:val="4F81BD" w:themeColor="accent1"/>
                  </w:rPr>
                </w:pPr>
                <w:r>
                  <w:rPr>
                    <w:color w:val="4F81BD" w:themeColor="accent1"/>
                  </w:rPr>
                  <w:t xml:space="preserve">     </w:t>
                </w:r>
              </w:p>
            </w:sdtContent>
          </w:sdt>
          <w:p w14:paraId="36B04235" w14:textId="77777777" w:rsidR="00C955D6" w:rsidRDefault="00C955D6" w:rsidP="00F93E6C">
            <w:pPr>
              <w:pStyle w:val="NoSpacing"/>
              <w:rPr>
                <w:color w:val="4F81BD" w:themeColor="accent1"/>
              </w:rPr>
            </w:pPr>
          </w:p>
        </w:tc>
      </w:tr>
    </w:tbl>
    <w:p w14:paraId="53EFBD25" w14:textId="77777777" w:rsidR="00C955D6" w:rsidRDefault="00C955D6"/>
    <w:p w14:paraId="2F380F41" w14:textId="77777777" w:rsidR="00C955D6" w:rsidRDefault="00C955D6"/>
    <w:p w14:paraId="14AE1026" w14:textId="77777777" w:rsidR="00C955D6" w:rsidRDefault="00C955D6"/>
    <w:p w14:paraId="74AE4BFB" w14:textId="77777777" w:rsidR="00C955D6" w:rsidRDefault="00C955D6"/>
    <w:p w14:paraId="5DA5D5A4" w14:textId="77777777" w:rsidR="00C955D6" w:rsidRDefault="00C955D6"/>
    <w:p w14:paraId="3E01DF5A" w14:textId="77777777" w:rsidR="00C955D6" w:rsidRDefault="00C955D6" w:rsidP="00C955D6">
      <w:r w:rsidRPr="00ED7792">
        <w:rPr>
          <w:rFonts w:ascii="Arial" w:hAnsi="Arial" w:cs="Arial"/>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Arial" w:hAnsi="Arial" w:cs="Arial"/>
        </w:rPr>
        <w:t>.</w:t>
      </w:r>
    </w:p>
    <w:p w14:paraId="68E25350" w14:textId="77777777" w:rsidR="00C955D6" w:rsidRDefault="00C955D6"/>
    <w:p w14:paraId="4DA3192D" w14:textId="77777777" w:rsidR="00C955D6" w:rsidRDefault="00C955D6"/>
    <w:p w14:paraId="0509A985" w14:textId="77777777" w:rsidR="00C955D6" w:rsidRDefault="00C955D6"/>
    <w:p w14:paraId="5EB90272" w14:textId="77777777" w:rsidR="00C955D6" w:rsidRDefault="00C955D6"/>
    <w:p w14:paraId="7A9FB2EA" w14:textId="77777777" w:rsidR="00C955D6" w:rsidRDefault="00C955D6"/>
    <w:p w14:paraId="5B9FC39A" w14:textId="77777777" w:rsidR="00C955D6" w:rsidRDefault="00C955D6"/>
    <w:p w14:paraId="1B1FC9E2" w14:textId="77777777" w:rsidR="00C955D6" w:rsidRDefault="00C955D6"/>
    <w:p w14:paraId="2D909BE6" w14:textId="77777777" w:rsidR="00C955D6" w:rsidRDefault="00C955D6"/>
    <w:p w14:paraId="1FB99442" w14:textId="77777777" w:rsidR="00C955D6" w:rsidRDefault="00C955D6"/>
    <w:p w14:paraId="2D796951" w14:textId="77777777" w:rsidR="00C955D6" w:rsidRDefault="00C955D6"/>
    <w:p w14:paraId="25CA0AE4" w14:textId="77777777" w:rsidR="00C955D6" w:rsidRDefault="00C955D6"/>
    <w:p w14:paraId="531084B9" w14:textId="77777777" w:rsidR="00C955D6" w:rsidRDefault="00C955D6"/>
    <w:p w14:paraId="3BC09A61" w14:textId="77777777" w:rsidR="00C955D6" w:rsidRDefault="00C955D6"/>
    <w:p w14:paraId="66EF47AA" w14:textId="77777777" w:rsidR="00C955D6" w:rsidRDefault="00C955D6"/>
    <w:p w14:paraId="049D2917" w14:textId="77777777" w:rsidR="00C955D6" w:rsidRDefault="00C955D6"/>
    <w:p w14:paraId="1C3E1327" w14:textId="77777777" w:rsidR="00C955D6" w:rsidRDefault="00C955D6"/>
    <w:p w14:paraId="147170B3" w14:textId="77777777" w:rsidR="00C955D6" w:rsidRDefault="00C955D6"/>
    <w:p w14:paraId="5EFD38F9" w14:textId="77777777" w:rsidR="00C955D6" w:rsidRDefault="00C955D6"/>
    <w:p w14:paraId="337FA045" w14:textId="77777777" w:rsidR="00C955D6" w:rsidRDefault="00C955D6"/>
    <w:p w14:paraId="42343B8D" w14:textId="77777777" w:rsidR="00C955D6" w:rsidRDefault="00C955D6"/>
    <w:p w14:paraId="68DD6ACF" w14:textId="77777777" w:rsidR="00C955D6" w:rsidRDefault="00C955D6"/>
    <w:p w14:paraId="11577832" w14:textId="77777777" w:rsidR="00C955D6" w:rsidRDefault="00C955D6"/>
    <w:p w14:paraId="63AAC657" w14:textId="77777777" w:rsidR="00C955D6" w:rsidRDefault="00C955D6"/>
    <w:p w14:paraId="2987EFF1" w14:textId="77777777" w:rsidR="00E0611B" w:rsidRDefault="00E0611B" w:rsidP="00D74ACF">
      <w:pPr>
        <w:spacing w:line="360" w:lineRule="auto"/>
        <w:jc w:val="both"/>
        <w:rPr>
          <w:rFonts w:ascii="Arial" w:hAnsi="Arial" w:cs="Arial"/>
          <w:b/>
          <w:bCs/>
        </w:rPr>
      </w:pPr>
      <w:r w:rsidRPr="00D74ACF">
        <w:rPr>
          <w:rFonts w:ascii="Arial" w:hAnsi="Arial" w:cs="Arial"/>
          <w:b/>
          <w:bCs/>
        </w:rPr>
        <w:lastRenderedPageBreak/>
        <w:t>Contents</w:t>
      </w:r>
    </w:p>
    <w:p w14:paraId="5F0CBF73" w14:textId="77777777" w:rsidR="00D74ACF" w:rsidRDefault="00D74ACF" w:rsidP="00D74ACF">
      <w:pPr>
        <w:spacing w:line="360" w:lineRule="auto"/>
        <w:jc w:val="both"/>
        <w:rPr>
          <w:rFonts w:ascii="Arial" w:hAnsi="Arial" w:cs="Arial"/>
          <w:b/>
          <w:bCs/>
        </w:rPr>
      </w:pPr>
    </w:p>
    <w:p w14:paraId="071982E3" w14:textId="77777777" w:rsidR="00D74ACF" w:rsidRPr="00D74ACF" w:rsidRDefault="00D74ACF" w:rsidP="00D74ACF">
      <w:pPr>
        <w:spacing w:line="360" w:lineRule="auto"/>
        <w:jc w:val="both"/>
        <w:rPr>
          <w:rFonts w:ascii="Arial" w:hAnsi="Arial" w:cs="Arial"/>
          <w:b/>
          <w:bCs/>
        </w:rPr>
      </w:pPr>
    </w:p>
    <w:p w14:paraId="78BEE559" w14:textId="77777777" w:rsidR="00E0611B" w:rsidRDefault="00E0611B" w:rsidP="00D74ACF">
      <w:pPr>
        <w:spacing w:line="360" w:lineRule="auto"/>
        <w:jc w:val="both"/>
        <w:rPr>
          <w:rFonts w:ascii="Arial" w:hAnsi="Arial" w:cs="Arial"/>
          <w:b/>
          <w:bCs/>
        </w:rPr>
      </w:pPr>
      <w:r w:rsidRPr="00D74ACF">
        <w:rPr>
          <w:rFonts w:ascii="Arial" w:hAnsi="Arial" w:cs="Arial"/>
          <w:b/>
          <w:bCs/>
        </w:rPr>
        <w:t>Executive Summary</w:t>
      </w:r>
      <w:r w:rsidR="002E7453">
        <w:rPr>
          <w:rFonts w:ascii="Arial" w:hAnsi="Arial" w:cs="Arial"/>
          <w:b/>
          <w:bCs/>
        </w:rPr>
        <w:t>.....................................................................4</w:t>
      </w:r>
    </w:p>
    <w:p w14:paraId="4E7191F3" w14:textId="77777777" w:rsidR="00657F21" w:rsidRPr="00D74ACF" w:rsidRDefault="00657F21" w:rsidP="00D74ACF">
      <w:pPr>
        <w:spacing w:line="360" w:lineRule="auto"/>
        <w:jc w:val="both"/>
        <w:rPr>
          <w:rFonts w:ascii="Arial" w:hAnsi="Arial" w:cs="Arial"/>
        </w:rPr>
      </w:pPr>
    </w:p>
    <w:p w14:paraId="75F8F29D" w14:textId="77777777" w:rsidR="00E0611B" w:rsidRDefault="00E0611B" w:rsidP="00D74ACF">
      <w:pPr>
        <w:spacing w:line="360" w:lineRule="auto"/>
        <w:jc w:val="both"/>
        <w:rPr>
          <w:rFonts w:ascii="Arial" w:hAnsi="Arial" w:cs="Arial"/>
        </w:rPr>
      </w:pPr>
      <w:r w:rsidRPr="00D74ACF">
        <w:rPr>
          <w:rFonts w:ascii="Arial" w:hAnsi="Arial" w:cs="Arial"/>
          <w:b/>
          <w:bCs/>
        </w:rPr>
        <w:t>Introduction</w:t>
      </w:r>
      <w:r w:rsidR="002E7453">
        <w:rPr>
          <w:rFonts w:ascii="Arial" w:hAnsi="Arial" w:cs="Arial"/>
          <w:b/>
          <w:bCs/>
        </w:rPr>
        <w:t>................................................................................6</w:t>
      </w:r>
      <w:r w:rsidRPr="00D74ACF">
        <w:rPr>
          <w:rFonts w:ascii="Arial" w:hAnsi="Arial" w:cs="Arial"/>
        </w:rPr>
        <w:t xml:space="preserve"> </w:t>
      </w:r>
    </w:p>
    <w:p w14:paraId="6A805AFB" w14:textId="77777777" w:rsidR="00657F21" w:rsidRPr="00D74ACF" w:rsidRDefault="00657F21" w:rsidP="00D74ACF">
      <w:pPr>
        <w:spacing w:line="360" w:lineRule="auto"/>
        <w:jc w:val="both"/>
        <w:rPr>
          <w:rFonts w:ascii="Arial" w:hAnsi="Arial" w:cs="Arial"/>
        </w:rPr>
      </w:pPr>
    </w:p>
    <w:p w14:paraId="592F4964" w14:textId="77777777" w:rsidR="00E0611B" w:rsidRDefault="00E0611B" w:rsidP="00D74ACF">
      <w:pPr>
        <w:spacing w:line="360" w:lineRule="auto"/>
        <w:jc w:val="both"/>
        <w:rPr>
          <w:rFonts w:ascii="Arial" w:hAnsi="Arial" w:cs="Arial"/>
          <w:b/>
        </w:rPr>
      </w:pPr>
      <w:r w:rsidRPr="00D74ACF">
        <w:rPr>
          <w:rFonts w:ascii="Arial" w:hAnsi="Arial" w:cs="Arial"/>
          <w:b/>
          <w:bCs/>
        </w:rPr>
        <w:t>Analysis</w:t>
      </w:r>
      <w:r w:rsidR="002E7453">
        <w:rPr>
          <w:rFonts w:ascii="Arial" w:hAnsi="Arial" w:cs="Arial"/>
          <w:b/>
        </w:rPr>
        <w:t>......................................................................................8</w:t>
      </w:r>
    </w:p>
    <w:p w14:paraId="061F64FD" w14:textId="77777777" w:rsidR="00657F21" w:rsidRPr="002E7453" w:rsidRDefault="00657F21" w:rsidP="00D74ACF">
      <w:pPr>
        <w:spacing w:line="360" w:lineRule="auto"/>
        <w:jc w:val="both"/>
        <w:rPr>
          <w:rFonts w:ascii="Arial" w:hAnsi="Arial" w:cs="Arial"/>
          <w:b/>
        </w:rPr>
      </w:pPr>
    </w:p>
    <w:p w14:paraId="7D71E159" w14:textId="77777777" w:rsidR="00E0611B" w:rsidRDefault="00E0611B" w:rsidP="00D74ACF">
      <w:pPr>
        <w:spacing w:line="360" w:lineRule="auto"/>
        <w:jc w:val="both"/>
        <w:rPr>
          <w:rFonts w:ascii="Arial" w:hAnsi="Arial" w:cs="Arial"/>
          <w:b/>
          <w:bCs/>
        </w:rPr>
      </w:pPr>
      <w:r w:rsidRPr="00D74ACF">
        <w:rPr>
          <w:rFonts w:ascii="Arial" w:hAnsi="Arial" w:cs="Arial"/>
          <w:b/>
          <w:bCs/>
        </w:rPr>
        <w:t>Recommendations and Change Management</w:t>
      </w:r>
      <w:r w:rsidR="002E7453">
        <w:rPr>
          <w:rFonts w:ascii="Arial" w:hAnsi="Arial" w:cs="Arial"/>
          <w:b/>
          <w:bCs/>
        </w:rPr>
        <w:t>............................16</w:t>
      </w:r>
    </w:p>
    <w:p w14:paraId="14DF1051" w14:textId="77777777" w:rsidR="00657F21" w:rsidRPr="00D74ACF" w:rsidRDefault="00657F21" w:rsidP="00D74ACF">
      <w:pPr>
        <w:spacing w:line="360" w:lineRule="auto"/>
        <w:jc w:val="both"/>
        <w:rPr>
          <w:rFonts w:ascii="Arial" w:hAnsi="Arial" w:cs="Arial"/>
          <w:b/>
          <w:bCs/>
        </w:rPr>
      </w:pPr>
    </w:p>
    <w:p w14:paraId="4C81A600" w14:textId="77777777" w:rsidR="00E0611B" w:rsidRDefault="00E0611B" w:rsidP="00D74ACF">
      <w:pPr>
        <w:spacing w:line="360" w:lineRule="auto"/>
        <w:jc w:val="both"/>
        <w:rPr>
          <w:rFonts w:ascii="Arial" w:hAnsi="Arial" w:cs="Arial"/>
          <w:b/>
          <w:bCs/>
        </w:rPr>
      </w:pPr>
      <w:r w:rsidRPr="00D74ACF">
        <w:rPr>
          <w:rFonts w:ascii="Arial" w:hAnsi="Arial" w:cs="Arial"/>
        </w:rPr>
        <w:t xml:space="preserve"> </w:t>
      </w:r>
      <w:r w:rsidRPr="00D74ACF">
        <w:rPr>
          <w:rFonts w:ascii="Arial" w:hAnsi="Arial" w:cs="Arial"/>
          <w:b/>
          <w:bCs/>
        </w:rPr>
        <w:t>Action Plan</w:t>
      </w:r>
      <w:r w:rsidR="002E7453">
        <w:rPr>
          <w:rFonts w:ascii="Arial" w:hAnsi="Arial" w:cs="Arial"/>
          <w:b/>
          <w:bCs/>
        </w:rPr>
        <w:t>...............................................................................24</w:t>
      </w:r>
    </w:p>
    <w:p w14:paraId="24CA3F25" w14:textId="77777777" w:rsidR="00657F21" w:rsidRPr="00D74ACF" w:rsidRDefault="00657F21" w:rsidP="00D74ACF">
      <w:pPr>
        <w:spacing w:line="360" w:lineRule="auto"/>
        <w:jc w:val="both"/>
        <w:rPr>
          <w:rFonts w:ascii="Arial" w:hAnsi="Arial" w:cs="Arial"/>
        </w:rPr>
      </w:pPr>
    </w:p>
    <w:p w14:paraId="7DE52C8E" w14:textId="77777777" w:rsidR="00E0611B" w:rsidRDefault="00E0611B" w:rsidP="00D74ACF">
      <w:pPr>
        <w:spacing w:line="360" w:lineRule="auto"/>
        <w:jc w:val="both"/>
        <w:rPr>
          <w:rFonts w:ascii="Arial" w:hAnsi="Arial" w:cs="Arial"/>
          <w:b/>
          <w:bCs/>
        </w:rPr>
      </w:pPr>
      <w:r w:rsidRPr="00D74ACF">
        <w:rPr>
          <w:rFonts w:ascii="Arial" w:hAnsi="Arial" w:cs="Arial"/>
          <w:b/>
          <w:bCs/>
        </w:rPr>
        <w:t>Conclusion</w:t>
      </w:r>
      <w:r w:rsidR="002E7453">
        <w:rPr>
          <w:rFonts w:ascii="Arial" w:hAnsi="Arial" w:cs="Arial"/>
          <w:b/>
          <w:bCs/>
        </w:rPr>
        <w:t>................................................................................26</w:t>
      </w:r>
    </w:p>
    <w:p w14:paraId="5BEB33AD" w14:textId="77777777" w:rsidR="00C94727" w:rsidRDefault="00C94727" w:rsidP="00D74ACF">
      <w:pPr>
        <w:spacing w:line="360" w:lineRule="auto"/>
        <w:jc w:val="both"/>
        <w:rPr>
          <w:rFonts w:ascii="Arial" w:hAnsi="Arial" w:cs="Arial"/>
          <w:b/>
          <w:bCs/>
        </w:rPr>
      </w:pPr>
    </w:p>
    <w:p w14:paraId="692A69DC" w14:textId="77777777" w:rsidR="00C94727" w:rsidRDefault="00C94727" w:rsidP="00D74ACF">
      <w:pPr>
        <w:spacing w:line="360" w:lineRule="auto"/>
        <w:jc w:val="both"/>
        <w:rPr>
          <w:rFonts w:ascii="Arial" w:hAnsi="Arial" w:cs="Arial"/>
          <w:b/>
          <w:bCs/>
        </w:rPr>
      </w:pPr>
    </w:p>
    <w:p w14:paraId="1B2BF9FC" w14:textId="77777777" w:rsidR="00C94727" w:rsidRDefault="00C94727" w:rsidP="00D74ACF">
      <w:pPr>
        <w:spacing w:line="360" w:lineRule="auto"/>
        <w:jc w:val="both"/>
        <w:rPr>
          <w:rFonts w:ascii="Arial" w:hAnsi="Arial" w:cs="Arial"/>
          <w:b/>
          <w:bCs/>
        </w:rPr>
      </w:pPr>
    </w:p>
    <w:p w14:paraId="012202F4" w14:textId="77777777" w:rsidR="00C94727" w:rsidRDefault="00C94727" w:rsidP="00D74ACF">
      <w:pPr>
        <w:spacing w:line="360" w:lineRule="auto"/>
        <w:jc w:val="both"/>
        <w:rPr>
          <w:rFonts w:ascii="Arial" w:hAnsi="Arial" w:cs="Arial"/>
          <w:b/>
          <w:bCs/>
        </w:rPr>
      </w:pPr>
    </w:p>
    <w:p w14:paraId="10D80C48" w14:textId="77777777" w:rsidR="00C94727" w:rsidRDefault="00C94727" w:rsidP="00D74ACF">
      <w:pPr>
        <w:spacing w:line="360" w:lineRule="auto"/>
        <w:jc w:val="both"/>
        <w:rPr>
          <w:rFonts w:ascii="Arial" w:hAnsi="Arial" w:cs="Arial"/>
          <w:b/>
          <w:bCs/>
        </w:rPr>
      </w:pPr>
    </w:p>
    <w:p w14:paraId="4B5BDE21" w14:textId="77777777" w:rsidR="00C94727" w:rsidRDefault="00C94727" w:rsidP="00D74ACF">
      <w:pPr>
        <w:spacing w:line="360" w:lineRule="auto"/>
        <w:jc w:val="both"/>
        <w:rPr>
          <w:rFonts w:ascii="Arial" w:hAnsi="Arial" w:cs="Arial"/>
          <w:b/>
          <w:bCs/>
        </w:rPr>
      </w:pPr>
    </w:p>
    <w:p w14:paraId="1E657145" w14:textId="77777777" w:rsidR="00C94727" w:rsidRDefault="00C94727" w:rsidP="00D74ACF">
      <w:pPr>
        <w:spacing w:line="360" w:lineRule="auto"/>
        <w:jc w:val="both"/>
        <w:rPr>
          <w:rFonts w:ascii="Arial" w:hAnsi="Arial" w:cs="Arial"/>
          <w:b/>
          <w:bCs/>
        </w:rPr>
      </w:pPr>
    </w:p>
    <w:p w14:paraId="34B7149F" w14:textId="77777777" w:rsidR="00C94727" w:rsidRDefault="00C94727" w:rsidP="00D74ACF">
      <w:pPr>
        <w:spacing w:line="360" w:lineRule="auto"/>
        <w:jc w:val="both"/>
        <w:rPr>
          <w:rFonts w:ascii="Arial" w:hAnsi="Arial" w:cs="Arial"/>
          <w:b/>
          <w:bCs/>
        </w:rPr>
      </w:pPr>
    </w:p>
    <w:p w14:paraId="6E9EE636" w14:textId="77777777" w:rsidR="00657F21" w:rsidRDefault="00657F21" w:rsidP="00D2396A">
      <w:pPr>
        <w:spacing w:line="360" w:lineRule="auto"/>
        <w:jc w:val="both"/>
        <w:rPr>
          <w:rFonts w:ascii="Arial" w:hAnsi="Arial" w:cs="Arial"/>
          <w:b/>
          <w:bCs/>
        </w:rPr>
      </w:pPr>
    </w:p>
    <w:p w14:paraId="60F28646" w14:textId="77777777" w:rsidR="00C94727" w:rsidRPr="00D2396A" w:rsidRDefault="00C94727" w:rsidP="00D2396A">
      <w:pPr>
        <w:spacing w:line="360" w:lineRule="auto"/>
        <w:jc w:val="both"/>
        <w:rPr>
          <w:rFonts w:ascii="Arial" w:hAnsi="Arial" w:cs="Arial"/>
          <w:b/>
          <w:bCs/>
        </w:rPr>
      </w:pPr>
      <w:r w:rsidRPr="00D2396A">
        <w:rPr>
          <w:rFonts w:ascii="Arial" w:hAnsi="Arial" w:cs="Arial"/>
          <w:b/>
          <w:bCs/>
        </w:rPr>
        <w:lastRenderedPageBreak/>
        <w:t>Executive Summary</w:t>
      </w:r>
    </w:p>
    <w:p w14:paraId="5316118E" w14:textId="77777777" w:rsidR="00C94727" w:rsidRPr="00D2396A" w:rsidRDefault="00C94727" w:rsidP="00D2396A">
      <w:pPr>
        <w:spacing w:line="360" w:lineRule="auto"/>
        <w:jc w:val="both"/>
        <w:rPr>
          <w:rFonts w:ascii="Arial" w:hAnsi="Arial" w:cs="Arial"/>
        </w:rPr>
      </w:pPr>
      <w:r w:rsidRPr="00D2396A">
        <w:rPr>
          <w:rFonts w:ascii="Arial" w:hAnsi="Arial" w:cs="Arial"/>
        </w:rPr>
        <w:t>This report, delivered by Sterling Hospitality Strategists, presents a comprehensive strategic framework for The Savoy Hotel in London. Our primary objective is to address one of the most pressing and nuanced challenges in the contemporary luxury market: the imperative to thoughtfully integrate digital innovation into a brand defined by its profound historical legacy and a deeply ingrained culture of personal service. The following analysis and recommendations provide a clear, actionable roadmap designed not to change The Savoy, but to help it evolve, ensuring its continued relevance and leadership in an increasingly digital world (Greiner, 1998).</w:t>
      </w:r>
    </w:p>
    <w:p w14:paraId="10AC6488" w14:textId="77777777" w:rsidR="00C94727" w:rsidRPr="00D2396A" w:rsidRDefault="00C94727" w:rsidP="00D2396A">
      <w:pPr>
        <w:spacing w:line="360" w:lineRule="auto"/>
        <w:jc w:val="both"/>
        <w:rPr>
          <w:rFonts w:ascii="Arial" w:hAnsi="Arial" w:cs="Arial"/>
        </w:rPr>
      </w:pPr>
      <w:r w:rsidRPr="00D2396A">
        <w:rPr>
          <w:rFonts w:ascii="Arial" w:hAnsi="Arial" w:cs="Arial"/>
        </w:rPr>
        <w:t>The fundamental problem confronting The Savoy is a strategic paradox. The hotel's immense brand equity is built upon a foundation of timeless elegance, architectural grandeur, and a century-long tradition of high-touch, human-centric hospitality. This heritage is its most powerful and inimitable asset. However, the expectations of the modern luxury consumer are now shaped by a digital landscape that prioritises seamlessness, personalisation, and instant access. Navigating the tension between preserving an authentic heritage identity and meeting these modern technological expectations is the central strategic challenge. A misstep in either direction could lead to brand dilution on one hand, or market irrelevance on the other (Urde, Greyser &amp; Balmer, 2007).</w:t>
      </w:r>
    </w:p>
    <w:p w14:paraId="4099771E" w14:textId="77777777" w:rsidR="00C94727" w:rsidRPr="00D2396A" w:rsidRDefault="00C94727" w:rsidP="00D2396A">
      <w:pPr>
        <w:spacing w:line="360" w:lineRule="auto"/>
        <w:jc w:val="both"/>
        <w:rPr>
          <w:rFonts w:ascii="Arial" w:hAnsi="Arial" w:cs="Arial"/>
        </w:rPr>
      </w:pPr>
      <w:r w:rsidRPr="00D2396A">
        <w:rPr>
          <w:rFonts w:ascii="Arial" w:hAnsi="Arial" w:cs="Arial"/>
        </w:rPr>
        <w:t>Our analysis of the external environment, conducted using the STEEPLED framework, identifies several powerful forces compelling this change. Rapid technological advancements, particularly in AI-driven personalisation and the Internet of Things (IoT), are creating new possibilities for service enhancement. Simultaneously, significant demographic shifts mean that a growing segment of high-net-worth individuals are digital natives who expect technology to be an integral part of any luxury experience. These macro-trends are fundamentally reshaping consumer behaviour and the competitive dynamics of the London luxury hotel market (McKinsey &amp; Company, 2023).</w:t>
      </w:r>
    </w:p>
    <w:p w14:paraId="5A7B9F33" w14:textId="77777777" w:rsidR="00C94727" w:rsidRPr="00D2396A" w:rsidRDefault="00C94727" w:rsidP="00D2396A">
      <w:pPr>
        <w:spacing w:line="360" w:lineRule="auto"/>
        <w:jc w:val="both"/>
        <w:rPr>
          <w:rFonts w:ascii="Arial" w:hAnsi="Arial" w:cs="Arial"/>
        </w:rPr>
      </w:pPr>
      <w:r w:rsidRPr="00D2396A">
        <w:rPr>
          <w:rFonts w:ascii="Arial" w:hAnsi="Arial" w:cs="Arial"/>
        </w:rPr>
        <w:t xml:space="preserve">The internal analysis, using a SWOT framework, highlights the core conflict The Savoy must manage. Its formidable strengths lie in its globally recognised brand, its iconic London location, and its deep reservoir of service expertise. However, these are </w:t>
      </w:r>
      <w:r w:rsidRPr="00D2396A">
        <w:rPr>
          <w:rFonts w:ascii="Arial" w:hAnsi="Arial" w:cs="Arial"/>
        </w:rPr>
        <w:lastRenderedPageBreak/>
        <w:t>counterbalanced by potential weaknesses, including legacy IT systems that may hinder integration, operational processes rooted in tradition that may resist change, and the significant challenge of retrofitting a historic building with modern infrastructure. This reveals a classic case of an organisation whose core capabilities could also become core rigidities if not managed proactively (Teece, Pisano &amp; Shuen, 1997).</w:t>
      </w:r>
    </w:p>
    <w:p w14:paraId="5397578B" w14:textId="77777777" w:rsidR="00C94727" w:rsidRPr="00D2396A" w:rsidRDefault="00C94727" w:rsidP="00D2396A">
      <w:pPr>
        <w:spacing w:line="360" w:lineRule="auto"/>
        <w:jc w:val="both"/>
        <w:rPr>
          <w:rFonts w:ascii="Arial" w:hAnsi="Arial" w:cs="Arial"/>
        </w:rPr>
      </w:pPr>
      <w:r w:rsidRPr="00D2396A">
        <w:rPr>
          <w:rFonts w:ascii="Arial" w:hAnsi="Arial" w:cs="Arial"/>
        </w:rPr>
        <w:t>To resolve this tension, a TOWS matrix was used to formulate strategic options. The clear conclusion is that The Savoy must pursue a strategy that leverages its strengths to create unique digital offerings, rather than competing on technology alone. The optimal path involves using its rich history (Strength) to create digitally-enabled storytelling experiences (Opportunity) and positioning its staff as the ultimate differentiator, using technology to augment their skills and defend against tech-first competitors (Threat). This approach turns the strategic paradox from a liability into a source of unique competitive advantage (Porter, 1996).</w:t>
      </w:r>
    </w:p>
    <w:p w14:paraId="70065E8A" w14:textId="77777777" w:rsidR="00C94727" w:rsidRPr="00D2396A" w:rsidRDefault="00C94727" w:rsidP="00D2396A">
      <w:pPr>
        <w:spacing w:line="360" w:lineRule="auto"/>
        <w:jc w:val="both"/>
        <w:rPr>
          <w:rFonts w:ascii="Arial" w:hAnsi="Arial" w:cs="Arial"/>
        </w:rPr>
      </w:pPr>
      <w:r w:rsidRPr="00D2396A">
        <w:rPr>
          <w:rFonts w:ascii="Arial" w:hAnsi="Arial" w:cs="Arial"/>
        </w:rPr>
        <w:t xml:space="preserve">Consequently, this report puts forward three synergistic recommendations. The first is the adoption of a </w:t>
      </w:r>
      <w:r w:rsidRPr="00D2396A">
        <w:rPr>
          <w:rFonts w:ascii="Arial" w:hAnsi="Arial" w:cs="Arial"/>
          <w:bCs/>
        </w:rPr>
        <w:t>Phased and Curated Digital Integration Strategy</w:t>
      </w:r>
      <w:r w:rsidRPr="00D2396A">
        <w:rPr>
          <w:rFonts w:ascii="Arial" w:hAnsi="Arial" w:cs="Arial"/>
        </w:rPr>
        <w:t>. This risk-averse, three-stage approach focuses initially on upgrading core back-of-house systems, followed by the careful introduction of elegant, guest-facing technologies that enhance, rather than disrupt, the guest journey. This ensures stability and allows the organisation to learn and adapt without compromising its service standards (Rogers, 2003).</w:t>
      </w:r>
    </w:p>
    <w:p w14:paraId="3F65B551" w14:textId="77777777" w:rsidR="00C94727" w:rsidRPr="00D2396A" w:rsidRDefault="00C94727" w:rsidP="00D2396A">
      <w:pPr>
        <w:spacing w:line="360" w:lineRule="auto"/>
        <w:jc w:val="both"/>
        <w:rPr>
          <w:rFonts w:ascii="Arial" w:hAnsi="Arial" w:cs="Arial"/>
        </w:rPr>
      </w:pPr>
      <w:r w:rsidRPr="00D2396A">
        <w:rPr>
          <w:rFonts w:ascii="Arial" w:hAnsi="Arial" w:cs="Arial"/>
        </w:rPr>
        <w:t xml:space="preserve">The second recommendation is the creation of </w:t>
      </w:r>
      <w:r w:rsidRPr="00D2396A">
        <w:rPr>
          <w:rFonts w:ascii="Arial" w:hAnsi="Arial" w:cs="Arial"/>
          <w:bCs/>
        </w:rPr>
        <w:t>'The Digital Concierge', a new human-centric service model</w:t>
      </w:r>
      <w:r w:rsidRPr="00D2396A">
        <w:rPr>
          <w:rFonts w:ascii="Arial" w:hAnsi="Arial" w:cs="Arial"/>
        </w:rPr>
        <w:t>. This concept reframes technology as a tool to empower staff, not replace them. By equipping key personnel with integrated mobile devices, they gain real-time access to guest data and preferences, enabling them to provide a level of proactive, hyper-personalised service that feels both magical and deeply human. This strategy directly leverages the hotel's core strength in personal service (Ostrom et al., 2015).</w:t>
      </w:r>
    </w:p>
    <w:p w14:paraId="3BE9AE88" w14:textId="77777777" w:rsidR="00C94727" w:rsidRPr="00D2396A" w:rsidRDefault="00C94727" w:rsidP="00D2396A">
      <w:pPr>
        <w:spacing w:line="360" w:lineRule="auto"/>
        <w:jc w:val="both"/>
        <w:rPr>
          <w:rFonts w:ascii="Arial" w:hAnsi="Arial" w:cs="Arial"/>
        </w:rPr>
      </w:pPr>
      <w:r w:rsidRPr="00D2396A">
        <w:rPr>
          <w:rFonts w:ascii="Arial" w:hAnsi="Arial" w:cs="Arial"/>
        </w:rPr>
        <w:t xml:space="preserve">The third recommendation is a comprehensive human capital strategy focused on </w:t>
      </w:r>
      <w:r w:rsidRPr="00D2396A">
        <w:rPr>
          <w:rFonts w:ascii="Arial" w:hAnsi="Arial" w:cs="Arial"/>
          <w:bCs/>
        </w:rPr>
        <w:t>Cultivating 'Digital Ambassadors'</w:t>
      </w:r>
      <w:r w:rsidRPr="00D2396A">
        <w:rPr>
          <w:rFonts w:ascii="Arial" w:hAnsi="Arial" w:cs="Arial"/>
        </w:rPr>
        <w:t xml:space="preserve">. Recognising that technology is only as good as the people who use it, this initiative centres on intensive training, the creation of a peer-to-peer 'Digital Champions' network, and the alignment of performance incentives to foster </w:t>
      </w:r>
      <w:r w:rsidRPr="00D2396A">
        <w:rPr>
          <w:rFonts w:ascii="Arial" w:hAnsi="Arial" w:cs="Arial"/>
        </w:rPr>
        <w:lastRenderedPageBreak/>
        <w:t>a culture of digital confidence and enthusiasm. This addresses the critical human element of the transformation (Bassi &amp; McMurrer, 2007).</w:t>
      </w:r>
    </w:p>
    <w:p w14:paraId="0ED96389" w14:textId="77777777" w:rsidR="00C94727" w:rsidRPr="00D2396A" w:rsidRDefault="00C94727" w:rsidP="00D2396A">
      <w:pPr>
        <w:spacing w:line="360" w:lineRule="auto"/>
        <w:jc w:val="both"/>
        <w:rPr>
          <w:rFonts w:ascii="Arial" w:hAnsi="Arial" w:cs="Arial"/>
        </w:rPr>
      </w:pPr>
      <w:r w:rsidRPr="00D2396A">
        <w:rPr>
          <w:rFonts w:ascii="Arial" w:hAnsi="Arial" w:cs="Arial"/>
        </w:rPr>
        <w:t>The implementation of this complex programme will be guided by a robust change management framework, applying the principles of Lewin and Kotter to build momentum, manage resistance, and embed the changes into the hotel's culture. The ultimate strategic objective is to achieve a state of 'tech-enabled tradition'—a service model that is unique, defensible, and authentic to The Savoy brand. This report details this pathway, providing the foundation for The Savoy to not just adapt to the future, but to actively define it (Kotter, 2012).</w:t>
      </w:r>
    </w:p>
    <w:p w14:paraId="44CC473A" w14:textId="77777777" w:rsidR="00C94727" w:rsidRPr="00D2396A" w:rsidRDefault="00C94727" w:rsidP="00D2396A">
      <w:pPr>
        <w:spacing w:line="360" w:lineRule="auto"/>
        <w:jc w:val="both"/>
        <w:rPr>
          <w:rFonts w:ascii="Arial" w:hAnsi="Arial" w:cs="Arial"/>
        </w:rPr>
      </w:pPr>
    </w:p>
    <w:p w14:paraId="6BD54858" w14:textId="77777777" w:rsidR="00C94727" w:rsidRPr="00D2396A" w:rsidRDefault="00C94727" w:rsidP="00D2396A">
      <w:pPr>
        <w:spacing w:line="360" w:lineRule="auto"/>
        <w:jc w:val="both"/>
        <w:rPr>
          <w:rFonts w:ascii="Arial" w:hAnsi="Arial" w:cs="Arial"/>
          <w:b/>
          <w:bCs/>
        </w:rPr>
      </w:pPr>
      <w:r w:rsidRPr="00D2396A">
        <w:rPr>
          <w:rFonts w:ascii="Arial" w:hAnsi="Arial" w:cs="Arial"/>
          <w:b/>
          <w:bCs/>
        </w:rPr>
        <w:t>Introduction</w:t>
      </w:r>
    </w:p>
    <w:p w14:paraId="704554B9" w14:textId="77777777" w:rsidR="00C94727" w:rsidRPr="00D2396A" w:rsidRDefault="00C94727" w:rsidP="00D2396A">
      <w:pPr>
        <w:spacing w:line="360" w:lineRule="auto"/>
        <w:jc w:val="both"/>
        <w:rPr>
          <w:rFonts w:ascii="Arial" w:hAnsi="Arial" w:cs="Arial"/>
        </w:rPr>
      </w:pPr>
      <w:r w:rsidRPr="00D2396A">
        <w:rPr>
          <w:rFonts w:ascii="Arial" w:hAnsi="Arial" w:cs="Arial"/>
        </w:rPr>
        <w:t>Sterling Hospitality Strategists, a consultancy dedicated to guiding premier brands through the complexities of market evolution, has been retained by the Executive Committee of The Savoy to provide a comprehensive analysis and strategic framework for its digital transformation. Our mandate is to explore how this iconic institution can best leverage technological innovation to enhance its guest experience and strengthen its competitive position, while rigorously preserving the unique heritage and culture of service that lie at the heart of its brand identity (Kipping &amp; Clark, 2012).</w:t>
      </w:r>
    </w:p>
    <w:p w14:paraId="2ED027AE" w14:textId="77777777" w:rsidR="00C94727" w:rsidRPr="00D2396A" w:rsidRDefault="00C94727" w:rsidP="00D2396A">
      <w:pPr>
        <w:spacing w:line="360" w:lineRule="auto"/>
        <w:jc w:val="both"/>
        <w:rPr>
          <w:rFonts w:ascii="Arial" w:hAnsi="Arial" w:cs="Arial"/>
        </w:rPr>
      </w:pPr>
      <w:r w:rsidRPr="00D2396A">
        <w:rPr>
          <w:rFonts w:ascii="Arial" w:hAnsi="Arial" w:cs="Arial"/>
        </w:rPr>
        <w:t>The Savoy is not merely a hotel; it is a living piece of London's cultural history and a global benchmark for luxury hospitality. Since its grand opening in 1889 by Richard D'Oyly Carte, it has been synonymous with glamour, innovation, and an unparalleled standard of service, hosting royalty, world leaders, and stars of the stage and screen. As a flagship of the Fairmont brand within the Accor group, it maintains this unique character while benefiting from a global operational network. The Savoy's brand promise is thus twofold: it offers a gateway to a storied past, combined with the flawless execution of a modern, world-class luxury hotel (The Savoy, 2025).</w:t>
      </w:r>
    </w:p>
    <w:p w14:paraId="028F1C66" w14:textId="77777777" w:rsidR="00C94727" w:rsidRPr="00D2396A" w:rsidRDefault="00C94727" w:rsidP="00D2396A">
      <w:pPr>
        <w:spacing w:line="360" w:lineRule="auto"/>
        <w:jc w:val="both"/>
        <w:rPr>
          <w:rFonts w:ascii="Arial" w:hAnsi="Arial" w:cs="Arial"/>
        </w:rPr>
      </w:pPr>
      <w:r w:rsidRPr="00D2396A">
        <w:rPr>
          <w:rFonts w:ascii="Arial" w:hAnsi="Arial" w:cs="Arial"/>
        </w:rPr>
        <w:t xml:space="preserve">The central problem confronting The Savoy, and the focus of this report, is a strategic challenge of great complexity and significance: how to reconcile the timeless, high-touch nature of its brand with the high-tech expectations of the 21st-century luxury </w:t>
      </w:r>
      <w:r w:rsidRPr="00D2396A">
        <w:rPr>
          <w:rFonts w:ascii="Arial" w:hAnsi="Arial" w:cs="Arial"/>
        </w:rPr>
        <w:lastRenderedPageBreak/>
        <w:t>consumer. The concept of "luxury" itself is evolving. While it once primarily signified material opulence, it is now increasingly defined by intangible qualities such as seamlessness, personalisation, time-saving convenience, and unique experiences. This shift is largely driven by a new generation of high-net-worth individuals whose lives are digitally integrated and who expect the brands they patronise to offer the same level of intuitive, on-demand interaction (Kapferer &amp; Bastien, 2012).</w:t>
      </w:r>
    </w:p>
    <w:p w14:paraId="474134E5" w14:textId="77777777" w:rsidR="00C94727" w:rsidRPr="00D2396A" w:rsidRDefault="00C94727" w:rsidP="00D2396A">
      <w:pPr>
        <w:spacing w:line="360" w:lineRule="auto"/>
        <w:jc w:val="both"/>
        <w:rPr>
          <w:rFonts w:ascii="Arial" w:hAnsi="Arial" w:cs="Arial"/>
        </w:rPr>
      </w:pPr>
      <w:r w:rsidRPr="00D2396A">
        <w:rPr>
          <w:rFonts w:ascii="Arial" w:hAnsi="Arial" w:cs="Arial"/>
        </w:rPr>
        <w:t>This creates a significant strategic risk. If The Savoy fails to innovate its digital offerings, it risks being perceived as antiquated and disconnected from the needs of this growing and influential demographic, potentially losing market share to newer, more technologically agile competitors. However, the risk of clumsy or inappropriate innovation is arguably even greater. Implementing generic, impersonal, or intrusive technology could shatter the hotel's carefully cultivated atmosphere of timeless elegance and discreet personal service. This could alienate its loyal client base, erode the brand's authenticity, and turn its unique selling proposition into a mere commodity (Aaker &amp; Joachimsthaler, 2000).</w:t>
      </w:r>
    </w:p>
    <w:p w14:paraId="2B9705BE" w14:textId="77777777" w:rsidR="00C94727" w:rsidRPr="00D2396A" w:rsidRDefault="00C94727" w:rsidP="00D2396A">
      <w:pPr>
        <w:spacing w:line="360" w:lineRule="auto"/>
        <w:jc w:val="both"/>
        <w:rPr>
          <w:rFonts w:ascii="Arial" w:hAnsi="Arial" w:cs="Arial"/>
        </w:rPr>
      </w:pPr>
      <w:r w:rsidRPr="00D2396A">
        <w:rPr>
          <w:rFonts w:ascii="Arial" w:hAnsi="Arial" w:cs="Arial"/>
        </w:rPr>
        <w:t xml:space="preserve">To provide a rigorous foundation for our recommendations, this report employs a structured analytical methodology. The </w:t>
      </w:r>
      <w:r w:rsidRPr="00D2396A">
        <w:rPr>
          <w:rFonts w:ascii="Arial" w:hAnsi="Arial" w:cs="Arial"/>
          <w:bCs/>
        </w:rPr>
        <w:t>Analysis</w:t>
      </w:r>
      <w:r w:rsidRPr="00D2396A">
        <w:rPr>
          <w:rFonts w:ascii="Arial" w:hAnsi="Arial" w:cs="Arial"/>
        </w:rPr>
        <w:t xml:space="preserve"> section deconstructs the problem using a series of proven strategic tools. A STEEPLED analysis examines the broad external forces driving change. A detailed SWOT analysis assesses The Savoy's specific internal capabilities against its external environment. These are then synthesized into a TOWS matrix to generate clear strategic options. This methodical approach ensures that our conclusions are based on a critical evaluation of all relevant factors (Fleisher &amp; Bensoussan, 2015).</w:t>
      </w:r>
    </w:p>
    <w:p w14:paraId="5BC41E9E" w14:textId="77777777" w:rsidR="00C94727" w:rsidRDefault="00C94727" w:rsidP="00D2396A">
      <w:pPr>
        <w:spacing w:line="360" w:lineRule="auto"/>
        <w:jc w:val="both"/>
        <w:rPr>
          <w:rFonts w:ascii="Arial" w:hAnsi="Arial" w:cs="Arial"/>
        </w:rPr>
      </w:pPr>
      <w:r w:rsidRPr="00D2396A">
        <w:rPr>
          <w:rFonts w:ascii="Arial" w:hAnsi="Arial" w:cs="Arial"/>
        </w:rPr>
        <w:t xml:space="preserve">Following this diagnosis, the </w:t>
      </w:r>
      <w:r w:rsidRPr="00D2396A">
        <w:rPr>
          <w:rFonts w:ascii="Arial" w:hAnsi="Arial" w:cs="Arial"/>
          <w:bCs/>
        </w:rPr>
        <w:t>Recommendations and Change Management</w:t>
      </w:r>
      <w:r w:rsidRPr="00D2396A">
        <w:rPr>
          <w:rFonts w:ascii="Arial" w:hAnsi="Arial" w:cs="Arial"/>
        </w:rPr>
        <w:t xml:space="preserve"> section proposes a synergistic and actionable programme for change. Each recommendation is designed to build upon The Savoy's unique strengths, addressing the identified weaknesses while navigating the external opportunities and threats. A significant portion of this section is dedicated to the human side of change, providing a framework for managing the cultural transition that must accompany any technological one. Finally, the report concludes with a clear </w:t>
      </w:r>
      <w:r w:rsidRPr="00D2396A">
        <w:rPr>
          <w:rFonts w:ascii="Arial" w:hAnsi="Arial" w:cs="Arial"/>
          <w:bCs/>
        </w:rPr>
        <w:t>Action Plan</w:t>
      </w:r>
      <w:r w:rsidRPr="00D2396A">
        <w:rPr>
          <w:rFonts w:ascii="Arial" w:hAnsi="Arial" w:cs="Arial"/>
        </w:rPr>
        <w:t xml:space="preserve">, providing a practical roadmap for the </w:t>
      </w:r>
      <w:r w:rsidRPr="00D2396A">
        <w:rPr>
          <w:rFonts w:ascii="Arial" w:hAnsi="Arial" w:cs="Arial"/>
        </w:rPr>
        <w:lastRenderedPageBreak/>
        <w:t>leadership team to guide The Savoy confidently into its next chapter of innovation and excellence (Johnson, Scholes &amp; Whittington, 2008).</w:t>
      </w:r>
    </w:p>
    <w:p w14:paraId="0DD77003" w14:textId="77777777" w:rsidR="00D2396A" w:rsidRPr="00D2396A" w:rsidRDefault="00D2396A" w:rsidP="00D2396A">
      <w:pPr>
        <w:spacing w:line="360" w:lineRule="auto"/>
        <w:jc w:val="both"/>
        <w:rPr>
          <w:rFonts w:ascii="Arial" w:hAnsi="Arial" w:cs="Arial"/>
        </w:rPr>
      </w:pPr>
    </w:p>
    <w:p w14:paraId="1CF0EA0D" w14:textId="77777777" w:rsidR="00C94727" w:rsidRPr="00D2396A" w:rsidRDefault="00C94727" w:rsidP="00D2396A">
      <w:pPr>
        <w:spacing w:line="360" w:lineRule="auto"/>
        <w:jc w:val="both"/>
        <w:rPr>
          <w:rFonts w:ascii="Arial" w:hAnsi="Arial" w:cs="Arial"/>
          <w:b/>
          <w:bCs/>
        </w:rPr>
      </w:pPr>
      <w:r w:rsidRPr="00D2396A">
        <w:rPr>
          <w:rFonts w:ascii="Arial" w:hAnsi="Arial" w:cs="Arial"/>
          <w:b/>
          <w:bCs/>
        </w:rPr>
        <w:t>Analysis</w:t>
      </w:r>
    </w:p>
    <w:p w14:paraId="614FA8B9" w14:textId="77777777" w:rsidR="00C94727" w:rsidRDefault="00C94727" w:rsidP="00D2396A">
      <w:pPr>
        <w:spacing w:line="360" w:lineRule="auto"/>
        <w:jc w:val="both"/>
        <w:rPr>
          <w:rFonts w:ascii="Arial" w:hAnsi="Arial" w:cs="Arial"/>
        </w:rPr>
      </w:pPr>
      <w:r w:rsidRPr="00D2396A">
        <w:rPr>
          <w:rFonts w:ascii="Arial" w:hAnsi="Arial" w:cs="Arial"/>
        </w:rPr>
        <w:t>This section of the report provides a multi-faceted and in-depth diagnosis of the strategic challenge confronting The Savoy. The objective is to move beyond a simplistic understanding of the problem and to systematically deconstruct the internal and external forces at play. By employing a rigorous and integrated analytical approach, we can identify the root causes, core tensions, and strategic imperatives that must be addressed. This ensures that the subsequent recommendations are not merely reactive, but are built upon a solid, evidence-based, and contextually aware foundation, which is the hallmark of effective strategic consultancy (Cummings &amp; Worley, 2019).</w:t>
      </w:r>
    </w:p>
    <w:p w14:paraId="48089D4B" w14:textId="77777777" w:rsidR="00D2396A" w:rsidRPr="00D2396A" w:rsidRDefault="00D2396A" w:rsidP="00D2396A">
      <w:pPr>
        <w:spacing w:line="360" w:lineRule="auto"/>
        <w:jc w:val="both"/>
        <w:rPr>
          <w:rFonts w:ascii="Arial" w:hAnsi="Arial" w:cs="Arial"/>
        </w:rPr>
      </w:pPr>
    </w:p>
    <w:p w14:paraId="0D872928" w14:textId="77777777" w:rsidR="00C94727" w:rsidRPr="00D2396A" w:rsidRDefault="00C94727" w:rsidP="00D2396A">
      <w:pPr>
        <w:spacing w:line="360" w:lineRule="auto"/>
        <w:jc w:val="both"/>
        <w:rPr>
          <w:rFonts w:ascii="Arial" w:hAnsi="Arial" w:cs="Arial"/>
          <w:b/>
          <w:bCs/>
        </w:rPr>
      </w:pPr>
      <w:r w:rsidRPr="00D2396A">
        <w:rPr>
          <w:rFonts w:ascii="Arial" w:hAnsi="Arial" w:cs="Arial"/>
          <w:b/>
          <w:bCs/>
        </w:rPr>
        <w:t>Deconstructing the Digital Transformation Imperative</w:t>
      </w:r>
    </w:p>
    <w:p w14:paraId="15428E05" w14:textId="77777777" w:rsidR="00C94727" w:rsidRPr="00D2396A" w:rsidRDefault="00C94727" w:rsidP="00D2396A">
      <w:pPr>
        <w:spacing w:line="360" w:lineRule="auto"/>
        <w:jc w:val="both"/>
        <w:rPr>
          <w:rFonts w:ascii="Arial" w:hAnsi="Arial" w:cs="Arial"/>
        </w:rPr>
      </w:pPr>
      <w:r w:rsidRPr="00D2396A">
        <w:rPr>
          <w:rFonts w:ascii="Arial" w:hAnsi="Arial" w:cs="Arial"/>
        </w:rPr>
        <w:t>The central issue facing The Savoy is more profound than a simple need to update its technology; it is a fundamental challenge to its established service model and brand identity. This can be understood as a strategic dichotomy between 'high-tech' efficiency and 'high-touch' empathy. For over a century, The Savoy’s definition of luxury has been rooted in the latter: an abundance of highly skilled, intuitive staff delivering a deeply personal and human service. However, the contemporary definition of luxury is increasingly influenced by the former, where seamlessness, speed, and effortless control, facilitated by technology, are themselves considered premium attributes. The core problem is that these two paradigms of service can often be in direct opposition (Gummesson, 2007).</w:t>
      </w:r>
    </w:p>
    <w:p w14:paraId="354F08EB" w14:textId="77777777" w:rsidR="00C94727" w:rsidRPr="00D2396A" w:rsidRDefault="00C94727" w:rsidP="00D2396A">
      <w:pPr>
        <w:spacing w:line="360" w:lineRule="auto"/>
        <w:jc w:val="both"/>
        <w:rPr>
          <w:rFonts w:ascii="Arial" w:hAnsi="Arial" w:cs="Arial"/>
        </w:rPr>
      </w:pPr>
      <w:r w:rsidRPr="00D2396A">
        <w:rPr>
          <w:rFonts w:ascii="Arial" w:hAnsi="Arial" w:cs="Arial"/>
        </w:rPr>
        <w:t xml:space="preserve">This challenge is amplified by what can be termed the 'curse of the successful pioneer'. As an institution that has defined luxury for generations, The Savoy possesses a powerful and deeply ingrained organisational culture, a set of established service rituals, and a complex web of legacy operational systems. While these are the very sources of </w:t>
      </w:r>
      <w:r w:rsidRPr="00D2396A">
        <w:rPr>
          <w:rFonts w:ascii="Arial" w:hAnsi="Arial" w:cs="Arial"/>
        </w:rPr>
        <w:lastRenderedPageBreak/>
        <w:t>its historic strength and character, they also create a powerful organisational inertia that can resist change. Unlike a new hotel that can be 'born digital' with an integrated technology stack at its core, The Savoy must navigate the far more complex task of retrofitting innovation into a living, breathing institution with a profound sense of its own history. This creates a significant risk of 'path dependency', where past choices constrain future possibilities (Leonard-Barton, 1992).</w:t>
      </w:r>
    </w:p>
    <w:p w14:paraId="3415F491" w14:textId="77777777" w:rsidR="00C94727" w:rsidRPr="00D2396A" w:rsidRDefault="00C94727" w:rsidP="00D2396A">
      <w:pPr>
        <w:spacing w:line="360" w:lineRule="auto"/>
        <w:jc w:val="both"/>
        <w:rPr>
          <w:rFonts w:ascii="Arial" w:hAnsi="Arial" w:cs="Arial"/>
        </w:rPr>
      </w:pPr>
      <w:r w:rsidRPr="00D2396A">
        <w:rPr>
          <w:rFonts w:ascii="Arial" w:hAnsi="Arial" w:cs="Arial"/>
        </w:rPr>
        <w:t>The practical manifestations of this digital integration challenge are evident across every stage of the modern guest journey. The pre-arrival experience, for instance, is an area where modern competitors use sophisticated CRM platforms to deliver hyper-personalised communication and offers, a standard The Savoy may struggle to meet with older systems. The physical arrival and check-in, a signature moment of welcome, can feel analogue and slow compared to the frictionless mobile check-in offered elsewhere. In the room, the expectation is for intuitive control over lighting, climate, and entertainment through a single interface, which is difficult to implement in a historic building. Finally, the post-stay relationship is now a data-driven science, requiring tools to maintain engagement and encourage loyalty far beyond what traditional methods can achieve (Verhoef et al., 2009).</w:t>
      </w:r>
    </w:p>
    <w:p w14:paraId="4954264F" w14:textId="77777777" w:rsidR="00C94727" w:rsidRDefault="00C94727" w:rsidP="00D2396A">
      <w:pPr>
        <w:spacing w:line="360" w:lineRule="auto"/>
        <w:jc w:val="both"/>
        <w:rPr>
          <w:rFonts w:ascii="Arial" w:hAnsi="Arial" w:cs="Arial"/>
        </w:rPr>
      </w:pPr>
      <w:r w:rsidRPr="00D2396A">
        <w:rPr>
          <w:rFonts w:ascii="Arial" w:hAnsi="Arial" w:cs="Arial"/>
        </w:rPr>
        <w:t>Ultimately, the problem must be framed as a challenge of organisational ambidexterity—the ability to simultaneously exploit existing strengths (its heritage, its service culture) while also exploring new opportunities (digital innovation, new service models). It is not a matter of choosing one over the other, but of developing the strategic and operational capability to master both. The imperative is to design and implement a digital thread that can be woven into the rich tapestry of The Savoy's service journey in a way that feels authentic, enhances the human element, and reinforces the brand's unique market position. This requires a holistic approach that balances technology, process, and, most importantly, people (O'Reilly &amp; Tushman, 2004).</w:t>
      </w:r>
    </w:p>
    <w:p w14:paraId="3C4E710D" w14:textId="77777777" w:rsidR="00D2396A" w:rsidRDefault="00D2396A" w:rsidP="00D2396A">
      <w:pPr>
        <w:spacing w:line="360" w:lineRule="auto"/>
        <w:jc w:val="both"/>
        <w:rPr>
          <w:rFonts w:ascii="Arial" w:hAnsi="Arial" w:cs="Arial"/>
        </w:rPr>
      </w:pPr>
    </w:p>
    <w:p w14:paraId="2853DD16" w14:textId="77777777" w:rsidR="00D2396A" w:rsidRDefault="00D2396A" w:rsidP="00D2396A">
      <w:pPr>
        <w:spacing w:line="360" w:lineRule="auto"/>
        <w:jc w:val="both"/>
        <w:rPr>
          <w:rFonts w:ascii="Arial" w:hAnsi="Arial" w:cs="Arial"/>
        </w:rPr>
      </w:pPr>
    </w:p>
    <w:p w14:paraId="345554E8" w14:textId="77777777" w:rsidR="00D2396A" w:rsidRDefault="00D2396A" w:rsidP="00D2396A">
      <w:pPr>
        <w:spacing w:line="360" w:lineRule="auto"/>
        <w:jc w:val="both"/>
        <w:rPr>
          <w:rFonts w:ascii="Arial" w:hAnsi="Arial" w:cs="Arial"/>
        </w:rPr>
      </w:pPr>
    </w:p>
    <w:p w14:paraId="48A71FCC" w14:textId="77777777" w:rsidR="00C94727" w:rsidRPr="00D2396A" w:rsidRDefault="00C94727" w:rsidP="00D2396A">
      <w:pPr>
        <w:spacing w:line="360" w:lineRule="auto"/>
        <w:jc w:val="both"/>
        <w:rPr>
          <w:rFonts w:ascii="Arial" w:hAnsi="Arial" w:cs="Arial"/>
          <w:b/>
          <w:bCs/>
        </w:rPr>
      </w:pPr>
      <w:r w:rsidRPr="00D2396A">
        <w:rPr>
          <w:rFonts w:ascii="Arial" w:hAnsi="Arial" w:cs="Arial"/>
          <w:b/>
          <w:bCs/>
        </w:rPr>
        <w:lastRenderedPageBreak/>
        <w:t>STEEPLED Analysis: The Macro-Environmental Context</w:t>
      </w:r>
    </w:p>
    <w:p w14:paraId="4E7BB4F1" w14:textId="77777777" w:rsidR="00C94727" w:rsidRPr="00D2396A" w:rsidRDefault="00C94727" w:rsidP="00D2396A">
      <w:pPr>
        <w:spacing w:line="360" w:lineRule="auto"/>
        <w:jc w:val="both"/>
        <w:rPr>
          <w:rFonts w:ascii="Arial" w:hAnsi="Arial" w:cs="Arial"/>
        </w:rPr>
      </w:pPr>
      <w:r w:rsidRPr="00D2396A">
        <w:rPr>
          <w:rFonts w:ascii="Arial" w:hAnsi="Arial" w:cs="Arial"/>
        </w:rPr>
        <w:t>The strategic imperative for The Savoy to evolve is driven by a powerful confluence of external forces. The STEEPLED framework provides a structured method for analysing this complex macro-environment, identifying the specific trends that are creating both the pressures and the opportunities for digital transformation within the London luxury hospitality market (Gillespie, 2016).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2"/>
        <w:gridCol w:w="7708"/>
      </w:tblGrid>
      <w:tr w:rsidR="00C94727" w:rsidRPr="00FA7F4B" w14:paraId="1D678EA5" w14:textId="77777777" w:rsidTr="00F93E6C">
        <w:trPr>
          <w:tblHeader/>
          <w:tblCellSpacing w:w="15" w:type="dxa"/>
        </w:trPr>
        <w:tc>
          <w:tcPr>
            <w:tcW w:w="0" w:type="auto"/>
            <w:vAlign w:val="center"/>
            <w:hideMark/>
          </w:tcPr>
          <w:p w14:paraId="7AD9679A" w14:textId="77777777" w:rsidR="00C94727" w:rsidRPr="00FA7F4B" w:rsidRDefault="00C94727" w:rsidP="00F93E6C"/>
        </w:tc>
        <w:tc>
          <w:tcPr>
            <w:tcW w:w="0" w:type="auto"/>
            <w:vAlign w:val="center"/>
            <w:hideMark/>
          </w:tcPr>
          <w:p w14:paraId="016867ED" w14:textId="77777777" w:rsidR="00C94727" w:rsidRPr="00FA7F4B" w:rsidRDefault="00C94727" w:rsidP="00F93E6C"/>
        </w:tc>
      </w:tr>
      <w:tr w:rsidR="00C94727" w:rsidRPr="00FA7F4B" w14:paraId="7451E3C5" w14:textId="77777777" w:rsidTr="00F93E6C">
        <w:trPr>
          <w:tblCellSpacing w:w="15" w:type="dxa"/>
        </w:trPr>
        <w:tc>
          <w:tcPr>
            <w:tcW w:w="0" w:type="auto"/>
            <w:vAlign w:val="center"/>
            <w:hideMark/>
          </w:tcPr>
          <w:p w14:paraId="28D8157A" w14:textId="77777777" w:rsidR="00C94727" w:rsidRPr="00322CBB" w:rsidRDefault="00C94727" w:rsidP="00322CBB">
            <w:pPr>
              <w:spacing w:line="360" w:lineRule="auto"/>
              <w:jc w:val="both"/>
              <w:rPr>
                <w:rFonts w:ascii="Arial" w:hAnsi="Arial" w:cs="Arial"/>
              </w:rPr>
            </w:pPr>
            <w:r w:rsidRPr="00322CBB">
              <w:rPr>
                <w:rFonts w:ascii="Arial" w:hAnsi="Arial" w:cs="Arial"/>
                <w:b/>
                <w:bCs/>
              </w:rPr>
              <w:t>Social</w:t>
            </w:r>
          </w:p>
        </w:tc>
        <w:tc>
          <w:tcPr>
            <w:tcW w:w="0" w:type="auto"/>
            <w:vAlign w:val="center"/>
            <w:hideMark/>
          </w:tcPr>
          <w:p w14:paraId="04BCBDE1" w14:textId="77777777" w:rsidR="00C94727" w:rsidRPr="00322CBB" w:rsidRDefault="00C94727" w:rsidP="00322CBB">
            <w:pPr>
              <w:spacing w:line="360" w:lineRule="auto"/>
              <w:jc w:val="both"/>
              <w:rPr>
                <w:rFonts w:ascii="Arial" w:hAnsi="Arial" w:cs="Arial"/>
              </w:rPr>
            </w:pPr>
            <w:r w:rsidRPr="00322CBB">
              <w:rPr>
                <w:rFonts w:ascii="Arial" w:hAnsi="Arial" w:cs="Arial"/>
              </w:rPr>
              <w:t>The rise of the 'experience economy' represents a profound social shift. Luxury consumers are increasingly prioritising unique, memorable, and shareable experiences over mere material goods. This puts pressure on hotels like The Savoy to not just provide a room, but to stage an experience. Technology can be a powerful tool for this, but it must be used to enhance, not automate, the creation of these experiences. Social media's influence also means that the aesthetic and narrative of the hotel's digital presence are now as important as its physical presence (Pine &amp; Gilmore, 1999).</w:t>
            </w:r>
          </w:p>
          <w:p w14:paraId="57CD26AF" w14:textId="77777777" w:rsidR="00322CBB" w:rsidRPr="00322CBB" w:rsidRDefault="00322CBB" w:rsidP="00322CBB">
            <w:pPr>
              <w:spacing w:line="360" w:lineRule="auto"/>
              <w:jc w:val="both"/>
              <w:rPr>
                <w:rFonts w:ascii="Arial" w:hAnsi="Arial" w:cs="Arial"/>
              </w:rPr>
            </w:pPr>
          </w:p>
        </w:tc>
      </w:tr>
      <w:tr w:rsidR="00C94727" w:rsidRPr="00FA7F4B" w14:paraId="6D8FA49C" w14:textId="77777777" w:rsidTr="00F93E6C">
        <w:trPr>
          <w:tblCellSpacing w:w="15" w:type="dxa"/>
        </w:trPr>
        <w:tc>
          <w:tcPr>
            <w:tcW w:w="0" w:type="auto"/>
            <w:vAlign w:val="center"/>
            <w:hideMark/>
          </w:tcPr>
          <w:p w14:paraId="049BFD26" w14:textId="77777777" w:rsidR="00C94727" w:rsidRPr="00322CBB" w:rsidRDefault="00C94727" w:rsidP="00322CBB">
            <w:pPr>
              <w:spacing w:line="360" w:lineRule="auto"/>
              <w:jc w:val="both"/>
              <w:rPr>
                <w:rFonts w:ascii="Arial" w:hAnsi="Arial" w:cs="Arial"/>
              </w:rPr>
            </w:pPr>
            <w:r w:rsidRPr="00322CBB">
              <w:rPr>
                <w:rFonts w:ascii="Arial" w:hAnsi="Arial" w:cs="Arial"/>
                <w:b/>
                <w:bCs/>
              </w:rPr>
              <w:t>Technological</w:t>
            </w:r>
          </w:p>
        </w:tc>
        <w:tc>
          <w:tcPr>
            <w:tcW w:w="0" w:type="auto"/>
            <w:vAlign w:val="center"/>
            <w:hideMark/>
          </w:tcPr>
          <w:p w14:paraId="6F4B4297" w14:textId="77777777" w:rsidR="00C94727" w:rsidRPr="00322CBB" w:rsidRDefault="00C94727" w:rsidP="00322CBB">
            <w:pPr>
              <w:spacing w:line="360" w:lineRule="auto"/>
              <w:jc w:val="both"/>
              <w:rPr>
                <w:rFonts w:ascii="Arial" w:hAnsi="Arial" w:cs="Arial"/>
              </w:rPr>
            </w:pPr>
            <w:r w:rsidRPr="00322CBB">
              <w:rPr>
                <w:rFonts w:ascii="Arial" w:hAnsi="Arial" w:cs="Arial"/>
              </w:rPr>
              <w:t>The pace of technological change is relentless. The maturation of key technologies such as Artificial Intelligence (for predictive personalisation), the Internet of Things (for creating smart, responsive environments), and advanced data analytics presents a toolbox of immense power. These tools allow for a level of service customisation and operational efficiency that was previously unimaginable, creating a significant competitive gap between technological adopters and laggards (Buhalis &amp; Sinarta, 2019).</w:t>
            </w:r>
          </w:p>
          <w:p w14:paraId="35468601" w14:textId="77777777" w:rsidR="00322CBB" w:rsidRPr="00322CBB" w:rsidRDefault="00322CBB" w:rsidP="00322CBB">
            <w:pPr>
              <w:spacing w:line="360" w:lineRule="auto"/>
              <w:jc w:val="both"/>
              <w:rPr>
                <w:rFonts w:ascii="Arial" w:hAnsi="Arial" w:cs="Arial"/>
              </w:rPr>
            </w:pPr>
          </w:p>
        </w:tc>
      </w:tr>
      <w:tr w:rsidR="00C94727" w:rsidRPr="00FA7F4B" w14:paraId="18CDE868" w14:textId="77777777" w:rsidTr="00F93E6C">
        <w:trPr>
          <w:tblCellSpacing w:w="15" w:type="dxa"/>
        </w:trPr>
        <w:tc>
          <w:tcPr>
            <w:tcW w:w="0" w:type="auto"/>
            <w:vAlign w:val="center"/>
            <w:hideMark/>
          </w:tcPr>
          <w:p w14:paraId="3AAAE31E" w14:textId="77777777" w:rsidR="00C94727" w:rsidRPr="00322CBB" w:rsidRDefault="00C94727" w:rsidP="00322CBB">
            <w:pPr>
              <w:spacing w:line="360" w:lineRule="auto"/>
              <w:jc w:val="both"/>
              <w:rPr>
                <w:rFonts w:ascii="Arial" w:hAnsi="Arial" w:cs="Arial"/>
              </w:rPr>
            </w:pPr>
            <w:r w:rsidRPr="00322CBB">
              <w:rPr>
                <w:rFonts w:ascii="Arial" w:hAnsi="Arial" w:cs="Arial"/>
                <w:b/>
                <w:bCs/>
              </w:rPr>
              <w:t>Economic</w:t>
            </w:r>
          </w:p>
        </w:tc>
        <w:tc>
          <w:tcPr>
            <w:tcW w:w="0" w:type="auto"/>
            <w:vAlign w:val="center"/>
            <w:hideMark/>
          </w:tcPr>
          <w:p w14:paraId="48D7C5D9" w14:textId="77777777" w:rsidR="00C94727" w:rsidRPr="00322CBB" w:rsidRDefault="00C94727" w:rsidP="00322CBB">
            <w:pPr>
              <w:spacing w:line="360" w:lineRule="auto"/>
              <w:jc w:val="both"/>
              <w:rPr>
                <w:rFonts w:ascii="Arial" w:hAnsi="Arial" w:cs="Arial"/>
              </w:rPr>
            </w:pPr>
            <w:r w:rsidRPr="00322CBB">
              <w:rPr>
                <w:rFonts w:ascii="Arial" w:hAnsi="Arial" w:cs="Arial"/>
              </w:rPr>
              <w:t xml:space="preserve">The economic landscape of Central London is characterised by extremely high operational costs, particularly for labour and real estate. This creates a powerful economic incentive to adopt technologies that can automate routine, low-value tasks. By automating administrative processes, hotels can deploy their highly paid, highly skilled human staff more effectively on high-touch, guest-facing activities that directly </w:t>
            </w:r>
            <w:r w:rsidRPr="00322CBB">
              <w:rPr>
                <w:rFonts w:ascii="Arial" w:hAnsi="Arial" w:cs="Arial"/>
              </w:rPr>
              <w:lastRenderedPageBreak/>
              <w:t>drive satisfaction and revenue. This is a strategy for optimising, not reducing, the human element (Jones &amp; Lockwood, 2014).</w:t>
            </w:r>
          </w:p>
        </w:tc>
      </w:tr>
      <w:tr w:rsidR="00C94727" w:rsidRPr="00FA7F4B" w14:paraId="24719354" w14:textId="77777777" w:rsidTr="00F93E6C">
        <w:trPr>
          <w:tblCellSpacing w:w="15" w:type="dxa"/>
        </w:trPr>
        <w:tc>
          <w:tcPr>
            <w:tcW w:w="0" w:type="auto"/>
            <w:vAlign w:val="center"/>
            <w:hideMark/>
          </w:tcPr>
          <w:p w14:paraId="2E5997B4" w14:textId="77777777" w:rsidR="00C94727" w:rsidRPr="00322CBB" w:rsidRDefault="00C94727" w:rsidP="00322CBB">
            <w:pPr>
              <w:spacing w:line="360" w:lineRule="auto"/>
              <w:jc w:val="both"/>
              <w:rPr>
                <w:rFonts w:ascii="Arial" w:hAnsi="Arial" w:cs="Arial"/>
              </w:rPr>
            </w:pPr>
            <w:r w:rsidRPr="00322CBB">
              <w:rPr>
                <w:rFonts w:ascii="Arial" w:hAnsi="Arial" w:cs="Arial"/>
                <w:b/>
                <w:bCs/>
              </w:rPr>
              <w:lastRenderedPageBreak/>
              <w:t>Environmental</w:t>
            </w:r>
          </w:p>
        </w:tc>
        <w:tc>
          <w:tcPr>
            <w:tcW w:w="0" w:type="auto"/>
            <w:vAlign w:val="center"/>
            <w:hideMark/>
          </w:tcPr>
          <w:p w14:paraId="3E1D9787" w14:textId="77777777" w:rsidR="00C94727" w:rsidRPr="00322CBB" w:rsidRDefault="00C94727" w:rsidP="00322CBB">
            <w:pPr>
              <w:spacing w:line="360" w:lineRule="auto"/>
              <w:jc w:val="both"/>
              <w:rPr>
                <w:rFonts w:ascii="Arial" w:hAnsi="Arial" w:cs="Arial"/>
              </w:rPr>
            </w:pPr>
            <w:r w:rsidRPr="00322CBB">
              <w:rPr>
                <w:rFonts w:ascii="Arial" w:hAnsi="Arial" w:cs="Arial"/>
              </w:rPr>
              <w:t>There is a growing and undeniable demand from consumers, investors, and employees for genuine environmental sustainability. The luxury sector is not immune to this; in fact, conscious consumption is becoming a new marker of status. Modern smart-building technology provides a direct route to improving environmental performance through intelligent energy management, water conservation, and waste reduction. This is no longer just a cost-saving measure, but a critical component of brand reputation and social license to operate (Han, Hsu &amp; Lee, 2009).</w:t>
            </w:r>
          </w:p>
          <w:p w14:paraId="104AE64B" w14:textId="77777777" w:rsidR="00322CBB" w:rsidRPr="00322CBB" w:rsidRDefault="00322CBB" w:rsidP="00322CBB">
            <w:pPr>
              <w:spacing w:line="360" w:lineRule="auto"/>
              <w:jc w:val="both"/>
              <w:rPr>
                <w:rFonts w:ascii="Arial" w:hAnsi="Arial" w:cs="Arial"/>
              </w:rPr>
            </w:pPr>
          </w:p>
        </w:tc>
      </w:tr>
      <w:tr w:rsidR="00C94727" w:rsidRPr="00FA7F4B" w14:paraId="35608D35" w14:textId="77777777" w:rsidTr="00F93E6C">
        <w:trPr>
          <w:tblCellSpacing w:w="15" w:type="dxa"/>
        </w:trPr>
        <w:tc>
          <w:tcPr>
            <w:tcW w:w="0" w:type="auto"/>
            <w:vAlign w:val="center"/>
            <w:hideMark/>
          </w:tcPr>
          <w:p w14:paraId="342DCD51" w14:textId="77777777" w:rsidR="00C94727" w:rsidRPr="00322CBB" w:rsidRDefault="00C94727" w:rsidP="00322CBB">
            <w:pPr>
              <w:spacing w:line="360" w:lineRule="auto"/>
              <w:jc w:val="both"/>
              <w:rPr>
                <w:rFonts w:ascii="Arial" w:hAnsi="Arial" w:cs="Arial"/>
              </w:rPr>
            </w:pPr>
            <w:r w:rsidRPr="00322CBB">
              <w:rPr>
                <w:rFonts w:ascii="Arial" w:hAnsi="Arial" w:cs="Arial"/>
                <w:b/>
                <w:bCs/>
              </w:rPr>
              <w:t>Political</w:t>
            </w:r>
          </w:p>
        </w:tc>
        <w:tc>
          <w:tcPr>
            <w:tcW w:w="0" w:type="auto"/>
            <w:vAlign w:val="center"/>
            <w:hideMark/>
          </w:tcPr>
          <w:p w14:paraId="5C2A610F" w14:textId="77777777" w:rsidR="00C94727" w:rsidRPr="00322CBB" w:rsidRDefault="00C94727" w:rsidP="00322CBB">
            <w:pPr>
              <w:spacing w:line="360" w:lineRule="auto"/>
              <w:jc w:val="both"/>
              <w:rPr>
                <w:rFonts w:ascii="Arial" w:hAnsi="Arial" w:cs="Arial"/>
              </w:rPr>
            </w:pPr>
            <w:r w:rsidRPr="00322CBB">
              <w:rPr>
                <w:rFonts w:ascii="Arial" w:hAnsi="Arial" w:cs="Arial"/>
              </w:rPr>
              <w:t>The UK government's stated ambition to be a global leader in AI and the digital economy creates a generally supportive political climate for technological innovation. Policies aimed at fostering 'smart cities' and improving digital infrastructure can provide a helpful backdrop for The Savoy's own transformation. However, post-Brexit policies on data flows and digital trade may also influence the choice of technology vendors and data centre locations, requiring careful strategic consideration (HM Government, 2023).</w:t>
            </w:r>
          </w:p>
          <w:p w14:paraId="60DA64F9" w14:textId="77777777" w:rsidR="00322CBB" w:rsidRPr="00322CBB" w:rsidRDefault="00322CBB" w:rsidP="00322CBB">
            <w:pPr>
              <w:spacing w:line="360" w:lineRule="auto"/>
              <w:jc w:val="both"/>
              <w:rPr>
                <w:rFonts w:ascii="Arial" w:hAnsi="Arial" w:cs="Arial"/>
              </w:rPr>
            </w:pPr>
          </w:p>
        </w:tc>
      </w:tr>
      <w:tr w:rsidR="00C94727" w:rsidRPr="00FA7F4B" w14:paraId="3D736940" w14:textId="77777777" w:rsidTr="00F93E6C">
        <w:trPr>
          <w:tblCellSpacing w:w="15" w:type="dxa"/>
        </w:trPr>
        <w:tc>
          <w:tcPr>
            <w:tcW w:w="0" w:type="auto"/>
            <w:vAlign w:val="center"/>
            <w:hideMark/>
          </w:tcPr>
          <w:p w14:paraId="5416018B" w14:textId="77777777" w:rsidR="00C94727" w:rsidRPr="00322CBB" w:rsidRDefault="00C94727" w:rsidP="00322CBB">
            <w:pPr>
              <w:spacing w:line="360" w:lineRule="auto"/>
              <w:jc w:val="both"/>
              <w:rPr>
                <w:rFonts w:ascii="Arial" w:hAnsi="Arial" w:cs="Arial"/>
              </w:rPr>
            </w:pPr>
            <w:r w:rsidRPr="00322CBB">
              <w:rPr>
                <w:rFonts w:ascii="Arial" w:hAnsi="Arial" w:cs="Arial"/>
                <w:b/>
                <w:bCs/>
              </w:rPr>
              <w:t>Legal</w:t>
            </w:r>
          </w:p>
        </w:tc>
        <w:tc>
          <w:tcPr>
            <w:tcW w:w="0" w:type="auto"/>
            <w:vAlign w:val="center"/>
            <w:hideMark/>
          </w:tcPr>
          <w:p w14:paraId="6B4622C9" w14:textId="77777777" w:rsidR="00C94727" w:rsidRPr="00322CBB" w:rsidRDefault="00C94727" w:rsidP="00322CBB">
            <w:pPr>
              <w:spacing w:line="360" w:lineRule="auto"/>
              <w:jc w:val="both"/>
              <w:rPr>
                <w:rFonts w:ascii="Arial" w:hAnsi="Arial" w:cs="Arial"/>
              </w:rPr>
            </w:pPr>
            <w:r w:rsidRPr="00322CBB">
              <w:rPr>
                <w:rFonts w:ascii="Arial" w:hAnsi="Arial" w:cs="Arial"/>
              </w:rPr>
              <w:t>The legal environment is dominated by the UK's stringent General Data Protection Regulation (GDPR). This legislation imposes rigorous and legally binding obligations on how any organisation, including a hotel, collects, processes, stores, and uses personal data. The implementation of any new CRM, mobile app, or personalisation engine must be meticulously planned from a 'privacy-by-design' perspective to ensure full compliance and avoid the catastrophic legal and reputational damage of a data breach (Voigt &amp; von dem Bussche, 2017).</w:t>
            </w:r>
          </w:p>
          <w:p w14:paraId="7CB16B6F" w14:textId="77777777" w:rsidR="00322CBB" w:rsidRPr="00322CBB" w:rsidRDefault="00322CBB" w:rsidP="00322CBB">
            <w:pPr>
              <w:spacing w:line="360" w:lineRule="auto"/>
              <w:jc w:val="both"/>
              <w:rPr>
                <w:rFonts w:ascii="Arial" w:hAnsi="Arial" w:cs="Arial"/>
              </w:rPr>
            </w:pPr>
          </w:p>
        </w:tc>
      </w:tr>
      <w:tr w:rsidR="00C94727" w:rsidRPr="00FA7F4B" w14:paraId="00DA1B91" w14:textId="77777777" w:rsidTr="00F93E6C">
        <w:trPr>
          <w:tblCellSpacing w:w="15" w:type="dxa"/>
        </w:trPr>
        <w:tc>
          <w:tcPr>
            <w:tcW w:w="0" w:type="auto"/>
            <w:vAlign w:val="center"/>
            <w:hideMark/>
          </w:tcPr>
          <w:p w14:paraId="0F9993B2" w14:textId="77777777" w:rsidR="00C94727" w:rsidRPr="00322CBB" w:rsidRDefault="00C94727" w:rsidP="00322CBB">
            <w:pPr>
              <w:spacing w:line="360" w:lineRule="auto"/>
              <w:jc w:val="both"/>
              <w:rPr>
                <w:rFonts w:ascii="Arial" w:hAnsi="Arial" w:cs="Arial"/>
              </w:rPr>
            </w:pPr>
            <w:r w:rsidRPr="00322CBB">
              <w:rPr>
                <w:rFonts w:ascii="Arial" w:hAnsi="Arial" w:cs="Arial"/>
                <w:b/>
                <w:bCs/>
              </w:rPr>
              <w:t>Ethical</w:t>
            </w:r>
          </w:p>
        </w:tc>
        <w:tc>
          <w:tcPr>
            <w:tcW w:w="0" w:type="auto"/>
            <w:vAlign w:val="center"/>
            <w:hideMark/>
          </w:tcPr>
          <w:p w14:paraId="11C3C62B" w14:textId="77777777" w:rsidR="00C94727" w:rsidRPr="00322CBB" w:rsidRDefault="00C94727" w:rsidP="00322CBB">
            <w:pPr>
              <w:spacing w:line="360" w:lineRule="auto"/>
              <w:jc w:val="both"/>
              <w:rPr>
                <w:rFonts w:ascii="Arial" w:hAnsi="Arial" w:cs="Arial"/>
              </w:rPr>
            </w:pPr>
            <w:r w:rsidRPr="00322CBB">
              <w:rPr>
                <w:rFonts w:ascii="Arial" w:hAnsi="Arial" w:cs="Arial"/>
              </w:rPr>
              <w:t xml:space="preserve">Beyond strict legal compliance, there are significant ethical dimensions </w:t>
            </w:r>
            <w:r w:rsidRPr="00322CBB">
              <w:rPr>
                <w:rFonts w:ascii="Arial" w:hAnsi="Arial" w:cs="Arial"/>
              </w:rPr>
              <w:lastRenderedPageBreak/>
              <w:t>to the use of guest data. While guests may appreciate personalisation, they are also increasingly wary of surveillance and intrusive marketing. The Savoy must establish a clear ethical framework for its data strategy, one that is transparent, respects guest privacy, and uses information solely for the purpose of genuine service enhancement. Maintaining this ethical high ground is fundamental to preserving the deep trust that underpins a luxury brand relationship (Martin &amp; Murphy, 2017).</w:t>
            </w:r>
          </w:p>
          <w:p w14:paraId="1E96236F" w14:textId="77777777" w:rsidR="00322CBB" w:rsidRPr="00322CBB" w:rsidRDefault="00322CBB" w:rsidP="00322CBB">
            <w:pPr>
              <w:spacing w:line="360" w:lineRule="auto"/>
              <w:jc w:val="both"/>
              <w:rPr>
                <w:rFonts w:ascii="Arial" w:hAnsi="Arial" w:cs="Arial"/>
              </w:rPr>
            </w:pPr>
          </w:p>
        </w:tc>
      </w:tr>
      <w:tr w:rsidR="00C94727" w:rsidRPr="00FA7F4B" w14:paraId="611CC4F7" w14:textId="77777777" w:rsidTr="00F93E6C">
        <w:trPr>
          <w:tblCellSpacing w:w="15" w:type="dxa"/>
        </w:trPr>
        <w:tc>
          <w:tcPr>
            <w:tcW w:w="0" w:type="auto"/>
            <w:vAlign w:val="center"/>
            <w:hideMark/>
          </w:tcPr>
          <w:p w14:paraId="4A602CAB" w14:textId="77777777" w:rsidR="00C94727" w:rsidRPr="00322CBB" w:rsidRDefault="00C94727" w:rsidP="00322CBB">
            <w:pPr>
              <w:spacing w:line="360" w:lineRule="auto"/>
              <w:jc w:val="both"/>
              <w:rPr>
                <w:rFonts w:ascii="Arial" w:hAnsi="Arial" w:cs="Arial"/>
              </w:rPr>
            </w:pPr>
            <w:r w:rsidRPr="00322CBB">
              <w:rPr>
                <w:rFonts w:ascii="Arial" w:hAnsi="Arial" w:cs="Arial"/>
                <w:b/>
                <w:bCs/>
              </w:rPr>
              <w:lastRenderedPageBreak/>
              <w:t>Demographic</w:t>
            </w:r>
          </w:p>
        </w:tc>
        <w:tc>
          <w:tcPr>
            <w:tcW w:w="0" w:type="auto"/>
            <w:vAlign w:val="center"/>
            <w:hideMark/>
          </w:tcPr>
          <w:p w14:paraId="669E6F4A" w14:textId="77777777" w:rsidR="00C94727" w:rsidRPr="00322CBB" w:rsidRDefault="00C94727" w:rsidP="00322CBB">
            <w:pPr>
              <w:spacing w:line="360" w:lineRule="auto"/>
              <w:jc w:val="both"/>
              <w:rPr>
                <w:rFonts w:ascii="Arial" w:hAnsi="Arial" w:cs="Arial"/>
              </w:rPr>
            </w:pPr>
            <w:r w:rsidRPr="00322CBB">
              <w:rPr>
                <w:rFonts w:ascii="Arial" w:hAnsi="Arial" w:cs="Arial"/>
              </w:rPr>
              <w:t>The most significant demographic shift is the transfer of wealth and purchasing power to digitally native generations, particularly Millennials and Gen Z. These cohorts have grown up with technology integrated into every aspect of their lives and have fundamentally different expectations for service and communication. They are comfortable with app-based interactions, value peer reviews over traditional marketing, and expect brands to be accessible and responsive on digital platforms. A failure to cater to these demographic realities is a failure to engage with the future of the luxury market (Bolton et al., 2013).</w:t>
            </w:r>
          </w:p>
          <w:p w14:paraId="67206703" w14:textId="77777777" w:rsidR="00322CBB" w:rsidRPr="00322CBB" w:rsidRDefault="00322CBB" w:rsidP="00322CBB">
            <w:pPr>
              <w:spacing w:line="360" w:lineRule="auto"/>
              <w:jc w:val="both"/>
              <w:rPr>
                <w:rFonts w:ascii="Arial" w:hAnsi="Arial" w:cs="Arial"/>
              </w:rPr>
            </w:pPr>
          </w:p>
        </w:tc>
      </w:tr>
    </w:tbl>
    <w:p w14:paraId="27BD20A2" w14:textId="77777777" w:rsidR="00322CBB" w:rsidRDefault="00322CBB" w:rsidP="00C94727">
      <w:pPr>
        <w:rPr>
          <w:b/>
          <w:bCs/>
        </w:rPr>
      </w:pPr>
    </w:p>
    <w:p w14:paraId="1D99A5B8" w14:textId="77777777" w:rsidR="00322CBB" w:rsidRDefault="00322CBB" w:rsidP="00C94727">
      <w:pPr>
        <w:rPr>
          <w:b/>
          <w:bCs/>
        </w:rPr>
      </w:pPr>
    </w:p>
    <w:p w14:paraId="2A774688" w14:textId="77777777" w:rsidR="00322CBB" w:rsidRDefault="00322CBB" w:rsidP="00C94727">
      <w:pPr>
        <w:rPr>
          <w:b/>
          <w:bCs/>
        </w:rPr>
      </w:pPr>
    </w:p>
    <w:p w14:paraId="3CD99C35" w14:textId="77777777" w:rsidR="00C94727" w:rsidRPr="00322CBB" w:rsidRDefault="00C94727" w:rsidP="00322CBB">
      <w:pPr>
        <w:spacing w:line="360" w:lineRule="auto"/>
        <w:jc w:val="both"/>
        <w:rPr>
          <w:rFonts w:ascii="Arial" w:hAnsi="Arial" w:cs="Arial"/>
          <w:b/>
          <w:bCs/>
        </w:rPr>
      </w:pPr>
      <w:r w:rsidRPr="00322CBB">
        <w:rPr>
          <w:rFonts w:ascii="Arial" w:hAnsi="Arial" w:cs="Arial"/>
          <w:b/>
          <w:bCs/>
        </w:rPr>
        <w:t>SWOT Analysis: An Internal and External Appraisal</w:t>
      </w:r>
    </w:p>
    <w:p w14:paraId="034A7E11" w14:textId="77777777" w:rsidR="00C94727" w:rsidRDefault="00C94727" w:rsidP="00322CBB">
      <w:pPr>
        <w:spacing w:line="360" w:lineRule="auto"/>
        <w:jc w:val="both"/>
        <w:rPr>
          <w:rFonts w:ascii="Arial" w:hAnsi="Arial" w:cs="Arial"/>
        </w:rPr>
      </w:pPr>
      <w:r w:rsidRPr="00322CBB">
        <w:rPr>
          <w:rFonts w:ascii="Arial" w:hAnsi="Arial" w:cs="Arial"/>
        </w:rPr>
        <w:t>This SWOT analysis provides a focused appraisal of The Savoy's internal strengths and weaknesses as they relate to the external opportunities and threats posed by the digital transformation imperative. It serves to crystallise the core strategic challenges and to identify the key assets that can be mobilised in response (Fleisher &amp; Bensoussan, 2015).</w:t>
      </w:r>
    </w:p>
    <w:p w14:paraId="5BD2F95D" w14:textId="77777777" w:rsidR="00691754" w:rsidRPr="00322CBB" w:rsidRDefault="00691754" w:rsidP="00322CBB">
      <w:pPr>
        <w:spacing w:line="360" w:lineRule="auto"/>
        <w:jc w:val="both"/>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
        <w:gridCol w:w="4345"/>
        <w:gridCol w:w="5020"/>
      </w:tblGrid>
      <w:tr w:rsidR="00C94727" w:rsidRPr="00FA7F4B" w14:paraId="5015A1FE" w14:textId="77777777" w:rsidTr="008550AF">
        <w:trPr>
          <w:trHeight w:val="8044"/>
          <w:tblCellSpacing w:w="15" w:type="dxa"/>
        </w:trPr>
        <w:tc>
          <w:tcPr>
            <w:tcW w:w="50" w:type="dxa"/>
            <w:vAlign w:val="center"/>
            <w:hideMark/>
          </w:tcPr>
          <w:p w14:paraId="47B53E8D" w14:textId="77777777" w:rsidR="00C94727" w:rsidRPr="00691754" w:rsidRDefault="00C94727" w:rsidP="00691754">
            <w:pPr>
              <w:spacing w:line="360" w:lineRule="auto"/>
              <w:jc w:val="both"/>
              <w:rPr>
                <w:rFonts w:ascii="Arial" w:hAnsi="Arial" w:cs="Arial"/>
              </w:rPr>
            </w:pPr>
          </w:p>
        </w:tc>
        <w:tc>
          <w:tcPr>
            <w:tcW w:w="4315" w:type="dxa"/>
            <w:tcBorders>
              <w:top w:val="single" w:sz="4" w:space="0" w:color="auto"/>
              <w:left w:val="single" w:sz="4" w:space="0" w:color="auto"/>
              <w:bottom w:val="single" w:sz="4" w:space="0" w:color="auto"/>
              <w:right w:val="single" w:sz="4" w:space="0" w:color="auto"/>
            </w:tcBorders>
            <w:vAlign w:val="center"/>
            <w:hideMark/>
          </w:tcPr>
          <w:p w14:paraId="0F2D88EF" w14:textId="77777777" w:rsidR="00FA2CD7" w:rsidRPr="00691754" w:rsidRDefault="00FA2CD7" w:rsidP="00691754">
            <w:pPr>
              <w:spacing w:line="360" w:lineRule="auto"/>
              <w:jc w:val="both"/>
              <w:rPr>
                <w:rFonts w:ascii="Arial" w:hAnsi="Arial" w:cs="Arial"/>
                <w:b/>
                <w:bCs/>
              </w:rPr>
            </w:pPr>
            <w:r w:rsidRPr="00691754">
              <w:rPr>
                <w:rFonts w:ascii="Arial" w:hAnsi="Arial" w:cs="Arial"/>
                <w:b/>
                <w:bCs/>
              </w:rPr>
              <w:t>Strengths</w:t>
            </w:r>
          </w:p>
          <w:p w14:paraId="60EAE6E7" w14:textId="77777777" w:rsidR="002F24EC" w:rsidRDefault="00C94727" w:rsidP="00691754">
            <w:pPr>
              <w:spacing w:line="360" w:lineRule="auto"/>
              <w:jc w:val="both"/>
              <w:rPr>
                <w:rFonts w:ascii="Arial" w:hAnsi="Arial" w:cs="Arial"/>
              </w:rPr>
            </w:pPr>
            <w:r w:rsidRPr="00691754">
              <w:rPr>
                <w:rFonts w:ascii="Arial" w:hAnsi="Arial" w:cs="Arial"/>
                <w:bCs/>
              </w:rPr>
              <w:t>Unparalleled Brand Heritage:</w:t>
            </w:r>
            <w:r w:rsidRPr="00691754">
              <w:rPr>
                <w:rFonts w:ascii="Arial" w:hAnsi="Arial" w:cs="Arial"/>
              </w:rPr>
              <w:t xml:space="preserve"> The Savoy's name, history, and stories constitute a powerful and inimitable brand asset. This heritage provides a deep well of authenticity and narrative potential that new competitors simply cannot replicate. It is the hotel's most sustainable source of differentiation (Urde, Greyser &amp; Balmer, 2007). </w:t>
            </w:r>
            <w:r w:rsidRPr="00691754">
              <w:rPr>
                <w:rFonts w:ascii="Arial" w:hAnsi="Arial" w:cs="Arial"/>
              </w:rPr>
              <w:br/>
            </w:r>
            <w:r w:rsidRPr="00691754">
              <w:rPr>
                <w:rFonts w:ascii="Arial" w:hAnsi="Arial" w:cs="Arial"/>
              </w:rPr>
              <w:br/>
            </w:r>
            <w:r w:rsidRPr="00691754">
              <w:rPr>
                <w:rFonts w:ascii="Arial" w:hAnsi="Arial" w:cs="Arial"/>
                <w:bCs/>
              </w:rPr>
              <w:t>Deep-Rooted Service Culture:</w:t>
            </w:r>
            <w:r w:rsidRPr="00691754">
              <w:rPr>
                <w:rFonts w:ascii="Arial" w:hAnsi="Arial" w:cs="Arial"/>
              </w:rPr>
              <w:t xml:space="preserve"> The hotel possesses a world-renowned culture of personal service, delivered by a highly experienced and skilled workforce. This 'human touch' is a core capability and a major driver of guest loyalty.</w:t>
            </w:r>
          </w:p>
          <w:p w14:paraId="2EA920F5" w14:textId="77777777" w:rsidR="008550AF" w:rsidRPr="00691754" w:rsidRDefault="008550AF" w:rsidP="00691754">
            <w:pPr>
              <w:spacing w:line="360" w:lineRule="auto"/>
              <w:jc w:val="both"/>
              <w:rPr>
                <w:rFonts w:ascii="Arial" w:hAnsi="Arial" w:cs="Arial"/>
              </w:rPr>
            </w:pPr>
          </w:p>
        </w:tc>
        <w:tc>
          <w:tcPr>
            <w:tcW w:w="4975" w:type="dxa"/>
            <w:tcBorders>
              <w:top w:val="single" w:sz="4" w:space="0" w:color="auto"/>
              <w:left w:val="single" w:sz="4" w:space="0" w:color="auto"/>
              <w:bottom w:val="single" w:sz="4" w:space="0" w:color="auto"/>
              <w:right w:val="single" w:sz="4" w:space="0" w:color="auto"/>
            </w:tcBorders>
            <w:vAlign w:val="center"/>
            <w:hideMark/>
          </w:tcPr>
          <w:p w14:paraId="29622634" w14:textId="77777777" w:rsidR="00FA2CD7" w:rsidRPr="00691754" w:rsidRDefault="00FA2CD7" w:rsidP="00691754">
            <w:pPr>
              <w:spacing w:line="360" w:lineRule="auto"/>
              <w:jc w:val="both"/>
              <w:rPr>
                <w:rFonts w:ascii="Arial" w:hAnsi="Arial" w:cs="Arial"/>
                <w:b/>
                <w:bCs/>
              </w:rPr>
            </w:pPr>
            <w:r w:rsidRPr="00691754">
              <w:rPr>
                <w:rFonts w:ascii="Arial" w:hAnsi="Arial" w:cs="Arial"/>
                <w:b/>
                <w:bCs/>
              </w:rPr>
              <w:t>Weaknesses</w:t>
            </w:r>
          </w:p>
          <w:p w14:paraId="35607281" w14:textId="77777777" w:rsidR="001438CB" w:rsidRPr="00691754" w:rsidRDefault="00C94727" w:rsidP="00691754">
            <w:pPr>
              <w:spacing w:line="360" w:lineRule="auto"/>
              <w:jc w:val="both"/>
              <w:rPr>
                <w:rFonts w:ascii="Arial" w:hAnsi="Arial" w:cs="Arial"/>
              </w:rPr>
            </w:pPr>
            <w:r w:rsidRPr="00691754">
              <w:rPr>
                <w:rFonts w:ascii="Arial" w:hAnsi="Arial" w:cs="Arial"/>
                <w:bCs/>
              </w:rPr>
              <w:t>Legacy IT and Operational Systems:</w:t>
            </w:r>
            <w:r w:rsidRPr="00691754">
              <w:rPr>
                <w:rFonts w:ascii="Arial" w:hAnsi="Arial" w:cs="Arial"/>
              </w:rPr>
              <w:t xml:space="preserve"> The hotel's existing IT infrastructure is likely to be a complex patchwork of older, siloed systems. This lack of integration presents a significant technical barrier to implementing modern, data-driven service platforms and creates operational inefficiencies (Pearlson, Saunders &amp; Galletta, 2019). </w:t>
            </w:r>
            <w:r w:rsidRPr="00691754">
              <w:rPr>
                <w:rFonts w:ascii="Arial" w:hAnsi="Arial" w:cs="Arial"/>
              </w:rPr>
              <w:br/>
            </w:r>
            <w:r w:rsidRPr="00691754">
              <w:rPr>
                <w:rFonts w:ascii="Arial" w:hAnsi="Arial" w:cs="Arial"/>
              </w:rPr>
              <w:br/>
            </w:r>
            <w:r w:rsidRPr="00691754">
              <w:rPr>
                <w:rFonts w:ascii="Arial" w:hAnsi="Arial" w:cs="Arial"/>
                <w:bCs/>
              </w:rPr>
              <w:t>Potential for Cultural Inertia:</w:t>
            </w:r>
            <w:r w:rsidRPr="00691754">
              <w:rPr>
                <w:rFonts w:ascii="Arial" w:hAnsi="Arial" w:cs="Arial"/>
              </w:rPr>
              <w:t xml:space="preserve"> A long-serving workforce, while a source of strength, can also be a source of resistance to change. Established routines and a pride in the traditional way of doing things can create cultural inertia that makes the adoption of new technologies and workflows difficult (Senge, 2006</w:t>
            </w:r>
          </w:p>
        </w:tc>
      </w:tr>
      <w:tr w:rsidR="00C94727" w:rsidRPr="00FA7F4B" w14:paraId="12D11948" w14:textId="77777777" w:rsidTr="00C65D86">
        <w:trPr>
          <w:trHeight w:val="8795"/>
          <w:tblCellSpacing w:w="15" w:type="dxa"/>
        </w:trPr>
        <w:tc>
          <w:tcPr>
            <w:tcW w:w="50" w:type="dxa"/>
            <w:vAlign w:val="center"/>
            <w:hideMark/>
          </w:tcPr>
          <w:p w14:paraId="68F47306" w14:textId="77777777" w:rsidR="00C94727" w:rsidRPr="00FA7F4B" w:rsidRDefault="00C94727" w:rsidP="00F93E6C"/>
        </w:tc>
        <w:tc>
          <w:tcPr>
            <w:tcW w:w="4315" w:type="dxa"/>
            <w:tcBorders>
              <w:top w:val="single" w:sz="4" w:space="0" w:color="auto"/>
              <w:left w:val="single" w:sz="4" w:space="0" w:color="auto"/>
              <w:bottom w:val="single" w:sz="4" w:space="0" w:color="auto"/>
              <w:right w:val="single" w:sz="4" w:space="0" w:color="auto"/>
            </w:tcBorders>
            <w:vAlign w:val="center"/>
            <w:hideMark/>
          </w:tcPr>
          <w:p w14:paraId="04EDA0A6" w14:textId="77777777" w:rsidR="008550AF" w:rsidRPr="008550AF" w:rsidRDefault="008550AF" w:rsidP="00691754">
            <w:pPr>
              <w:spacing w:line="360" w:lineRule="auto"/>
              <w:jc w:val="both"/>
              <w:rPr>
                <w:rFonts w:ascii="Arial" w:hAnsi="Arial" w:cs="Arial"/>
                <w:b/>
                <w:bCs/>
              </w:rPr>
            </w:pPr>
            <w:r w:rsidRPr="008550AF">
              <w:rPr>
                <w:rFonts w:ascii="Arial" w:hAnsi="Arial" w:cs="Arial"/>
                <w:b/>
                <w:bCs/>
              </w:rPr>
              <w:t>Opportunities</w:t>
            </w:r>
          </w:p>
          <w:p w14:paraId="2B38B043" w14:textId="77777777" w:rsidR="00EA7905" w:rsidRPr="00691754" w:rsidRDefault="00C94727" w:rsidP="00691754">
            <w:pPr>
              <w:spacing w:line="360" w:lineRule="auto"/>
              <w:jc w:val="both"/>
              <w:rPr>
                <w:rFonts w:ascii="Arial" w:hAnsi="Arial" w:cs="Arial"/>
              </w:rPr>
            </w:pPr>
            <w:r w:rsidRPr="00691754">
              <w:rPr>
                <w:rFonts w:ascii="Arial" w:hAnsi="Arial" w:cs="Arial"/>
                <w:bCs/>
              </w:rPr>
              <w:t>Data-Driven Hyper-Personalisation:</w:t>
            </w:r>
            <w:r w:rsidRPr="00691754">
              <w:rPr>
                <w:rFonts w:ascii="Arial" w:hAnsi="Arial" w:cs="Arial"/>
              </w:rPr>
              <w:t xml:space="preserve"> The opportunity to leverage guest data to move from a reactive service model to a proactive, anticipatory one is immense. Data can be used to tailor every aspect of the guest experience, from room setup to dining recommendations, to an unprecedented degree (Davenport, 2014). </w:t>
            </w:r>
            <w:r w:rsidRPr="00691754">
              <w:rPr>
                <w:rFonts w:ascii="Arial" w:hAnsi="Arial" w:cs="Arial"/>
              </w:rPr>
              <w:br/>
            </w:r>
            <w:r w:rsidRPr="00691754">
              <w:rPr>
                <w:rFonts w:ascii="Arial" w:hAnsi="Arial" w:cs="Arial"/>
              </w:rPr>
              <w:br/>
            </w:r>
            <w:r w:rsidRPr="00691754">
              <w:rPr>
                <w:rFonts w:ascii="Arial" w:hAnsi="Arial" w:cs="Arial"/>
                <w:bCs/>
              </w:rPr>
              <w:t>Creating a Unique 'Phygital' Experience:</w:t>
            </w:r>
            <w:r w:rsidRPr="00691754">
              <w:rPr>
                <w:rFonts w:ascii="Arial" w:hAnsi="Arial" w:cs="Arial"/>
              </w:rPr>
              <w:t xml:space="preserve"> There is a major opportunity to blend the hotel's magnificent physical environment with curated digital layers (e.g., augmented reality history tours, app-based storytelling) to create a unique and deeply engaging "phygital" experience that is both modern and true to the brand (Wieland, 2021).</w:t>
            </w:r>
          </w:p>
        </w:tc>
        <w:tc>
          <w:tcPr>
            <w:tcW w:w="4975" w:type="dxa"/>
            <w:tcBorders>
              <w:top w:val="single" w:sz="4" w:space="0" w:color="auto"/>
              <w:left w:val="single" w:sz="4" w:space="0" w:color="auto"/>
              <w:bottom w:val="single" w:sz="4" w:space="0" w:color="auto"/>
              <w:right w:val="single" w:sz="4" w:space="0" w:color="auto"/>
            </w:tcBorders>
            <w:vAlign w:val="center"/>
            <w:hideMark/>
          </w:tcPr>
          <w:p w14:paraId="38CEB768" w14:textId="77777777" w:rsidR="008550AF" w:rsidRPr="008550AF" w:rsidRDefault="008550AF" w:rsidP="00691754">
            <w:pPr>
              <w:spacing w:line="360" w:lineRule="auto"/>
              <w:jc w:val="both"/>
              <w:rPr>
                <w:rFonts w:ascii="Arial" w:hAnsi="Arial" w:cs="Arial"/>
                <w:b/>
                <w:bCs/>
              </w:rPr>
            </w:pPr>
            <w:r w:rsidRPr="008550AF">
              <w:rPr>
                <w:rFonts w:ascii="Arial" w:hAnsi="Arial" w:cs="Arial"/>
                <w:b/>
                <w:bCs/>
              </w:rPr>
              <w:t xml:space="preserve">Treats </w:t>
            </w:r>
          </w:p>
          <w:p w14:paraId="6D5EEC0B" w14:textId="77777777" w:rsidR="00C94727" w:rsidRDefault="00C94727" w:rsidP="00691754">
            <w:pPr>
              <w:spacing w:line="360" w:lineRule="auto"/>
              <w:jc w:val="both"/>
              <w:rPr>
                <w:rFonts w:ascii="Arial" w:hAnsi="Arial" w:cs="Arial"/>
              </w:rPr>
            </w:pPr>
            <w:r w:rsidRPr="00691754">
              <w:rPr>
                <w:rFonts w:ascii="Arial" w:hAnsi="Arial" w:cs="Arial"/>
                <w:bCs/>
              </w:rPr>
              <w:t>Agile, 'Born-Digital' Competitors:</w:t>
            </w:r>
            <w:r w:rsidRPr="00691754">
              <w:rPr>
                <w:rFonts w:ascii="Arial" w:hAnsi="Arial" w:cs="Arial"/>
              </w:rPr>
              <w:t xml:space="preserve"> The London market is seeing the rise of new luxury lifestyle hotel brands that are built from the ground up with technology at their core. These competitors are agile, unburdened by legacy systems, and can offer a seamless digital experience that may appeal to younger demographics (Accenture, 2023). </w:t>
            </w:r>
            <w:r w:rsidRPr="00691754">
              <w:rPr>
                <w:rFonts w:ascii="Arial" w:hAnsi="Arial" w:cs="Arial"/>
              </w:rPr>
              <w:br/>
            </w:r>
            <w:r w:rsidRPr="00691754">
              <w:rPr>
                <w:rFonts w:ascii="Arial" w:hAnsi="Arial" w:cs="Arial"/>
              </w:rPr>
              <w:br/>
            </w:r>
            <w:r w:rsidRPr="00691754">
              <w:rPr>
                <w:rFonts w:ascii="Arial" w:hAnsi="Arial" w:cs="Arial"/>
                <w:bCs/>
              </w:rPr>
              <w:t>Sophisticated Cybersecurity Threats:</w:t>
            </w:r>
            <w:r w:rsidRPr="00691754">
              <w:rPr>
                <w:rFonts w:ascii="Arial" w:hAnsi="Arial" w:cs="Arial"/>
              </w:rPr>
              <w:t xml:space="preserve"> High-profile, data-rich organisations like The Savoy are prime targets for cyberattacks. A significant data breach would not only have legal and financial consequences but would also cause irreparable damage to a brand built on discretion and trust (Kshetri, 2013).</w:t>
            </w:r>
          </w:p>
          <w:p w14:paraId="6D9244F9" w14:textId="77777777" w:rsidR="00C65D86" w:rsidRDefault="00C65D86" w:rsidP="00691754">
            <w:pPr>
              <w:spacing w:line="360" w:lineRule="auto"/>
              <w:jc w:val="both"/>
              <w:rPr>
                <w:rFonts w:ascii="Arial" w:hAnsi="Arial" w:cs="Arial"/>
              </w:rPr>
            </w:pPr>
          </w:p>
          <w:p w14:paraId="1F6D02B7" w14:textId="77777777" w:rsidR="00C65D86" w:rsidRDefault="00C65D86" w:rsidP="00691754">
            <w:pPr>
              <w:spacing w:line="360" w:lineRule="auto"/>
              <w:jc w:val="both"/>
              <w:rPr>
                <w:rFonts w:ascii="Arial" w:hAnsi="Arial" w:cs="Arial"/>
              </w:rPr>
            </w:pPr>
          </w:p>
          <w:p w14:paraId="340DDC81" w14:textId="77777777" w:rsidR="00C65D86" w:rsidRPr="00691754" w:rsidRDefault="00C65D86" w:rsidP="00691754">
            <w:pPr>
              <w:spacing w:line="360" w:lineRule="auto"/>
              <w:jc w:val="both"/>
              <w:rPr>
                <w:rFonts w:ascii="Arial" w:hAnsi="Arial" w:cs="Arial"/>
              </w:rPr>
            </w:pPr>
          </w:p>
        </w:tc>
      </w:tr>
    </w:tbl>
    <w:p w14:paraId="7AC39F84" w14:textId="77777777" w:rsidR="00FC6B53" w:rsidRDefault="00FC6B53" w:rsidP="00C94727">
      <w:pPr>
        <w:rPr>
          <w:b/>
          <w:bCs/>
        </w:rPr>
      </w:pPr>
    </w:p>
    <w:p w14:paraId="3DCB8C48" w14:textId="77777777" w:rsidR="00C94727" w:rsidRPr="00FC6B53" w:rsidRDefault="00C94727" w:rsidP="00FC6B53">
      <w:pPr>
        <w:spacing w:line="360" w:lineRule="auto"/>
        <w:jc w:val="both"/>
        <w:rPr>
          <w:rFonts w:ascii="Arial" w:hAnsi="Arial" w:cs="Arial"/>
          <w:b/>
          <w:bCs/>
        </w:rPr>
      </w:pPr>
      <w:r w:rsidRPr="00FC6B53">
        <w:rPr>
          <w:rFonts w:ascii="Arial" w:hAnsi="Arial" w:cs="Arial"/>
          <w:b/>
          <w:bCs/>
        </w:rPr>
        <w:t>TOWS Matrix: Developing Strategic Responses</w:t>
      </w:r>
    </w:p>
    <w:p w14:paraId="44D16D6A" w14:textId="77777777" w:rsidR="00C94727" w:rsidRDefault="00C94727" w:rsidP="00FC6B53">
      <w:pPr>
        <w:spacing w:line="360" w:lineRule="auto"/>
        <w:jc w:val="both"/>
        <w:rPr>
          <w:rFonts w:ascii="Arial" w:hAnsi="Arial" w:cs="Arial"/>
        </w:rPr>
      </w:pPr>
      <w:r w:rsidRPr="00FC6B53">
        <w:rPr>
          <w:rFonts w:ascii="Arial" w:hAnsi="Arial" w:cs="Arial"/>
        </w:rPr>
        <w:t>The TOWS matrix moves the analysis from a passive assessment to an active process of strategy formulation. It provides a structured way to create strategic options by matching the internal factors (SWOT) with the external factors, ensuring a direct link between diagnosis and action (Weihrich, 1982).</w:t>
      </w:r>
    </w:p>
    <w:p w14:paraId="315F4B62" w14:textId="77777777" w:rsidR="00195404" w:rsidRPr="00FC6B53" w:rsidRDefault="00195404" w:rsidP="00FC6B53">
      <w:pPr>
        <w:spacing w:line="360" w:lineRule="auto"/>
        <w:jc w:val="both"/>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4"/>
        <w:gridCol w:w="3927"/>
        <w:gridCol w:w="3979"/>
      </w:tblGrid>
      <w:tr w:rsidR="00C94727" w:rsidRPr="00FC6B53" w14:paraId="088FE749" w14:textId="77777777" w:rsidTr="00FD6875">
        <w:trPr>
          <w:tblHeader/>
          <w:tblCellSpacing w:w="15" w:type="dxa"/>
        </w:trPr>
        <w:tc>
          <w:tcPr>
            <w:tcW w:w="0" w:type="auto"/>
            <w:vAlign w:val="center"/>
            <w:hideMark/>
          </w:tcPr>
          <w:p w14:paraId="2FDBBA35" w14:textId="77777777" w:rsidR="00C94727" w:rsidRPr="00FC6B53" w:rsidRDefault="00C94727" w:rsidP="00FD6875">
            <w:pPr>
              <w:jc w:val="both"/>
              <w:rPr>
                <w:rFonts w:ascii="Arial" w:hAnsi="Arial" w:cs="Arial"/>
              </w:rPr>
            </w:pPr>
          </w:p>
        </w:tc>
        <w:tc>
          <w:tcPr>
            <w:tcW w:w="0" w:type="auto"/>
            <w:vAlign w:val="center"/>
            <w:hideMark/>
          </w:tcPr>
          <w:p w14:paraId="1B83414C" w14:textId="77777777" w:rsidR="00C94727" w:rsidRPr="00FC6B53" w:rsidRDefault="00C94727" w:rsidP="00FD6875">
            <w:pPr>
              <w:jc w:val="both"/>
              <w:rPr>
                <w:rFonts w:ascii="Arial" w:hAnsi="Arial" w:cs="Arial"/>
              </w:rPr>
            </w:pPr>
            <w:r w:rsidRPr="00FC6B53">
              <w:rPr>
                <w:rFonts w:ascii="Arial" w:hAnsi="Arial" w:cs="Arial"/>
                <w:b/>
                <w:bCs/>
              </w:rPr>
              <w:t>Opportunities (O)</w:t>
            </w:r>
          </w:p>
        </w:tc>
        <w:tc>
          <w:tcPr>
            <w:tcW w:w="0" w:type="auto"/>
            <w:vAlign w:val="center"/>
            <w:hideMark/>
          </w:tcPr>
          <w:p w14:paraId="156CC360" w14:textId="77777777" w:rsidR="00C94727" w:rsidRPr="00FC6B53" w:rsidRDefault="00C94727" w:rsidP="00FD6875">
            <w:pPr>
              <w:jc w:val="both"/>
              <w:rPr>
                <w:rFonts w:ascii="Arial" w:hAnsi="Arial" w:cs="Arial"/>
              </w:rPr>
            </w:pPr>
            <w:r w:rsidRPr="00FC6B53">
              <w:rPr>
                <w:rFonts w:ascii="Arial" w:hAnsi="Arial" w:cs="Arial"/>
                <w:b/>
                <w:bCs/>
              </w:rPr>
              <w:t>Threats (T)</w:t>
            </w:r>
          </w:p>
        </w:tc>
      </w:tr>
      <w:tr w:rsidR="00C94727" w:rsidRPr="00FC6B53" w14:paraId="41B99DE7" w14:textId="77777777" w:rsidTr="00FD6875">
        <w:trPr>
          <w:tblCellSpacing w:w="15" w:type="dxa"/>
        </w:trPr>
        <w:tc>
          <w:tcPr>
            <w:tcW w:w="0" w:type="auto"/>
            <w:vAlign w:val="center"/>
            <w:hideMark/>
          </w:tcPr>
          <w:p w14:paraId="13A891D8" w14:textId="77777777" w:rsidR="00C94727" w:rsidRPr="00FC6B53" w:rsidRDefault="00C94727" w:rsidP="00FD6875">
            <w:pPr>
              <w:jc w:val="both"/>
              <w:rPr>
                <w:rFonts w:ascii="Arial" w:hAnsi="Arial" w:cs="Arial"/>
              </w:rPr>
            </w:pPr>
            <w:r w:rsidRPr="00FC6B53">
              <w:rPr>
                <w:rFonts w:ascii="Arial" w:hAnsi="Arial" w:cs="Arial"/>
                <w:b/>
                <w:bCs/>
              </w:rPr>
              <w:t>Strengths (S)</w:t>
            </w:r>
          </w:p>
        </w:tc>
        <w:tc>
          <w:tcPr>
            <w:tcW w:w="0" w:type="auto"/>
            <w:vAlign w:val="center"/>
            <w:hideMark/>
          </w:tcPr>
          <w:p w14:paraId="44EFD965" w14:textId="77777777" w:rsidR="00C94727" w:rsidRPr="00FC6B53" w:rsidRDefault="004E3C14" w:rsidP="00FD6875">
            <w:pPr>
              <w:jc w:val="both"/>
              <w:rPr>
                <w:rFonts w:ascii="Arial" w:hAnsi="Arial" w:cs="Arial"/>
              </w:rPr>
            </w:pPr>
            <w:r>
              <w:rPr>
                <w:rFonts w:ascii="Arial" w:hAnsi="Arial" w:cs="Arial"/>
                <w:b/>
                <w:bCs/>
              </w:rPr>
              <w:t xml:space="preserve">SO Strategies </w:t>
            </w:r>
            <w:r w:rsidR="00C94727" w:rsidRPr="00FC6B53">
              <w:rPr>
                <w:rFonts w:ascii="Arial" w:hAnsi="Arial" w:cs="Arial"/>
                <w:b/>
                <w:bCs/>
              </w:rPr>
              <w:t>:</w:t>
            </w:r>
            <w:r w:rsidR="00C94727" w:rsidRPr="00FC6B53">
              <w:rPr>
                <w:rFonts w:ascii="Arial" w:hAnsi="Arial" w:cs="Arial"/>
              </w:rPr>
              <w:t xml:space="preserve"> This is the most desirable strategic position, using strengths to capitalise on opportunities. The Savoy should </w:t>
            </w:r>
            <w:r w:rsidR="00C94727" w:rsidRPr="00FC6B53">
              <w:rPr>
                <w:rFonts w:ascii="Arial" w:hAnsi="Arial" w:cs="Arial"/>
                <w:b/>
                <w:bCs/>
              </w:rPr>
              <w:t>leverage its unique heritage and storytelling potential (S) to develop and launch a bespoke digital concierge application (O)</w:t>
            </w:r>
            <w:r w:rsidR="00C94727" w:rsidRPr="00FC6B53">
              <w:rPr>
                <w:rFonts w:ascii="Arial" w:hAnsi="Arial" w:cs="Arial"/>
              </w:rPr>
              <w:t>. This app would not be a generic service tool, but a curated gateway to the hotel's history and character, offering exclusive content alongside modern convenience. This creates a digitally-enabled experience that is impossible for competitors to copy (Teece, 2010).</w:t>
            </w:r>
          </w:p>
        </w:tc>
        <w:tc>
          <w:tcPr>
            <w:tcW w:w="0" w:type="auto"/>
            <w:vAlign w:val="center"/>
            <w:hideMark/>
          </w:tcPr>
          <w:p w14:paraId="4073CDEF" w14:textId="77777777" w:rsidR="00C94727" w:rsidRDefault="004E3C14" w:rsidP="00FD6875">
            <w:pPr>
              <w:jc w:val="both"/>
              <w:rPr>
                <w:rFonts w:ascii="Arial" w:hAnsi="Arial" w:cs="Arial"/>
              </w:rPr>
            </w:pPr>
            <w:r>
              <w:rPr>
                <w:rFonts w:ascii="Arial" w:hAnsi="Arial" w:cs="Arial"/>
                <w:b/>
                <w:bCs/>
              </w:rPr>
              <w:t xml:space="preserve">ST Strategies </w:t>
            </w:r>
            <w:r w:rsidR="00C94727" w:rsidRPr="00FC6B53">
              <w:rPr>
                <w:rFonts w:ascii="Arial" w:hAnsi="Arial" w:cs="Arial"/>
                <w:b/>
                <w:bCs/>
              </w:rPr>
              <w:t>:</w:t>
            </w:r>
            <w:r w:rsidR="00C94727" w:rsidRPr="00FC6B53">
              <w:rPr>
                <w:rFonts w:ascii="Arial" w:hAnsi="Arial" w:cs="Arial"/>
              </w:rPr>
              <w:t xml:space="preserve"> This position uses strengths to mitigate or avoid threats. The Savoy must </w:t>
            </w:r>
            <w:r w:rsidR="00C94727" w:rsidRPr="00FC6B53">
              <w:rPr>
                <w:rFonts w:ascii="Arial" w:hAnsi="Arial" w:cs="Arial"/>
                <w:b/>
                <w:bCs/>
              </w:rPr>
              <w:t>leverage its world-class human service culture (S) as its primary strategic defence against tech-first competitors (T)</w:t>
            </w:r>
            <w:r w:rsidR="00C94727" w:rsidRPr="00FC6B53">
              <w:rPr>
                <w:rFonts w:ascii="Arial" w:hAnsi="Arial" w:cs="Arial"/>
              </w:rPr>
              <w:t xml:space="preserve">. The core marketing message should be that technology at The Savoy is a tool to </w:t>
            </w:r>
            <w:r w:rsidR="00C94727" w:rsidRPr="00FC6B53">
              <w:rPr>
                <w:rFonts w:ascii="Arial" w:hAnsi="Arial" w:cs="Arial"/>
                <w:i/>
                <w:iCs/>
              </w:rPr>
              <w:t>empower</w:t>
            </w:r>
            <w:r w:rsidR="00C94727" w:rsidRPr="00FC6B53">
              <w:rPr>
                <w:rFonts w:ascii="Arial" w:hAnsi="Arial" w:cs="Arial"/>
              </w:rPr>
              <w:t xml:space="preserve"> its exceptional staff, not to replace them. This reframes the entire narrative, turning a potential weakness into a powerful statement of differentiation (Vargo &amp; Lusch, 2004).</w:t>
            </w:r>
          </w:p>
          <w:p w14:paraId="35B02649" w14:textId="77777777" w:rsidR="00FD6875" w:rsidRPr="00FC6B53" w:rsidRDefault="00FD6875" w:rsidP="00FD6875">
            <w:pPr>
              <w:jc w:val="both"/>
              <w:rPr>
                <w:rFonts w:ascii="Arial" w:hAnsi="Arial" w:cs="Arial"/>
              </w:rPr>
            </w:pPr>
          </w:p>
        </w:tc>
      </w:tr>
      <w:tr w:rsidR="00C94727" w:rsidRPr="00FC6B53" w14:paraId="3924F71D" w14:textId="77777777" w:rsidTr="00FD6875">
        <w:trPr>
          <w:tblCellSpacing w:w="15" w:type="dxa"/>
        </w:trPr>
        <w:tc>
          <w:tcPr>
            <w:tcW w:w="0" w:type="auto"/>
            <w:vAlign w:val="center"/>
            <w:hideMark/>
          </w:tcPr>
          <w:p w14:paraId="08EB8987" w14:textId="77777777" w:rsidR="00C94727" w:rsidRPr="00FC6B53" w:rsidRDefault="00C94727" w:rsidP="00FD6875">
            <w:pPr>
              <w:jc w:val="both"/>
              <w:rPr>
                <w:rFonts w:ascii="Arial" w:hAnsi="Arial" w:cs="Arial"/>
              </w:rPr>
            </w:pPr>
            <w:r w:rsidRPr="00FC6B53">
              <w:rPr>
                <w:rFonts w:ascii="Arial" w:hAnsi="Arial" w:cs="Arial"/>
                <w:b/>
                <w:bCs/>
              </w:rPr>
              <w:t>Weaknesses (W)</w:t>
            </w:r>
          </w:p>
        </w:tc>
        <w:tc>
          <w:tcPr>
            <w:tcW w:w="0" w:type="auto"/>
            <w:vAlign w:val="center"/>
            <w:hideMark/>
          </w:tcPr>
          <w:p w14:paraId="4F07B504" w14:textId="77777777" w:rsidR="00C94727" w:rsidRPr="00FC6B53" w:rsidRDefault="004E3C14" w:rsidP="00FD6875">
            <w:pPr>
              <w:jc w:val="both"/>
              <w:rPr>
                <w:rFonts w:ascii="Arial" w:hAnsi="Arial" w:cs="Arial"/>
              </w:rPr>
            </w:pPr>
            <w:r>
              <w:rPr>
                <w:rFonts w:ascii="Arial" w:hAnsi="Arial" w:cs="Arial"/>
                <w:b/>
                <w:bCs/>
              </w:rPr>
              <w:t xml:space="preserve">WO Strategies </w:t>
            </w:r>
            <w:r w:rsidR="00C94727" w:rsidRPr="00FC6B53">
              <w:rPr>
                <w:rFonts w:ascii="Arial" w:hAnsi="Arial" w:cs="Arial"/>
                <w:b/>
                <w:bCs/>
              </w:rPr>
              <w:t>:</w:t>
            </w:r>
            <w:r w:rsidR="00C94727" w:rsidRPr="00FC6B53">
              <w:rPr>
                <w:rFonts w:ascii="Arial" w:hAnsi="Arial" w:cs="Arial"/>
              </w:rPr>
              <w:t xml:space="preserve"> This strategy aims to overcome weaknesses by taking advantage of external opportunities. The hotel must </w:t>
            </w:r>
            <w:r w:rsidR="00C94727" w:rsidRPr="00FC6B53">
              <w:rPr>
                <w:rFonts w:ascii="Arial" w:hAnsi="Arial" w:cs="Arial"/>
                <w:b/>
                <w:bCs/>
              </w:rPr>
              <w:t>invest in a modern, cloud-native, integrated hospitality platform (O) to systematically eliminate the weakness of its fragmented and legacy IT systems (W)</w:t>
            </w:r>
            <w:r w:rsidR="00C94727" w:rsidRPr="00FC6B53">
              <w:rPr>
                <w:rFonts w:ascii="Arial" w:hAnsi="Arial" w:cs="Arial"/>
              </w:rPr>
              <w:t>. This transformational upgrade is the essential prerequisite for enabling any future data-driven personalisation or seamless guest-facing services (Ross, Weill &amp; Robertson, 2006).</w:t>
            </w:r>
          </w:p>
        </w:tc>
        <w:tc>
          <w:tcPr>
            <w:tcW w:w="0" w:type="auto"/>
            <w:vAlign w:val="center"/>
            <w:hideMark/>
          </w:tcPr>
          <w:p w14:paraId="75B84466" w14:textId="77777777" w:rsidR="00C94727" w:rsidRPr="00FC6B53" w:rsidRDefault="004E3C14" w:rsidP="00FD6875">
            <w:pPr>
              <w:jc w:val="both"/>
              <w:rPr>
                <w:rFonts w:ascii="Arial" w:hAnsi="Arial" w:cs="Arial"/>
              </w:rPr>
            </w:pPr>
            <w:r>
              <w:rPr>
                <w:rFonts w:ascii="Arial" w:hAnsi="Arial" w:cs="Arial"/>
                <w:b/>
                <w:bCs/>
              </w:rPr>
              <w:t xml:space="preserve">WT Strategies </w:t>
            </w:r>
            <w:r w:rsidR="00C94727" w:rsidRPr="00FC6B53">
              <w:rPr>
                <w:rFonts w:ascii="Arial" w:hAnsi="Arial" w:cs="Arial"/>
                <w:b/>
                <w:bCs/>
              </w:rPr>
              <w:t>:</w:t>
            </w:r>
            <w:r w:rsidR="00C94727" w:rsidRPr="00FC6B53">
              <w:rPr>
                <w:rFonts w:ascii="Arial" w:hAnsi="Arial" w:cs="Arial"/>
              </w:rPr>
              <w:t xml:space="preserve"> This is a defensive strategy aimed at minimising weaknesses to avoid threats. The hotel must </w:t>
            </w:r>
            <w:r w:rsidR="00C94727" w:rsidRPr="00FC6B53">
              <w:rPr>
                <w:rFonts w:ascii="Arial" w:hAnsi="Arial" w:cs="Arial"/>
                <w:b/>
                <w:bCs/>
              </w:rPr>
              <w:t>implement a proactive and comprehensive change management and training programme (addressing W) to mitigate the significant threat of low staff adoption of new systems (T)</w:t>
            </w:r>
            <w:r w:rsidR="00C94727" w:rsidRPr="00FC6B53">
              <w:rPr>
                <w:rFonts w:ascii="Arial" w:hAnsi="Arial" w:cs="Arial"/>
              </w:rPr>
              <w:t>. A phased rollout with extensive peer-to-peer support and clear incentives is required to ensure that the new technology is embraced rather than rejected by the workforce (Davis, 1989).</w:t>
            </w:r>
          </w:p>
        </w:tc>
      </w:tr>
    </w:tbl>
    <w:p w14:paraId="5A28E954" w14:textId="77777777" w:rsidR="0007156C" w:rsidRDefault="0007156C" w:rsidP="00C94727"/>
    <w:p w14:paraId="6E8C1487" w14:textId="77777777" w:rsidR="0007156C" w:rsidRDefault="0007156C" w:rsidP="00C94727"/>
    <w:p w14:paraId="0EFC7728" w14:textId="77777777" w:rsidR="0007156C" w:rsidRDefault="0007156C" w:rsidP="00C94727"/>
    <w:p w14:paraId="0673F39B" w14:textId="77777777" w:rsidR="0007156C" w:rsidRDefault="0007156C" w:rsidP="00C94727"/>
    <w:p w14:paraId="29552C05" w14:textId="77777777" w:rsidR="00C94727" w:rsidRPr="00675668" w:rsidRDefault="00C94727" w:rsidP="00B44534">
      <w:pPr>
        <w:spacing w:line="360" w:lineRule="auto"/>
        <w:jc w:val="both"/>
        <w:rPr>
          <w:rFonts w:ascii="Arial" w:hAnsi="Arial" w:cs="Arial"/>
        </w:rPr>
      </w:pPr>
      <w:r w:rsidRPr="00675668">
        <w:rPr>
          <w:rFonts w:ascii="Arial" w:hAnsi="Arial" w:cs="Arial"/>
        </w:rPr>
        <w:lastRenderedPageBreak/>
        <w:t>The clear strategic thrust emerging from this analysis is one of augmentation, not replacement. The Savoy cannot and should not attempt to compete on technology alone; that is a battle it is not structured to win. Instead, its strategy must be to use technology in a highly selective and intelligent way to augment its greatest existing strength: its unparalleled heritage and its culture of personal service. This requires a delicate, human-centric approach to digital transformation, which will be detailed in the following recommendations (Nambisan, Lyytinen, Majchrzak &amp; Song, 2017).</w:t>
      </w:r>
    </w:p>
    <w:p w14:paraId="438683D3" w14:textId="77777777" w:rsidR="00D052B0" w:rsidRPr="00B44534" w:rsidRDefault="00D052B0" w:rsidP="00B44534">
      <w:pPr>
        <w:spacing w:line="360" w:lineRule="auto"/>
        <w:jc w:val="both"/>
        <w:rPr>
          <w:rFonts w:ascii="Arial" w:hAnsi="Arial" w:cs="Arial"/>
        </w:rPr>
      </w:pPr>
    </w:p>
    <w:p w14:paraId="1A7BFE7C" w14:textId="77777777" w:rsidR="00C94727" w:rsidRPr="00B44534" w:rsidRDefault="00C94727" w:rsidP="00B44534">
      <w:pPr>
        <w:spacing w:line="360" w:lineRule="auto"/>
        <w:jc w:val="both"/>
        <w:rPr>
          <w:rFonts w:ascii="Arial" w:hAnsi="Arial" w:cs="Arial"/>
          <w:b/>
          <w:bCs/>
        </w:rPr>
      </w:pPr>
      <w:r w:rsidRPr="00B44534">
        <w:rPr>
          <w:rFonts w:ascii="Arial" w:hAnsi="Arial" w:cs="Arial"/>
          <w:b/>
          <w:bCs/>
        </w:rPr>
        <w:t>Recommendations and Change Management</w:t>
      </w:r>
    </w:p>
    <w:p w14:paraId="21DEA3CE" w14:textId="77777777" w:rsidR="00C94727" w:rsidRPr="00B44534" w:rsidRDefault="00C94727" w:rsidP="00B44534">
      <w:pPr>
        <w:spacing w:line="360" w:lineRule="auto"/>
        <w:jc w:val="both"/>
        <w:rPr>
          <w:rFonts w:ascii="Arial" w:hAnsi="Arial" w:cs="Arial"/>
        </w:rPr>
      </w:pPr>
      <w:r w:rsidRPr="00B44534">
        <w:rPr>
          <w:rFonts w:ascii="Arial" w:hAnsi="Arial" w:cs="Arial"/>
        </w:rPr>
        <w:t>This section presents a cohesive programme of strategic recommendations designed to address the challenges and opportunities identified in the preceding analysis. The proposals are not intended as standalone solutions, but as an integrated framework that addresses technology, service design, and human capital in a holistic manner. The overarching goal is to guide The Savoy through a deliberate evolution, enabling it to embrace digital innovation while strengthening its revered brand heritage. The success of this programme is critically dependent on a sophisticated and empathetic approach to change management, which is detailed herein, along with a realistic appraisal of the necessary investment and the anticipated strategic returns (Hrebiniak, 2005).</w:t>
      </w:r>
    </w:p>
    <w:p w14:paraId="753ED79F" w14:textId="77777777" w:rsidR="00C94727" w:rsidRPr="00B44534" w:rsidRDefault="00C94727" w:rsidP="00B44534">
      <w:pPr>
        <w:spacing w:line="360" w:lineRule="auto"/>
        <w:jc w:val="both"/>
        <w:rPr>
          <w:rFonts w:ascii="Arial" w:hAnsi="Arial" w:cs="Arial"/>
          <w:b/>
          <w:bCs/>
        </w:rPr>
      </w:pPr>
      <w:r w:rsidRPr="00B44534">
        <w:rPr>
          <w:rFonts w:ascii="Arial" w:hAnsi="Arial" w:cs="Arial"/>
          <w:b/>
          <w:bCs/>
        </w:rPr>
        <w:t>A Phased and Curated Digital Integration Strategy</w:t>
      </w:r>
    </w:p>
    <w:p w14:paraId="06E2DB09" w14:textId="77777777" w:rsidR="00C94727" w:rsidRPr="00B44534" w:rsidRDefault="00C94727" w:rsidP="00B44534">
      <w:pPr>
        <w:spacing w:line="360" w:lineRule="auto"/>
        <w:jc w:val="both"/>
        <w:rPr>
          <w:rFonts w:ascii="Arial" w:hAnsi="Arial" w:cs="Arial"/>
        </w:rPr>
      </w:pPr>
      <w:r w:rsidRPr="00B44534">
        <w:rPr>
          <w:rFonts w:ascii="Arial" w:hAnsi="Arial" w:cs="Arial"/>
        </w:rPr>
        <w:t xml:space="preserve">The analysis confirms that a monolithic, "big bang" implementation of technology would be antithetical to The Savoy's culture and brand, posing significant risks to operational stability and guest experience. Therefore, the first and most fundamental recommendation is the adoption of a </w:t>
      </w:r>
      <w:r w:rsidRPr="00B44534">
        <w:rPr>
          <w:rFonts w:ascii="Arial" w:hAnsi="Arial" w:cs="Arial"/>
          <w:bCs/>
        </w:rPr>
        <w:t>phased and curated digital integration strategy</w:t>
      </w:r>
      <w:r w:rsidRPr="00B44534">
        <w:rPr>
          <w:rFonts w:ascii="Arial" w:hAnsi="Arial" w:cs="Arial"/>
        </w:rPr>
        <w:t>. This methodical, multi-year approach allows the organisation to mitigate risk, manage capital expenditure, and, most importantly, learn and adapt as it progresses. It ensures that each new technological element is introduced thoughtfully, with a clear purpose and a seamless fit into the hotel's unique environment (Galliers &amp; Sutherland, 1991).</w:t>
      </w:r>
    </w:p>
    <w:p w14:paraId="47F9ADE1" w14:textId="77777777" w:rsidR="00C94727" w:rsidRPr="00B44534" w:rsidRDefault="00C94727" w:rsidP="00B44534">
      <w:pPr>
        <w:spacing w:line="360" w:lineRule="auto"/>
        <w:jc w:val="both"/>
        <w:rPr>
          <w:rFonts w:ascii="Arial" w:hAnsi="Arial" w:cs="Arial"/>
        </w:rPr>
      </w:pPr>
      <w:r w:rsidRPr="00B44534">
        <w:rPr>
          <w:rFonts w:ascii="Arial" w:hAnsi="Arial" w:cs="Arial"/>
        </w:rPr>
        <w:t xml:space="preserve">The initial phase, </w:t>
      </w:r>
      <w:r w:rsidRPr="00B44534">
        <w:rPr>
          <w:rFonts w:ascii="Arial" w:hAnsi="Arial" w:cs="Arial"/>
          <w:bCs/>
        </w:rPr>
        <w:t>The Invisible Upgrade (Months 1-12)</w:t>
      </w:r>
      <w:r w:rsidRPr="00B44534">
        <w:rPr>
          <w:rFonts w:ascii="Arial" w:hAnsi="Arial" w:cs="Arial"/>
        </w:rPr>
        <w:t>, must focus entirely on modernising the hotel's core technology infrastructure. This means prioritising back-of-</w:t>
      </w:r>
      <w:r w:rsidRPr="00B44534">
        <w:rPr>
          <w:rFonts w:ascii="Arial" w:hAnsi="Arial" w:cs="Arial"/>
        </w:rPr>
        <w:lastRenderedPageBreak/>
        <w:t>house systems that have no immediate, visible impact on the guest but are the essential foundation for all future innovation. The key project within this phase is the migration from legacy systems to a single, integrated, cloud-based platform encompassing the Property Management System (PMS) and Customer Relationship Management (CRM). This will create a unified 'single source of truth' for all guest data, eliminate information silos between departments, and provide the open architecture (e.g., APIs) necessary to connect future technologies seamlessly. This foundational investment is non-negotiable and directly addresses the critical weakness of legacy IT identified in the SWOT analysis (Pearlson, Saunders &amp; Galletta, 2019).</w:t>
      </w:r>
    </w:p>
    <w:p w14:paraId="509060C3" w14:textId="77777777" w:rsidR="00C94727" w:rsidRPr="00B44534" w:rsidRDefault="00C94727" w:rsidP="00B44534">
      <w:pPr>
        <w:spacing w:line="360" w:lineRule="auto"/>
        <w:jc w:val="both"/>
        <w:rPr>
          <w:rFonts w:ascii="Arial" w:hAnsi="Arial" w:cs="Arial"/>
        </w:rPr>
      </w:pPr>
      <w:r w:rsidRPr="00B44534">
        <w:rPr>
          <w:rFonts w:ascii="Arial" w:hAnsi="Arial" w:cs="Arial"/>
        </w:rPr>
        <w:t xml:space="preserve">The second phase, </w:t>
      </w:r>
      <w:r w:rsidRPr="00B44534">
        <w:rPr>
          <w:rFonts w:ascii="Arial" w:hAnsi="Arial" w:cs="Arial"/>
          <w:bCs/>
        </w:rPr>
        <w:t>Curated Guest-Facing Enhancements (Months 13-24)</w:t>
      </w:r>
      <w:r w:rsidRPr="00B44534">
        <w:rPr>
          <w:rFonts w:ascii="Arial" w:hAnsi="Arial" w:cs="Arial"/>
        </w:rPr>
        <w:t>, can commence once the new back-end is stable. The principle of this phase is careful curation—selecting and implementing only those technologies that genuinely enhance the guest experience without compromising the hotel's classic aesthetic. This would begin with the development of a bespoke mobile application, 'My Savoy,' designed primarily for service enhancement (e.g., making concierge or dining requests) and brand storytelling, rather than just utility. Concurrently, a pilot program would introduce elegantly designed, intuitive smart-room controls in a selection of refurbished suites. The design and user interface of any guest-facing technology must be of the highest quality, feeling like a natural extension of The Savoy's luxury environment, not a generic add-on. This requires a deep focus on user experience (UX) and human-computer interaction design (Norman, 2013).</w:t>
      </w:r>
    </w:p>
    <w:p w14:paraId="4DDCF261" w14:textId="77777777" w:rsidR="00C94727" w:rsidRPr="00B44534" w:rsidRDefault="00C94727" w:rsidP="00B44534">
      <w:pPr>
        <w:spacing w:line="360" w:lineRule="auto"/>
        <w:jc w:val="both"/>
        <w:rPr>
          <w:rFonts w:ascii="Arial" w:hAnsi="Arial" w:cs="Arial"/>
        </w:rPr>
      </w:pPr>
      <w:r w:rsidRPr="00B44534">
        <w:rPr>
          <w:rFonts w:ascii="Arial" w:hAnsi="Arial" w:cs="Arial"/>
        </w:rPr>
        <w:t xml:space="preserve">The final phase, </w:t>
      </w:r>
      <w:r w:rsidRPr="00B44534">
        <w:rPr>
          <w:rFonts w:ascii="Arial" w:hAnsi="Arial" w:cs="Arial"/>
          <w:bCs/>
        </w:rPr>
        <w:t>Seamless Omnichannel Integration (Months 25+)</w:t>
      </w:r>
      <w:r w:rsidRPr="00B44534">
        <w:rPr>
          <w:rFonts w:ascii="Arial" w:hAnsi="Arial" w:cs="Arial"/>
        </w:rPr>
        <w:t xml:space="preserve">, focuses on connecting the robust back-end platform with the curated front-end technologies to create a truly seamless guest journey. This is where the full power of the strategy is unlocked. The rich, unified data in the new CRM will be used to deliver hyper-personalisation at scale, both proactively through the app and by empowering staff with real-time insights. At this mature stage, optional features like mobile check-in and mobile room keys can be confidently introduced, as the underlying service model and technical infrastructure will be perfected. The objective is to achieve a true omnichannel state, where the guest experiences a single, consistent, and highly personalised version </w:t>
      </w:r>
      <w:r w:rsidRPr="00B44534">
        <w:rPr>
          <w:rFonts w:ascii="Arial" w:hAnsi="Arial" w:cs="Arial"/>
        </w:rPr>
        <w:lastRenderedPageBreak/>
        <w:t>of The Savoy's service, regardless of whether they are interacting through the app, speaking to a staff member in person, or communicating via email (Lemon &amp; Verhoef, 2016).</w:t>
      </w:r>
    </w:p>
    <w:p w14:paraId="304B4F67" w14:textId="77777777" w:rsidR="00C94727" w:rsidRPr="00B44534" w:rsidRDefault="00C94727" w:rsidP="00B44534">
      <w:pPr>
        <w:spacing w:line="360" w:lineRule="auto"/>
        <w:jc w:val="both"/>
        <w:rPr>
          <w:rFonts w:ascii="Arial" w:hAnsi="Arial" w:cs="Arial"/>
          <w:b/>
          <w:bCs/>
        </w:rPr>
      </w:pPr>
      <w:r w:rsidRPr="00B44534">
        <w:rPr>
          <w:rFonts w:ascii="Arial" w:hAnsi="Arial" w:cs="Arial"/>
          <w:b/>
          <w:bCs/>
        </w:rPr>
        <w:t>The 'Digital Concierge': A Human-Centric Service Model</w:t>
      </w:r>
    </w:p>
    <w:p w14:paraId="5431E5ED" w14:textId="77777777" w:rsidR="00C94727" w:rsidRPr="00B44534" w:rsidRDefault="00C94727" w:rsidP="00B44534">
      <w:pPr>
        <w:spacing w:line="360" w:lineRule="auto"/>
        <w:jc w:val="both"/>
        <w:rPr>
          <w:rFonts w:ascii="Arial" w:hAnsi="Arial" w:cs="Arial"/>
        </w:rPr>
      </w:pPr>
      <w:r w:rsidRPr="00B44534">
        <w:rPr>
          <w:rFonts w:ascii="Arial" w:hAnsi="Arial" w:cs="Arial"/>
        </w:rPr>
        <w:t xml:space="preserve">The single greatest risk of digital transformation is that it will lead to a service experience that is efficient but impersonal, thereby eroding The Savoy's core differentiator. This second recommendation directly counters that risk by proposing an innovative, human-centric service model: </w:t>
      </w:r>
      <w:r w:rsidRPr="00B44534">
        <w:rPr>
          <w:rFonts w:ascii="Arial" w:hAnsi="Arial" w:cs="Arial"/>
          <w:bCs/>
        </w:rPr>
        <w:t>'The Digital Concierge'</w:t>
      </w:r>
      <w:r w:rsidRPr="00B44534">
        <w:rPr>
          <w:rFonts w:ascii="Arial" w:hAnsi="Arial" w:cs="Arial"/>
        </w:rPr>
        <w:t>. This concept strategically reframes technology not as a replacement for human service, but as a powerful tool that augments the capabilities of the hotel's staff, allowing them to deliver an even higher, more intuitive, and more personalised level of care. This approach turns technology from a potential threat into the key enabler of next-generation service excellence (Sundbo, 2015).</w:t>
      </w:r>
    </w:p>
    <w:p w14:paraId="194EA831" w14:textId="77777777" w:rsidR="00C94727" w:rsidRPr="00B44534" w:rsidRDefault="00C94727" w:rsidP="00B44534">
      <w:pPr>
        <w:spacing w:line="360" w:lineRule="auto"/>
        <w:jc w:val="both"/>
        <w:rPr>
          <w:rFonts w:ascii="Arial" w:hAnsi="Arial" w:cs="Arial"/>
        </w:rPr>
      </w:pPr>
      <w:r w:rsidRPr="00B44534">
        <w:rPr>
          <w:rFonts w:ascii="Arial" w:hAnsi="Arial" w:cs="Arial"/>
        </w:rPr>
        <w:t>In this model, key front-of-house staff—particularly the concierge, guest relations, and butler teams—are equipped with discreet, elegant tablets, seamlessly connected to the new integrated data platform. When a guest makes a request through the 'My Savoy' app, it is instantly and intelligently routed to the most appropriate team member's device. For example, a request for theatre tickets goes directly to a concierge's tablet, not a central queue. This eliminates communication bottlenecks and ensures that every digital request is fulfilled by a human expert, preserving the personal touch and expertise that The Savoy is famous for. This represents a fundamental redesign of the service process, optimising it for both efficiency and quality (Bitner, Ostrom &amp; Meuter, 2002).</w:t>
      </w:r>
    </w:p>
    <w:p w14:paraId="79971346" w14:textId="77777777" w:rsidR="00C94727" w:rsidRPr="00B44534" w:rsidRDefault="00C94727" w:rsidP="00B44534">
      <w:pPr>
        <w:spacing w:line="360" w:lineRule="auto"/>
        <w:jc w:val="both"/>
        <w:rPr>
          <w:rFonts w:ascii="Arial" w:hAnsi="Arial" w:cs="Arial"/>
        </w:rPr>
      </w:pPr>
      <w:r w:rsidRPr="00B44534">
        <w:rPr>
          <w:rFonts w:ascii="Arial" w:hAnsi="Arial" w:cs="Arial"/>
        </w:rPr>
        <w:t xml:space="preserve">The true innovation of the 'Digital Concierge' model is the principle of empowerment through information. The application on the employee's tablet will provide them with a rich, real-time dashboard of the guest's profile. With a single glance, they can see the guest's name, photograph, loyalty status, stay history, known preferences (e.g., preferred newspaper, pillow type), and any recent interactions or requests. This allows the employee to engage with the guest with an unprecedented level of context and foresight, moving the service interaction from reactive to proactive. It enables them to </w:t>
      </w:r>
      <w:r w:rsidRPr="00B44534">
        <w:rPr>
          <w:rFonts w:ascii="Arial" w:hAnsi="Arial" w:cs="Arial"/>
        </w:rPr>
        <w:lastRenderedPageBreak/>
        <w:t>anticipate needs and make thoughtful suggestions that create 'wow' moments for the guest, all powered by intelligent data application (Davenport &amp; Harris, 2007).</w:t>
      </w:r>
    </w:p>
    <w:p w14:paraId="33CB5C77" w14:textId="77777777" w:rsidR="00C94727" w:rsidRPr="00B44534" w:rsidRDefault="00C94727" w:rsidP="00B44534">
      <w:pPr>
        <w:spacing w:line="360" w:lineRule="auto"/>
        <w:jc w:val="both"/>
        <w:rPr>
          <w:rFonts w:ascii="Arial" w:hAnsi="Arial" w:cs="Arial"/>
        </w:rPr>
      </w:pPr>
      <w:r w:rsidRPr="00B44534">
        <w:rPr>
          <w:rFonts w:ascii="Arial" w:hAnsi="Arial" w:cs="Arial"/>
        </w:rPr>
        <w:t>This model fundamentally preserves and enhances the human connection. By automating the low-value task of searching for information, the technology frees up the employee's time and cognitive bandwidth to focus entirely on the high-value tasks of building rapport, showing empathy, and solving complex guest problems. The technology becomes an invisible partner, working in the background to make the human host appear more knowledgeable, more efficient, and more attuned to the guest's needs. It is a model that uses 21st-century tools to elevate the timeless art of hospitality, perfectly resolving the paradox of heritage and innovation (Zomerdijk &amp; Voss, 2010).</w:t>
      </w:r>
    </w:p>
    <w:p w14:paraId="1BA71AC6" w14:textId="77777777" w:rsidR="00816D39" w:rsidRDefault="00816D39" w:rsidP="00B44534">
      <w:pPr>
        <w:spacing w:line="360" w:lineRule="auto"/>
        <w:jc w:val="both"/>
        <w:rPr>
          <w:rFonts w:ascii="Arial" w:hAnsi="Arial" w:cs="Arial"/>
          <w:b/>
          <w:bCs/>
        </w:rPr>
      </w:pPr>
    </w:p>
    <w:p w14:paraId="74BAD3BA" w14:textId="77777777" w:rsidR="00C94727" w:rsidRPr="00B44534" w:rsidRDefault="00C94727" w:rsidP="00B44534">
      <w:pPr>
        <w:spacing w:line="360" w:lineRule="auto"/>
        <w:jc w:val="both"/>
        <w:rPr>
          <w:rFonts w:ascii="Arial" w:hAnsi="Arial" w:cs="Arial"/>
          <w:b/>
          <w:bCs/>
        </w:rPr>
      </w:pPr>
      <w:r w:rsidRPr="00B44534">
        <w:rPr>
          <w:rFonts w:ascii="Arial" w:hAnsi="Arial" w:cs="Arial"/>
          <w:b/>
          <w:bCs/>
        </w:rPr>
        <w:t>Cultivating 'Digital Ambassadors': A Human Capital Strategy</w:t>
      </w:r>
    </w:p>
    <w:p w14:paraId="3E597072" w14:textId="77777777" w:rsidR="00C94727" w:rsidRPr="00B44534" w:rsidRDefault="00C94727" w:rsidP="00B44534">
      <w:pPr>
        <w:spacing w:line="360" w:lineRule="auto"/>
        <w:jc w:val="both"/>
        <w:rPr>
          <w:rFonts w:ascii="Arial" w:hAnsi="Arial" w:cs="Arial"/>
        </w:rPr>
      </w:pPr>
      <w:r w:rsidRPr="00B44534">
        <w:rPr>
          <w:rFonts w:ascii="Arial" w:hAnsi="Arial" w:cs="Arial"/>
        </w:rPr>
        <w:t xml:space="preserve">The most sophisticated technology strategy will fail if the people who are meant to use it are not skilled, confident, and motivated to do so. The third recommendation, therefore, is a comprehensive human capital strategy focused on </w:t>
      </w:r>
      <w:r w:rsidRPr="00B44534">
        <w:rPr>
          <w:rFonts w:ascii="Arial" w:hAnsi="Arial" w:cs="Arial"/>
          <w:bCs/>
        </w:rPr>
        <w:t>Cultivating a workforce of 'Digital Ambassadors'</w:t>
      </w:r>
      <w:r w:rsidRPr="00B44534">
        <w:rPr>
          <w:rFonts w:ascii="Arial" w:hAnsi="Arial" w:cs="Arial"/>
        </w:rPr>
        <w:t>. This initiative is the critical cultural component of the transformation, designed to ensure that the staff become the biggest champions of the new service model, not its biggest obstacle. It addresses the weakness of potential cultural resistance and the threat of poor user adoption head-on (Gil-García, 2012).</w:t>
      </w:r>
    </w:p>
    <w:p w14:paraId="083B9238" w14:textId="77777777" w:rsidR="0007156C" w:rsidRPr="00B44534" w:rsidRDefault="00C94727" w:rsidP="00B44534">
      <w:pPr>
        <w:spacing w:line="360" w:lineRule="auto"/>
        <w:jc w:val="both"/>
        <w:rPr>
          <w:rFonts w:ascii="Arial" w:hAnsi="Arial" w:cs="Arial"/>
        </w:rPr>
      </w:pPr>
      <w:r w:rsidRPr="00B44534">
        <w:rPr>
          <w:rFonts w:ascii="Arial" w:hAnsi="Arial" w:cs="Arial"/>
        </w:rPr>
        <w:t xml:space="preserve">The cornerstone of this initiative is a bespoke, multi-layered training and development curriculum. This must extend far beyond basic technical instruction. The programme will have four key modules: </w:t>
      </w:r>
    </w:p>
    <w:p w14:paraId="706528C9" w14:textId="77777777" w:rsidR="0007156C" w:rsidRPr="00B44534" w:rsidRDefault="00C94727" w:rsidP="00B44534">
      <w:pPr>
        <w:spacing w:line="360" w:lineRule="auto"/>
        <w:jc w:val="both"/>
        <w:rPr>
          <w:rFonts w:ascii="Arial" w:hAnsi="Arial" w:cs="Arial"/>
        </w:rPr>
      </w:pPr>
      <w:r w:rsidRPr="00B44534">
        <w:rPr>
          <w:rFonts w:ascii="Arial" w:hAnsi="Arial" w:cs="Arial"/>
        </w:rPr>
        <w:t xml:space="preserve">1) </w:t>
      </w:r>
      <w:r w:rsidRPr="00B44534">
        <w:rPr>
          <w:rFonts w:ascii="Arial" w:hAnsi="Arial" w:cs="Arial"/>
          <w:b/>
          <w:bCs/>
        </w:rPr>
        <w:t>Technical Fluency</w:t>
      </w:r>
      <w:r w:rsidRPr="00B44534">
        <w:rPr>
          <w:rFonts w:ascii="Arial" w:hAnsi="Arial" w:cs="Arial"/>
        </w:rPr>
        <w:t xml:space="preserve">, ensuring all relevant staff can use the new hardware and software with effortless competence. </w:t>
      </w:r>
    </w:p>
    <w:p w14:paraId="73DA9AEE" w14:textId="77777777" w:rsidR="0007156C" w:rsidRPr="00B44534" w:rsidRDefault="00C94727" w:rsidP="00B44534">
      <w:pPr>
        <w:spacing w:line="360" w:lineRule="auto"/>
        <w:jc w:val="both"/>
        <w:rPr>
          <w:rFonts w:ascii="Arial" w:hAnsi="Arial" w:cs="Arial"/>
        </w:rPr>
      </w:pPr>
      <w:r w:rsidRPr="00B44534">
        <w:rPr>
          <w:rFonts w:ascii="Arial" w:hAnsi="Arial" w:cs="Arial"/>
        </w:rPr>
        <w:t xml:space="preserve">2) </w:t>
      </w:r>
      <w:r w:rsidRPr="00B44534">
        <w:rPr>
          <w:rFonts w:ascii="Arial" w:hAnsi="Arial" w:cs="Arial"/>
          <w:b/>
          <w:bCs/>
        </w:rPr>
        <w:t>Service Integration</w:t>
      </w:r>
      <w:r w:rsidRPr="00B44534">
        <w:rPr>
          <w:rFonts w:ascii="Arial" w:hAnsi="Arial" w:cs="Arial"/>
        </w:rPr>
        <w:t xml:space="preserve">, using extensive role-playing to train staff on how to integrate the use of a tablet into a graceful and natural luxury service interaction. </w:t>
      </w:r>
    </w:p>
    <w:p w14:paraId="24769CAA" w14:textId="77777777" w:rsidR="0007156C" w:rsidRPr="00B44534" w:rsidRDefault="00C94727" w:rsidP="00B44534">
      <w:pPr>
        <w:spacing w:line="360" w:lineRule="auto"/>
        <w:jc w:val="both"/>
        <w:rPr>
          <w:rFonts w:ascii="Arial" w:hAnsi="Arial" w:cs="Arial"/>
        </w:rPr>
      </w:pPr>
      <w:r w:rsidRPr="00B44534">
        <w:rPr>
          <w:rFonts w:ascii="Arial" w:hAnsi="Arial" w:cs="Arial"/>
        </w:rPr>
        <w:t xml:space="preserve">3) </w:t>
      </w:r>
      <w:r w:rsidRPr="00B44534">
        <w:rPr>
          <w:rFonts w:ascii="Arial" w:hAnsi="Arial" w:cs="Arial"/>
          <w:b/>
          <w:bCs/>
        </w:rPr>
        <w:t>Digital Storytelling</w:t>
      </w:r>
      <w:r w:rsidRPr="00B44534">
        <w:rPr>
          <w:rFonts w:ascii="Arial" w:hAnsi="Arial" w:cs="Arial"/>
        </w:rPr>
        <w:t xml:space="preserve">, training staff on how to use the information and features in the new tools to tell The Savoy's stories and enrich the guest experience. </w:t>
      </w:r>
    </w:p>
    <w:p w14:paraId="7564F780" w14:textId="77777777" w:rsidR="00C94727" w:rsidRPr="00B44534" w:rsidRDefault="00C94727" w:rsidP="00B44534">
      <w:pPr>
        <w:spacing w:line="360" w:lineRule="auto"/>
        <w:jc w:val="both"/>
        <w:rPr>
          <w:rFonts w:ascii="Arial" w:hAnsi="Arial" w:cs="Arial"/>
        </w:rPr>
      </w:pPr>
      <w:r w:rsidRPr="00B44534">
        <w:rPr>
          <w:rFonts w:ascii="Arial" w:hAnsi="Arial" w:cs="Arial"/>
        </w:rPr>
        <w:lastRenderedPageBreak/>
        <w:t xml:space="preserve">4) </w:t>
      </w:r>
      <w:r w:rsidRPr="00B44534">
        <w:rPr>
          <w:rFonts w:ascii="Arial" w:hAnsi="Arial" w:cs="Arial"/>
          <w:b/>
          <w:bCs/>
        </w:rPr>
        <w:t>Empathetic Problem-Solving</w:t>
      </w:r>
      <w:r w:rsidRPr="00B44534">
        <w:rPr>
          <w:rFonts w:ascii="Arial" w:hAnsi="Arial" w:cs="Arial"/>
        </w:rPr>
        <w:t>, equipping staff to confidently handle any minor technical queries or issues guests may have. This blended learning approach ensures staff are not just technically proficient, but also behaviourally adept (Salas, Tannenbaum, Kraiger &amp; Smith-Jentsch, 2012).</w:t>
      </w:r>
    </w:p>
    <w:p w14:paraId="3D77F039" w14:textId="77777777" w:rsidR="00C94727" w:rsidRPr="00B44534" w:rsidRDefault="00C94727" w:rsidP="00B44534">
      <w:pPr>
        <w:spacing w:line="360" w:lineRule="auto"/>
        <w:jc w:val="both"/>
        <w:rPr>
          <w:rFonts w:ascii="Arial" w:hAnsi="Arial" w:cs="Arial"/>
        </w:rPr>
      </w:pPr>
      <w:r w:rsidRPr="00B44534">
        <w:rPr>
          <w:rFonts w:ascii="Arial" w:hAnsi="Arial" w:cs="Arial"/>
        </w:rPr>
        <w:t xml:space="preserve">To drive adoption from the ground up, a network of </w:t>
      </w:r>
      <w:r w:rsidRPr="00B44534">
        <w:rPr>
          <w:rFonts w:ascii="Arial" w:hAnsi="Arial" w:cs="Arial"/>
          <w:bCs/>
        </w:rPr>
        <w:t>'Digital Champions'</w:t>
      </w:r>
      <w:r w:rsidRPr="00B44534">
        <w:rPr>
          <w:rFonts w:ascii="Arial" w:hAnsi="Arial" w:cs="Arial"/>
        </w:rPr>
        <w:t xml:space="preserve"> will be established. These will be influential and tech-enthusiastic employees selected from various departments who will receive advanced training. Their role will be to act as peer-to-peer coaches, mentors, and a first line of support for their colleagues. This approach fosters a sense of collective ownership and is proven to be more effective in overcoming resistance than purely top-down directives. These champions will also be a vital feedback loop to the project team, helping to refine the tools and processes based on real-world use (Wenger, McDermott &amp; Snyder, 2002).</w:t>
      </w:r>
    </w:p>
    <w:p w14:paraId="3D4784F6" w14:textId="77777777" w:rsidR="00C94727" w:rsidRPr="00B44534" w:rsidRDefault="00C94727" w:rsidP="00B44534">
      <w:pPr>
        <w:spacing w:line="360" w:lineRule="auto"/>
        <w:jc w:val="both"/>
        <w:rPr>
          <w:rFonts w:ascii="Arial" w:hAnsi="Arial" w:cs="Arial"/>
        </w:rPr>
      </w:pPr>
      <w:r w:rsidRPr="00B44534">
        <w:rPr>
          <w:rFonts w:ascii="Arial" w:hAnsi="Arial" w:cs="Arial"/>
        </w:rPr>
        <w:t>Finally, to ensure that digital competence becomes a valued and permanent part of the hotel's culture, it must be embedded into its formal HR systems. Job descriptions for new hires will be updated to include digital literacy as a core requirement. The performance management system will be redesigned so that reviews explicitly assess how effectively employees are using the new digital tools to enhance guest satisfaction. Furthermore, the hotel's reward and recognition programmes will be adapted to include specific awards for 'Digital Service Excellence,' publicly celebrating and rewarding those individuals and teams who best exemplify the new 'Digital Concierge' service model (Lawler, 2003).</w:t>
      </w:r>
    </w:p>
    <w:p w14:paraId="7BC4AB6D" w14:textId="77777777" w:rsidR="00C94727" w:rsidRPr="00B44534" w:rsidRDefault="00C94727" w:rsidP="00B44534">
      <w:pPr>
        <w:spacing w:line="360" w:lineRule="auto"/>
        <w:jc w:val="both"/>
        <w:rPr>
          <w:rFonts w:ascii="Arial" w:hAnsi="Arial" w:cs="Arial"/>
          <w:b/>
          <w:bCs/>
        </w:rPr>
      </w:pPr>
      <w:r w:rsidRPr="00B44534">
        <w:rPr>
          <w:rFonts w:ascii="Arial" w:hAnsi="Arial" w:cs="Arial"/>
          <w:b/>
          <w:bCs/>
        </w:rPr>
        <w:t>A Framework for Managing Technological and Cultural Change</w:t>
      </w:r>
    </w:p>
    <w:p w14:paraId="42F1818A" w14:textId="77777777" w:rsidR="00C94727" w:rsidRPr="00B44534" w:rsidRDefault="00C94727" w:rsidP="00B44534">
      <w:pPr>
        <w:spacing w:line="360" w:lineRule="auto"/>
        <w:jc w:val="both"/>
        <w:rPr>
          <w:rFonts w:ascii="Arial" w:hAnsi="Arial" w:cs="Arial"/>
        </w:rPr>
      </w:pPr>
      <w:r w:rsidRPr="00B44534">
        <w:rPr>
          <w:rFonts w:ascii="Arial" w:hAnsi="Arial" w:cs="Arial"/>
        </w:rPr>
        <w:t>The successful implementation of this digital transformation is, at its heart, a process of profound organisational change. Managing the technical project plan is only half the battle; managing the associated cultural shift is equally, if not more, important. A socio-technical systems perspective, which views technology and social structures as being inextricably linked, must be adopted (Bostrom &amp; Heinen, 1977). To guide this complex process, a formal change management framework combining the classic models of Lewin and Kotter is recommended.</w:t>
      </w:r>
    </w:p>
    <w:p w14:paraId="4603583C" w14:textId="77777777" w:rsidR="00C94727" w:rsidRPr="00B44534" w:rsidRDefault="00C94727" w:rsidP="00B44534">
      <w:pPr>
        <w:spacing w:line="360" w:lineRule="auto"/>
        <w:jc w:val="both"/>
        <w:rPr>
          <w:rFonts w:ascii="Arial" w:hAnsi="Arial" w:cs="Arial"/>
        </w:rPr>
      </w:pPr>
      <w:r w:rsidRPr="00B44534">
        <w:rPr>
          <w:rFonts w:ascii="Arial" w:hAnsi="Arial" w:cs="Arial"/>
        </w:rPr>
        <w:lastRenderedPageBreak/>
        <w:t xml:space="preserve">Lewin's (1947) three-stage model provides the overarching philosophy for the change journey. The </w:t>
      </w:r>
      <w:r w:rsidRPr="00B44534">
        <w:rPr>
          <w:rFonts w:ascii="Arial" w:hAnsi="Arial" w:cs="Arial"/>
          <w:bCs/>
        </w:rPr>
        <w:t>Unfreeze</w:t>
      </w:r>
      <w:r w:rsidRPr="00B44534">
        <w:rPr>
          <w:rFonts w:ascii="Arial" w:hAnsi="Arial" w:cs="Arial"/>
        </w:rPr>
        <w:t xml:space="preserve"> stage will be initiated by the hotel's leadership team, who must create a compelling case for change. This involves transparently sharing the analysis of competitor activities, shifting guest expectations, and the risks of inaction. Crucially, it also involves listening to staff and acknowledging their anxieties, creating a climate of psychological safety. The </w:t>
      </w:r>
      <w:r w:rsidRPr="00B44534">
        <w:rPr>
          <w:rFonts w:ascii="Arial" w:hAnsi="Arial" w:cs="Arial"/>
          <w:b/>
          <w:bCs/>
        </w:rPr>
        <w:t>Change</w:t>
      </w:r>
      <w:r w:rsidRPr="00B44534">
        <w:rPr>
          <w:rFonts w:ascii="Arial" w:hAnsi="Arial" w:cs="Arial"/>
        </w:rPr>
        <w:t xml:space="preserve"> stage represents the multi-year implementation period, managed through constant and consistent communication. During this time, the training programmes are rolled out, the Digital Champions are empowered, and the organisation is in a state of managed transition. The final </w:t>
      </w:r>
      <w:r w:rsidRPr="00B44534">
        <w:rPr>
          <w:rFonts w:ascii="Arial" w:hAnsi="Arial" w:cs="Arial"/>
          <w:b/>
          <w:bCs/>
        </w:rPr>
        <w:t>Refreeze</w:t>
      </w:r>
      <w:r w:rsidRPr="00B44534">
        <w:rPr>
          <w:rFonts w:ascii="Arial" w:hAnsi="Arial" w:cs="Arial"/>
        </w:rPr>
        <w:t xml:space="preserve"> stage is about making the changes stick. This is achieved by embedding the new digital competencies and service behaviours into the formal structures of the organisation—its performance reviews, its incentive systems, and its daily operational routines—so that the new way of working becomes the new tradition (Schein, 1996).</w:t>
      </w:r>
    </w:p>
    <w:p w14:paraId="095CCC1E" w14:textId="77777777" w:rsidR="007144B7" w:rsidRPr="00B44534" w:rsidRDefault="00C94727" w:rsidP="00B44534">
      <w:pPr>
        <w:spacing w:line="360" w:lineRule="auto"/>
        <w:jc w:val="both"/>
        <w:rPr>
          <w:rFonts w:ascii="Arial" w:hAnsi="Arial" w:cs="Arial"/>
        </w:rPr>
      </w:pPr>
      <w:r w:rsidRPr="00B44534">
        <w:rPr>
          <w:rFonts w:ascii="Arial" w:hAnsi="Arial" w:cs="Arial"/>
        </w:rPr>
        <w:t xml:space="preserve">Kotter's (2012) 8-Step process provides the practical, actionable roadmap for executing this journey. This involves: </w:t>
      </w:r>
    </w:p>
    <w:p w14:paraId="480F57F7" w14:textId="77777777" w:rsidR="007144B7" w:rsidRPr="00675668" w:rsidRDefault="00C94727" w:rsidP="00B44534">
      <w:pPr>
        <w:spacing w:line="360" w:lineRule="auto"/>
        <w:jc w:val="both"/>
        <w:rPr>
          <w:rFonts w:ascii="Arial" w:hAnsi="Arial" w:cs="Arial"/>
        </w:rPr>
      </w:pPr>
      <w:r w:rsidRPr="00675668">
        <w:rPr>
          <w:rFonts w:ascii="Arial" w:hAnsi="Arial" w:cs="Arial"/>
        </w:rPr>
        <w:t xml:space="preserve">1. Establishing a Sense of Urgency; </w:t>
      </w:r>
    </w:p>
    <w:p w14:paraId="0FAE79FF" w14:textId="77777777" w:rsidR="007144B7" w:rsidRPr="00675668" w:rsidRDefault="00C94727" w:rsidP="00B44534">
      <w:pPr>
        <w:spacing w:line="360" w:lineRule="auto"/>
        <w:jc w:val="both"/>
        <w:rPr>
          <w:rFonts w:ascii="Arial" w:hAnsi="Arial" w:cs="Arial"/>
        </w:rPr>
      </w:pPr>
      <w:r w:rsidRPr="00675668">
        <w:rPr>
          <w:rFonts w:ascii="Arial" w:hAnsi="Arial" w:cs="Arial"/>
        </w:rPr>
        <w:t xml:space="preserve">2. Creating a powerful Guiding Coalition of leaders and champions to steer the project; </w:t>
      </w:r>
    </w:p>
    <w:p w14:paraId="338AE841" w14:textId="77777777" w:rsidR="007144B7" w:rsidRPr="00675668" w:rsidRDefault="00C94727" w:rsidP="00B44534">
      <w:pPr>
        <w:spacing w:line="360" w:lineRule="auto"/>
        <w:jc w:val="both"/>
        <w:rPr>
          <w:rFonts w:ascii="Arial" w:hAnsi="Arial" w:cs="Arial"/>
        </w:rPr>
      </w:pPr>
      <w:r w:rsidRPr="00675668">
        <w:rPr>
          <w:rFonts w:ascii="Arial" w:hAnsi="Arial" w:cs="Arial"/>
        </w:rPr>
        <w:t xml:space="preserve">3. Developing a clear and compelling Vision (e.g., 'To pioneer the future of luxury service through tech-enabled tradition'); </w:t>
      </w:r>
    </w:p>
    <w:p w14:paraId="72FCDD6D" w14:textId="77777777" w:rsidR="007144B7" w:rsidRPr="00675668" w:rsidRDefault="00C94727" w:rsidP="00B44534">
      <w:pPr>
        <w:spacing w:line="360" w:lineRule="auto"/>
        <w:jc w:val="both"/>
        <w:rPr>
          <w:rFonts w:ascii="Arial" w:hAnsi="Arial" w:cs="Arial"/>
        </w:rPr>
      </w:pPr>
      <w:r w:rsidRPr="00675668">
        <w:rPr>
          <w:rFonts w:ascii="Arial" w:hAnsi="Arial" w:cs="Arial"/>
        </w:rPr>
        <w:t xml:space="preserve">4. Communicating the Vision relentlessly through multiple channels; </w:t>
      </w:r>
    </w:p>
    <w:p w14:paraId="69C79A4D" w14:textId="77777777" w:rsidR="007144B7" w:rsidRPr="00675668" w:rsidRDefault="00C94727" w:rsidP="00B44534">
      <w:pPr>
        <w:spacing w:line="360" w:lineRule="auto"/>
        <w:jc w:val="both"/>
        <w:rPr>
          <w:rFonts w:ascii="Arial" w:hAnsi="Arial" w:cs="Arial"/>
        </w:rPr>
      </w:pPr>
      <w:r w:rsidRPr="00675668">
        <w:rPr>
          <w:rFonts w:ascii="Arial" w:hAnsi="Arial" w:cs="Arial"/>
        </w:rPr>
        <w:t xml:space="preserve">5. Empowering Employees for Broad-Based Action by removing bureaucratic or technical barriers; </w:t>
      </w:r>
    </w:p>
    <w:p w14:paraId="297777FB" w14:textId="77777777" w:rsidR="007144B7" w:rsidRPr="00675668" w:rsidRDefault="00C94727" w:rsidP="00B44534">
      <w:pPr>
        <w:spacing w:line="360" w:lineRule="auto"/>
        <w:jc w:val="both"/>
        <w:rPr>
          <w:rFonts w:ascii="Arial" w:hAnsi="Arial" w:cs="Arial"/>
        </w:rPr>
      </w:pPr>
      <w:r w:rsidRPr="00675668">
        <w:rPr>
          <w:rFonts w:ascii="Arial" w:hAnsi="Arial" w:cs="Arial"/>
        </w:rPr>
        <w:t xml:space="preserve">6. Generating Short-Term Wins (e.g., a successful pilot of the app); </w:t>
      </w:r>
    </w:p>
    <w:p w14:paraId="6742A342" w14:textId="77777777" w:rsidR="007144B7" w:rsidRPr="00675668" w:rsidRDefault="00C94727" w:rsidP="00B44534">
      <w:pPr>
        <w:spacing w:line="360" w:lineRule="auto"/>
        <w:jc w:val="both"/>
        <w:rPr>
          <w:rFonts w:ascii="Arial" w:hAnsi="Arial" w:cs="Arial"/>
        </w:rPr>
      </w:pPr>
      <w:r w:rsidRPr="00675668">
        <w:rPr>
          <w:rFonts w:ascii="Arial" w:hAnsi="Arial" w:cs="Arial"/>
        </w:rPr>
        <w:t xml:space="preserve">7. Consolidating Gains and Producing More Change by using the credibility from early wins to tackle bigger parts of the project; and </w:t>
      </w:r>
    </w:p>
    <w:p w14:paraId="027E1B55" w14:textId="77777777" w:rsidR="00C94727" w:rsidRPr="00675668" w:rsidRDefault="00C94727" w:rsidP="00B44534">
      <w:pPr>
        <w:spacing w:line="360" w:lineRule="auto"/>
        <w:jc w:val="both"/>
        <w:rPr>
          <w:rFonts w:ascii="Arial" w:hAnsi="Arial" w:cs="Arial"/>
        </w:rPr>
      </w:pPr>
      <w:r w:rsidRPr="00675668">
        <w:rPr>
          <w:rFonts w:ascii="Arial" w:hAnsi="Arial" w:cs="Arial"/>
        </w:rPr>
        <w:t>8. Anchoring New Approaches in the Culture to ensure they last. This structured process will be essential for maintaining focus and momentum over the long term (Appelbaum et al., 2012).</w:t>
      </w:r>
    </w:p>
    <w:p w14:paraId="3AEB4520" w14:textId="77777777" w:rsidR="00B44534" w:rsidRPr="00B44534" w:rsidRDefault="00B44534" w:rsidP="00B44534">
      <w:pPr>
        <w:spacing w:line="360" w:lineRule="auto"/>
        <w:jc w:val="both"/>
        <w:rPr>
          <w:rFonts w:ascii="Arial" w:hAnsi="Arial" w:cs="Arial"/>
        </w:rPr>
      </w:pPr>
    </w:p>
    <w:p w14:paraId="6EC7ADC6" w14:textId="77777777" w:rsidR="00C94727" w:rsidRPr="00B44534" w:rsidRDefault="00C94727" w:rsidP="00B44534">
      <w:pPr>
        <w:spacing w:line="360" w:lineRule="auto"/>
        <w:jc w:val="both"/>
        <w:rPr>
          <w:rFonts w:ascii="Arial" w:hAnsi="Arial" w:cs="Arial"/>
          <w:b/>
          <w:bCs/>
        </w:rPr>
      </w:pPr>
      <w:r w:rsidRPr="00B44534">
        <w:rPr>
          <w:rFonts w:ascii="Arial" w:hAnsi="Arial" w:cs="Arial"/>
          <w:b/>
          <w:bCs/>
        </w:rPr>
        <w:t>Projected Investment and Strategic Return</w:t>
      </w:r>
    </w:p>
    <w:p w14:paraId="7D626AE7" w14:textId="77777777" w:rsidR="00C94727" w:rsidRPr="00B44534" w:rsidRDefault="00C94727" w:rsidP="00B44534">
      <w:pPr>
        <w:spacing w:line="360" w:lineRule="auto"/>
        <w:jc w:val="both"/>
        <w:rPr>
          <w:rFonts w:ascii="Arial" w:hAnsi="Arial" w:cs="Arial"/>
        </w:rPr>
      </w:pPr>
      <w:r w:rsidRPr="00B44534">
        <w:rPr>
          <w:rFonts w:ascii="Arial" w:hAnsi="Arial" w:cs="Arial"/>
        </w:rPr>
        <w:t>It is imperative to acknowledge that the proposed strategy represents a significant, multi-year capital and operational investment. The financial commitment will be substantial and must be planned and governed with the same rigour as a major physical refurbishment of the hotel. This investment should not be viewed as a discretionary IT cost, but as a fundamental and necessary investment in the future relevance and competitiveness of The Savoy brand (Remenyi, 1999). The primary areas of expenditure will include the licensing, customisation, and integration of new enterprise-level software (PMS/CRM), the procurement of guest-facing hardware and in-room technology, and the significant, ongoing investment in the comprehensive training and development programmes detailed previously (Kaplan &amp; Atkinson, 1998).</w:t>
      </w:r>
    </w:p>
    <w:p w14:paraId="43AC285D" w14:textId="77777777" w:rsidR="00C94727" w:rsidRPr="00B44534" w:rsidRDefault="00C94727" w:rsidP="00B44534">
      <w:pPr>
        <w:spacing w:line="360" w:lineRule="auto"/>
        <w:jc w:val="both"/>
        <w:rPr>
          <w:rFonts w:ascii="Arial" w:hAnsi="Arial" w:cs="Arial"/>
        </w:rPr>
      </w:pPr>
      <w:r w:rsidRPr="00B44534">
        <w:rPr>
          <w:rFonts w:ascii="Arial" w:hAnsi="Arial" w:cs="Arial"/>
        </w:rPr>
        <w:t>The return on this investment (ROI) will be realised across multiple dimensions. The financial returns will manifest through increased operational efficiency, new revenue opportunities generated by data-driven marketing through the app, and, over the long term, a stronger pricing power and higher average daily rate (ADR) justified by a superior and highly differentiated guest experience. However, the strategic returns are arguably even more valuable. This programme will future-proof the brand against digital disruption, attract a new and loyal generation of luxury consumers, create a powerful and sustainable competitive advantage that is difficult for others to replicate, and reinforce The Savoy's rightful position as not just a guardian of history, but a true innovator in the art of hospitality (Brynjolfsson &amp; Hitt, 1996).</w:t>
      </w:r>
    </w:p>
    <w:p w14:paraId="3E9548C8" w14:textId="77777777" w:rsidR="00D336F1" w:rsidRDefault="00D336F1" w:rsidP="00B44534">
      <w:pPr>
        <w:spacing w:line="360" w:lineRule="auto"/>
        <w:jc w:val="both"/>
        <w:rPr>
          <w:rFonts w:ascii="Arial" w:hAnsi="Arial" w:cs="Arial"/>
          <w:b/>
          <w:bCs/>
        </w:rPr>
      </w:pPr>
    </w:p>
    <w:p w14:paraId="00160810" w14:textId="77777777" w:rsidR="00D336F1" w:rsidRDefault="00D336F1" w:rsidP="00B44534">
      <w:pPr>
        <w:spacing w:line="360" w:lineRule="auto"/>
        <w:jc w:val="both"/>
        <w:rPr>
          <w:rFonts w:ascii="Arial" w:hAnsi="Arial" w:cs="Arial"/>
          <w:b/>
          <w:bCs/>
        </w:rPr>
      </w:pPr>
    </w:p>
    <w:p w14:paraId="683FF466" w14:textId="77777777" w:rsidR="00D336F1" w:rsidRDefault="00D336F1" w:rsidP="00B44534">
      <w:pPr>
        <w:spacing w:line="360" w:lineRule="auto"/>
        <w:jc w:val="both"/>
        <w:rPr>
          <w:rFonts w:ascii="Arial" w:hAnsi="Arial" w:cs="Arial"/>
          <w:b/>
          <w:bCs/>
        </w:rPr>
      </w:pPr>
    </w:p>
    <w:p w14:paraId="788FDBCC" w14:textId="77777777" w:rsidR="00C94727" w:rsidRPr="00B44534" w:rsidRDefault="00C94727" w:rsidP="00B44534">
      <w:pPr>
        <w:spacing w:line="360" w:lineRule="auto"/>
        <w:jc w:val="both"/>
        <w:rPr>
          <w:rFonts w:ascii="Arial" w:hAnsi="Arial" w:cs="Arial"/>
          <w:b/>
          <w:bCs/>
        </w:rPr>
      </w:pPr>
      <w:r w:rsidRPr="00B44534">
        <w:rPr>
          <w:rFonts w:ascii="Arial" w:hAnsi="Arial" w:cs="Arial"/>
          <w:b/>
          <w:bCs/>
        </w:rPr>
        <w:t>Action Plan</w:t>
      </w:r>
    </w:p>
    <w:p w14:paraId="41F01A6B" w14:textId="77777777" w:rsidR="00C94727" w:rsidRDefault="00C94727" w:rsidP="00B44534">
      <w:pPr>
        <w:spacing w:line="360" w:lineRule="auto"/>
        <w:jc w:val="both"/>
        <w:rPr>
          <w:rFonts w:ascii="Arial" w:hAnsi="Arial" w:cs="Arial"/>
        </w:rPr>
      </w:pPr>
      <w:r w:rsidRPr="00B44534">
        <w:rPr>
          <w:rFonts w:ascii="Arial" w:hAnsi="Arial" w:cs="Arial"/>
        </w:rPr>
        <w:t xml:space="preserve">The translation of the preceding strategic recommendations into tangible organisational change requires a meticulously planned and governed implementation process. This </w:t>
      </w:r>
      <w:r w:rsidRPr="00B44534">
        <w:rPr>
          <w:rFonts w:ascii="Arial" w:hAnsi="Arial" w:cs="Arial"/>
        </w:rPr>
        <w:lastRenderedPageBreak/>
        <w:t>Action Plan serves as the foundational project management document, deconstructing the broad strategic initiatives into a series of discrete, measurable, and time-bound work packages. It assigns clear responsibilities and provisional budgets, providing the Executive Committee of The Savoy with a robust framework for guiding, monitoring, and controlling the execution of this pivotal transformation. Adherence to a structured plan of this nature is critical for managing complexity, mitigating risk, and ensuring that strategic intent is effectively converted into operational reality (Project Management Institute, 2017).</w:t>
      </w:r>
    </w:p>
    <w:p w14:paraId="333257B5" w14:textId="77777777" w:rsidR="00D336F1" w:rsidRDefault="00D336F1" w:rsidP="00B44534">
      <w:pPr>
        <w:spacing w:line="360" w:lineRule="auto"/>
        <w:jc w:val="both"/>
        <w:rPr>
          <w:rFonts w:ascii="Arial" w:hAnsi="Arial" w:cs="Arial"/>
        </w:rPr>
      </w:pPr>
    </w:p>
    <w:p w14:paraId="2D5B969E" w14:textId="77777777" w:rsidR="00D336F1" w:rsidRDefault="00D336F1" w:rsidP="00B44534">
      <w:pPr>
        <w:spacing w:line="360" w:lineRule="auto"/>
        <w:jc w:val="both"/>
        <w:rPr>
          <w:rFonts w:ascii="Arial" w:hAnsi="Arial" w:cs="Arial"/>
        </w:rPr>
      </w:pPr>
    </w:p>
    <w:p w14:paraId="2DADF966" w14:textId="77777777" w:rsidR="00D336F1" w:rsidRDefault="00D336F1" w:rsidP="00B44534">
      <w:pPr>
        <w:spacing w:line="360" w:lineRule="auto"/>
        <w:jc w:val="both"/>
        <w:rPr>
          <w:rFonts w:ascii="Arial" w:hAnsi="Arial" w:cs="Arial"/>
        </w:rPr>
      </w:pPr>
    </w:p>
    <w:p w14:paraId="06459B45" w14:textId="77777777" w:rsidR="00D336F1" w:rsidRDefault="00D336F1" w:rsidP="00B44534">
      <w:pPr>
        <w:spacing w:line="360" w:lineRule="auto"/>
        <w:jc w:val="both"/>
        <w:rPr>
          <w:rFonts w:ascii="Arial" w:hAnsi="Arial" w:cs="Arial"/>
        </w:rPr>
      </w:pPr>
    </w:p>
    <w:p w14:paraId="3762580B" w14:textId="77777777" w:rsidR="00D336F1" w:rsidRDefault="00D336F1" w:rsidP="00B44534">
      <w:pPr>
        <w:spacing w:line="360" w:lineRule="auto"/>
        <w:jc w:val="both"/>
        <w:rPr>
          <w:rFonts w:ascii="Arial" w:hAnsi="Arial" w:cs="Arial"/>
        </w:rPr>
      </w:pPr>
    </w:p>
    <w:p w14:paraId="52D87DC1" w14:textId="77777777" w:rsidR="00D336F1" w:rsidRDefault="00D336F1" w:rsidP="00B44534">
      <w:pPr>
        <w:spacing w:line="360" w:lineRule="auto"/>
        <w:jc w:val="both"/>
        <w:rPr>
          <w:rFonts w:ascii="Arial" w:hAnsi="Arial" w:cs="Arial"/>
        </w:rPr>
      </w:pPr>
    </w:p>
    <w:p w14:paraId="565D3432" w14:textId="77777777" w:rsidR="00D336F1" w:rsidRDefault="00D336F1" w:rsidP="00B44534">
      <w:pPr>
        <w:spacing w:line="360" w:lineRule="auto"/>
        <w:jc w:val="both"/>
        <w:rPr>
          <w:rFonts w:ascii="Arial" w:hAnsi="Arial" w:cs="Arial"/>
        </w:rPr>
      </w:pPr>
    </w:p>
    <w:p w14:paraId="50A84F42" w14:textId="77777777" w:rsidR="00D336F1" w:rsidRDefault="00D336F1" w:rsidP="00B44534">
      <w:pPr>
        <w:spacing w:line="360" w:lineRule="auto"/>
        <w:jc w:val="both"/>
        <w:rPr>
          <w:rFonts w:ascii="Arial" w:hAnsi="Arial" w:cs="Arial"/>
        </w:rPr>
      </w:pPr>
    </w:p>
    <w:p w14:paraId="63F582CC" w14:textId="77777777" w:rsidR="00D336F1" w:rsidRDefault="00D336F1" w:rsidP="00B44534">
      <w:pPr>
        <w:spacing w:line="360" w:lineRule="auto"/>
        <w:jc w:val="both"/>
        <w:rPr>
          <w:rFonts w:ascii="Arial" w:hAnsi="Arial" w:cs="Arial"/>
        </w:rPr>
      </w:pPr>
    </w:p>
    <w:p w14:paraId="5CA7B48F" w14:textId="77777777" w:rsidR="00D336F1" w:rsidRDefault="00D336F1" w:rsidP="00B44534">
      <w:pPr>
        <w:spacing w:line="360" w:lineRule="auto"/>
        <w:jc w:val="both"/>
        <w:rPr>
          <w:rFonts w:ascii="Arial" w:hAnsi="Arial" w:cs="Arial"/>
        </w:rPr>
      </w:pPr>
    </w:p>
    <w:p w14:paraId="28C6B3BB" w14:textId="77777777" w:rsidR="00D336F1" w:rsidRDefault="00D336F1" w:rsidP="00B44534">
      <w:pPr>
        <w:spacing w:line="360" w:lineRule="auto"/>
        <w:jc w:val="both"/>
        <w:rPr>
          <w:rFonts w:ascii="Arial" w:hAnsi="Arial" w:cs="Arial"/>
        </w:rPr>
      </w:pPr>
    </w:p>
    <w:p w14:paraId="69E9E858" w14:textId="77777777" w:rsidR="00D336F1" w:rsidRDefault="00D336F1" w:rsidP="00B44534">
      <w:pPr>
        <w:spacing w:line="360" w:lineRule="auto"/>
        <w:jc w:val="both"/>
        <w:rPr>
          <w:rFonts w:ascii="Arial" w:hAnsi="Arial" w:cs="Arial"/>
        </w:rPr>
      </w:pPr>
    </w:p>
    <w:p w14:paraId="4D8368E3" w14:textId="77777777" w:rsidR="00D336F1" w:rsidRPr="00B44534" w:rsidRDefault="00D336F1" w:rsidP="00B44534">
      <w:pPr>
        <w:spacing w:line="360" w:lineRule="auto"/>
        <w:jc w:val="both"/>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7"/>
        <w:gridCol w:w="1506"/>
        <w:gridCol w:w="1716"/>
        <w:gridCol w:w="1871"/>
        <w:gridCol w:w="972"/>
        <w:gridCol w:w="1344"/>
        <w:gridCol w:w="1614"/>
      </w:tblGrid>
      <w:tr w:rsidR="00C94727" w:rsidRPr="00FA7F4B" w14:paraId="4C635957" w14:textId="77777777" w:rsidTr="00B44534">
        <w:trPr>
          <w:tblHeader/>
          <w:tblCellSpacing w:w="15" w:type="dxa"/>
        </w:trPr>
        <w:tc>
          <w:tcPr>
            <w:tcW w:w="0" w:type="auto"/>
            <w:vAlign w:val="center"/>
            <w:hideMark/>
          </w:tcPr>
          <w:p w14:paraId="455B9C0A" w14:textId="0AB10343" w:rsidR="00C94727" w:rsidRPr="00FA7F4B" w:rsidRDefault="00C94727" w:rsidP="00F93E6C">
            <w:r w:rsidRPr="00FA7F4B">
              <w:rPr>
                <w:b/>
                <w:bCs/>
              </w:rPr>
              <w:t>N</w:t>
            </w:r>
            <w:r w:rsidR="00675668">
              <w:rPr>
                <w:b/>
                <w:bCs/>
              </w:rPr>
              <w:t>o</w:t>
            </w:r>
            <w:r w:rsidRPr="00FA7F4B">
              <w:rPr>
                <w:b/>
                <w:bCs/>
              </w:rPr>
              <w:t>.</w:t>
            </w:r>
          </w:p>
        </w:tc>
        <w:tc>
          <w:tcPr>
            <w:tcW w:w="0" w:type="auto"/>
            <w:vAlign w:val="center"/>
            <w:hideMark/>
          </w:tcPr>
          <w:p w14:paraId="667E01B9" w14:textId="3322E8AA" w:rsidR="00C94727" w:rsidRPr="00675668" w:rsidRDefault="00675668" w:rsidP="00F93E6C">
            <w:pPr>
              <w:rPr>
                <w:b/>
                <w:bCs/>
              </w:rPr>
            </w:pPr>
            <w:r w:rsidRPr="00675668">
              <w:rPr>
                <w:b/>
                <w:bCs/>
              </w:rPr>
              <w:t>Issue</w:t>
            </w:r>
          </w:p>
        </w:tc>
        <w:tc>
          <w:tcPr>
            <w:tcW w:w="0" w:type="auto"/>
            <w:vAlign w:val="center"/>
            <w:hideMark/>
          </w:tcPr>
          <w:p w14:paraId="0B150B19" w14:textId="77777777" w:rsidR="00C94727" w:rsidRPr="00FA7F4B" w:rsidRDefault="00C94727" w:rsidP="00F93E6C">
            <w:r w:rsidRPr="00FA7F4B">
              <w:rPr>
                <w:b/>
                <w:bCs/>
              </w:rPr>
              <w:t>Solution</w:t>
            </w:r>
          </w:p>
        </w:tc>
        <w:tc>
          <w:tcPr>
            <w:tcW w:w="0" w:type="auto"/>
            <w:vAlign w:val="center"/>
            <w:hideMark/>
          </w:tcPr>
          <w:p w14:paraId="41577F58" w14:textId="365C0F94" w:rsidR="00C94727" w:rsidRPr="00675668" w:rsidRDefault="00675668" w:rsidP="00F93E6C">
            <w:pPr>
              <w:rPr>
                <w:b/>
                <w:bCs/>
              </w:rPr>
            </w:pPr>
            <w:r w:rsidRPr="00675668">
              <w:rPr>
                <w:b/>
                <w:bCs/>
              </w:rPr>
              <w:t>Outcome</w:t>
            </w:r>
          </w:p>
        </w:tc>
        <w:tc>
          <w:tcPr>
            <w:tcW w:w="0" w:type="auto"/>
            <w:vAlign w:val="center"/>
            <w:hideMark/>
          </w:tcPr>
          <w:p w14:paraId="54BD34D3" w14:textId="349E3A63" w:rsidR="00C94727" w:rsidRPr="00FA7F4B" w:rsidRDefault="00C94727" w:rsidP="00F93E6C">
            <w:r w:rsidRPr="00FA7F4B">
              <w:rPr>
                <w:b/>
                <w:bCs/>
              </w:rPr>
              <w:t xml:space="preserve">Time </w:t>
            </w:r>
            <w:r w:rsidR="00675668">
              <w:rPr>
                <w:b/>
                <w:bCs/>
              </w:rPr>
              <w:t>Duration</w:t>
            </w:r>
          </w:p>
        </w:tc>
        <w:tc>
          <w:tcPr>
            <w:tcW w:w="0" w:type="auto"/>
            <w:vAlign w:val="center"/>
            <w:hideMark/>
          </w:tcPr>
          <w:p w14:paraId="79A06508" w14:textId="5017E7EA" w:rsidR="00C94727" w:rsidRPr="00FA7F4B" w:rsidRDefault="00675668" w:rsidP="00F93E6C">
            <w:r>
              <w:rPr>
                <w:b/>
                <w:bCs/>
              </w:rPr>
              <w:t>Finish</w:t>
            </w:r>
            <w:r w:rsidR="00C94727" w:rsidRPr="00FA7F4B">
              <w:rPr>
                <w:b/>
                <w:bCs/>
              </w:rPr>
              <w:t xml:space="preserve"> Date</w:t>
            </w:r>
          </w:p>
        </w:tc>
        <w:tc>
          <w:tcPr>
            <w:tcW w:w="0" w:type="auto"/>
            <w:vAlign w:val="center"/>
            <w:hideMark/>
          </w:tcPr>
          <w:p w14:paraId="1950D0B4" w14:textId="4BD25C3F" w:rsidR="00C94727" w:rsidRPr="00FA7F4B" w:rsidRDefault="00675668" w:rsidP="00F93E6C">
            <w:r>
              <w:rPr>
                <w:b/>
                <w:bCs/>
              </w:rPr>
              <w:t xml:space="preserve">Expected </w:t>
            </w:r>
            <w:r w:rsidR="00C94727" w:rsidRPr="00FA7F4B">
              <w:rPr>
                <w:b/>
                <w:bCs/>
              </w:rPr>
              <w:t>Budget</w:t>
            </w:r>
          </w:p>
        </w:tc>
      </w:tr>
      <w:tr w:rsidR="00C94727" w:rsidRPr="00FA7F4B" w14:paraId="68E27737" w14:textId="77777777" w:rsidTr="00B44534">
        <w:trPr>
          <w:trHeight w:val="8720"/>
          <w:tblCellSpacing w:w="15" w:type="dxa"/>
        </w:trPr>
        <w:tc>
          <w:tcPr>
            <w:tcW w:w="0" w:type="auto"/>
            <w:vAlign w:val="center"/>
            <w:hideMark/>
          </w:tcPr>
          <w:p w14:paraId="1A67312E" w14:textId="77777777" w:rsidR="00C94727" w:rsidRPr="00FA7F4B" w:rsidRDefault="00C94727" w:rsidP="00F93E6C">
            <w:r w:rsidRPr="00FA7F4B">
              <w:rPr>
                <w:b/>
                <w:bCs/>
              </w:rPr>
              <w:lastRenderedPageBreak/>
              <w:t>1</w:t>
            </w:r>
          </w:p>
        </w:tc>
        <w:tc>
          <w:tcPr>
            <w:tcW w:w="0" w:type="auto"/>
            <w:vAlign w:val="center"/>
            <w:hideMark/>
          </w:tcPr>
          <w:p w14:paraId="03D66BA2" w14:textId="77777777" w:rsidR="00C94727" w:rsidRPr="00FA7F4B" w:rsidRDefault="00C94727" w:rsidP="00F93E6C">
            <w:r w:rsidRPr="00FA7F4B">
              <w:t>Legacy IT infrastructure and siloed data systems prevent a single customer view and hinder digital innovation.</w:t>
            </w:r>
          </w:p>
        </w:tc>
        <w:tc>
          <w:tcPr>
            <w:tcW w:w="0" w:type="auto"/>
            <w:vAlign w:val="center"/>
            <w:hideMark/>
          </w:tcPr>
          <w:p w14:paraId="53EBE8FD" w14:textId="77777777" w:rsidR="00C94727" w:rsidRPr="00FA7F4B" w:rsidRDefault="00C94727" w:rsidP="00F93E6C">
            <w:r w:rsidRPr="00FA7F4B">
              <w:rPr>
                <w:b/>
                <w:bCs/>
              </w:rPr>
              <w:t>Phase 1: Invisible Upgrade.</w:t>
            </w:r>
            <w:r w:rsidRPr="00FA7F4B">
              <w:t xml:space="preserve"> Procure and implement a new, integrated, cloud-based PMS/CRM platform. Migrate all guest and operational data securely. Establish a cross-departmental data governance committee to oversee data quality and privacy compliance from day one.</w:t>
            </w:r>
          </w:p>
        </w:tc>
        <w:tc>
          <w:tcPr>
            <w:tcW w:w="0" w:type="auto"/>
            <w:vAlign w:val="center"/>
            <w:hideMark/>
          </w:tcPr>
          <w:p w14:paraId="1C560229" w14:textId="77777777" w:rsidR="00C94727" w:rsidRPr="00FA7F4B" w:rsidRDefault="00C94727" w:rsidP="00F93E6C">
            <w:r w:rsidRPr="00FA7F4B">
              <w:t>A unified, secure, and scalable technology foundation. A single, real-time view of each guest, accessible across all relevant departments. Full technical readiness for the rollout of guest-facing technologies.</w:t>
            </w:r>
          </w:p>
        </w:tc>
        <w:tc>
          <w:tcPr>
            <w:tcW w:w="0" w:type="auto"/>
            <w:vAlign w:val="center"/>
            <w:hideMark/>
          </w:tcPr>
          <w:p w14:paraId="2A9DA6FA" w14:textId="77777777" w:rsidR="00C94727" w:rsidRPr="00FA7F4B" w:rsidRDefault="00C94727" w:rsidP="00F93E6C">
            <w:r w:rsidRPr="00FA7F4B">
              <w:t>12 Months</w:t>
            </w:r>
          </w:p>
        </w:tc>
        <w:tc>
          <w:tcPr>
            <w:tcW w:w="0" w:type="auto"/>
            <w:vAlign w:val="center"/>
            <w:hideMark/>
          </w:tcPr>
          <w:p w14:paraId="7D1B949E" w14:textId="77777777" w:rsidR="00C94727" w:rsidRPr="00FA7F4B" w:rsidRDefault="00C94727" w:rsidP="00F93E6C">
            <w:r w:rsidRPr="00FA7F4B">
              <w:t>30 June 2026</w:t>
            </w:r>
          </w:p>
        </w:tc>
        <w:tc>
          <w:tcPr>
            <w:tcW w:w="0" w:type="auto"/>
            <w:vAlign w:val="center"/>
            <w:hideMark/>
          </w:tcPr>
          <w:p w14:paraId="26215C66" w14:textId="77777777" w:rsidR="00C94727" w:rsidRPr="00FA7F4B" w:rsidRDefault="00C94727" w:rsidP="00F93E6C">
            <w:r w:rsidRPr="00FA7F4B">
              <w:t>£750,000 (Covering enterprise software licensing, specialist integration consultancy, and data migration services).</w:t>
            </w:r>
          </w:p>
        </w:tc>
      </w:tr>
      <w:tr w:rsidR="00C94727" w:rsidRPr="00FA7F4B" w14:paraId="64C0FE8B" w14:textId="77777777" w:rsidTr="00B44534">
        <w:trPr>
          <w:tblCellSpacing w:w="15" w:type="dxa"/>
        </w:trPr>
        <w:tc>
          <w:tcPr>
            <w:tcW w:w="0" w:type="auto"/>
            <w:vAlign w:val="center"/>
            <w:hideMark/>
          </w:tcPr>
          <w:p w14:paraId="530461BB" w14:textId="77777777" w:rsidR="00C94727" w:rsidRPr="00FA7F4B" w:rsidRDefault="00C94727" w:rsidP="00F93E6C">
            <w:r w:rsidRPr="00FA7F4B">
              <w:rPr>
                <w:b/>
                <w:bCs/>
              </w:rPr>
              <w:t>2</w:t>
            </w:r>
          </w:p>
        </w:tc>
        <w:tc>
          <w:tcPr>
            <w:tcW w:w="0" w:type="auto"/>
            <w:vAlign w:val="center"/>
            <w:hideMark/>
          </w:tcPr>
          <w:p w14:paraId="6A261A39" w14:textId="77777777" w:rsidR="00C94727" w:rsidRPr="00FA7F4B" w:rsidRDefault="00C94727" w:rsidP="00F93E6C">
            <w:r w:rsidRPr="00FA7F4B">
              <w:t xml:space="preserve">The inherent risk of new technology feeling impersonal and diluting the hotel's signature high-touch </w:t>
            </w:r>
            <w:r w:rsidRPr="00FA7F4B">
              <w:lastRenderedPageBreak/>
              <w:t>service ethos.</w:t>
            </w:r>
          </w:p>
        </w:tc>
        <w:tc>
          <w:tcPr>
            <w:tcW w:w="0" w:type="auto"/>
            <w:vAlign w:val="center"/>
            <w:hideMark/>
          </w:tcPr>
          <w:p w14:paraId="52C8EDFF" w14:textId="77777777" w:rsidR="00C94727" w:rsidRPr="00FA7F4B" w:rsidRDefault="00C94727" w:rsidP="00F93E6C">
            <w:r w:rsidRPr="00FA7F4B">
              <w:rPr>
                <w:b/>
                <w:bCs/>
              </w:rPr>
              <w:lastRenderedPageBreak/>
              <w:t>Phase 2: 'Digital Concierge' Pilot.</w:t>
            </w:r>
            <w:r w:rsidRPr="00FA7F4B">
              <w:t xml:space="preserve"> Develop the bespoke 'My Savoy' mobile application with a primary focus on service requests and </w:t>
            </w:r>
            <w:r w:rsidRPr="00FA7F4B">
              <w:lastRenderedPageBreak/>
              <w:t>interactive brand storytelling. Equip a pilot team of 20 concierge and guest relations staff with integrated mobile devices. Co-design and document the 'Digital Butler' service protocols with this pilot team.</w:t>
            </w:r>
          </w:p>
        </w:tc>
        <w:tc>
          <w:tcPr>
            <w:tcW w:w="0" w:type="auto"/>
            <w:vAlign w:val="center"/>
            <w:hideMark/>
          </w:tcPr>
          <w:p w14:paraId="015F420E" w14:textId="77777777" w:rsidR="00C94727" w:rsidRPr="00FA7F4B" w:rsidRDefault="00C94727" w:rsidP="00F93E6C">
            <w:r w:rsidRPr="00FA7F4B">
              <w:lastRenderedPageBreak/>
              <w:t xml:space="preserve">A successfully piloted and refined human-centric service model. A measurable increase in guest satisfaction scores related to service </w:t>
            </w:r>
            <w:r w:rsidRPr="00FA7F4B">
              <w:lastRenderedPageBreak/>
              <w:t>requests. Overwhelmingly positive qualitative feedback on the blend of technology and personal service.</w:t>
            </w:r>
          </w:p>
        </w:tc>
        <w:tc>
          <w:tcPr>
            <w:tcW w:w="0" w:type="auto"/>
            <w:vAlign w:val="center"/>
            <w:hideMark/>
          </w:tcPr>
          <w:p w14:paraId="3E75D493" w14:textId="77777777" w:rsidR="00C94727" w:rsidRPr="00FA7F4B" w:rsidRDefault="00C94727" w:rsidP="00F93E6C">
            <w:r w:rsidRPr="00FA7F4B">
              <w:lastRenderedPageBreak/>
              <w:t>6 Months (Months 13-18)</w:t>
            </w:r>
          </w:p>
        </w:tc>
        <w:tc>
          <w:tcPr>
            <w:tcW w:w="0" w:type="auto"/>
            <w:vAlign w:val="center"/>
            <w:hideMark/>
          </w:tcPr>
          <w:p w14:paraId="4968DBCD" w14:textId="77777777" w:rsidR="00C94727" w:rsidRPr="00FA7F4B" w:rsidRDefault="00C94727" w:rsidP="00F93E6C">
            <w:r w:rsidRPr="00FA7F4B">
              <w:t>31 December 2026</w:t>
            </w:r>
          </w:p>
        </w:tc>
        <w:tc>
          <w:tcPr>
            <w:tcW w:w="0" w:type="auto"/>
            <w:vAlign w:val="center"/>
            <w:hideMark/>
          </w:tcPr>
          <w:p w14:paraId="56C528F4" w14:textId="77777777" w:rsidR="00C94727" w:rsidRPr="00FA7F4B" w:rsidRDefault="00C94727" w:rsidP="00F93E6C">
            <w:r w:rsidRPr="00FA7F4B">
              <w:t xml:space="preserve">£150,000 (Covering bespoke application development, UX/UI design, and hardware procurement for the pilot </w:t>
            </w:r>
            <w:r w:rsidRPr="00FA7F4B">
              <w:lastRenderedPageBreak/>
              <w:t>team).</w:t>
            </w:r>
          </w:p>
        </w:tc>
      </w:tr>
      <w:tr w:rsidR="00C94727" w:rsidRPr="00FA7F4B" w14:paraId="28125B47" w14:textId="77777777" w:rsidTr="00B44534">
        <w:trPr>
          <w:tblCellSpacing w:w="15" w:type="dxa"/>
        </w:trPr>
        <w:tc>
          <w:tcPr>
            <w:tcW w:w="0" w:type="auto"/>
            <w:vAlign w:val="center"/>
            <w:hideMark/>
          </w:tcPr>
          <w:p w14:paraId="5AF1F588" w14:textId="77777777" w:rsidR="00C94727" w:rsidRPr="00FA7F4B" w:rsidRDefault="00C94727" w:rsidP="00F93E6C">
            <w:r w:rsidRPr="00FA7F4B">
              <w:rPr>
                <w:b/>
                <w:bCs/>
              </w:rPr>
              <w:lastRenderedPageBreak/>
              <w:t>3</w:t>
            </w:r>
          </w:p>
        </w:tc>
        <w:tc>
          <w:tcPr>
            <w:tcW w:w="0" w:type="auto"/>
            <w:vAlign w:val="center"/>
            <w:hideMark/>
          </w:tcPr>
          <w:p w14:paraId="0F6556D9" w14:textId="77777777" w:rsidR="00C94727" w:rsidRDefault="00C94727" w:rsidP="00F93E6C">
            <w:r w:rsidRPr="00FA7F4B">
              <w:t>Potential for widespread staff resistance to change, coupled with significant digital skills gaps.</w:t>
            </w:r>
          </w:p>
          <w:p w14:paraId="3DC180A6" w14:textId="77777777" w:rsidR="00195404" w:rsidRPr="00FA7F4B" w:rsidRDefault="00195404" w:rsidP="00F93E6C"/>
        </w:tc>
        <w:tc>
          <w:tcPr>
            <w:tcW w:w="0" w:type="auto"/>
            <w:vAlign w:val="center"/>
            <w:hideMark/>
          </w:tcPr>
          <w:p w14:paraId="43713486" w14:textId="77777777" w:rsidR="00C94727" w:rsidRPr="00FA7F4B" w:rsidRDefault="00C94727" w:rsidP="00F93E6C">
            <w:r w:rsidRPr="00FA7F4B">
              <w:rPr>
                <w:b/>
                <w:bCs/>
              </w:rPr>
              <w:t>Phase 3: 'Digital Ambassador' Programme.</w:t>
            </w:r>
            <w:r w:rsidRPr="00FA7F4B">
              <w:t xml:space="preserve"> Design and deliver a multi-module, role-specific training curriculum. Establish and empower a 'Digital Champions' network for peer support and feedback. Formally integrate digital competencies </w:t>
            </w:r>
            <w:r w:rsidRPr="00FA7F4B">
              <w:lastRenderedPageBreak/>
              <w:t>into performance management systems and recognition programmes.</w:t>
            </w:r>
          </w:p>
        </w:tc>
        <w:tc>
          <w:tcPr>
            <w:tcW w:w="0" w:type="auto"/>
            <w:vAlign w:val="center"/>
            <w:hideMark/>
          </w:tcPr>
          <w:p w14:paraId="68F8D8CF" w14:textId="77777777" w:rsidR="00C94727" w:rsidRPr="00FA7F4B" w:rsidRDefault="00C94727" w:rsidP="00F93E6C">
            <w:r w:rsidRPr="00FA7F4B">
              <w:lastRenderedPageBreak/>
              <w:t>A digitally confident, motivated, and enthusiastic workforce. Over 90% active user adoption rate of new tools by relevant staff within six months of full rollout. 'Digital Service Excellence' becomes a celebrated and rewarded core value.</w:t>
            </w:r>
          </w:p>
        </w:tc>
        <w:tc>
          <w:tcPr>
            <w:tcW w:w="0" w:type="auto"/>
            <w:vAlign w:val="center"/>
            <w:hideMark/>
          </w:tcPr>
          <w:p w14:paraId="2DA27F20" w14:textId="77777777" w:rsidR="00C94727" w:rsidRPr="00FA7F4B" w:rsidRDefault="00C94727" w:rsidP="00F93E6C">
            <w:r w:rsidRPr="00FA7F4B">
              <w:t>Ongoing (from Month 10)</w:t>
            </w:r>
          </w:p>
        </w:tc>
        <w:tc>
          <w:tcPr>
            <w:tcW w:w="0" w:type="auto"/>
            <w:vAlign w:val="center"/>
            <w:hideMark/>
          </w:tcPr>
          <w:p w14:paraId="4DF3C71D" w14:textId="77777777" w:rsidR="00C94727" w:rsidRPr="00FA7F4B" w:rsidRDefault="00C94727" w:rsidP="00F93E6C">
            <w:r w:rsidRPr="00FA7F4B">
              <w:t>N/A (Continuous)</w:t>
            </w:r>
          </w:p>
        </w:tc>
        <w:tc>
          <w:tcPr>
            <w:tcW w:w="0" w:type="auto"/>
            <w:vAlign w:val="center"/>
            <w:hideMark/>
          </w:tcPr>
          <w:p w14:paraId="1C2A913C" w14:textId="77777777" w:rsidR="00C94727" w:rsidRPr="00FA7F4B" w:rsidRDefault="00C94727" w:rsidP="00F93E6C">
            <w:r w:rsidRPr="00FA7F4B">
              <w:t>£100,000 (Annual budget for professional trainers, content development, and programme management).</w:t>
            </w:r>
          </w:p>
        </w:tc>
      </w:tr>
    </w:tbl>
    <w:p w14:paraId="63447A46" w14:textId="77777777" w:rsidR="00B44534" w:rsidRDefault="00B44534" w:rsidP="00C94727">
      <w:pPr>
        <w:rPr>
          <w:b/>
          <w:bCs/>
        </w:rPr>
      </w:pPr>
    </w:p>
    <w:p w14:paraId="5513B435" w14:textId="77777777" w:rsidR="00B44534" w:rsidRDefault="00B44534" w:rsidP="00C94727">
      <w:pPr>
        <w:rPr>
          <w:b/>
          <w:bCs/>
        </w:rPr>
      </w:pPr>
    </w:p>
    <w:p w14:paraId="6FF53ADB" w14:textId="77777777" w:rsidR="00C94727" w:rsidRPr="00B44534" w:rsidRDefault="00C94727" w:rsidP="00B44534">
      <w:pPr>
        <w:spacing w:line="360" w:lineRule="auto"/>
        <w:jc w:val="both"/>
        <w:rPr>
          <w:rFonts w:ascii="Arial" w:hAnsi="Arial" w:cs="Arial"/>
          <w:b/>
          <w:bCs/>
        </w:rPr>
      </w:pPr>
      <w:r w:rsidRPr="00B44534">
        <w:rPr>
          <w:rFonts w:ascii="Arial" w:hAnsi="Arial" w:cs="Arial"/>
          <w:b/>
          <w:bCs/>
        </w:rPr>
        <w:t>Conclusion</w:t>
      </w:r>
    </w:p>
    <w:p w14:paraId="2DDFC916" w14:textId="77777777" w:rsidR="00C94727" w:rsidRPr="00B44534" w:rsidRDefault="00C94727" w:rsidP="00B44534">
      <w:pPr>
        <w:spacing w:line="360" w:lineRule="auto"/>
        <w:jc w:val="both"/>
        <w:rPr>
          <w:rFonts w:ascii="Arial" w:hAnsi="Arial" w:cs="Arial"/>
        </w:rPr>
      </w:pPr>
      <w:r w:rsidRPr="00B44534">
        <w:rPr>
          <w:rFonts w:ascii="Arial" w:hAnsi="Arial" w:cs="Arial"/>
        </w:rPr>
        <w:t>This report was commissioned to provide a strategic framework for The Savoy to navigate the complex and often paradoxical challenge of integrating modern digital innovation within a brand defined by its profound historical legacy. The analysis undertaken has confirmed that this is not merely an operational decision but a pivotal strategic imperative. The way in which The Savoy chooses to address this challenge will define its brand, its competitive position, and its relationship with the next generation of luxury consumers for decades to come. It is a defining moment that requires bold vision and carefully considered action (De Wit &amp; Meyer, 2010).</w:t>
      </w:r>
    </w:p>
    <w:p w14:paraId="7D322FA0" w14:textId="77777777" w:rsidR="00C94727" w:rsidRPr="00B44534" w:rsidRDefault="00C94727" w:rsidP="00B44534">
      <w:pPr>
        <w:spacing w:line="360" w:lineRule="auto"/>
        <w:jc w:val="both"/>
        <w:rPr>
          <w:rFonts w:ascii="Arial" w:hAnsi="Arial" w:cs="Arial"/>
        </w:rPr>
      </w:pPr>
      <w:r w:rsidRPr="00B44534">
        <w:rPr>
          <w:rFonts w:ascii="Arial" w:hAnsi="Arial" w:cs="Arial"/>
        </w:rPr>
        <w:t>The key finding of our analysis is that while the external forces of technological and social change are undeniable and necessitate an evolutionary response, the solution must be profoundly internal and authentic to the brand. The Savoy's greatest asset and most sustainable source of competitive advantage is its inimitable heritage and its deeply rooted culture of personal service. Therefore, the optimal strategy is not to compete with new, tech-first brands on their terms, but to redefine the game by using technology to amplify the very qualities that make The Savoy unique. This is a strategy built upon the resource-based view of the firm, leveraging unique internal capabilities to create market-beating value (Barney, 1991).</w:t>
      </w:r>
    </w:p>
    <w:p w14:paraId="0959F6C7" w14:textId="77777777" w:rsidR="00C94727" w:rsidRPr="00B44534" w:rsidRDefault="00C94727" w:rsidP="00B44534">
      <w:pPr>
        <w:spacing w:line="360" w:lineRule="auto"/>
        <w:jc w:val="both"/>
        <w:rPr>
          <w:rFonts w:ascii="Arial" w:hAnsi="Arial" w:cs="Arial"/>
        </w:rPr>
      </w:pPr>
      <w:r w:rsidRPr="00B44534">
        <w:rPr>
          <w:rFonts w:ascii="Arial" w:hAnsi="Arial" w:cs="Arial"/>
        </w:rPr>
        <w:t xml:space="preserve">To this end, this report has proposed a cohesive and synergistic programme of three core recommendations: a Phased and Curated Digital Integration Strategy to build a </w:t>
      </w:r>
      <w:r w:rsidRPr="00B44534">
        <w:rPr>
          <w:rFonts w:ascii="Arial" w:hAnsi="Arial" w:cs="Arial"/>
        </w:rPr>
        <w:lastRenderedPageBreak/>
        <w:t>robust yet risk-managed foundation; the creation of a unique 'Digital Concierge' Service Model to enhance, rather than replace, the human touch; and a comprehensive human capital strategy to cultivate a workforce of 'Digital Ambassadors'. Together, these initiatives form a holistic programme for evolution, not revolution. It is a strategy of augmentation, not automation, designed to weave a digital thread seamlessly into the rich tapestry of the hotel's service culture (Tidd &amp; Bessant, 2018).</w:t>
      </w:r>
    </w:p>
    <w:p w14:paraId="5B5CE843" w14:textId="77777777" w:rsidR="00C94727" w:rsidRPr="00B44534" w:rsidRDefault="00C94727" w:rsidP="00B44534">
      <w:pPr>
        <w:spacing w:line="360" w:lineRule="auto"/>
        <w:jc w:val="both"/>
        <w:rPr>
          <w:rFonts w:ascii="Arial" w:hAnsi="Arial" w:cs="Arial"/>
        </w:rPr>
      </w:pPr>
      <w:r w:rsidRPr="00B44534">
        <w:rPr>
          <w:rFonts w:ascii="Arial" w:hAnsi="Arial" w:cs="Arial"/>
        </w:rPr>
        <w:t>The successful implementation of this programme promises transformative returns. It will future-proof the brand against digital disruption, create significant operational efficiencies, and deliver a uniquely personal and frictionless guest experience that will foster deep loyalty and justify a premium market position. The ultimate outcome is the creation of a new, powerful, and defensible competitive advantage, establishing The Savoy not merely as a guardian of history, but as a true pioneer in the future of luxury service. This is an investment that will secure the legacy of the brand for the next century (D'Aveni, 1994).</w:t>
      </w:r>
    </w:p>
    <w:p w14:paraId="1647467B" w14:textId="77777777" w:rsidR="00C94727" w:rsidRPr="00B44534" w:rsidRDefault="00C94727" w:rsidP="00B44534">
      <w:pPr>
        <w:spacing w:line="360" w:lineRule="auto"/>
        <w:jc w:val="both"/>
        <w:rPr>
          <w:rFonts w:ascii="Arial" w:hAnsi="Arial" w:cs="Arial"/>
        </w:rPr>
      </w:pPr>
      <w:r w:rsidRPr="00B44534">
        <w:rPr>
          <w:rFonts w:ascii="Arial" w:hAnsi="Arial" w:cs="Arial"/>
        </w:rPr>
        <w:t>Finally, on behalf of Sterling Hospitality Strategists, we extend our sincere gratitude to the Executive Committee and management of The Savoy for the opportunity to engage with this important and fascinating strategic challenge. Your passion for the brand and your openness to exploring new avenues have been instrumental in this process. We are confident that by embracing the human-centric approach to innovation detailed in this report, The Savoy will not only navigate the complexities of the present but will continue to define excellence in global hospitality for many years to come (Maister, 2000).</w:t>
      </w:r>
    </w:p>
    <w:p w14:paraId="4767A4FD" w14:textId="77777777" w:rsidR="00C94727" w:rsidRDefault="00C94727" w:rsidP="00C94727"/>
    <w:p w14:paraId="6E31629C" w14:textId="77777777" w:rsidR="002B482B" w:rsidRDefault="002B482B" w:rsidP="00C94727"/>
    <w:p w14:paraId="77A0FFAB" w14:textId="77777777" w:rsidR="002B482B" w:rsidRDefault="002B482B" w:rsidP="00C94727"/>
    <w:p w14:paraId="767D2CD8" w14:textId="77777777" w:rsidR="002B482B" w:rsidRDefault="002B482B" w:rsidP="00C94727"/>
    <w:p w14:paraId="3B2E3FB3" w14:textId="77777777" w:rsidR="002B482B" w:rsidRDefault="002B482B" w:rsidP="00C94727"/>
    <w:p w14:paraId="784E78C9" w14:textId="77777777" w:rsidR="002B482B" w:rsidRDefault="002B482B" w:rsidP="00C94727"/>
    <w:p w14:paraId="757CB126" w14:textId="77777777" w:rsidR="002B482B" w:rsidRPr="00FA7F4B" w:rsidRDefault="002B482B" w:rsidP="00C94727"/>
    <w:p w14:paraId="4BA50201" w14:textId="77777777" w:rsidR="00C94727" w:rsidRPr="00B44534" w:rsidRDefault="00C94727" w:rsidP="00B44534">
      <w:pPr>
        <w:spacing w:line="360" w:lineRule="auto"/>
        <w:jc w:val="both"/>
        <w:rPr>
          <w:rFonts w:ascii="Arial" w:hAnsi="Arial" w:cs="Arial"/>
          <w:b/>
          <w:bCs/>
        </w:rPr>
      </w:pPr>
      <w:r w:rsidRPr="00B44534">
        <w:rPr>
          <w:rFonts w:ascii="Arial" w:hAnsi="Arial" w:cs="Arial"/>
          <w:b/>
          <w:bCs/>
        </w:rPr>
        <w:lastRenderedPageBreak/>
        <w:t>Reference List</w:t>
      </w:r>
    </w:p>
    <w:p w14:paraId="144ABC4E"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Aaker, D.A. (1996) </w:t>
      </w:r>
      <w:r w:rsidRPr="00B44534">
        <w:rPr>
          <w:rFonts w:ascii="Arial" w:hAnsi="Arial" w:cs="Arial"/>
          <w:i/>
          <w:iCs/>
        </w:rPr>
        <w:t>Building Strong Brands</w:t>
      </w:r>
      <w:r w:rsidRPr="00B44534">
        <w:rPr>
          <w:rFonts w:ascii="Arial" w:hAnsi="Arial" w:cs="Arial"/>
        </w:rPr>
        <w:t>. New York: The Free Press.</w:t>
      </w:r>
    </w:p>
    <w:p w14:paraId="1226AAF2"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Aaker, D.A. &amp; Joachimsthaler, E. (2000) </w:t>
      </w:r>
      <w:r w:rsidRPr="00B44534">
        <w:rPr>
          <w:rFonts w:ascii="Arial" w:hAnsi="Arial" w:cs="Arial"/>
          <w:i/>
          <w:iCs/>
        </w:rPr>
        <w:t>Brand Leadership</w:t>
      </w:r>
      <w:r w:rsidRPr="00B44534">
        <w:rPr>
          <w:rFonts w:ascii="Arial" w:hAnsi="Arial" w:cs="Arial"/>
        </w:rPr>
        <w:t>. New York: The Free Press.</w:t>
      </w:r>
    </w:p>
    <w:p w14:paraId="7078B8A3"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Accenture (2023) </w:t>
      </w:r>
      <w:r w:rsidRPr="00B44534">
        <w:rPr>
          <w:rFonts w:ascii="Arial" w:hAnsi="Arial" w:cs="Arial"/>
          <w:i/>
          <w:iCs/>
        </w:rPr>
        <w:t>The Human Paradox: From Customer Centricity to Life Centricity</w:t>
      </w:r>
      <w:r w:rsidRPr="00B44534">
        <w:rPr>
          <w:rFonts w:ascii="Arial" w:hAnsi="Arial" w:cs="Arial"/>
        </w:rPr>
        <w:t>. London: Accenture.</w:t>
      </w:r>
    </w:p>
    <w:p w14:paraId="6250444B"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Appelbaum, S.H., Habashy, S., Malo, J.L., &amp; Shafiq, H. (2012) 'Back to the future: revisiting Kotter's 8-step model of change', </w:t>
      </w:r>
      <w:r w:rsidRPr="00B44534">
        <w:rPr>
          <w:rFonts w:ascii="Arial" w:hAnsi="Arial" w:cs="Arial"/>
          <w:i/>
          <w:iCs/>
        </w:rPr>
        <w:t>Journal of Management Development</w:t>
      </w:r>
      <w:r w:rsidRPr="00B44534">
        <w:rPr>
          <w:rFonts w:ascii="Arial" w:hAnsi="Arial" w:cs="Arial"/>
        </w:rPr>
        <w:t>, 31(8), pp. 764-782.</w:t>
      </w:r>
    </w:p>
    <w:p w14:paraId="3C58CD7C"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Barney, J. (1991) 'Firm Resources and Sustained Competitive Advantage', </w:t>
      </w:r>
      <w:r w:rsidRPr="00B44534">
        <w:rPr>
          <w:rFonts w:ascii="Arial" w:hAnsi="Arial" w:cs="Arial"/>
          <w:i/>
          <w:iCs/>
        </w:rPr>
        <w:t>Journal of Management</w:t>
      </w:r>
      <w:r w:rsidRPr="00B44534">
        <w:rPr>
          <w:rFonts w:ascii="Arial" w:hAnsi="Arial" w:cs="Arial"/>
        </w:rPr>
        <w:t>, 17(1), pp. 99-120.</w:t>
      </w:r>
    </w:p>
    <w:p w14:paraId="35CFD887"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Bassi, L. &amp; McMurrer, D. (2007) 'Maximizing your return on people', </w:t>
      </w:r>
      <w:r w:rsidRPr="00B44534">
        <w:rPr>
          <w:rFonts w:ascii="Arial" w:hAnsi="Arial" w:cs="Arial"/>
          <w:i/>
          <w:iCs/>
        </w:rPr>
        <w:t>Harvard Business Review</w:t>
      </w:r>
      <w:r w:rsidRPr="00B44534">
        <w:rPr>
          <w:rFonts w:ascii="Arial" w:hAnsi="Arial" w:cs="Arial"/>
        </w:rPr>
        <w:t>, 85(3), pp. 115-123.</w:t>
      </w:r>
    </w:p>
    <w:p w14:paraId="01B27BA7"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Beverland, M.B. (2005) 'Brand-Building and the Logic of Authenticity', </w:t>
      </w:r>
      <w:r w:rsidRPr="00B44534">
        <w:rPr>
          <w:rFonts w:ascii="Arial" w:hAnsi="Arial" w:cs="Arial"/>
          <w:i/>
          <w:iCs/>
        </w:rPr>
        <w:t>Journal of Product &amp; Brand Management</w:t>
      </w:r>
      <w:r w:rsidRPr="00B44534">
        <w:rPr>
          <w:rFonts w:ascii="Arial" w:hAnsi="Arial" w:cs="Arial"/>
        </w:rPr>
        <w:t>, 14(7), pp. 477-483.</w:t>
      </w:r>
    </w:p>
    <w:p w14:paraId="373E6985"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Bitner, M.J., Ostrom, A.L. &amp; Meuter, M.L. (2002) 'Implementing successful self-service technologies', </w:t>
      </w:r>
      <w:r w:rsidRPr="00B44534">
        <w:rPr>
          <w:rFonts w:ascii="Arial" w:hAnsi="Arial" w:cs="Arial"/>
          <w:i/>
          <w:iCs/>
        </w:rPr>
        <w:t>Academy of Management Perspectives</w:t>
      </w:r>
      <w:r w:rsidRPr="00B44534">
        <w:rPr>
          <w:rFonts w:ascii="Arial" w:hAnsi="Arial" w:cs="Arial"/>
        </w:rPr>
        <w:t>, 16(4), pp. 96-108.</w:t>
      </w:r>
    </w:p>
    <w:p w14:paraId="7062E177"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Block, P. (2011) </w:t>
      </w:r>
      <w:r w:rsidRPr="00B44534">
        <w:rPr>
          <w:rFonts w:ascii="Arial" w:hAnsi="Arial" w:cs="Arial"/>
          <w:i/>
          <w:iCs/>
        </w:rPr>
        <w:t>Flawless Consulting: A Guide to Getting Your Expertise Used</w:t>
      </w:r>
      <w:r w:rsidRPr="00B44534">
        <w:rPr>
          <w:rFonts w:ascii="Arial" w:hAnsi="Arial" w:cs="Arial"/>
        </w:rPr>
        <w:t>. 3rd edn. San Francisco, CA: Jossey-Bass.</w:t>
      </w:r>
    </w:p>
    <w:p w14:paraId="1C709462"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Bolton, R.N., et al. (2013) 'Understanding Generation Y and their use of social media: a review and research agenda', </w:t>
      </w:r>
      <w:r w:rsidRPr="00B44534">
        <w:rPr>
          <w:rFonts w:ascii="Arial" w:hAnsi="Arial" w:cs="Arial"/>
          <w:i/>
          <w:iCs/>
        </w:rPr>
        <w:t>Journal of Service Management</w:t>
      </w:r>
      <w:r w:rsidRPr="00B44534">
        <w:rPr>
          <w:rFonts w:ascii="Arial" w:hAnsi="Arial" w:cs="Arial"/>
        </w:rPr>
        <w:t>, 24(3), pp. 245-267.</w:t>
      </w:r>
    </w:p>
    <w:p w14:paraId="25F93AB6"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Bostrom, R.P. &amp; Heinen, J.S. (1977) 'MIS problems and failures: A socio-technical perspective. Part I: The causes', </w:t>
      </w:r>
      <w:r w:rsidRPr="00B44534">
        <w:rPr>
          <w:rFonts w:ascii="Arial" w:hAnsi="Arial" w:cs="Arial"/>
          <w:i/>
          <w:iCs/>
        </w:rPr>
        <w:t>MIS Quarterly</w:t>
      </w:r>
      <w:r w:rsidRPr="00B44534">
        <w:rPr>
          <w:rFonts w:ascii="Arial" w:hAnsi="Arial" w:cs="Arial"/>
        </w:rPr>
        <w:t>, 1(3), pp. 17-32.</w:t>
      </w:r>
    </w:p>
    <w:p w14:paraId="654E1A0D"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Brynjolfsson, E. &amp; Hitt, L.M. (1996) 'Paradox lost? Firm-level evidence on the returns to information systems spending', </w:t>
      </w:r>
      <w:r w:rsidRPr="00B44534">
        <w:rPr>
          <w:rFonts w:ascii="Arial" w:hAnsi="Arial" w:cs="Arial"/>
          <w:i/>
          <w:iCs/>
        </w:rPr>
        <w:t>Management Science</w:t>
      </w:r>
      <w:r w:rsidRPr="00B44534">
        <w:rPr>
          <w:rFonts w:ascii="Arial" w:hAnsi="Arial" w:cs="Arial"/>
        </w:rPr>
        <w:t>, 42(4), pp. 541-558.</w:t>
      </w:r>
    </w:p>
    <w:p w14:paraId="004A5EEF"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lastRenderedPageBreak/>
        <w:t xml:space="preserve">Buhalis, D., &amp; Law, R. (2008) 'Progress in information technology and tourism management: 20 years on and 10 years after the Internet—The state of eTourism research', </w:t>
      </w:r>
      <w:r w:rsidRPr="00B44534">
        <w:rPr>
          <w:rFonts w:ascii="Arial" w:hAnsi="Arial" w:cs="Arial"/>
          <w:i/>
          <w:iCs/>
        </w:rPr>
        <w:t>Tourism Management</w:t>
      </w:r>
      <w:r w:rsidRPr="00B44534">
        <w:rPr>
          <w:rFonts w:ascii="Arial" w:hAnsi="Arial" w:cs="Arial"/>
        </w:rPr>
        <w:t>, 29(4), pp. 609-623.</w:t>
      </w:r>
    </w:p>
    <w:p w14:paraId="4028B41E"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Buhalis, D. &amp; Sinarta, Y. (2019) 'Real-time tourism: a new paradigm for tourism experience', in </w:t>
      </w:r>
      <w:r w:rsidRPr="00B44534">
        <w:rPr>
          <w:rFonts w:ascii="Arial" w:hAnsi="Arial" w:cs="Arial"/>
          <w:i/>
          <w:iCs/>
        </w:rPr>
        <w:t>Information and Communication Technologies in Tourism 2019</w:t>
      </w:r>
      <w:r w:rsidRPr="00B44534">
        <w:rPr>
          <w:rFonts w:ascii="Arial" w:hAnsi="Arial" w:cs="Arial"/>
        </w:rPr>
        <w:t>. Cham: Springer, pp. 3-15.</w:t>
      </w:r>
    </w:p>
    <w:p w14:paraId="7492ACB4"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Burnes, B. (2014) </w:t>
      </w:r>
      <w:r w:rsidRPr="00B44534">
        <w:rPr>
          <w:rFonts w:ascii="Arial" w:hAnsi="Arial" w:cs="Arial"/>
          <w:i/>
          <w:iCs/>
        </w:rPr>
        <w:t>Managing Change</w:t>
      </w:r>
      <w:r w:rsidRPr="00B44534">
        <w:rPr>
          <w:rFonts w:ascii="Arial" w:hAnsi="Arial" w:cs="Arial"/>
        </w:rPr>
        <w:t>. 4th edn. Great Britain: Prentice Hall.</w:t>
      </w:r>
    </w:p>
    <w:p w14:paraId="39F85A65"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Checkland, P. (1981) </w:t>
      </w:r>
      <w:r w:rsidRPr="00B44534">
        <w:rPr>
          <w:rFonts w:ascii="Arial" w:hAnsi="Arial" w:cs="Arial"/>
          <w:i/>
          <w:iCs/>
        </w:rPr>
        <w:t>Systems Thinking, Systems Practice</w:t>
      </w:r>
      <w:r w:rsidRPr="00B44534">
        <w:rPr>
          <w:rFonts w:ascii="Arial" w:hAnsi="Arial" w:cs="Arial"/>
        </w:rPr>
        <w:t>. Chichester: John Wiley &amp; Sons.</w:t>
      </w:r>
    </w:p>
    <w:p w14:paraId="07B0A8D7"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Cummings, T.G. &amp; Worley, C.G. (2019) </w:t>
      </w:r>
      <w:r w:rsidRPr="00B44534">
        <w:rPr>
          <w:rFonts w:ascii="Arial" w:hAnsi="Arial" w:cs="Arial"/>
          <w:i/>
          <w:iCs/>
        </w:rPr>
        <w:t>Organization Development and Change</w:t>
      </w:r>
      <w:r w:rsidRPr="00B44534">
        <w:rPr>
          <w:rFonts w:ascii="Arial" w:hAnsi="Arial" w:cs="Arial"/>
        </w:rPr>
        <w:t>. 11th edn. Boston, MA: Cengage Learning.</w:t>
      </w:r>
    </w:p>
    <w:p w14:paraId="1F49F2E9"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D'Aveni, R.A. (1994) </w:t>
      </w:r>
      <w:r w:rsidRPr="00B44534">
        <w:rPr>
          <w:rFonts w:ascii="Arial" w:hAnsi="Arial" w:cs="Arial"/>
          <w:i/>
          <w:iCs/>
        </w:rPr>
        <w:t>Hypercompetition: Managing the Dynamics of Strategic Maneuvering</w:t>
      </w:r>
      <w:r w:rsidRPr="00B44534">
        <w:rPr>
          <w:rFonts w:ascii="Arial" w:hAnsi="Arial" w:cs="Arial"/>
        </w:rPr>
        <w:t>. New York: The Free Press.</w:t>
      </w:r>
    </w:p>
    <w:p w14:paraId="72F88DF6"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Davenport, T.H. (2014) </w:t>
      </w:r>
      <w:r w:rsidRPr="00B44534">
        <w:rPr>
          <w:rFonts w:ascii="Arial" w:hAnsi="Arial" w:cs="Arial"/>
          <w:i/>
          <w:iCs/>
        </w:rPr>
        <w:t>Big Data at Work: Dispelling the Myths, Uncovering the Opportunities</w:t>
      </w:r>
      <w:r w:rsidRPr="00B44534">
        <w:rPr>
          <w:rFonts w:ascii="Arial" w:hAnsi="Arial" w:cs="Arial"/>
        </w:rPr>
        <w:t>. Boston, MA: Harvard Business Review Press.</w:t>
      </w:r>
    </w:p>
    <w:p w14:paraId="446B14D9"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Davenport, T.H. &amp; Harris, J.G. (2007) </w:t>
      </w:r>
      <w:r w:rsidRPr="00B44534">
        <w:rPr>
          <w:rFonts w:ascii="Arial" w:hAnsi="Arial" w:cs="Arial"/>
          <w:i/>
          <w:iCs/>
        </w:rPr>
        <w:t>Competing on Analytics: The New Science of Winning</w:t>
      </w:r>
      <w:r w:rsidRPr="00B44534">
        <w:rPr>
          <w:rFonts w:ascii="Arial" w:hAnsi="Arial" w:cs="Arial"/>
        </w:rPr>
        <w:t>. Boston, MA: Harvard Business School Press.</w:t>
      </w:r>
    </w:p>
    <w:p w14:paraId="5B0B93AF"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Davis, F.D. (1989) 'Perceived Usefulness, Perceived Ease of Use, and User Acceptance of Information Technology', </w:t>
      </w:r>
      <w:r w:rsidRPr="00B44534">
        <w:rPr>
          <w:rFonts w:ascii="Arial" w:hAnsi="Arial" w:cs="Arial"/>
          <w:i/>
          <w:iCs/>
        </w:rPr>
        <w:t>MIS Quarterly</w:t>
      </w:r>
      <w:r w:rsidRPr="00B44534">
        <w:rPr>
          <w:rFonts w:ascii="Arial" w:hAnsi="Arial" w:cs="Arial"/>
        </w:rPr>
        <w:t>, 13(3), pp. 319-340.</w:t>
      </w:r>
    </w:p>
    <w:p w14:paraId="662D8C05"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De Wit, B. &amp; Meyer, R. (2010) </w:t>
      </w:r>
      <w:r w:rsidRPr="00B44534">
        <w:rPr>
          <w:rFonts w:ascii="Arial" w:hAnsi="Arial" w:cs="Arial"/>
          <w:i/>
          <w:iCs/>
        </w:rPr>
        <w:t>Strategy: Process, Content, Context: An International Perspective</w:t>
      </w:r>
      <w:r w:rsidRPr="00B44534">
        <w:rPr>
          <w:rFonts w:ascii="Arial" w:hAnsi="Arial" w:cs="Arial"/>
        </w:rPr>
        <w:t>. 4th edn. London: Cengage Learning.</w:t>
      </w:r>
    </w:p>
    <w:p w14:paraId="7C6187C9"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Fleisher, C.S. &amp; Bensoussan, B.E. (2015) </w:t>
      </w:r>
      <w:r w:rsidRPr="00B44534">
        <w:rPr>
          <w:rFonts w:ascii="Arial" w:hAnsi="Arial" w:cs="Arial"/>
          <w:i/>
          <w:iCs/>
        </w:rPr>
        <w:t>Business and Competitive Analysis: Effective Application of New and Classic Methods</w:t>
      </w:r>
      <w:r w:rsidRPr="00B44534">
        <w:rPr>
          <w:rFonts w:ascii="Arial" w:hAnsi="Arial" w:cs="Arial"/>
        </w:rPr>
        <w:t>. 2nd edn. Upper Saddle River, NJ: FT Press.</w:t>
      </w:r>
    </w:p>
    <w:p w14:paraId="44A32068"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Ford, J.D., Ford, L.W. &amp; D'Amelio, A. (2008) 'Resistance to change: The rest of the story', </w:t>
      </w:r>
      <w:r w:rsidRPr="00B44534">
        <w:rPr>
          <w:rFonts w:ascii="Arial" w:hAnsi="Arial" w:cs="Arial"/>
          <w:i/>
          <w:iCs/>
        </w:rPr>
        <w:t>Academy of Management Review</w:t>
      </w:r>
      <w:r w:rsidRPr="00B44534">
        <w:rPr>
          <w:rFonts w:ascii="Arial" w:hAnsi="Arial" w:cs="Arial"/>
        </w:rPr>
        <w:t>, 33(2), pp. 362-377.</w:t>
      </w:r>
    </w:p>
    <w:p w14:paraId="411F0F52"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lastRenderedPageBreak/>
        <w:t xml:space="preserve">Galliers, R.D. &amp; Sutherland, A.R. (1991) 'Information systems management and strategy formulation: the 'stages of growth' model revisited', </w:t>
      </w:r>
      <w:r w:rsidRPr="00B44534">
        <w:rPr>
          <w:rFonts w:ascii="Arial" w:hAnsi="Arial" w:cs="Arial"/>
          <w:i/>
          <w:iCs/>
        </w:rPr>
        <w:t>Journal of Information Systems</w:t>
      </w:r>
      <w:r w:rsidRPr="00B44534">
        <w:rPr>
          <w:rFonts w:ascii="Arial" w:hAnsi="Arial" w:cs="Arial"/>
        </w:rPr>
        <w:t>, 1(2), pp. 89-114.</w:t>
      </w:r>
    </w:p>
    <w:p w14:paraId="5F9B98F3"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Gil-García, J.R. (2012) </w:t>
      </w:r>
      <w:r w:rsidRPr="00B44534">
        <w:rPr>
          <w:rFonts w:ascii="Arial" w:hAnsi="Arial" w:cs="Arial"/>
          <w:i/>
          <w:iCs/>
        </w:rPr>
        <w:t>Enacting Electronic Government Success: An Integrative Study of Government-wide Websites, Organizational Capabilities, and Institutions</w:t>
      </w:r>
      <w:r w:rsidRPr="00B44534">
        <w:rPr>
          <w:rFonts w:ascii="Arial" w:hAnsi="Arial" w:cs="Arial"/>
        </w:rPr>
        <w:t>. New York: Springer.</w:t>
      </w:r>
    </w:p>
    <w:p w14:paraId="6F478C26"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Gillespie, A. (2016) </w:t>
      </w:r>
      <w:r w:rsidRPr="00B44534">
        <w:rPr>
          <w:rFonts w:ascii="Arial" w:hAnsi="Arial" w:cs="Arial"/>
          <w:i/>
          <w:iCs/>
        </w:rPr>
        <w:t>PESTEL Analysis</w:t>
      </w:r>
      <w:r w:rsidRPr="00B44534">
        <w:rPr>
          <w:rFonts w:ascii="Arial" w:hAnsi="Arial" w:cs="Arial"/>
        </w:rPr>
        <w:t>. Oxford: Oxford University Press.</w:t>
      </w:r>
    </w:p>
    <w:p w14:paraId="26D880E5"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Greiner, L.E. (1998) 'Evolution and Revolution as Organizations Grow', </w:t>
      </w:r>
      <w:r w:rsidRPr="00B44534">
        <w:rPr>
          <w:rFonts w:ascii="Arial" w:hAnsi="Arial" w:cs="Arial"/>
          <w:i/>
          <w:iCs/>
        </w:rPr>
        <w:t>Harvard Business Review</w:t>
      </w:r>
      <w:r w:rsidRPr="00B44534">
        <w:rPr>
          <w:rFonts w:ascii="Arial" w:hAnsi="Arial" w:cs="Arial"/>
        </w:rPr>
        <w:t>, 76(3), pp. 55-67.</w:t>
      </w:r>
    </w:p>
    <w:p w14:paraId="5AD5AB07"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Gummesson, E. (2007) 'Exit services marketing - enter service marketing', </w:t>
      </w:r>
      <w:r w:rsidRPr="00B44534">
        <w:rPr>
          <w:rFonts w:ascii="Arial" w:hAnsi="Arial" w:cs="Arial"/>
          <w:i/>
          <w:iCs/>
        </w:rPr>
        <w:t>Journal of Customer Behaviour</w:t>
      </w:r>
      <w:r w:rsidRPr="00B44534">
        <w:rPr>
          <w:rFonts w:ascii="Arial" w:hAnsi="Arial" w:cs="Arial"/>
        </w:rPr>
        <w:t>, 6(2), pp. 113-141.</w:t>
      </w:r>
    </w:p>
    <w:p w14:paraId="520F2394"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Han, H., Hsu, L.T.J., &amp; Lee, J.S. (2009) 'Empirical investigation of the roles of attitudes toward green behaviors, overall image, gender, and age in hotel customers’ eco-friendly decision-making process', </w:t>
      </w:r>
      <w:r w:rsidRPr="00B44534">
        <w:rPr>
          <w:rFonts w:ascii="Arial" w:hAnsi="Arial" w:cs="Arial"/>
          <w:i/>
          <w:iCs/>
        </w:rPr>
        <w:t>International Journal of Hospitality Management</w:t>
      </w:r>
      <w:r w:rsidRPr="00B44534">
        <w:rPr>
          <w:rFonts w:ascii="Arial" w:hAnsi="Arial" w:cs="Arial"/>
        </w:rPr>
        <w:t>, 28(4), pp. 519-528.</w:t>
      </w:r>
    </w:p>
    <w:p w14:paraId="29D4BE28"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HM Government (2023) </w:t>
      </w:r>
      <w:r w:rsidRPr="00B44534">
        <w:rPr>
          <w:rFonts w:ascii="Arial" w:hAnsi="Arial" w:cs="Arial"/>
          <w:i/>
          <w:iCs/>
        </w:rPr>
        <w:t>A pro-innovation approach to AI regulation</w:t>
      </w:r>
      <w:r w:rsidRPr="00B44534">
        <w:rPr>
          <w:rFonts w:ascii="Arial" w:hAnsi="Arial" w:cs="Arial"/>
        </w:rPr>
        <w:t>. London: HMSO.</w:t>
      </w:r>
    </w:p>
    <w:p w14:paraId="618FD2C1"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Hrebiniak, L.G. (2005) </w:t>
      </w:r>
      <w:r w:rsidRPr="00B44534">
        <w:rPr>
          <w:rFonts w:ascii="Arial" w:hAnsi="Arial" w:cs="Arial"/>
          <w:i/>
          <w:iCs/>
        </w:rPr>
        <w:t>Making Strategy Work: Leading Effective Execution and Change</w:t>
      </w:r>
      <w:r w:rsidRPr="00B44534">
        <w:rPr>
          <w:rFonts w:ascii="Arial" w:hAnsi="Arial" w:cs="Arial"/>
        </w:rPr>
        <w:t>. Upper Saddle River, NJ: Wharton School Publishing.</w:t>
      </w:r>
    </w:p>
    <w:p w14:paraId="6595283A"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Johnson, G., Scholes, K. &amp; Whittington, R. (2008) </w:t>
      </w:r>
      <w:r w:rsidRPr="00B44534">
        <w:rPr>
          <w:rFonts w:ascii="Arial" w:hAnsi="Arial" w:cs="Arial"/>
          <w:i/>
          <w:iCs/>
        </w:rPr>
        <w:t>Exploring Corporate Strategy</w:t>
      </w:r>
      <w:r w:rsidRPr="00B44534">
        <w:rPr>
          <w:rFonts w:ascii="Arial" w:hAnsi="Arial" w:cs="Arial"/>
        </w:rPr>
        <w:t>. 8th edn. Harlow: Pearson Education.</w:t>
      </w:r>
    </w:p>
    <w:p w14:paraId="26352B6A"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Jones, P. &amp; Lockwood, A. (2014) </w:t>
      </w:r>
      <w:r w:rsidRPr="00B44534">
        <w:rPr>
          <w:rFonts w:ascii="Arial" w:hAnsi="Arial" w:cs="Arial"/>
          <w:i/>
          <w:iCs/>
        </w:rPr>
        <w:t>The Management of Hotel Operations</w:t>
      </w:r>
      <w:r w:rsidRPr="00B44534">
        <w:rPr>
          <w:rFonts w:ascii="Arial" w:hAnsi="Arial" w:cs="Arial"/>
        </w:rPr>
        <w:t>. 3rd edn. London: Routledge.</w:t>
      </w:r>
    </w:p>
    <w:p w14:paraId="60CF3C06"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Kapferer, J.N. &amp; Bastien, V. (2012) </w:t>
      </w:r>
      <w:r w:rsidRPr="00B44534">
        <w:rPr>
          <w:rFonts w:ascii="Arial" w:hAnsi="Arial" w:cs="Arial"/>
          <w:i/>
          <w:iCs/>
        </w:rPr>
        <w:t>The Luxury Strategy: Break the Rules of Marketing to Build Luxury Brands</w:t>
      </w:r>
      <w:r w:rsidRPr="00B44534">
        <w:rPr>
          <w:rFonts w:ascii="Arial" w:hAnsi="Arial" w:cs="Arial"/>
        </w:rPr>
        <w:t>. 2nd edn. London: Kogan Page.</w:t>
      </w:r>
    </w:p>
    <w:p w14:paraId="093EAD11"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Kaplan, R.S. &amp; Atkinson, A.A. (1998) </w:t>
      </w:r>
      <w:r w:rsidRPr="00B44534">
        <w:rPr>
          <w:rFonts w:ascii="Arial" w:hAnsi="Arial" w:cs="Arial"/>
          <w:i/>
          <w:iCs/>
        </w:rPr>
        <w:t>Advanced Management Accounting</w:t>
      </w:r>
      <w:r w:rsidRPr="00B44534">
        <w:rPr>
          <w:rFonts w:ascii="Arial" w:hAnsi="Arial" w:cs="Arial"/>
        </w:rPr>
        <w:t>. 3rd edn. Upper Saddle River, NJ: Prentice Hall.</w:t>
      </w:r>
    </w:p>
    <w:p w14:paraId="44821475"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lastRenderedPageBreak/>
        <w:t xml:space="preserve">Kipping, M. &amp; Clark, T. (2012) </w:t>
      </w:r>
      <w:r w:rsidRPr="00B44534">
        <w:rPr>
          <w:rFonts w:ascii="Arial" w:hAnsi="Arial" w:cs="Arial"/>
          <w:i/>
          <w:iCs/>
        </w:rPr>
        <w:t>The Oxford Handbook of Management Consulting</w:t>
      </w:r>
      <w:r w:rsidRPr="00B44534">
        <w:rPr>
          <w:rFonts w:ascii="Arial" w:hAnsi="Arial" w:cs="Arial"/>
        </w:rPr>
        <w:t>. Oxford: Oxford University Press.</w:t>
      </w:r>
    </w:p>
    <w:p w14:paraId="4D579795"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Kotter, J.P. (2012) </w:t>
      </w:r>
      <w:r w:rsidRPr="00B44534">
        <w:rPr>
          <w:rFonts w:ascii="Arial" w:hAnsi="Arial" w:cs="Arial"/>
          <w:i/>
          <w:iCs/>
        </w:rPr>
        <w:t>Leading Change</w:t>
      </w:r>
      <w:r w:rsidRPr="00B44534">
        <w:rPr>
          <w:rFonts w:ascii="Arial" w:hAnsi="Arial" w:cs="Arial"/>
        </w:rPr>
        <w:t>. Boston, MA: Harvard Business Review Press.</w:t>
      </w:r>
    </w:p>
    <w:p w14:paraId="345F091E"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Kshetri, N. (2013) 'Cybercrime and cybersecurity issues in the BRICS economies', </w:t>
      </w:r>
      <w:r w:rsidRPr="00B44534">
        <w:rPr>
          <w:rFonts w:ascii="Arial" w:hAnsi="Arial" w:cs="Arial"/>
          <w:i/>
          <w:iCs/>
        </w:rPr>
        <w:t>Journal of Global Information Technology Management</w:t>
      </w:r>
      <w:r w:rsidRPr="00B44534">
        <w:rPr>
          <w:rFonts w:ascii="Arial" w:hAnsi="Arial" w:cs="Arial"/>
        </w:rPr>
        <w:t>, 16(4), pp. 3-10.</w:t>
      </w:r>
    </w:p>
    <w:p w14:paraId="3CEDA382"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Lawler, E.E. (2003) </w:t>
      </w:r>
      <w:r w:rsidRPr="00B44534">
        <w:rPr>
          <w:rFonts w:ascii="Arial" w:hAnsi="Arial" w:cs="Arial"/>
          <w:i/>
          <w:iCs/>
        </w:rPr>
        <w:t>Treat People Right!: How Leaders and Companies Can Create a Win-Win Work Environment</w:t>
      </w:r>
      <w:r w:rsidRPr="00B44534">
        <w:rPr>
          <w:rFonts w:ascii="Arial" w:hAnsi="Arial" w:cs="Arial"/>
        </w:rPr>
        <w:t>. San Francisco, CA: Jossey-Bass.</w:t>
      </w:r>
    </w:p>
    <w:p w14:paraId="03A68361"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Lemon, K.N. &amp; Verhoef, P.C. (2016) 'Understanding Customer Experience Throughout the Customer Journey', </w:t>
      </w:r>
      <w:r w:rsidRPr="00B44534">
        <w:rPr>
          <w:rFonts w:ascii="Arial" w:hAnsi="Arial" w:cs="Arial"/>
          <w:i/>
          <w:iCs/>
        </w:rPr>
        <w:t>Journal of Marketing</w:t>
      </w:r>
      <w:r w:rsidRPr="00B44534">
        <w:rPr>
          <w:rFonts w:ascii="Arial" w:hAnsi="Arial" w:cs="Arial"/>
        </w:rPr>
        <w:t>, 80(6), pp. 69-96.</w:t>
      </w:r>
    </w:p>
    <w:p w14:paraId="260AC8DA"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Leonard-Barton, D. (1992) 'Core capabilities and core rigidities: A paradox in managing new product development', </w:t>
      </w:r>
      <w:r w:rsidRPr="00B44534">
        <w:rPr>
          <w:rFonts w:ascii="Arial" w:hAnsi="Arial" w:cs="Arial"/>
          <w:i/>
          <w:iCs/>
        </w:rPr>
        <w:t>Strategic Management Journal</w:t>
      </w:r>
      <w:r w:rsidRPr="00B44534">
        <w:rPr>
          <w:rFonts w:ascii="Arial" w:hAnsi="Arial" w:cs="Arial"/>
        </w:rPr>
        <w:t>, 13(S1), pp. 111-125.</w:t>
      </w:r>
    </w:p>
    <w:p w14:paraId="06C817E9"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Lewin, K. (1947) 'Frontiers in group dynamics', </w:t>
      </w:r>
      <w:r w:rsidRPr="00B44534">
        <w:rPr>
          <w:rFonts w:ascii="Arial" w:hAnsi="Arial" w:cs="Arial"/>
          <w:i/>
          <w:iCs/>
        </w:rPr>
        <w:t>Human Relations</w:t>
      </w:r>
      <w:r w:rsidRPr="00B44534">
        <w:rPr>
          <w:rFonts w:ascii="Arial" w:hAnsi="Arial" w:cs="Arial"/>
        </w:rPr>
        <w:t>, 1(1), pp. 5-41.</w:t>
      </w:r>
    </w:p>
    <w:p w14:paraId="4549E869"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Maister, D.H. (2000) </w:t>
      </w:r>
      <w:r w:rsidRPr="00B44534">
        <w:rPr>
          <w:rFonts w:ascii="Arial" w:hAnsi="Arial" w:cs="Arial"/>
          <w:i/>
          <w:iCs/>
        </w:rPr>
        <w:t>True Professionalism: The Courage to Care About Your People, Your Clients, and Your Career</w:t>
      </w:r>
      <w:r w:rsidRPr="00B44534">
        <w:rPr>
          <w:rFonts w:ascii="Arial" w:hAnsi="Arial" w:cs="Arial"/>
        </w:rPr>
        <w:t>. New York: Touchstone.</w:t>
      </w:r>
    </w:p>
    <w:p w14:paraId="3F65E8C6"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Martin, K.D., &amp; Murphy, P.E. (2017) 'The role of data privacy in marketing', </w:t>
      </w:r>
      <w:r w:rsidRPr="00B44534">
        <w:rPr>
          <w:rFonts w:ascii="Arial" w:hAnsi="Arial" w:cs="Arial"/>
          <w:i/>
          <w:iCs/>
        </w:rPr>
        <w:t>Journal of Marketing</w:t>
      </w:r>
      <w:r w:rsidRPr="00B44534">
        <w:rPr>
          <w:rFonts w:ascii="Arial" w:hAnsi="Arial" w:cs="Arial"/>
        </w:rPr>
        <w:t>, 81(1), pp. 136-155.</w:t>
      </w:r>
    </w:p>
    <w:p w14:paraId="439FCB99" w14:textId="1D9CF5F6"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McKinsey &amp; Company (2023) </w:t>
      </w:r>
      <w:r w:rsidRPr="00B44534">
        <w:rPr>
          <w:rFonts w:ascii="Arial" w:hAnsi="Arial" w:cs="Arial"/>
          <w:i/>
          <w:iCs/>
        </w:rPr>
        <w:t>The State of Fashion: The New Face of Luxury</w:t>
      </w:r>
      <w:r w:rsidRPr="00B44534">
        <w:rPr>
          <w:rFonts w:ascii="Arial" w:hAnsi="Arial" w:cs="Arial"/>
        </w:rPr>
        <w:t>. Available at: [</w:t>
      </w:r>
      <w:r w:rsidR="005324E2" w:rsidRPr="005324E2">
        <w:rPr>
          <w:rFonts w:ascii="Arial" w:hAnsi="Arial" w:cs="Arial"/>
        </w:rPr>
        <w:t>https://www.mckinsey.com/~/media/mckinsey/industries/retail/our%20insights/state%20of%20fashion/2023/the-state-of-fashion-2023-holding-onto-growth-as-global-clouds-gathers-vf.pdf</w:t>
      </w:r>
      <w:r w:rsidRPr="00B44534">
        <w:rPr>
          <w:rFonts w:ascii="Arial" w:hAnsi="Arial" w:cs="Arial"/>
        </w:rPr>
        <w:t>].</w:t>
      </w:r>
      <w:r w:rsidR="005324E2">
        <w:rPr>
          <w:rFonts w:ascii="Arial" w:hAnsi="Arial" w:cs="Arial"/>
        </w:rPr>
        <w:t xml:space="preserve"> Accessed on 24.06.2025</w:t>
      </w:r>
    </w:p>
    <w:p w14:paraId="645273FD"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Mintzberg, H. (1994) </w:t>
      </w:r>
      <w:r w:rsidRPr="00B44534">
        <w:rPr>
          <w:rFonts w:ascii="Arial" w:hAnsi="Arial" w:cs="Arial"/>
          <w:i/>
          <w:iCs/>
        </w:rPr>
        <w:t>The Rise and Fall of Strategic Planning</w:t>
      </w:r>
      <w:r w:rsidRPr="00B44534">
        <w:rPr>
          <w:rFonts w:ascii="Arial" w:hAnsi="Arial" w:cs="Arial"/>
        </w:rPr>
        <w:t>. New York: The Free Press.</w:t>
      </w:r>
    </w:p>
    <w:p w14:paraId="4A388EB8"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lastRenderedPageBreak/>
        <w:t xml:space="preserve">Nambisan, S., Lyytinen, K., Majchrzak, A., &amp; Song, M. (2017) 'Digital Innovation Management: Reinventing innovation management research in a digital world', </w:t>
      </w:r>
      <w:r w:rsidRPr="00B44534">
        <w:rPr>
          <w:rFonts w:ascii="Arial" w:hAnsi="Arial" w:cs="Arial"/>
          <w:i/>
          <w:iCs/>
        </w:rPr>
        <w:t>MIS Quarterly</w:t>
      </w:r>
      <w:r w:rsidRPr="00B44534">
        <w:rPr>
          <w:rFonts w:ascii="Arial" w:hAnsi="Arial" w:cs="Arial"/>
        </w:rPr>
        <w:t>, 41(1), pp. 223-238.</w:t>
      </w:r>
    </w:p>
    <w:p w14:paraId="76C81291"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Newton, R. (2010) </w:t>
      </w:r>
      <w:r w:rsidRPr="00B44534">
        <w:rPr>
          <w:rFonts w:ascii="Arial" w:hAnsi="Arial" w:cs="Arial"/>
          <w:i/>
          <w:iCs/>
        </w:rPr>
        <w:t>The Management Consultant: Mastering the Art of Consultancy</w:t>
      </w:r>
      <w:r w:rsidRPr="00B44534">
        <w:rPr>
          <w:rFonts w:ascii="Arial" w:hAnsi="Arial" w:cs="Arial"/>
        </w:rPr>
        <w:t>. London: Financial Times Prentice Hall.</w:t>
      </w:r>
    </w:p>
    <w:p w14:paraId="747D29D3"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Norman, D.A. (2013) </w:t>
      </w:r>
      <w:r w:rsidRPr="00B44534">
        <w:rPr>
          <w:rFonts w:ascii="Arial" w:hAnsi="Arial" w:cs="Arial"/>
          <w:i/>
          <w:iCs/>
        </w:rPr>
        <w:t>The Design of Everyday Things: Revised and Expanded Edition</w:t>
      </w:r>
      <w:r w:rsidRPr="00B44534">
        <w:rPr>
          <w:rFonts w:ascii="Arial" w:hAnsi="Arial" w:cs="Arial"/>
        </w:rPr>
        <w:t>. New York: Basic Books.</w:t>
      </w:r>
    </w:p>
    <w:p w14:paraId="00BA8C40"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O'Reilly, C.A. &amp; Tushman, M.L. (2004) 'The Ambidextrous Organization', </w:t>
      </w:r>
      <w:r w:rsidRPr="00B44534">
        <w:rPr>
          <w:rFonts w:ascii="Arial" w:hAnsi="Arial" w:cs="Arial"/>
          <w:i/>
          <w:iCs/>
        </w:rPr>
        <w:t>Harvard Business Review</w:t>
      </w:r>
      <w:r w:rsidRPr="00B44534">
        <w:rPr>
          <w:rFonts w:ascii="Arial" w:hAnsi="Arial" w:cs="Arial"/>
        </w:rPr>
        <w:t>, 82(4), pp. 74-81.</w:t>
      </w:r>
    </w:p>
    <w:p w14:paraId="0FA32BD3"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Ostrom, A.L., et al. (2015) 'Service Research Priorities in a Rapidly Changing Context', </w:t>
      </w:r>
      <w:r w:rsidRPr="00B44534">
        <w:rPr>
          <w:rFonts w:ascii="Arial" w:hAnsi="Arial" w:cs="Arial"/>
          <w:i/>
          <w:iCs/>
        </w:rPr>
        <w:t>Journal of Service Research</w:t>
      </w:r>
      <w:r w:rsidRPr="00B44534">
        <w:rPr>
          <w:rFonts w:ascii="Arial" w:hAnsi="Arial" w:cs="Arial"/>
        </w:rPr>
        <w:t>, 18(2), pp. 127-159.</w:t>
      </w:r>
    </w:p>
    <w:p w14:paraId="01D4F674"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Pearlson, K.E., Saunders, C.S. &amp; Galletta, D.F. (2019) </w:t>
      </w:r>
      <w:r w:rsidRPr="00B44534">
        <w:rPr>
          <w:rFonts w:ascii="Arial" w:hAnsi="Arial" w:cs="Arial"/>
          <w:i/>
          <w:iCs/>
        </w:rPr>
        <w:t>Managing and Using Information Systems: A Strategic Approach</w:t>
      </w:r>
      <w:r w:rsidRPr="00B44534">
        <w:rPr>
          <w:rFonts w:ascii="Arial" w:hAnsi="Arial" w:cs="Arial"/>
        </w:rPr>
        <w:t>. 7th edn. Hoboken, NJ: John Wiley &amp; Sons.</w:t>
      </w:r>
    </w:p>
    <w:p w14:paraId="61FF72FA"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Pine, B.J. &amp; Gilmore, J.H. (1999) </w:t>
      </w:r>
      <w:r w:rsidRPr="00B44534">
        <w:rPr>
          <w:rFonts w:ascii="Arial" w:hAnsi="Arial" w:cs="Arial"/>
          <w:i/>
          <w:iCs/>
        </w:rPr>
        <w:t>The Experience Economy: Work Is Theatre &amp; Every Business a Stage</w:t>
      </w:r>
      <w:r w:rsidRPr="00B44534">
        <w:rPr>
          <w:rFonts w:ascii="Arial" w:hAnsi="Arial" w:cs="Arial"/>
        </w:rPr>
        <w:t>. Boston, MA: Harvard Business School Press.</w:t>
      </w:r>
    </w:p>
    <w:p w14:paraId="1FEAD72D"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Porter, M.E. (1996) 'What Is Strategy?', </w:t>
      </w:r>
      <w:r w:rsidRPr="00B44534">
        <w:rPr>
          <w:rFonts w:ascii="Arial" w:hAnsi="Arial" w:cs="Arial"/>
          <w:i/>
          <w:iCs/>
        </w:rPr>
        <w:t>Harvard Business Review</w:t>
      </w:r>
      <w:r w:rsidRPr="00B44534">
        <w:rPr>
          <w:rFonts w:ascii="Arial" w:hAnsi="Arial" w:cs="Arial"/>
        </w:rPr>
        <w:t>, 74(6), pp. 61-78.</w:t>
      </w:r>
    </w:p>
    <w:p w14:paraId="0F4D8CD4"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Prahalad, C.K. &amp; Hamel, G. (1990) 'The Core Competence of the Corporation', </w:t>
      </w:r>
      <w:r w:rsidRPr="00B44534">
        <w:rPr>
          <w:rFonts w:ascii="Arial" w:hAnsi="Arial" w:cs="Arial"/>
          <w:i/>
          <w:iCs/>
        </w:rPr>
        <w:t>Harvard Business Review</w:t>
      </w:r>
      <w:r w:rsidRPr="00B44534">
        <w:rPr>
          <w:rFonts w:ascii="Arial" w:hAnsi="Arial" w:cs="Arial"/>
        </w:rPr>
        <w:t>, 68(3), pp. 79-91.</w:t>
      </w:r>
    </w:p>
    <w:p w14:paraId="2D204C53"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Project Management Institute (2017) </w:t>
      </w:r>
      <w:r w:rsidRPr="00B44534">
        <w:rPr>
          <w:rFonts w:ascii="Arial" w:hAnsi="Arial" w:cs="Arial"/>
          <w:i/>
          <w:iCs/>
        </w:rPr>
        <w:t>A Guide to the Project Management Body of Knowledge (PMBOK Guide)</w:t>
      </w:r>
      <w:r w:rsidRPr="00B44534">
        <w:rPr>
          <w:rFonts w:ascii="Arial" w:hAnsi="Arial" w:cs="Arial"/>
        </w:rPr>
        <w:t>. 6th edn. Newtown Square, PA: Project Management Institute.</w:t>
      </w:r>
    </w:p>
    <w:p w14:paraId="4B1CE58B"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Remenyi, D. (1999) </w:t>
      </w:r>
      <w:r w:rsidRPr="00B44534">
        <w:rPr>
          <w:rFonts w:ascii="Arial" w:hAnsi="Arial" w:cs="Arial"/>
          <w:i/>
          <w:iCs/>
        </w:rPr>
        <w:t>The Effective Measurement and Management of IT Costs and Benefits</w:t>
      </w:r>
      <w:r w:rsidRPr="00B44534">
        <w:rPr>
          <w:rFonts w:ascii="Arial" w:hAnsi="Arial" w:cs="Arial"/>
        </w:rPr>
        <w:t>. Oxford: Butterworth-Heinemann.</w:t>
      </w:r>
    </w:p>
    <w:p w14:paraId="2E9ED3B9"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Rogers, E.M. (2003) </w:t>
      </w:r>
      <w:r w:rsidRPr="00B44534">
        <w:rPr>
          <w:rFonts w:ascii="Arial" w:hAnsi="Arial" w:cs="Arial"/>
          <w:i/>
          <w:iCs/>
        </w:rPr>
        <w:t>Diffusion of Innovations</w:t>
      </w:r>
      <w:r w:rsidRPr="00B44534">
        <w:rPr>
          <w:rFonts w:ascii="Arial" w:hAnsi="Arial" w:cs="Arial"/>
        </w:rPr>
        <w:t>. 5th edn. New York: Free Press.</w:t>
      </w:r>
    </w:p>
    <w:p w14:paraId="1E2D2BF6"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lastRenderedPageBreak/>
        <w:t xml:space="preserve">Ross, J.W., Weill, P. &amp; Robertson, D.C. (2006) </w:t>
      </w:r>
      <w:r w:rsidRPr="00B44534">
        <w:rPr>
          <w:rFonts w:ascii="Arial" w:hAnsi="Arial" w:cs="Arial"/>
          <w:i/>
          <w:iCs/>
        </w:rPr>
        <w:t>Enterprise Architecture As Strategy: Creating a Foundation for Business Execution</w:t>
      </w:r>
      <w:r w:rsidRPr="00B44534">
        <w:rPr>
          <w:rFonts w:ascii="Arial" w:hAnsi="Arial" w:cs="Arial"/>
        </w:rPr>
        <w:t>. Boston, MA: Harvard Business School Press.</w:t>
      </w:r>
    </w:p>
    <w:p w14:paraId="45FC4858"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Salas, E., Tannenbaum, S.I., Kraiger, K., &amp; Smith-Jentsch, K.A. (2012) 'The science of training and development in organizations: What matters in practice', </w:t>
      </w:r>
      <w:r w:rsidRPr="00B44534">
        <w:rPr>
          <w:rFonts w:ascii="Arial" w:hAnsi="Arial" w:cs="Arial"/>
          <w:i/>
          <w:iCs/>
        </w:rPr>
        <w:t>Psychological Science in the Public Interest</w:t>
      </w:r>
      <w:r w:rsidRPr="00B44534">
        <w:rPr>
          <w:rFonts w:ascii="Arial" w:hAnsi="Arial" w:cs="Arial"/>
        </w:rPr>
        <w:t>, 13(2), pp. 74-101.</w:t>
      </w:r>
    </w:p>
    <w:p w14:paraId="7A7038D9"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Schein, E.H. (1996) 'Culture: The missing concept in organization studies', </w:t>
      </w:r>
      <w:r w:rsidRPr="00B44534">
        <w:rPr>
          <w:rFonts w:ascii="Arial" w:hAnsi="Arial" w:cs="Arial"/>
          <w:i/>
          <w:iCs/>
        </w:rPr>
        <w:t>Administrative Science Quarterly</w:t>
      </w:r>
      <w:r w:rsidRPr="00B44534">
        <w:rPr>
          <w:rFonts w:ascii="Arial" w:hAnsi="Arial" w:cs="Arial"/>
        </w:rPr>
        <w:t>, 41(2), pp. 229-240.</w:t>
      </w:r>
    </w:p>
    <w:p w14:paraId="3E41D7B7"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Senge, P.M. (2006) </w:t>
      </w:r>
      <w:r w:rsidRPr="00B44534">
        <w:rPr>
          <w:rFonts w:ascii="Arial" w:hAnsi="Arial" w:cs="Arial"/>
          <w:i/>
          <w:iCs/>
        </w:rPr>
        <w:t>The Fifth Discipline: The Art &amp; Practice of The Learning Organization</w:t>
      </w:r>
      <w:r w:rsidRPr="00B44534">
        <w:rPr>
          <w:rFonts w:ascii="Arial" w:hAnsi="Arial" w:cs="Arial"/>
        </w:rPr>
        <w:t>. Revised edn. New York: Doubleday.</w:t>
      </w:r>
    </w:p>
    <w:p w14:paraId="7EFD5D1F"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Sundbo, J. (2015) 'Service innovation', in </w:t>
      </w:r>
      <w:r w:rsidRPr="00B44534">
        <w:rPr>
          <w:rFonts w:ascii="Arial" w:hAnsi="Arial" w:cs="Arial"/>
          <w:i/>
          <w:iCs/>
        </w:rPr>
        <w:t>The Handbook of Service Innovation</w:t>
      </w:r>
      <w:r w:rsidRPr="00B44534">
        <w:rPr>
          <w:rFonts w:ascii="Arial" w:hAnsi="Arial" w:cs="Arial"/>
        </w:rPr>
        <w:t>. Cheltenham: Edward Elgar Publishing, pp. 23-46.</w:t>
      </w:r>
    </w:p>
    <w:p w14:paraId="58EA5FB4"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Teece, D.J. (2010) 'Business Models, Business Strategy and Innovation', </w:t>
      </w:r>
      <w:r w:rsidRPr="00B44534">
        <w:rPr>
          <w:rFonts w:ascii="Arial" w:hAnsi="Arial" w:cs="Arial"/>
          <w:i/>
          <w:iCs/>
        </w:rPr>
        <w:t>Long Range Planning</w:t>
      </w:r>
      <w:r w:rsidRPr="00B44534">
        <w:rPr>
          <w:rFonts w:ascii="Arial" w:hAnsi="Arial" w:cs="Arial"/>
        </w:rPr>
        <w:t>, 43(2-3), pp. 172-194.</w:t>
      </w:r>
    </w:p>
    <w:p w14:paraId="32665688"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Teece, D.J., Pisano, G. &amp; Shuen, A. (1997) 'Dynamic capabilities and strategic management', </w:t>
      </w:r>
      <w:r w:rsidRPr="00B44534">
        <w:rPr>
          <w:rFonts w:ascii="Arial" w:hAnsi="Arial" w:cs="Arial"/>
          <w:i/>
          <w:iCs/>
        </w:rPr>
        <w:t>Strategic Management Journal</w:t>
      </w:r>
      <w:r w:rsidRPr="00B44534">
        <w:rPr>
          <w:rFonts w:ascii="Arial" w:hAnsi="Arial" w:cs="Arial"/>
        </w:rPr>
        <w:t>, 18(7), pp. 509-533.</w:t>
      </w:r>
    </w:p>
    <w:p w14:paraId="1B126697" w14:textId="09CC21C2"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The Savoy (2025) </w:t>
      </w:r>
      <w:r w:rsidRPr="00B44534">
        <w:rPr>
          <w:rFonts w:ascii="Arial" w:hAnsi="Arial" w:cs="Arial"/>
          <w:i/>
          <w:iCs/>
        </w:rPr>
        <w:t>A History of The Savoy</w:t>
      </w:r>
      <w:r w:rsidRPr="00B44534">
        <w:rPr>
          <w:rFonts w:ascii="Arial" w:hAnsi="Arial" w:cs="Arial"/>
        </w:rPr>
        <w:t>. Available at: [</w:t>
      </w:r>
      <w:r w:rsidR="005324E2" w:rsidRPr="005324E2">
        <w:rPr>
          <w:rFonts w:ascii="Arial" w:hAnsi="Arial" w:cs="Arial"/>
        </w:rPr>
        <w:t>https://www.thesavoylondon.com/information/history-heritage/</w:t>
      </w:r>
      <w:r w:rsidRPr="00B44534">
        <w:rPr>
          <w:rFonts w:ascii="Arial" w:hAnsi="Arial" w:cs="Arial"/>
        </w:rPr>
        <w:t>].</w:t>
      </w:r>
      <w:r w:rsidR="005324E2">
        <w:rPr>
          <w:rFonts w:ascii="Arial" w:hAnsi="Arial" w:cs="Arial"/>
        </w:rPr>
        <w:t>Accessed on 27.06.2025</w:t>
      </w:r>
    </w:p>
    <w:p w14:paraId="2BF677C3"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Tidd, J. &amp; Bessant, J.R. (2018) </w:t>
      </w:r>
      <w:r w:rsidRPr="00B44534">
        <w:rPr>
          <w:rFonts w:ascii="Arial" w:hAnsi="Arial" w:cs="Arial"/>
          <w:i/>
          <w:iCs/>
        </w:rPr>
        <w:t>Managing Innovation: Integrating Technological, Market and Organizational Change</w:t>
      </w:r>
      <w:r w:rsidRPr="00B44534">
        <w:rPr>
          <w:rFonts w:ascii="Arial" w:hAnsi="Arial" w:cs="Arial"/>
        </w:rPr>
        <w:t>. 6th edn. Chichester: John Wiley &amp; Sons.</w:t>
      </w:r>
    </w:p>
    <w:p w14:paraId="295D4391"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Urde, M., Greyser, S.A. &amp; Balmer, J.M.T. (2007) 'Corporate brands with a heritage', </w:t>
      </w:r>
      <w:r w:rsidRPr="00B44534">
        <w:rPr>
          <w:rFonts w:ascii="Arial" w:hAnsi="Arial" w:cs="Arial"/>
          <w:i/>
          <w:iCs/>
        </w:rPr>
        <w:t>Journal of Brand Management</w:t>
      </w:r>
      <w:r w:rsidRPr="00B44534">
        <w:rPr>
          <w:rFonts w:ascii="Arial" w:hAnsi="Arial" w:cs="Arial"/>
        </w:rPr>
        <w:t>, 15(1), pp. 4-19.</w:t>
      </w:r>
    </w:p>
    <w:p w14:paraId="79F5CF57"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Vargo, S.L. &amp; Lusch, R.F. (2004) 'Evolving to a New Dominant Logic for Marketing', </w:t>
      </w:r>
      <w:r w:rsidRPr="00B44534">
        <w:rPr>
          <w:rFonts w:ascii="Arial" w:hAnsi="Arial" w:cs="Arial"/>
          <w:i/>
          <w:iCs/>
        </w:rPr>
        <w:t>Journal of Marketing</w:t>
      </w:r>
      <w:r w:rsidRPr="00B44534">
        <w:rPr>
          <w:rFonts w:ascii="Arial" w:hAnsi="Arial" w:cs="Arial"/>
        </w:rPr>
        <w:t>, 68(1), pp. 1-17.</w:t>
      </w:r>
    </w:p>
    <w:p w14:paraId="66202940"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Verhoef, P.C., et al. (2009) 'Customer Experience Creation: Determinants, Dynamics and Management Strategies', </w:t>
      </w:r>
      <w:r w:rsidRPr="00B44534">
        <w:rPr>
          <w:rFonts w:ascii="Arial" w:hAnsi="Arial" w:cs="Arial"/>
          <w:i/>
          <w:iCs/>
        </w:rPr>
        <w:t>Journal of Retailing</w:t>
      </w:r>
      <w:r w:rsidRPr="00B44534">
        <w:rPr>
          <w:rFonts w:ascii="Arial" w:hAnsi="Arial" w:cs="Arial"/>
        </w:rPr>
        <w:t>, 85(1), pp. 31-41.</w:t>
      </w:r>
    </w:p>
    <w:p w14:paraId="7ADB64C6"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lastRenderedPageBreak/>
        <w:t xml:space="preserve">Voigt, P. &amp; von dem Bussche, A. (2017) </w:t>
      </w:r>
      <w:r w:rsidRPr="00B44534">
        <w:rPr>
          <w:rFonts w:ascii="Arial" w:hAnsi="Arial" w:cs="Arial"/>
          <w:i/>
          <w:iCs/>
        </w:rPr>
        <w:t>The EU General Data Protection Regulation (GDPR): A Practical Guide</w:t>
      </w:r>
      <w:r w:rsidRPr="00B44534">
        <w:rPr>
          <w:rFonts w:ascii="Arial" w:hAnsi="Arial" w:cs="Arial"/>
        </w:rPr>
        <w:t>. Cham: Springer.</w:t>
      </w:r>
    </w:p>
    <w:p w14:paraId="4DB5E8AE"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Weihrich, H. (1982) 'The TOWS matrix—A tool for situational analysis', </w:t>
      </w:r>
      <w:r w:rsidRPr="00B44534">
        <w:rPr>
          <w:rFonts w:ascii="Arial" w:hAnsi="Arial" w:cs="Arial"/>
          <w:i/>
          <w:iCs/>
        </w:rPr>
        <w:t>Long Range Planning</w:t>
      </w:r>
      <w:r w:rsidRPr="00B44534">
        <w:rPr>
          <w:rFonts w:ascii="Arial" w:hAnsi="Arial" w:cs="Arial"/>
        </w:rPr>
        <w:t>, 15(2), pp. 54-66.</w:t>
      </w:r>
    </w:p>
    <w:p w14:paraId="56AC32A7"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Wenger, E., McDermott, R. &amp; Snyder, W.M. (2002) </w:t>
      </w:r>
      <w:r w:rsidRPr="00B44534">
        <w:rPr>
          <w:rFonts w:ascii="Arial" w:hAnsi="Arial" w:cs="Arial"/>
          <w:i/>
          <w:iCs/>
        </w:rPr>
        <w:t>Cultivating Communities of Practice: A Guide to Managing Knowledge</w:t>
      </w:r>
      <w:r w:rsidRPr="00B44534">
        <w:rPr>
          <w:rFonts w:ascii="Arial" w:hAnsi="Arial" w:cs="Arial"/>
        </w:rPr>
        <w:t>. Boston, MA: Harvard Business School Press.</w:t>
      </w:r>
    </w:p>
    <w:p w14:paraId="27200989" w14:textId="77777777" w:rsidR="00C94727" w:rsidRPr="00B44534" w:rsidRDefault="00C94727" w:rsidP="00B44534">
      <w:pPr>
        <w:numPr>
          <w:ilvl w:val="0"/>
          <w:numId w:val="1"/>
        </w:numPr>
        <w:spacing w:line="360" w:lineRule="auto"/>
        <w:jc w:val="both"/>
        <w:rPr>
          <w:rFonts w:ascii="Arial" w:hAnsi="Arial" w:cs="Arial"/>
        </w:rPr>
      </w:pPr>
      <w:r w:rsidRPr="00B44534">
        <w:rPr>
          <w:rFonts w:ascii="Arial" w:hAnsi="Arial" w:cs="Arial"/>
        </w:rPr>
        <w:t xml:space="preserve">Wieland, H. (2021) 'Dancing the Digital Transformation: A Service-Dominant Logic View on the Phygital Reality', </w:t>
      </w:r>
      <w:r w:rsidRPr="00B44534">
        <w:rPr>
          <w:rFonts w:ascii="Arial" w:hAnsi="Arial" w:cs="Arial"/>
          <w:i/>
          <w:iCs/>
        </w:rPr>
        <w:t>Journal of Service Research</w:t>
      </w:r>
      <w:r w:rsidRPr="00B44534">
        <w:rPr>
          <w:rFonts w:ascii="Arial" w:hAnsi="Arial" w:cs="Arial"/>
        </w:rPr>
        <w:t>, 24(4), pp. 586-591.</w:t>
      </w:r>
    </w:p>
    <w:p w14:paraId="131A9095" w14:textId="77777777" w:rsidR="00C94727" w:rsidRPr="00B44534" w:rsidRDefault="00C94727" w:rsidP="00B44534">
      <w:pPr>
        <w:spacing w:line="360" w:lineRule="auto"/>
        <w:jc w:val="both"/>
        <w:rPr>
          <w:rFonts w:ascii="Arial" w:hAnsi="Arial" w:cs="Arial"/>
        </w:rPr>
      </w:pPr>
    </w:p>
    <w:p w14:paraId="7D29665D" w14:textId="77777777" w:rsidR="00C94727" w:rsidRPr="00B44534" w:rsidRDefault="00C94727" w:rsidP="00B44534">
      <w:pPr>
        <w:spacing w:line="360" w:lineRule="auto"/>
        <w:jc w:val="both"/>
        <w:rPr>
          <w:rFonts w:ascii="Arial" w:hAnsi="Arial" w:cs="Arial"/>
        </w:rPr>
      </w:pPr>
    </w:p>
    <w:p w14:paraId="3848ED81" w14:textId="77777777" w:rsidR="00C955D6" w:rsidRPr="00B44534" w:rsidRDefault="00C955D6" w:rsidP="00B44534">
      <w:pPr>
        <w:spacing w:line="360" w:lineRule="auto"/>
        <w:jc w:val="both"/>
        <w:rPr>
          <w:rFonts w:ascii="Arial" w:hAnsi="Arial" w:cs="Arial"/>
        </w:rPr>
      </w:pPr>
    </w:p>
    <w:sectPr w:rsidR="00C955D6" w:rsidRPr="00B44534" w:rsidSect="008525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86E68"/>
    <w:multiLevelType w:val="multilevel"/>
    <w:tmpl w:val="BFFEE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0941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16233"/>
    <w:rsid w:val="0007156C"/>
    <w:rsid w:val="00123234"/>
    <w:rsid w:val="001438CB"/>
    <w:rsid w:val="00195404"/>
    <w:rsid w:val="002B482B"/>
    <w:rsid w:val="002E7453"/>
    <w:rsid w:val="002F24EC"/>
    <w:rsid w:val="00322CBB"/>
    <w:rsid w:val="004C690A"/>
    <w:rsid w:val="004E3C14"/>
    <w:rsid w:val="005324E2"/>
    <w:rsid w:val="00657F21"/>
    <w:rsid w:val="00675668"/>
    <w:rsid w:val="00691754"/>
    <w:rsid w:val="007142B4"/>
    <w:rsid w:val="007144B7"/>
    <w:rsid w:val="00816D39"/>
    <w:rsid w:val="0084026A"/>
    <w:rsid w:val="008525DB"/>
    <w:rsid w:val="008550AF"/>
    <w:rsid w:val="0092093C"/>
    <w:rsid w:val="00A26ECD"/>
    <w:rsid w:val="00B44534"/>
    <w:rsid w:val="00BA70A4"/>
    <w:rsid w:val="00C65D86"/>
    <w:rsid w:val="00C94727"/>
    <w:rsid w:val="00C955D6"/>
    <w:rsid w:val="00C97CFA"/>
    <w:rsid w:val="00D052B0"/>
    <w:rsid w:val="00D2396A"/>
    <w:rsid w:val="00D336F1"/>
    <w:rsid w:val="00D72D52"/>
    <w:rsid w:val="00D74ACF"/>
    <w:rsid w:val="00E0611B"/>
    <w:rsid w:val="00E16233"/>
    <w:rsid w:val="00EA7905"/>
    <w:rsid w:val="00FA2CD7"/>
    <w:rsid w:val="00FC6B53"/>
    <w:rsid w:val="00FD6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386E2"/>
  <w15:docId w15:val="{FD6B9F39-75A0-49F7-9679-6625B8B8F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233"/>
    <w:pPr>
      <w:spacing w:after="160"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55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55D6"/>
    <w:rPr>
      <w:rFonts w:ascii="Tahoma" w:hAnsi="Tahoma" w:cs="Tahoma"/>
      <w:kern w:val="2"/>
      <w:sz w:val="16"/>
      <w:szCs w:val="16"/>
      <w:lang w:val="en-GB"/>
    </w:rPr>
  </w:style>
  <w:style w:type="paragraph" w:styleId="NoSpacing">
    <w:name w:val="No Spacing"/>
    <w:link w:val="NoSpacingChar"/>
    <w:uiPriority w:val="1"/>
    <w:qFormat/>
    <w:rsid w:val="00C955D6"/>
    <w:pPr>
      <w:spacing w:after="0" w:line="240" w:lineRule="auto"/>
    </w:pPr>
    <w:rPr>
      <w:rFonts w:eastAsiaTheme="minorEastAsia"/>
    </w:rPr>
  </w:style>
  <w:style w:type="character" w:customStyle="1" w:styleId="NoSpacingChar">
    <w:name w:val="No Spacing Char"/>
    <w:basedOn w:val="DefaultParagraphFont"/>
    <w:link w:val="NoSpacing"/>
    <w:uiPriority w:val="1"/>
    <w:rsid w:val="00C955D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313021E5A094FB19C0969D574B02D69"/>
        <w:category>
          <w:name w:val="General"/>
          <w:gallery w:val="placeholder"/>
        </w:category>
        <w:types>
          <w:type w:val="bbPlcHdr"/>
        </w:types>
        <w:behaviors>
          <w:behavior w:val="content"/>
        </w:behaviors>
        <w:guid w:val="{5B2D9FF7-8581-40DA-8B1A-B4F39DCD271C}"/>
      </w:docPartPr>
      <w:docPartBody>
        <w:p w:rsidR="006365B3" w:rsidRDefault="00345212" w:rsidP="00345212">
          <w:pPr>
            <w:pStyle w:val="6313021E5A094FB19C0969D574B02D69"/>
          </w:pPr>
          <w:r>
            <w:rPr>
              <w:color w:val="4472C4" w:themeColor="accent1"/>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45212"/>
    <w:rsid w:val="00123234"/>
    <w:rsid w:val="00345212"/>
    <w:rsid w:val="004F62FF"/>
    <w:rsid w:val="0059310E"/>
    <w:rsid w:val="006365B3"/>
    <w:rsid w:val="00B34CEA"/>
    <w:rsid w:val="00D72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13021E5A094FB19C0969D574B02D69">
    <w:name w:val="6313021E5A094FB19C0969D574B02D69"/>
    <w:rsid w:val="003452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34</Pages>
  <Words>8528</Words>
  <Characters>48614</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Organisational Consultancy  BMIH6005                                                                                                        Lecturer: Neil Dyer                                                                                                                                                               Student name:  Razvan Cristian Nicolae                                                                                                                                                Student ID: 2222787</dc:creator>
  <cp:keywords/>
  <dc:description/>
  <cp:revision>42</cp:revision>
  <dcterms:created xsi:type="dcterms:W3CDTF">2025-06-09T13:53:00Z</dcterms:created>
  <dcterms:modified xsi:type="dcterms:W3CDTF">2025-06-27T22:06:00Z</dcterms:modified>
</cp:coreProperties>
</file>