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4CDF" w:rsidRPr="00564CDF" w:rsidRDefault="00564CDF" w:rsidP="00564CDF">
      <w:pPr>
        <w:jc w:val="both"/>
        <w:rPr>
          <w:rFonts w:ascii="Times New Roman" w:hAnsi="Times New Roman" w:cs="Times New Roman"/>
          <w:sz w:val="24"/>
          <w:szCs w:val="24"/>
        </w:rPr>
      </w:pP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 xml:space="preserve">Interpretation of families differs in society today Murdock (1949) defines a traditional family as ‘adults of both sexes, at least two of whom maintain a socially approved sexual relationship, and one or more children, own or adopted, of the sexually cohabiting couple’ (Murdock, 1949, p.1). However, according to AHEA (cited in Newman &amp; </w:t>
      </w:r>
      <w:proofErr w:type="spellStart"/>
      <w:r w:rsidRPr="00564CDF">
        <w:rPr>
          <w:rFonts w:ascii="Times New Roman" w:hAnsi="Times New Roman" w:cs="Times New Roman"/>
          <w:sz w:val="24"/>
          <w:szCs w:val="24"/>
        </w:rPr>
        <w:t>Grauerholz</w:t>
      </w:r>
      <w:proofErr w:type="spellEnd"/>
      <w:r w:rsidRPr="00564CDF">
        <w:rPr>
          <w:rFonts w:ascii="Times New Roman" w:hAnsi="Times New Roman" w:cs="Times New Roman"/>
          <w:sz w:val="24"/>
          <w:szCs w:val="24"/>
        </w:rPr>
        <w:t xml:space="preserve">, 2002) they believe families are seen as anyone living under the same roof sharing the same aspirations and attitudes. Similarly, </w:t>
      </w:r>
      <w:proofErr w:type="spellStart"/>
      <w:r w:rsidRPr="00564CDF">
        <w:rPr>
          <w:rFonts w:ascii="Times New Roman" w:hAnsi="Times New Roman" w:cs="Times New Roman"/>
          <w:sz w:val="24"/>
          <w:szCs w:val="24"/>
        </w:rPr>
        <w:t>Gaviel</w:t>
      </w:r>
      <w:proofErr w:type="spellEnd"/>
      <w:r w:rsidRPr="00564CDF">
        <w:rPr>
          <w:rFonts w:ascii="Times New Roman" w:hAnsi="Times New Roman" w:cs="Times New Roman"/>
          <w:sz w:val="24"/>
          <w:szCs w:val="24"/>
        </w:rPr>
        <w:t>-Fried et al (2011) suggest this is because of adaptions in society. However today, the notion of family is diminishing as the number of looked after children (LAC) is increasing leaving many children holding the view that they do not belong to a family unit, resulting in adverse negative experiences for these children (</w:t>
      </w:r>
      <w:proofErr w:type="spellStart"/>
      <w:r w:rsidRPr="00564CDF">
        <w:rPr>
          <w:rFonts w:ascii="Times New Roman" w:hAnsi="Times New Roman" w:cs="Times New Roman"/>
          <w:sz w:val="24"/>
          <w:szCs w:val="24"/>
        </w:rPr>
        <w:t>Guishard</w:t>
      </w:r>
      <w:proofErr w:type="spellEnd"/>
      <w:r w:rsidRPr="00564CDF">
        <w:rPr>
          <w:rFonts w:ascii="Times New Roman" w:hAnsi="Times New Roman" w:cs="Times New Roman"/>
          <w:sz w:val="24"/>
          <w:szCs w:val="24"/>
        </w:rPr>
        <w:t xml:space="preserve">-Pine et al, 2007). </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 xml:space="preserve">Vygotsky (1962 cited in </w:t>
      </w:r>
      <w:proofErr w:type="spellStart"/>
      <w:r w:rsidRPr="00564CDF">
        <w:rPr>
          <w:rFonts w:ascii="Times New Roman" w:hAnsi="Times New Roman" w:cs="Times New Roman"/>
          <w:sz w:val="24"/>
          <w:szCs w:val="24"/>
        </w:rPr>
        <w:t>Slee</w:t>
      </w:r>
      <w:proofErr w:type="spellEnd"/>
      <w:r w:rsidRPr="00564CDF">
        <w:rPr>
          <w:rFonts w:ascii="Times New Roman" w:hAnsi="Times New Roman" w:cs="Times New Roman"/>
          <w:sz w:val="24"/>
          <w:szCs w:val="24"/>
        </w:rPr>
        <w:t xml:space="preserve"> 2002) argues that family is of crucial importance within a child’s life as he believes that everything a child learns is through involvement with their parents. Despite this in 2017 it was found that 72,670 children were looked after by local authorities, an increase from previous years (Department for Education, 2017, p.1). The definition of LAC is different in ‘England, Wales, Scotland and Northern Ireland’ (NSPCC, 2018). In Wales they define LAC as: ‘children who are ‘looked after’ by a local authority under the Children Act 1989 and Social Services and Well-being Act 2014’ (Cardiff University, 2018, p.1). Reasons for this could be due to; family illness, threatened welfare, abuse or family breakdown, as a result these experiences can lead to children expressing challenging behaviours (Golding et al, 2006). Supporting this is Meltzer et al, (2003) who suggests that the probability of LAC experiencing poor mental health is over double to that of children who are in contact with their parents, subsequently affecting their educational out</w:t>
      </w:r>
      <w:r>
        <w:rPr>
          <w:rFonts w:ascii="Times New Roman" w:hAnsi="Times New Roman" w:cs="Times New Roman"/>
          <w:sz w:val="24"/>
          <w:szCs w:val="24"/>
        </w:rPr>
        <w:t xml:space="preserve">comes and risk of delinquency. </w:t>
      </w:r>
    </w:p>
    <w:p w:rsidR="00564CDF" w:rsidRPr="00564CDF" w:rsidRDefault="00564CDF" w:rsidP="00564CDF">
      <w:pPr>
        <w:jc w:val="both"/>
        <w:rPr>
          <w:rFonts w:ascii="Times New Roman" w:hAnsi="Times New Roman" w:cs="Times New Roman"/>
          <w:sz w:val="24"/>
          <w:szCs w:val="24"/>
        </w:rPr>
      </w:pP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 xml:space="preserve">According to Department for Education (2017) suggest that LAC are already at a disadvantage before even starting school however, this disadvantage is furthered by the failure of LAC to reach the expected standards at key stage 1, 2 and GCSE level. </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LAC are five times more likely to be excluded on a short term basis than other children, however when in the school environment they often find it difficult to form relationships as a result of being removed from their primary attachment figures, therefore isolating themselves or refusing to attend school altogether (</w:t>
      </w:r>
      <w:proofErr w:type="spellStart"/>
      <w:r w:rsidRPr="00564CDF">
        <w:rPr>
          <w:rFonts w:ascii="Times New Roman" w:hAnsi="Times New Roman" w:cs="Times New Roman"/>
          <w:sz w:val="24"/>
          <w:szCs w:val="24"/>
        </w:rPr>
        <w:t>Claveirole</w:t>
      </w:r>
      <w:proofErr w:type="spellEnd"/>
      <w:r w:rsidRPr="00564CDF">
        <w:rPr>
          <w:rFonts w:ascii="Times New Roman" w:hAnsi="Times New Roman" w:cs="Times New Roman"/>
          <w:sz w:val="24"/>
          <w:szCs w:val="24"/>
        </w:rPr>
        <w:t xml:space="preserve"> and </w:t>
      </w:r>
      <w:proofErr w:type="spellStart"/>
      <w:r w:rsidRPr="00564CDF">
        <w:rPr>
          <w:rFonts w:ascii="Times New Roman" w:hAnsi="Times New Roman" w:cs="Times New Roman"/>
          <w:sz w:val="24"/>
          <w:szCs w:val="24"/>
        </w:rPr>
        <w:t>Gaughan</w:t>
      </w:r>
      <w:proofErr w:type="spellEnd"/>
      <w:r w:rsidRPr="00564CDF">
        <w:rPr>
          <w:rFonts w:ascii="Times New Roman" w:hAnsi="Times New Roman" w:cs="Times New Roman"/>
          <w:sz w:val="24"/>
          <w:szCs w:val="24"/>
        </w:rPr>
        <w:t xml:space="preserve">, 2011). In turn this puts pressure on the caregiver of LAC and it is a requirement that the caregiver ensures that the LAC attends school, further this results in a strain on the relationship between LAC and their </w:t>
      </w:r>
      <w:proofErr w:type="spellStart"/>
      <w:r w:rsidRPr="00564CDF">
        <w:rPr>
          <w:rFonts w:ascii="Times New Roman" w:hAnsi="Times New Roman" w:cs="Times New Roman"/>
          <w:sz w:val="24"/>
          <w:szCs w:val="24"/>
        </w:rPr>
        <w:t>carers</w:t>
      </w:r>
      <w:proofErr w:type="spellEnd"/>
      <w:r w:rsidRPr="00564CDF">
        <w:rPr>
          <w:rFonts w:ascii="Times New Roman" w:hAnsi="Times New Roman" w:cs="Times New Roman"/>
          <w:sz w:val="24"/>
          <w:szCs w:val="24"/>
        </w:rPr>
        <w:t xml:space="preserve">, creating a negative home environment (Education &amp; Communities, 2018). This is problematic from all areas as Ryan (2006, p.3) states that for healthy development it is fundamental that ‘children and young people have strong relationships with their primary caregivers’. Supporting this is Bowlby Attachment theory, which believes that strong attachments allow a child to explore their surroundings and discover new skills as they feel safe and secure. Despite this frothy percent of children have negative attachments with their primary caregiver (Furnivall, 2011). Ryan (2006) major of individuals who has poor attachment with their caregiver were LAC. </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 xml:space="preserve">Despite this Hughes (2016) believes that primary education is of vital importance for LAC not only for them to achieve their potential in education but for their social, physical and emotional </w:t>
      </w:r>
      <w:r w:rsidRPr="00564CDF">
        <w:rPr>
          <w:rFonts w:ascii="Times New Roman" w:hAnsi="Times New Roman" w:cs="Times New Roman"/>
          <w:sz w:val="24"/>
          <w:szCs w:val="24"/>
        </w:rPr>
        <w:lastRenderedPageBreak/>
        <w:t>well-being. This is supported by Durkheim’s theory (1956) that education is of vital importance for a child’s healthy development as it efficiently socialises individuals into society.</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 xml:space="preserve">However, research shows that LAC achieve lower than other children from a ‘traditional’ family, in key stage 1 less than 50 per cent of LAC did not reach the expected standard reading, writing, maths and science (Department for Education, 2017). The results for LAC at key stage 2 were very similarly to key stage 1 although they did not perform the lowest in writing compared to children in need (Department for Education, 2017). However, it must be acknowledge LAC are more than likely to require special educational need but have not meet their basic needs by the time they leave primary school. Thus, the support for LAC in education is most differently not what it should be. </w:t>
      </w:r>
      <w:proofErr w:type="spellStart"/>
      <w:r w:rsidRPr="00564CDF">
        <w:rPr>
          <w:rFonts w:ascii="Times New Roman" w:hAnsi="Times New Roman" w:cs="Times New Roman"/>
          <w:sz w:val="24"/>
          <w:szCs w:val="24"/>
        </w:rPr>
        <w:t>Berridge</w:t>
      </w:r>
      <w:proofErr w:type="spellEnd"/>
      <w:r w:rsidRPr="00564CDF">
        <w:rPr>
          <w:rFonts w:ascii="Times New Roman" w:hAnsi="Times New Roman" w:cs="Times New Roman"/>
          <w:sz w:val="24"/>
          <w:szCs w:val="24"/>
        </w:rPr>
        <w:t xml:space="preserve">, (2006) argues that this underachievement of LAC can be seen through to GCSE results as it was found that an alarming amount of LAC achieved at least five GCSE and many barely achieved one. </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 xml:space="preserve">Personal Education Plans (PEPs) for Looked after Children are put in place to improve education outcomes of the individuals with clear goals and action plans to counter to the needs of every child. One of the main aims for this plan is to promote equity and reduce the achieve gap (Department of Education, 2011).  Despite this Ofsted (2012) highlights that LAC cannot fulfil their potential as expectations are often too low and individual capabilities are often overlooked. Encouragement and positivity to achieve more may be lacking within home environment resulting in LAC not being able to achieve their goals. </w:t>
      </w:r>
      <w:proofErr w:type="spellStart"/>
      <w:r w:rsidRPr="00564CDF">
        <w:rPr>
          <w:rFonts w:ascii="Times New Roman" w:hAnsi="Times New Roman" w:cs="Times New Roman"/>
          <w:sz w:val="24"/>
          <w:szCs w:val="24"/>
        </w:rPr>
        <w:t>Gabay</w:t>
      </w:r>
      <w:proofErr w:type="spellEnd"/>
      <w:r w:rsidRPr="00564CDF">
        <w:rPr>
          <w:rFonts w:ascii="Times New Roman" w:hAnsi="Times New Roman" w:cs="Times New Roman"/>
          <w:sz w:val="24"/>
          <w:szCs w:val="24"/>
        </w:rPr>
        <w:t xml:space="preserve"> (2017) uses Becker (1963) labelling theory to provide reason for this as they study how stigma and discrimination effect the educational attainment of LAC based on their labels. This is support by Maslow’s Hierarchy of Needs whereby if physiological needs, safety needs, belonging and love are not met LAC will not be able to achieve esteem and self-actualisation. Considering all of these factors the lower achievement of LAC in education compared to other individuals are more likely to result in them becoming NEET.  On the other hand O’Higgins et al (2015) cite in  </w:t>
      </w:r>
      <w:proofErr w:type="spellStart"/>
      <w:r w:rsidRPr="00564CDF">
        <w:rPr>
          <w:rFonts w:ascii="Times New Roman" w:hAnsi="Times New Roman" w:cs="Times New Roman"/>
          <w:sz w:val="24"/>
          <w:szCs w:val="24"/>
        </w:rPr>
        <w:t>Samkange</w:t>
      </w:r>
      <w:proofErr w:type="spellEnd"/>
      <w:r w:rsidRPr="00564CDF">
        <w:rPr>
          <w:rFonts w:ascii="Times New Roman" w:hAnsi="Times New Roman" w:cs="Times New Roman"/>
          <w:sz w:val="24"/>
          <w:szCs w:val="24"/>
        </w:rPr>
        <w:t>, (2015) argue when risk factors are considered LAC do not always achieve</w:t>
      </w:r>
      <w:r>
        <w:rPr>
          <w:rFonts w:ascii="Times New Roman" w:hAnsi="Times New Roman" w:cs="Times New Roman"/>
          <w:sz w:val="24"/>
          <w:szCs w:val="24"/>
        </w:rPr>
        <w:t xml:space="preserve"> less compered to their peers.</w:t>
      </w:r>
    </w:p>
    <w:p w:rsidR="00564CDF" w:rsidRPr="00564CDF" w:rsidRDefault="00564CDF" w:rsidP="00564CDF">
      <w:pPr>
        <w:jc w:val="both"/>
        <w:rPr>
          <w:rFonts w:ascii="Times New Roman" w:hAnsi="Times New Roman" w:cs="Times New Roman"/>
          <w:sz w:val="24"/>
          <w:szCs w:val="24"/>
        </w:rPr>
      </w:pPr>
      <w:r>
        <w:rPr>
          <w:rFonts w:ascii="Times New Roman" w:hAnsi="Times New Roman" w:cs="Times New Roman"/>
          <w:sz w:val="24"/>
          <w:szCs w:val="24"/>
        </w:rPr>
        <w:t xml:space="preserve"> </w:t>
      </w:r>
      <w:r w:rsidRPr="00564CDF">
        <w:rPr>
          <w:rFonts w:ascii="Times New Roman" w:hAnsi="Times New Roman" w:cs="Times New Roman"/>
          <w:sz w:val="24"/>
          <w:szCs w:val="24"/>
        </w:rPr>
        <w:t>Mental health is difficult to define, as definitions vary widely. The World Health Organisation (WHO) describe it as….</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 xml:space="preserve">‘A state of well-being in which every individual realizes his or her own potential, can cope with the normal stresses of life, can work productively and fruitfully, and is able to make a contribution to her or his community’ (WHO, p.1, 2014). </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 xml:space="preserve">However, it has be found that ten per cent of children under the age of sixteen have poor mental health despite many individuals not recognising that children can experience these issues (Children Society, 2008). Although research shows that LAC do better if they stayed in a sustainable care setting rather than returning home, half of LAC have a recognised poor mental health and are five times more likely to attempt suicide (NSPCC, 2018). Supporting this is </w:t>
      </w:r>
      <w:proofErr w:type="spellStart"/>
      <w:r w:rsidRPr="00564CDF">
        <w:rPr>
          <w:rFonts w:ascii="Times New Roman" w:hAnsi="Times New Roman" w:cs="Times New Roman"/>
          <w:sz w:val="24"/>
          <w:szCs w:val="24"/>
        </w:rPr>
        <w:t>Youngminds</w:t>
      </w:r>
      <w:proofErr w:type="spellEnd"/>
      <w:r w:rsidRPr="00564CDF">
        <w:rPr>
          <w:rFonts w:ascii="Times New Roman" w:hAnsi="Times New Roman" w:cs="Times New Roman"/>
          <w:sz w:val="24"/>
          <w:szCs w:val="24"/>
        </w:rPr>
        <w:t xml:space="preserve"> (2017) propose that the mental health and well-being of individuals is affected by the exposure of risks they may face within their lives for example; abuse and negative attachments, and this is most commonly seen within LAC. </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 xml:space="preserve">The Health Service Executive (HSE) (2009) found that an alarming 1,503 children entered the care system due to experiences of abuse, resulting in children developing issues with trust subsequently impacting their mental health. </w:t>
      </w:r>
      <w:proofErr w:type="spellStart"/>
      <w:r w:rsidRPr="00564CDF">
        <w:rPr>
          <w:rFonts w:ascii="Times New Roman" w:hAnsi="Times New Roman" w:cs="Times New Roman"/>
          <w:sz w:val="24"/>
          <w:szCs w:val="24"/>
        </w:rPr>
        <w:t>Claveirole</w:t>
      </w:r>
      <w:proofErr w:type="spellEnd"/>
      <w:r w:rsidRPr="00564CDF">
        <w:rPr>
          <w:rFonts w:ascii="Times New Roman" w:hAnsi="Times New Roman" w:cs="Times New Roman"/>
          <w:sz w:val="24"/>
          <w:szCs w:val="24"/>
        </w:rPr>
        <w:t xml:space="preserve"> and </w:t>
      </w:r>
      <w:proofErr w:type="spellStart"/>
      <w:r w:rsidRPr="00564CDF">
        <w:rPr>
          <w:rFonts w:ascii="Times New Roman" w:hAnsi="Times New Roman" w:cs="Times New Roman"/>
          <w:sz w:val="24"/>
          <w:szCs w:val="24"/>
        </w:rPr>
        <w:t>Gaughan</w:t>
      </w:r>
      <w:proofErr w:type="spellEnd"/>
      <w:r w:rsidRPr="00564CDF">
        <w:rPr>
          <w:rFonts w:ascii="Times New Roman" w:hAnsi="Times New Roman" w:cs="Times New Roman"/>
          <w:sz w:val="24"/>
          <w:szCs w:val="24"/>
        </w:rPr>
        <w:t xml:space="preserve"> (2011, p.133) declare that </w:t>
      </w:r>
      <w:r w:rsidRPr="00564CDF">
        <w:rPr>
          <w:rFonts w:ascii="Times New Roman" w:hAnsi="Times New Roman" w:cs="Times New Roman"/>
          <w:sz w:val="24"/>
          <w:szCs w:val="24"/>
        </w:rPr>
        <w:lastRenderedPageBreak/>
        <w:t xml:space="preserve">there are several areas of abuse including ‘physical, emotional or sexual and neglect which could overlap due to a number of risk factors associated with all types of abuse’.  One risk factor according to Glaser and Prior (1997) is the influences of the life’s of their parents as sixty-nine per cent of abused children had a parent with poor mental health or experiences of abuse themselves. </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 xml:space="preserve">Despite this experiences of abuse are only one of the reasons why children are looked after and encounter poor mental health as behaviourists such as Skinner (1966) believes that it is an individual’s environment that as the biggest impact for example living in poverty. Barber and </w:t>
      </w:r>
      <w:proofErr w:type="spellStart"/>
      <w:r w:rsidRPr="00564CDF">
        <w:rPr>
          <w:rFonts w:ascii="Times New Roman" w:hAnsi="Times New Roman" w:cs="Times New Roman"/>
          <w:sz w:val="24"/>
          <w:szCs w:val="24"/>
        </w:rPr>
        <w:t>Delfabbro</w:t>
      </w:r>
      <w:proofErr w:type="spellEnd"/>
      <w:r w:rsidRPr="00564CDF">
        <w:rPr>
          <w:rFonts w:ascii="Times New Roman" w:hAnsi="Times New Roman" w:cs="Times New Roman"/>
          <w:sz w:val="24"/>
          <w:szCs w:val="24"/>
        </w:rPr>
        <w:t xml:space="preserve"> (2004) further this by highlighting the mindfulness that more individuals are adopting with regrades to poorer experiences of LAC. Supporting the influences of the environment for the positive mental health of individuals is Daniel and </w:t>
      </w:r>
      <w:proofErr w:type="spellStart"/>
      <w:r w:rsidRPr="00564CDF">
        <w:rPr>
          <w:rFonts w:ascii="Times New Roman" w:hAnsi="Times New Roman" w:cs="Times New Roman"/>
          <w:sz w:val="24"/>
          <w:szCs w:val="24"/>
        </w:rPr>
        <w:t>Wassell</w:t>
      </w:r>
      <w:proofErr w:type="spellEnd"/>
      <w:r w:rsidRPr="00564CDF">
        <w:rPr>
          <w:rFonts w:ascii="Times New Roman" w:hAnsi="Times New Roman" w:cs="Times New Roman"/>
          <w:sz w:val="24"/>
          <w:szCs w:val="24"/>
        </w:rPr>
        <w:t xml:space="preserve"> (2202) who argue that good housing and a sable community can become resilience factors for LAC, auguring that their mental health is not rigid and therefore can be improved.  </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Similar, cognitive theorist Piaget's (1936) cited in Chapman (1999) believes that you learn through experiences and episodes of mental health and well-being can fluctuate. Therefore it could be argued that as a child knows no other way of life removing them from their unusable environment could trigger onset of poor mental health although this removal is the best for the child. It is augured that age plays a vital role in this as younger children may not fully understand what is happening to them and might not have a clear memory of their life before becoming a LAC as WH0 (2017) declare that it is not until the age of 14 that mental health issues can be noticed and the rate of suicide is highest within children during their teenage years. Cognitive-behaviours therapy (CBT) thus, it is seen as being very effective in treating LAC who expiries these thoughts as it focus on ‘understanding and positively challenging the possible links between a person’s thought, actions and they feel’ (</w:t>
      </w:r>
      <w:proofErr w:type="spellStart"/>
      <w:r w:rsidRPr="00564CDF">
        <w:rPr>
          <w:rFonts w:ascii="Times New Roman" w:hAnsi="Times New Roman" w:cs="Times New Roman"/>
          <w:sz w:val="24"/>
          <w:szCs w:val="24"/>
        </w:rPr>
        <w:t>Claveirole</w:t>
      </w:r>
      <w:proofErr w:type="spellEnd"/>
      <w:r w:rsidRPr="00564CDF">
        <w:rPr>
          <w:rFonts w:ascii="Times New Roman" w:hAnsi="Times New Roman" w:cs="Times New Roman"/>
          <w:sz w:val="24"/>
          <w:szCs w:val="24"/>
        </w:rPr>
        <w:t xml:space="preserve"> and </w:t>
      </w:r>
      <w:proofErr w:type="spellStart"/>
      <w:r w:rsidRPr="00564CDF">
        <w:rPr>
          <w:rFonts w:ascii="Times New Roman" w:hAnsi="Times New Roman" w:cs="Times New Roman"/>
          <w:sz w:val="24"/>
          <w:szCs w:val="24"/>
        </w:rPr>
        <w:t>Gaughan</w:t>
      </w:r>
      <w:proofErr w:type="spellEnd"/>
      <w:r w:rsidRPr="00564CDF">
        <w:rPr>
          <w:rFonts w:ascii="Times New Roman" w:hAnsi="Times New Roman" w:cs="Times New Roman"/>
          <w:sz w:val="24"/>
          <w:szCs w:val="24"/>
        </w:rPr>
        <w:t xml:space="preserve"> 2011, p. 161-162).  Due to its success in adding the adoption of positive thoughts within individuals the use of CBT has grown continuously since it was introduced alongside the introduction of improving access to psychological therapies (IAPT) (2007) (Stephenson et al, 2011).</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Humanistic approach influenced by Maslow (1943) argues that that individuals excel once they are realised their self-worth. However, he also notices that their basic needs must be met first to achieve their self- actualization, although this stratification of needs differs for all individuals (McGuire and Maslow 2012).  Professional are trained to use motivational interviewing to encourage individuals to accept support by merging counselling skills and reflection for the individual to take responsibility for this change (</w:t>
      </w:r>
      <w:proofErr w:type="spellStart"/>
      <w:r>
        <w:rPr>
          <w:rFonts w:ascii="Times New Roman" w:hAnsi="Times New Roman" w:cs="Times New Roman"/>
          <w:sz w:val="24"/>
          <w:szCs w:val="24"/>
        </w:rPr>
        <w:t>Claveirole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Gaughan</w:t>
      </w:r>
      <w:proofErr w:type="spellEnd"/>
      <w:r>
        <w:rPr>
          <w:rFonts w:ascii="Times New Roman" w:hAnsi="Times New Roman" w:cs="Times New Roman"/>
          <w:sz w:val="24"/>
          <w:szCs w:val="24"/>
        </w:rPr>
        <w:t xml:space="preserve">, 2011). </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 xml:space="preserve">Research shows there to be a positive correlation between LAC and crime, The Care Leaver’s Associate (2013) states that only one per cent of general population are LAC. However, a very high percentage of this population are involved in crime. Over twenty-five per cent are adults prison population have previously been in care, Frothy-nine per cent of young men under the age of twenty-one in the criminal justice system, surprisingly sixty-one of girls aged fifteen to eighteen in have been LAC some point of their life (The Care Leaver’s Associate, 2013). Blades et al (2011) argue that these LAC committing a crime might have only been in care for short team therefore Many researchers are curious why LAC are more likely to be involved in crime. The prison reform trust carried out interviews with LAC one sixty year old girl stated in her interview….. </w:t>
      </w:r>
      <w:r>
        <w:rPr>
          <w:rFonts w:ascii="Times New Roman" w:hAnsi="Times New Roman" w:cs="Times New Roman"/>
          <w:sz w:val="24"/>
          <w:szCs w:val="24"/>
        </w:rPr>
        <w:t xml:space="preserve"> </w:t>
      </w:r>
      <w:r w:rsidRPr="00564CDF">
        <w:rPr>
          <w:rFonts w:ascii="Times New Roman" w:hAnsi="Times New Roman" w:cs="Times New Roman"/>
          <w:sz w:val="24"/>
          <w:szCs w:val="24"/>
        </w:rPr>
        <w:t xml:space="preserve">‘What I’ve heard from different police officers when I’ve been arrested, it’s </w:t>
      </w:r>
      <w:r w:rsidRPr="00564CDF">
        <w:rPr>
          <w:rFonts w:ascii="Times New Roman" w:hAnsi="Times New Roman" w:cs="Times New Roman"/>
          <w:sz w:val="24"/>
          <w:szCs w:val="24"/>
        </w:rPr>
        <w:lastRenderedPageBreak/>
        <w:t>like, ‘you’re a kid in care, you’re never [going to] get out of this way of life. You’re in care, kids in care are always on drugs, kids in care always make themselves unsafe, kids in care always self-harm’. So they sort of put a title on kids in care like they’re something bad’ (Blades et al 2011, p.5).</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The statement above supports Howard Becker (1963) labelling Theory as it is clearer that she feels judged by professionals and she feel serotyped. Furthermore, this supports self-filling prophecy as the young girl is more likely to behave like this as they feel individuals believe they will (</w:t>
      </w:r>
      <w:proofErr w:type="spellStart"/>
      <w:r w:rsidRPr="00564CDF">
        <w:rPr>
          <w:rFonts w:ascii="Times New Roman" w:hAnsi="Times New Roman" w:cs="Times New Roman"/>
          <w:sz w:val="24"/>
          <w:szCs w:val="24"/>
        </w:rPr>
        <w:t>Gabay</w:t>
      </w:r>
      <w:proofErr w:type="spellEnd"/>
      <w:r w:rsidRPr="00564CDF">
        <w:rPr>
          <w:rFonts w:ascii="Times New Roman" w:hAnsi="Times New Roman" w:cs="Times New Roman"/>
          <w:sz w:val="24"/>
          <w:szCs w:val="24"/>
        </w:rPr>
        <w:t xml:space="preserve">, 2017). Micro-level look at the individual, someone who focus on the micro-level suggests the labelling theory is general (Bronfenbrenner, 2009). Therefore, frothy-nine per cent of criminal men under of twenty-one were LAC, this means that 79% were not brought up in a care environment, therefore, it could be argued that there are many reasons young men turn to crime and being a LAC is just a small influence (The Care Leaver’s Associate, 2013). </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 xml:space="preserve">Likewise, Conflict theory believes that crime is as a result of differences between social classes and the way in which these classes are viewed and treated with in society (Paquette, 2002).  Many auger that social and economic differences within society are the main causes of criminal activities and supporting this is Marx who believes that the criminal justice system exploits the poor by making them their target audience when conducting policy, often ignoring criminal behaviour carried out by elites (Marx and </w:t>
      </w:r>
      <w:proofErr w:type="spellStart"/>
      <w:r w:rsidRPr="00564CDF">
        <w:rPr>
          <w:rFonts w:ascii="Times New Roman" w:hAnsi="Times New Roman" w:cs="Times New Roman"/>
          <w:sz w:val="24"/>
          <w:szCs w:val="24"/>
        </w:rPr>
        <w:t>Smelser</w:t>
      </w:r>
      <w:proofErr w:type="spellEnd"/>
      <w:r w:rsidRPr="00564CDF">
        <w:rPr>
          <w:rFonts w:ascii="Times New Roman" w:hAnsi="Times New Roman" w:cs="Times New Roman"/>
          <w:sz w:val="24"/>
          <w:szCs w:val="24"/>
        </w:rPr>
        <w:t>, 2013). An example of this ‘street crimes, even minor monetary ones are routinely punished quite severely, while large scale financial and business crimes are treated much more leniently’ (Tania, 2014).</w:t>
      </w:r>
    </w:p>
    <w:p w:rsidR="00564CDF" w:rsidRPr="00564CDF" w:rsidRDefault="00564CDF" w:rsidP="00564CDF">
      <w:pPr>
        <w:jc w:val="both"/>
        <w:rPr>
          <w:rFonts w:ascii="Times New Roman" w:hAnsi="Times New Roman" w:cs="Times New Roman"/>
          <w:sz w:val="24"/>
          <w:szCs w:val="24"/>
        </w:rPr>
      </w:pPr>
      <w:r w:rsidRPr="00564CDF">
        <w:rPr>
          <w:rFonts w:ascii="Times New Roman" w:hAnsi="Times New Roman" w:cs="Times New Roman"/>
          <w:sz w:val="24"/>
          <w:szCs w:val="24"/>
        </w:rPr>
        <w:t xml:space="preserve">Smith (2002) purposes that the life course theory augurs an individual past influence the likely hood of them being involved in criminal activity. As it has been discussed LAC have a high probability of entering care due to their parental involvement in criminal activities such as, substance misuse and thrift. Supporting this is Hawkins et al (1992) who argue that parental involvement with children and parental involvement with drugs are linked to an increase probability of drug use in adolescent and criminal behaviour. Despite this, </w:t>
      </w:r>
      <w:proofErr w:type="spellStart"/>
      <w:r w:rsidRPr="00564CDF">
        <w:rPr>
          <w:rFonts w:ascii="Times New Roman" w:hAnsi="Times New Roman" w:cs="Times New Roman"/>
          <w:sz w:val="24"/>
          <w:szCs w:val="24"/>
        </w:rPr>
        <w:t>Glasser</w:t>
      </w:r>
      <w:proofErr w:type="spellEnd"/>
      <w:r w:rsidRPr="00564CDF">
        <w:rPr>
          <w:rFonts w:ascii="Times New Roman" w:hAnsi="Times New Roman" w:cs="Times New Roman"/>
          <w:sz w:val="24"/>
          <w:szCs w:val="24"/>
        </w:rPr>
        <w:t xml:space="preserve"> (2010) argues the view of choice theory whereby it is not the individual’s socioeconomic situation or passed experiences that influence their engagement with criminal activities, rather they choose whether or not to commit a crime based on comparisons between the punishment and benefits of the crime.  </w:t>
      </w:r>
    </w:p>
    <w:p w:rsidR="0006124B" w:rsidRPr="00564CDF" w:rsidRDefault="00564CDF" w:rsidP="00564CDF">
      <w:pPr>
        <w:jc w:val="both"/>
        <w:rPr>
          <w:rFonts w:ascii="Times New Roman" w:hAnsi="Times New Roman" w:cs="Times New Roman"/>
          <w:sz w:val="24"/>
          <w:szCs w:val="24"/>
        </w:rPr>
      </w:pPr>
      <w:bookmarkStart w:id="0" w:name="_GoBack"/>
      <w:bookmarkEnd w:id="0"/>
      <w:r w:rsidRPr="00564CDF">
        <w:rPr>
          <w:rFonts w:ascii="Times New Roman" w:hAnsi="Times New Roman" w:cs="Times New Roman"/>
          <w:sz w:val="24"/>
          <w:szCs w:val="24"/>
        </w:rPr>
        <w:t>Thus it has been discussed that there is a vast array of implications faced by LAC through their lives including stigma, discrimination, negative educational outcomes, poor mental health and an increased rate of crime, all influenced further by the way in which they are viewed within society (</w:t>
      </w:r>
      <w:proofErr w:type="spellStart"/>
      <w:r w:rsidRPr="00564CDF">
        <w:rPr>
          <w:rFonts w:ascii="Times New Roman" w:hAnsi="Times New Roman" w:cs="Times New Roman"/>
          <w:sz w:val="24"/>
          <w:szCs w:val="24"/>
        </w:rPr>
        <w:t>Claveirole</w:t>
      </w:r>
      <w:proofErr w:type="spellEnd"/>
      <w:r w:rsidRPr="00564CDF">
        <w:rPr>
          <w:rFonts w:ascii="Times New Roman" w:hAnsi="Times New Roman" w:cs="Times New Roman"/>
          <w:sz w:val="24"/>
          <w:szCs w:val="24"/>
        </w:rPr>
        <w:t xml:space="preserve"> and </w:t>
      </w:r>
      <w:proofErr w:type="spellStart"/>
      <w:r w:rsidRPr="00564CDF">
        <w:rPr>
          <w:rFonts w:ascii="Times New Roman" w:hAnsi="Times New Roman" w:cs="Times New Roman"/>
          <w:sz w:val="24"/>
          <w:szCs w:val="24"/>
        </w:rPr>
        <w:t>Gaughan</w:t>
      </w:r>
      <w:proofErr w:type="spellEnd"/>
      <w:r w:rsidRPr="00564CDF">
        <w:rPr>
          <w:rFonts w:ascii="Times New Roman" w:hAnsi="Times New Roman" w:cs="Times New Roman"/>
          <w:sz w:val="24"/>
          <w:szCs w:val="24"/>
        </w:rPr>
        <w:t xml:space="preserve">, 2011). Department for Education (2017) argued that LAC have more complex needs than their peers and require further help to reach their full potential, supporting government aims to improve the future outcomes of these children. Despite the arguments from serval individuals that LAC do achieve in some areas, it is clear that not enough is being done to ensure that more LAC reach these goals and the eradication of their exclusion from society is achieved. Further, although most theorists have argued that the past experiences of LAC are the most influential factors and reasoning behind their probability to commit crime, achieve lower in school and have poor mental health, others have argued that it is other factors such as their own choice, their environment or their genes that influence these factors more. Despite this, early intervention and resilience factors, such as the discovery of SEN within education, have been found to be key in preventing negative future outcomes of LAC. </w:t>
      </w:r>
      <w:r w:rsidRPr="00564CDF">
        <w:rPr>
          <w:rFonts w:ascii="Times New Roman" w:hAnsi="Times New Roman" w:cs="Times New Roman"/>
          <w:sz w:val="24"/>
          <w:szCs w:val="24"/>
        </w:rPr>
        <w:lastRenderedPageBreak/>
        <w:t>Subsequently the theories of labelling and self-fulfilling prophecy, alongside encouragement and support from other bodies have been said to impact the way in which LAC view themselves, and thus act accordingly. When LAC do not receive the encouragement or support they need, they view themselves in a negative way and turn to crime or acts of suicide as a way of coping. Despite this, theorists have argued that through adequate help and support LAC are able to shift away from this negative view of the self and achieve their full potential as the mental health and development of a child is not rigid and can be changed.</w:t>
      </w:r>
    </w:p>
    <w:sectPr w:rsidR="0006124B" w:rsidRPr="00564C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4CDF"/>
    <w:rsid w:val="0006124B"/>
    <w:rsid w:val="00143906"/>
    <w:rsid w:val="00564CDF"/>
    <w:rsid w:val="008859EE"/>
    <w:rsid w:val="00CE3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E3865DC-97AD-4127-8D5B-7A1CE2338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373E73-FAB6-4F3E-BFC5-E448D14F3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2357</Words>
  <Characters>13437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dc:creator>
  <cp:keywords/>
  <dc:description/>
  <cp:lastModifiedBy>danielle</cp:lastModifiedBy>
  <cp:revision>1</cp:revision>
  <dcterms:created xsi:type="dcterms:W3CDTF">2018-05-22T06:42:00Z</dcterms:created>
  <dcterms:modified xsi:type="dcterms:W3CDTF">2018-05-22T06:46:00Z</dcterms:modified>
</cp:coreProperties>
</file>