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F54C3" w14:textId="77777777" w:rsidR="008251AE" w:rsidRPr="005A361E" w:rsidRDefault="008251AE" w:rsidP="008251AE">
      <w:pPr>
        <w:spacing w:line="360" w:lineRule="auto"/>
        <w:jc w:val="both"/>
        <w:rPr>
          <w:rFonts w:ascii="Arial" w:hAnsi="Arial" w:cs="Arial"/>
          <w:b/>
          <w:bCs/>
        </w:rPr>
      </w:pPr>
    </w:p>
    <w:p w14:paraId="14F03937" w14:textId="61C2163C" w:rsidR="00311B11" w:rsidRDefault="008251AE" w:rsidP="002E678B">
      <w:pPr>
        <w:spacing w:line="360" w:lineRule="auto"/>
        <w:jc w:val="both"/>
        <w:rPr>
          <w:rFonts w:ascii="Arial" w:hAnsi="Arial" w:cs="Arial"/>
          <w:b/>
          <w:bCs/>
        </w:rPr>
      </w:pPr>
      <w:r w:rsidRPr="001D6522">
        <w:rPr>
          <w:rFonts w:ascii="Arial" w:hAnsi="Arial" w:cs="Arial"/>
          <w:b/>
          <w:bCs/>
          <w:noProof/>
        </w:rPr>
        <w:drawing>
          <wp:inline distT="0" distB="0" distL="0" distR="0" wp14:anchorId="49BDC2CE" wp14:editId="0FE7385F">
            <wp:extent cx="3146425" cy="1342767"/>
            <wp:effectExtent l="0" t="0" r="0" b="0"/>
            <wp:docPr id="774781466" name="Picture 15"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81466" name="Picture 15"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5811" cy="1351040"/>
                    </a:xfrm>
                    <a:prstGeom prst="rect">
                      <a:avLst/>
                    </a:prstGeom>
                    <a:noFill/>
                    <a:ln>
                      <a:noFill/>
                    </a:ln>
                  </pic:spPr>
                </pic:pic>
              </a:graphicData>
            </a:graphic>
          </wp:inline>
        </w:drawing>
      </w:r>
    </w:p>
    <w:p w14:paraId="754BC17C" w14:textId="2CFCA4C4" w:rsidR="00311B11" w:rsidRDefault="00311B11" w:rsidP="008251AE">
      <w:pPr>
        <w:spacing w:line="360" w:lineRule="auto"/>
        <w:jc w:val="both"/>
        <w:rPr>
          <w:rFonts w:ascii="Arial" w:hAnsi="Arial" w:cs="Arial"/>
          <w:b/>
          <w:bCs/>
        </w:rPr>
      </w:pPr>
    </w:p>
    <w:p w14:paraId="62CC0CF8" w14:textId="77777777" w:rsidR="00311B11" w:rsidRPr="005A361E" w:rsidRDefault="00311B11" w:rsidP="008251AE">
      <w:pPr>
        <w:spacing w:line="360" w:lineRule="auto"/>
        <w:jc w:val="both"/>
        <w:rPr>
          <w:rFonts w:ascii="Arial" w:hAnsi="Arial" w:cs="Arial"/>
          <w:b/>
          <w:bCs/>
        </w:rPr>
      </w:pPr>
    </w:p>
    <w:p w14:paraId="3A4182E9" w14:textId="77777777" w:rsidR="008251AE" w:rsidRDefault="008251AE" w:rsidP="008251AE">
      <w:pPr>
        <w:spacing w:line="360" w:lineRule="auto"/>
        <w:jc w:val="center"/>
        <w:rPr>
          <w:rFonts w:ascii="Arial" w:hAnsi="Arial" w:cs="Arial"/>
          <w:b/>
          <w:bCs/>
        </w:rPr>
      </w:pPr>
      <w:r>
        <w:rPr>
          <w:rFonts w:ascii="Arial" w:hAnsi="Arial" w:cs="Arial"/>
          <w:b/>
          <w:bCs/>
        </w:rPr>
        <w:t>DISSERTATION TITLE:</w:t>
      </w:r>
    </w:p>
    <w:p w14:paraId="3DC480DE" w14:textId="77777777" w:rsidR="00D93F40" w:rsidRPr="00890F3C" w:rsidRDefault="00D93F40" w:rsidP="00D93F40">
      <w:pPr>
        <w:spacing w:before="240" w:line="360" w:lineRule="auto"/>
        <w:jc w:val="center"/>
        <w:rPr>
          <w:rFonts w:ascii="Arial" w:eastAsia="Arial" w:hAnsi="Arial" w:cs="Arial"/>
          <w:b/>
        </w:rPr>
      </w:pPr>
      <w:r w:rsidRPr="00890F3C">
        <w:rPr>
          <w:rFonts w:ascii="Arial" w:eastAsia="Arial" w:hAnsi="Arial" w:cs="Arial"/>
          <w:b/>
        </w:rPr>
        <w:t>Assessing the Risk Factors for Developmental Delays in Children Aged 5 to 12 Years in England: A Systematic Review</w:t>
      </w:r>
    </w:p>
    <w:p w14:paraId="2BDDC281" w14:textId="77777777" w:rsidR="008251AE" w:rsidRDefault="008251AE" w:rsidP="008251AE">
      <w:pPr>
        <w:spacing w:line="360" w:lineRule="auto"/>
        <w:jc w:val="center"/>
        <w:rPr>
          <w:rFonts w:ascii="Arial" w:hAnsi="Arial" w:cs="Arial"/>
          <w:sz w:val="28"/>
          <w:szCs w:val="28"/>
        </w:rPr>
      </w:pPr>
    </w:p>
    <w:p w14:paraId="757B95AB" w14:textId="77777777" w:rsidR="008251AE" w:rsidRPr="001D6522" w:rsidRDefault="008251AE" w:rsidP="008251AE">
      <w:pPr>
        <w:spacing w:line="360" w:lineRule="auto"/>
        <w:jc w:val="center"/>
        <w:rPr>
          <w:rFonts w:ascii="Arial" w:hAnsi="Arial" w:cs="Arial"/>
          <w:sz w:val="28"/>
          <w:szCs w:val="28"/>
        </w:rPr>
      </w:pPr>
      <w:r w:rsidRPr="001D6522">
        <w:rPr>
          <w:rFonts w:ascii="Arial" w:hAnsi="Arial" w:cs="Arial"/>
          <w:sz w:val="28"/>
          <w:szCs w:val="28"/>
        </w:rPr>
        <w:t xml:space="preserve">by </w:t>
      </w:r>
    </w:p>
    <w:p w14:paraId="2129B3EA" w14:textId="77777777" w:rsidR="008251AE" w:rsidRDefault="008251AE" w:rsidP="008251AE">
      <w:pPr>
        <w:spacing w:line="360" w:lineRule="auto"/>
        <w:jc w:val="center"/>
        <w:rPr>
          <w:rFonts w:ascii="Arial" w:hAnsi="Arial" w:cs="Arial"/>
        </w:rPr>
      </w:pPr>
    </w:p>
    <w:p w14:paraId="57E7D5F9" w14:textId="77881155" w:rsidR="008251AE" w:rsidRDefault="006F1D2A" w:rsidP="008251AE">
      <w:pPr>
        <w:spacing w:line="360" w:lineRule="auto"/>
        <w:jc w:val="center"/>
        <w:rPr>
          <w:rFonts w:ascii="Arial" w:hAnsi="Arial" w:cs="Arial"/>
          <w:b/>
          <w:bCs/>
        </w:rPr>
      </w:pPr>
      <w:r w:rsidRPr="00311B11">
        <w:rPr>
          <w:rFonts w:ascii="Arial" w:hAnsi="Arial" w:cs="Arial"/>
          <w:b/>
          <w:bCs/>
        </w:rPr>
        <w:t>Shakuntala</w:t>
      </w:r>
      <w:r w:rsidR="008251AE" w:rsidRPr="00311B11">
        <w:rPr>
          <w:rFonts w:ascii="Arial" w:hAnsi="Arial" w:cs="Arial"/>
          <w:b/>
          <w:bCs/>
        </w:rPr>
        <w:t xml:space="preserve"> Patel</w:t>
      </w:r>
    </w:p>
    <w:p w14:paraId="6CC864A8" w14:textId="5F1D743C" w:rsidR="00311B11" w:rsidRDefault="00311B11" w:rsidP="008251AE">
      <w:pPr>
        <w:spacing w:line="360" w:lineRule="auto"/>
        <w:jc w:val="center"/>
        <w:rPr>
          <w:rFonts w:ascii="Arial" w:hAnsi="Arial" w:cs="Arial"/>
          <w:b/>
          <w:bCs/>
        </w:rPr>
      </w:pPr>
      <w:r>
        <w:rPr>
          <w:rFonts w:ascii="Arial" w:hAnsi="Arial" w:cs="Arial"/>
          <w:b/>
          <w:bCs/>
        </w:rPr>
        <w:t>STUDENT ID – 2428691</w:t>
      </w:r>
    </w:p>
    <w:p w14:paraId="6F4D9056" w14:textId="77777777" w:rsidR="00311B11" w:rsidRDefault="00311B11" w:rsidP="008251AE">
      <w:pPr>
        <w:spacing w:line="360" w:lineRule="auto"/>
        <w:jc w:val="center"/>
        <w:rPr>
          <w:rFonts w:ascii="Arial" w:hAnsi="Arial" w:cs="Arial"/>
          <w:b/>
          <w:bCs/>
        </w:rPr>
      </w:pPr>
    </w:p>
    <w:p w14:paraId="3F6FFEEA" w14:textId="77777777" w:rsidR="00311B11" w:rsidRPr="001D6522" w:rsidRDefault="00311B11" w:rsidP="00311B11">
      <w:pPr>
        <w:spacing w:line="360" w:lineRule="auto"/>
        <w:jc w:val="center"/>
        <w:rPr>
          <w:rFonts w:ascii="Arial" w:hAnsi="Arial" w:cs="Arial"/>
          <w:b/>
          <w:bCs/>
        </w:rPr>
      </w:pPr>
      <w:r w:rsidRPr="001D6522">
        <w:rPr>
          <w:rFonts w:ascii="Arial" w:hAnsi="Arial" w:cs="Arial"/>
          <w:b/>
          <w:bCs/>
        </w:rPr>
        <w:t>The Institute of Inner-City Learning</w:t>
      </w:r>
    </w:p>
    <w:p w14:paraId="46933425" w14:textId="77777777" w:rsidR="00311B11" w:rsidRPr="001D6522" w:rsidRDefault="00311B11" w:rsidP="00311B11">
      <w:pPr>
        <w:spacing w:line="360" w:lineRule="auto"/>
        <w:jc w:val="center"/>
        <w:rPr>
          <w:rFonts w:ascii="Arial" w:hAnsi="Arial" w:cs="Arial"/>
          <w:b/>
          <w:bCs/>
        </w:rPr>
      </w:pPr>
      <w:r w:rsidRPr="001D6522">
        <w:rPr>
          <w:rFonts w:ascii="Arial" w:hAnsi="Arial" w:cs="Arial"/>
          <w:b/>
          <w:bCs/>
        </w:rPr>
        <w:t>University of Wales Trinity Saint David – London Campus</w:t>
      </w:r>
    </w:p>
    <w:p w14:paraId="2CA7E103" w14:textId="77777777" w:rsidR="00311B11" w:rsidRPr="00311B11" w:rsidRDefault="00311B11" w:rsidP="008251AE">
      <w:pPr>
        <w:spacing w:line="360" w:lineRule="auto"/>
        <w:jc w:val="center"/>
        <w:rPr>
          <w:rFonts w:ascii="Arial" w:hAnsi="Arial" w:cs="Arial"/>
          <w:b/>
          <w:bCs/>
        </w:rPr>
      </w:pPr>
    </w:p>
    <w:p w14:paraId="7408939C" w14:textId="77777777" w:rsidR="008251AE" w:rsidRDefault="008251AE" w:rsidP="008251AE">
      <w:pPr>
        <w:spacing w:line="360" w:lineRule="auto"/>
        <w:jc w:val="center"/>
        <w:rPr>
          <w:rFonts w:ascii="Arial" w:hAnsi="Arial" w:cs="Arial"/>
        </w:rPr>
      </w:pPr>
    </w:p>
    <w:p w14:paraId="0813C5EE" w14:textId="77777777" w:rsidR="008251AE" w:rsidRDefault="008251AE" w:rsidP="008251AE">
      <w:pPr>
        <w:spacing w:line="360" w:lineRule="auto"/>
        <w:jc w:val="center"/>
        <w:rPr>
          <w:rFonts w:ascii="Arial" w:hAnsi="Arial" w:cs="Arial"/>
        </w:rPr>
      </w:pPr>
    </w:p>
    <w:p w14:paraId="48DD6798" w14:textId="77777777" w:rsidR="008251AE" w:rsidRPr="001D6522" w:rsidRDefault="008251AE" w:rsidP="008251AE">
      <w:pPr>
        <w:spacing w:line="360" w:lineRule="auto"/>
        <w:jc w:val="center"/>
        <w:rPr>
          <w:rFonts w:ascii="Arial" w:hAnsi="Arial" w:cs="Arial"/>
          <w:b/>
          <w:bCs/>
        </w:rPr>
      </w:pPr>
    </w:p>
    <w:p w14:paraId="70DC0D2E" w14:textId="77777777" w:rsidR="008251AE" w:rsidRPr="001D6522" w:rsidRDefault="008251AE" w:rsidP="008251AE">
      <w:pPr>
        <w:spacing w:line="360" w:lineRule="auto"/>
        <w:jc w:val="center"/>
        <w:rPr>
          <w:rFonts w:ascii="Arial" w:hAnsi="Arial" w:cs="Arial"/>
          <w:b/>
          <w:bCs/>
        </w:rPr>
      </w:pPr>
    </w:p>
    <w:p w14:paraId="44F28B2E" w14:textId="17E67C5A" w:rsidR="008251AE" w:rsidRDefault="00430B46" w:rsidP="008251AE">
      <w:pPr>
        <w:spacing w:line="360" w:lineRule="auto"/>
        <w:jc w:val="center"/>
        <w:rPr>
          <w:rFonts w:ascii="Arial" w:hAnsi="Arial" w:cs="Arial"/>
          <w:b/>
          <w:bCs/>
        </w:rPr>
      </w:pPr>
      <w:r>
        <w:rPr>
          <w:rFonts w:ascii="Arial" w:hAnsi="Arial" w:cs="Arial"/>
          <w:b/>
          <w:bCs/>
        </w:rPr>
        <w:lastRenderedPageBreak/>
        <w:t>February,</w:t>
      </w:r>
      <w:r w:rsidR="008251AE">
        <w:rPr>
          <w:rFonts w:ascii="Arial" w:hAnsi="Arial" w:cs="Arial"/>
          <w:b/>
          <w:bCs/>
        </w:rPr>
        <w:t xml:space="preserve"> 2026</w:t>
      </w:r>
    </w:p>
    <w:p w14:paraId="1C4ADA71" w14:textId="77777777" w:rsidR="00CB45B3" w:rsidRDefault="00CB45B3" w:rsidP="008251AE">
      <w:pPr>
        <w:spacing w:line="360" w:lineRule="auto"/>
        <w:jc w:val="center"/>
        <w:rPr>
          <w:rFonts w:ascii="Arial" w:hAnsi="Arial" w:cs="Arial"/>
          <w:b/>
          <w:bCs/>
        </w:rPr>
      </w:pPr>
    </w:p>
    <w:p w14:paraId="4F54D072" w14:textId="77777777" w:rsidR="00CB45B3" w:rsidRPr="00CB45B3" w:rsidRDefault="00CB45B3" w:rsidP="00CB45B3">
      <w:pPr>
        <w:spacing w:line="360" w:lineRule="auto"/>
        <w:jc w:val="both"/>
        <w:rPr>
          <w:rFonts w:ascii="Arial" w:hAnsi="Arial" w:cs="Arial"/>
          <w:b/>
          <w:bCs/>
          <w:lang w:val="hr-HR"/>
        </w:rPr>
      </w:pPr>
      <w:r w:rsidRPr="00CB45B3">
        <w:rPr>
          <w:rFonts w:ascii="Arial" w:hAnsi="Arial" w:cs="Arial"/>
          <w:b/>
          <w:bCs/>
          <w:lang w:val="hr-HR"/>
        </w:rPr>
        <w:t>DECLARATION</w:t>
      </w:r>
    </w:p>
    <w:p w14:paraId="03CD7C7C" w14:textId="77777777" w:rsidR="00CB45B3" w:rsidRPr="00CB45B3" w:rsidRDefault="00CB45B3" w:rsidP="00CB45B3">
      <w:pPr>
        <w:spacing w:line="360" w:lineRule="auto"/>
        <w:jc w:val="both"/>
        <w:rPr>
          <w:rFonts w:ascii="Arial" w:hAnsi="Arial" w:cs="Arial"/>
          <w:b/>
          <w:bCs/>
          <w:lang w:val="hr-HR"/>
        </w:rPr>
      </w:pPr>
    </w:p>
    <w:p w14:paraId="7D2D5711" w14:textId="54AC1E09" w:rsidR="00CB45B3" w:rsidRPr="00CB45B3" w:rsidRDefault="00CB45B3" w:rsidP="00CB45B3">
      <w:pPr>
        <w:spacing w:line="360" w:lineRule="auto"/>
        <w:jc w:val="both"/>
        <w:rPr>
          <w:rFonts w:ascii="Arial" w:hAnsi="Arial" w:cs="Arial"/>
          <w:lang w:val="hr-HR"/>
        </w:rPr>
      </w:pPr>
      <w:r w:rsidRPr="00CB45B3">
        <w:rPr>
          <w:rFonts w:ascii="Arial" w:hAnsi="Arial" w:cs="Arial"/>
          <w:noProof/>
        </w:rPr>
        <mc:AlternateContent>
          <mc:Choice Requires="wpi">
            <w:drawing>
              <wp:anchor distT="0" distB="0" distL="114300" distR="114300" simplePos="0" relativeHeight="251677696" behindDoc="0" locked="0" layoutInCell="1" allowOverlap="1" wp14:anchorId="26AE3A07" wp14:editId="03C8CAE2">
                <wp:simplePos x="0" y="0"/>
                <wp:positionH relativeFrom="column">
                  <wp:posOffset>-2084070</wp:posOffset>
                </wp:positionH>
                <wp:positionV relativeFrom="paragraph">
                  <wp:posOffset>-224790</wp:posOffset>
                </wp:positionV>
                <wp:extent cx="920750" cy="920750"/>
                <wp:effectExtent l="1905" t="3810" r="1270" b="0"/>
                <wp:wrapNone/>
                <wp:docPr id="1349777691" name="Ink 2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type w14:anchorId="309507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5" o:spid="_x0000_s1026" type="#_x0000_t75" style="position:absolute;margin-left:-164.1pt;margin-top:-17.7pt;width:72.5pt;height:7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">
                <v:imagedata r:id="rId9" o:title=""/>
                <o:lock v:ext="edit" rotation="t" verticies="t" shapetype="t"/>
              </v:shape>
            </w:pict>
          </mc:Fallback>
        </mc:AlternateContent>
      </w:r>
      <w:r w:rsidRPr="00CB45B3">
        <w:rPr>
          <w:rFonts w:ascii="Arial" w:hAnsi="Arial" w:cs="Arial"/>
          <w:noProof/>
        </w:rPr>
        <mc:AlternateContent>
          <mc:Choice Requires="wpi">
            <w:drawing>
              <wp:anchor distT="0" distB="0" distL="114300" distR="114300" simplePos="0" relativeHeight="251678720" behindDoc="0" locked="0" layoutInCell="1" allowOverlap="1" wp14:anchorId="04F4F683" wp14:editId="06E98AC5">
                <wp:simplePos x="0" y="0"/>
                <wp:positionH relativeFrom="column">
                  <wp:posOffset>-2084070</wp:posOffset>
                </wp:positionH>
                <wp:positionV relativeFrom="paragraph">
                  <wp:posOffset>233045</wp:posOffset>
                </wp:positionV>
                <wp:extent cx="920750" cy="40640"/>
                <wp:effectExtent l="1905" t="4445" r="1270" b="2540"/>
                <wp:wrapNone/>
                <wp:docPr id="1110298841" name="Ink 2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920750" cy="40640"/>
                      </w14:xfrm>
                    </w14:contentPart>
                  </a:graphicData>
                </a:graphic>
                <wp14:sizeRelH relativeFrom="page">
                  <wp14:pctWidth>0</wp14:pctWidth>
                </wp14:sizeRelH>
                <wp14:sizeRelV relativeFrom="page">
                  <wp14:pctHeight>0</wp14:pctHeight>
                </wp14:sizeRelV>
              </wp:anchor>
            </w:drawing>
          </mc:Choice>
          <mc:Fallback>
            <w:pict>
              <v:shape w14:anchorId="70456E4B" id="Ink 24" o:spid="_x0000_s1026" type="#_x0000_t75" style="position:absolute;margin-left:-164.1pt;margin-top:18.35pt;width:72.5pt;height: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">
                <v:imagedata r:id="rId11" o:title=""/>
                <o:lock v:ext="edit" rotation="t" verticies="t" shapetype="t"/>
              </v:shape>
            </w:pict>
          </mc:Fallback>
        </mc:AlternateContent>
      </w:r>
      <w:r w:rsidRPr="00CB45B3">
        <w:rPr>
          <w:rFonts w:ascii="Arial" w:hAnsi="Arial" w:cs="Arial"/>
          <w:noProof/>
        </w:rPr>
        <mc:AlternateContent>
          <mc:Choice Requires="wpi">
            <w:drawing>
              <wp:anchor distT="0" distB="0" distL="114300" distR="114300" simplePos="0" relativeHeight="251679744" behindDoc="0" locked="0" layoutInCell="1" allowOverlap="1" wp14:anchorId="44A1BC82" wp14:editId="5498986E">
                <wp:simplePos x="0" y="0"/>
                <wp:positionH relativeFrom="column">
                  <wp:posOffset>-2084070</wp:posOffset>
                </wp:positionH>
                <wp:positionV relativeFrom="paragraph">
                  <wp:posOffset>-214630</wp:posOffset>
                </wp:positionV>
                <wp:extent cx="920750" cy="920750"/>
                <wp:effectExtent l="1905" t="4445" r="1270" b="0"/>
                <wp:wrapNone/>
                <wp:docPr id="1507580568" name="Ink 2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00D6EB9C" id="Ink 23" o:spid="_x0000_s1026" type="#_x0000_t75" style="position:absolute;margin-left:-164.1pt;margin-top:-16.9pt;width:72.5pt;height: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H/Lx34QAAAA0BAAAPAAAAAAAAAAAAAAAAAM4EAABkcnMvZG93bnJldi54bWxQ&#10;SwECLQAUAAYACAAAACEAeRi8nb8AAAAhAQAAGQAAAAAAAAAAAAAAAADcBQAAZHJzL19yZWxzL2Uy&#10;b0RvYy54bWwucmVsc1BLBQYAAAAABgAGAHgBAADSBgAAAAA=&#10;">
                <v:imagedata r:id="rId9" o:title=""/>
                <o:lock v:ext="edit" rotation="t" verticies="t" shapetype="t"/>
              </v:shape>
            </w:pict>
          </mc:Fallback>
        </mc:AlternateContent>
      </w:r>
      <w:r w:rsidRPr="00CB45B3">
        <w:rPr>
          <w:rFonts w:ascii="Arial" w:hAnsi="Arial" w:cs="Arial"/>
          <w:noProof/>
        </w:rPr>
        <mc:AlternateContent>
          <mc:Choice Requires="wpi">
            <w:drawing>
              <wp:anchor distT="0" distB="0" distL="114300" distR="114300" simplePos="0" relativeHeight="251680768" behindDoc="0" locked="0" layoutInCell="1" allowOverlap="1" wp14:anchorId="0BC9948E" wp14:editId="5E8FFF13">
                <wp:simplePos x="0" y="0"/>
                <wp:positionH relativeFrom="column">
                  <wp:posOffset>-2395855</wp:posOffset>
                </wp:positionH>
                <wp:positionV relativeFrom="paragraph">
                  <wp:posOffset>-216535</wp:posOffset>
                </wp:positionV>
                <wp:extent cx="920750" cy="920750"/>
                <wp:effectExtent l="4445" t="2540" r="0" b="635"/>
                <wp:wrapNone/>
                <wp:docPr id="1809159325" name="Ink 2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920750" cy="920750"/>
                      </w14:xfrm>
                    </w14:contentPart>
                  </a:graphicData>
                </a:graphic>
                <wp14:sizeRelH relativeFrom="page">
                  <wp14:pctWidth>0</wp14:pctWidth>
                </wp14:sizeRelH>
                <wp14:sizeRelV relativeFrom="page">
                  <wp14:pctHeight>0</wp14:pctHeight>
                </wp14:sizeRelV>
              </wp:anchor>
            </w:drawing>
          </mc:Choice>
          <mc:Fallback>
            <w:pict>
              <v:shape w14:anchorId="5F689DA6" id="Ink 22" o:spid="_x0000_s1026" type="#_x0000_t75" style="position:absolute;margin-left:-188.65pt;margin-top:-17.05pt;width:72.5pt;height: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">
                <v:imagedata r:id="rId9" o:title=""/>
                <o:lock v:ext="edit" rotation="t" verticies="t" shapetype="t"/>
              </v:shape>
            </w:pict>
          </mc:Fallback>
        </mc:AlternateContent>
      </w:r>
      <w:r w:rsidRPr="00CB45B3">
        <w:rPr>
          <w:rFonts w:ascii="Arial" w:hAnsi="Arial" w:cs="Arial"/>
          <w:lang w:val="hr-HR"/>
        </w:rPr>
        <w:t xml:space="preserve">I, </w:t>
      </w:r>
      <w:r>
        <w:rPr>
          <w:rFonts w:ascii="Arial" w:hAnsi="Arial" w:cs="Arial"/>
          <w:lang w:val="hr-HR"/>
        </w:rPr>
        <w:t>Shakuntala Patel,</w:t>
      </w:r>
      <w:r w:rsidRPr="00CB45B3">
        <w:rPr>
          <w:rFonts w:ascii="Arial" w:hAnsi="Arial" w:cs="Arial"/>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4F7225F4" w14:textId="77777777" w:rsidR="00CB45B3" w:rsidRPr="00CB45B3" w:rsidRDefault="00CB45B3" w:rsidP="00CB45B3">
      <w:pPr>
        <w:spacing w:line="360" w:lineRule="auto"/>
        <w:jc w:val="both"/>
        <w:rPr>
          <w:rFonts w:ascii="Arial" w:hAnsi="Arial" w:cs="Arial"/>
          <w:lang w:val="hr-HR"/>
        </w:rPr>
      </w:pPr>
    </w:p>
    <w:p w14:paraId="6926E85D" w14:textId="77777777" w:rsidR="00CB45B3" w:rsidRPr="00CB45B3" w:rsidRDefault="00CB45B3" w:rsidP="00CB45B3">
      <w:pPr>
        <w:spacing w:line="360" w:lineRule="auto"/>
        <w:jc w:val="both"/>
        <w:rPr>
          <w:rFonts w:ascii="Arial" w:hAnsi="Arial" w:cs="Arial"/>
          <w:lang w:val="hr-HR"/>
        </w:rPr>
      </w:pPr>
    </w:p>
    <w:p w14:paraId="14AD391D" w14:textId="5E5B7CA6" w:rsidR="00CB45B3" w:rsidRPr="00CB45B3" w:rsidRDefault="00CB45B3" w:rsidP="00CB45B3">
      <w:pPr>
        <w:spacing w:line="360" w:lineRule="auto"/>
        <w:jc w:val="both"/>
        <w:rPr>
          <w:rFonts w:ascii="Arial" w:hAnsi="Arial" w:cs="Arial"/>
          <w:lang w:val="hr-HR"/>
        </w:rPr>
      </w:pPr>
      <w:r w:rsidRPr="00CB45B3">
        <w:rPr>
          <w:rFonts w:ascii="Arial" w:hAnsi="Arial" w:cs="Arial"/>
          <w:lang w:val="hr-HR"/>
        </w:rPr>
        <w:t>Signed:</w:t>
      </w:r>
      <w:r w:rsidR="00DB07D5">
        <w:rPr>
          <w:rFonts w:ascii="Arial" w:hAnsi="Arial" w:cs="Arial"/>
          <w:lang w:val="hr-HR"/>
        </w:rPr>
        <w:t xml:space="preserve"> Shakuntala</w:t>
      </w:r>
    </w:p>
    <w:p w14:paraId="210E7FE1" w14:textId="2571A1F5" w:rsidR="00CB45B3" w:rsidRPr="00CB45B3" w:rsidRDefault="00CB45B3" w:rsidP="00CB45B3">
      <w:pPr>
        <w:spacing w:line="360" w:lineRule="auto"/>
        <w:jc w:val="both"/>
        <w:rPr>
          <w:rFonts w:ascii="Arial" w:hAnsi="Arial" w:cs="Arial"/>
          <w:lang w:val="hr-HR"/>
        </w:rPr>
      </w:pPr>
      <w:r w:rsidRPr="00CB45B3">
        <w:rPr>
          <w:rFonts w:ascii="Arial" w:hAnsi="Arial" w:cs="Arial"/>
          <w:lang w:val="hr-HR"/>
        </w:rPr>
        <w:t>Date:</w:t>
      </w:r>
      <w:r w:rsidR="00DB07D5">
        <w:rPr>
          <w:rFonts w:ascii="Arial" w:hAnsi="Arial" w:cs="Arial"/>
          <w:lang w:val="hr-HR"/>
        </w:rPr>
        <w:t xml:space="preserve"> 0</w:t>
      </w:r>
      <w:r w:rsidR="002E678B">
        <w:rPr>
          <w:rFonts w:ascii="Arial" w:hAnsi="Arial" w:cs="Arial"/>
          <w:lang w:val="hr-HR"/>
        </w:rPr>
        <w:t>2</w:t>
      </w:r>
      <w:r w:rsidR="00DB07D5">
        <w:rPr>
          <w:rFonts w:ascii="Arial" w:hAnsi="Arial" w:cs="Arial"/>
          <w:lang w:val="hr-HR"/>
        </w:rPr>
        <w:t>/02/2026</w:t>
      </w:r>
    </w:p>
    <w:p w14:paraId="444CAE95" w14:textId="77777777" w:rsidR="00CB45B3" w:rsidRPr="00CB45B3" w:rsidRDefault="00CB45B3" w:rsidP="00CB45B3">
      <w:pPr>
        <w:spacing w:line="360" w:lineRule="auto"/>
        <w:jc w:val="both"/>
        <w:rPr>
          <w:rFonts w:ascii="Arial" w:hAnsi="Arial" w:cs="Arial"/>
          <w:b/>
          <w:bCs/>
        </w:rPr>
      </w:pPr>
    </w:p>
    <w:p w14:paraId="4CD26DC8" w14:textId="77777777" w:rsidR="00CB45B3" w:rsidRDefault="00CB45B3" w:rsidP="00CB45B3">
      <w:pPr>
        <w:spacing w:line="360" w:lineRule="auto"/>
        <w:jc w:val="both"/>
        <w:rPr>
          <w:rFonts w:ascii="Arial" w:hAnsi="Arial" w:cs="Arial"/>
          <w:b/>
          <w:bCs/>
        </w:rPr>
      </w:pPr>
      <w:r w:rsidRPr="00CB45B3">
        <w:rPr>
          <w:rFonts w:ascii="Arial" w:hAnsi="Arial" w:cs="Arial"/>
          <w:b/>
          <w:bCs/>
        </w:rPr>
        <w:t xml:space="preserve"> </w:t>
      </w:r>
      <w:r w:rsidRPr="00CB45B3">
        <w:rPr>
          <w:rFonts w:ascii="Arial" w:hAnsi="Arial" w:cs="Arial"/>
          <w:b/>
          <w:bCs/>
        </w:rPr>
        <w:tab/>
        <w:t xml:space="preserve"> </w:t>
      </w:r>
    </w:p>
    <w:p w14:paraId="2D32E50C" w14:textId="77777777" w:rsidR="00DE5892" w:rsidRDefault="00DE5892" w:rsidP="00CB45B3">
      <w:pPr>
        <w:spacing w:line="360" w:lineRule="auto"/>
        <w:jc w:val="both"/>
        <w:rPr>
          <w:rFonts w:ascii="Arial" w:hAnsi="Arial" w:cs="Arial"/>
          <w:b/>
          <w:bCs/>
        </w:rPr>
      </w:pPr>
    </w:p>
    <w:p w14:paraId="025D2764" w14:textId="77777777" w:rsidR="00DE5892" w:rsidRDefault="00DE5892" w:rsidP="00CB45B3">
      <w:pPr>
        <w:spacing w:line="360" w:lineRule="auto"/>
        <w:jc w:val="both"/>
        <w:rPr>
          <w:rFonts w:ascii="Arial" w:hAnsi="Arial" w:cs="Arial"/>
          <w:b/>
          <w:bCs/>
        </w:rPr>
      </w:pPr>
    </w:p>
    <w:p w14:paraId="4A2002A4" w14:textId="77777777" w:rsidR="00DE5892" w:rsidRDefault="00DE5892" w:rsidP="00CB45B3">
      <w:pPr>
        <w:spacing w:line="360" w:lineRule="auto"/>
        <w:jc w:val="both"/>
        <w:rPr>
          <w:rFonts w:ascii="Arial" w:hAnsi="Arial" w:cs="Arial"/>
          <w:b/>
          <w:bCs/>
        </w:rPr>
      </w:pPr>
    </w:p>
    <w:p w14:paraId="56BE99B7" w14:textId="77777777" w:rsidR="00DE5892" w:rsidRDefault="00DE5892" w:rsidP="00CB45B3">
      <w:pPr>
        <w:spacing w:line="360" w:lineRule="auto"/>
        <w:jc w:val="both"/>
        <w:rPr>
          <w:rFonts w:ascii="Arial" w:hAnsi="Arial" w:cs="Arial"/>
          <w:b/>
          <w:bCs/>
        </w:rPr>
      </w:pPr>
    </w:p>
    <w:p w14:paraId="7103B90E" w14:textId="77777777" w:rsidR="00DE5892" w:rsidRDefault="00DE5892" w:rsidP="00CB45B3">
      <w:pPr>
        <w:spacing w:line="360" w:lineRule="auto"/>
        <w:jc w:val="both"/>
        <w:rPr>
          <w:rFonts w:ascii="Arial" w:hAnsi="Arial" w:cs="Arial"/>
          <w:b/>
          <w:bCs/>
        </w:rPr>
      </w:pPr>
    </w:p>
    <w:p w14:paraId="2F8641BC" w14:textId="77777777" w:rsidR="00DE5892" w:rsidRDefault="00DE5892" w:rsidP="00CB45B3">
      <w:pPr>
        <w:spacing w:line="360" w:lineRule="auto"/>
        <w:jc w:val="both"/>
        <w:rPr>
          <w:rFonts w:ascii="Arial" w:hAnsi="Arial" w:cs="Arial"/>
          <w:b/>
          <w:bCs/>
        </w:rPr>
      </w:pPr>
    </w:p>
    <w:p w14:paraId="7BD07811" w14:textId="77777777" w:rsidR="00DE5892" w:rsidRDefault="00DE5892" w:rsidP="00CB45B3">
      <w:pPr>
        <w:spacing w:line="360" w:lineRule="auto"/>
        <w:jc w:val="both"/>
        <w:rPr>
          <w:rFonts w:ascii="Arial" w:hAnsi="Arial" w:cs="Arial"/>
          <w:b/>
          <w:bCs/>
        </w:rPr>
      </w:pPr>
    </w:p>
    <w:p w14:paraId="64EC5920" w14:textId="77777777" w:rsidR="00DE5892" w:rsidRDefault="00DE5892" w:rsidP="00CB45B3">
      <w:pPr>
        <w:spacing w:line="360" w:lineRule="auto"/>
        <w:jc w:val="both"/>
        <w:rPr>
          <w:rFonts w:ascii="Arial" w:hAnsi="Arial" w:cs="Arial"/>
          <w:b/>
          <w:bCs/>
        </w:rPr>
      </w:pPr>
    </w:p>
    <w:p w14:paraId="3406F97A" w14:textId="77777777" w:rsidR="00DE5892" w:rsidRDefault="00DE5892" w:rsidP="00CB45B3">
      <w:pPr>
        <w:spacing w:line="360" w:lineRule="auto"/>
        <w:jc w:val="both"/>
        <w:rPr>
          <w:rFonts w:ascii="Arial" w:hAnsi="Arial" w:cs="Arial"/>
          <w:b/>
          <w:bCs/>
        </w:rPr>
      </w:pPr>
    </w:p>
    <w:p w14:paraId="5A133932" w14:textId="77777777" w:rsidR="00DE5892" w:rsidRDefault="00DE5892" w:rsidP="00CB45B3">
      <w:pPr>
        <w:spacing w:line="360" w:lineRule="auto"/>
        <w:jc w:val="both"/>
        <w:rPr>
          <w:rFonts w:ascii="Arial" w:hAnsi="Arial" w:cs="Arial"/>
          <w:b/>
          <w:bCs/>
        </w:rPr>
      </w:pPr>
    </w:p>
    <w:p w14:paraId="698DBB6F" w14:textId="77777777" w:rsidR="00DE5892" w:rsidRDefault="00DE5892" w:rsidP="00CB45B3">
      <w:pPr>
        <w:spacing w:line="360" w:lineRule="auto"/>
        <w:jc w:val="both"/>
        <w:rPr>
          <w:rFonts w:ascii="Arial" w:hAnsi="Arial" w:cs="Arial"/>
          <w:b/>
          <w:bCs/>
        </w:rPr>
      </w:pPr>
    </w:p>
    <w:p w14:paraId="3F369538" w14:textId="77777777" w:rsidR="00DE5892" w:rsidRPr="00DE5892" w:rsidRDefault="00DE5892" w:rsidP="00BA7A4B">
      <w:pPr>
        <w:spacing w:line="360" w:lineRule="auto"/>
        <w:jc w:val="center"/>
        <w:rPr>
          <w:rFonts w:ascii="Arial" w:hAnsi="Arial" w:cs="Arial"/>
          <w:b/>
          <w:bCs/>
          <w:sz w:val="28"/>
          <w:szCs w:val="28"/>
        </w:rPr>
      </w:pPr>
      <w:r w:rsidRPr="00DE5892">
        <w:rPr>
          <w:rFonts w:ascii="Arial" w:hAnsi="Arial" w:cs="Arial"/>
          <w:b/>
          <w:bCs/>
          <w:sz w:val="28"/>
          <w:szCs w:val="28"/>
        </w:rPr>
        <w:t>Abstract</w:t>
      </w:r>
    </w:p>
    <w:p w14:paraId="2C075BE3" w14:textId="77777777" w:rsidR="00DE5892" w:rsidRPr="00DE5892" w:rsidRDefault="00DE5892" w:rsidP="0073518C">
      <w:pPr>
        <w:spacing w:line="360" w:lineRule="auto"/>
        <w:jc w:val="both"/>
        <w:rPr>
          <w:rFonts w:ascii="Arial" w:hAnsi="Arial" w:cs="Arial"/>
        </w:rPr>
      </w:pPr>
      <w:r w:rsidRPr="00DE5892">
        <w:rPr>
          <w:rFonts w:ascii="Arial" w:hAnsi="Arial" w:cs="Arial"/>
        </w:rPr>
        <w:t>This dissertation examined the primary risk factors associated with developmental delays among children aged 5 to 12 years in England and explored how a public health approach can improve outcomes for vulnerable children. The study addressed a gap in existing research by focusing on middle childhood, a critical yet often underrepresented developmental period. The objectives were to identify biological, environmental, and socio-economic determinants of developmental delay, examine common patterns of developmental difficulty, assess the role of early identification and intervention, and inform public health policy and practice.</w:t>
      </w:r>
    </w:p>
    <w:p w14:paraId="315CE570" w14:textId="77777777" w:rsidR="00DE5892" w:rsidRPr="00DE5892" w:rsidRDefault="00DE5892" w:rsidP="0073518C">
      <w:pPr>
        <w:spacing w:line="360" w:lineRule="auto"/>
        <w:jc w:val="both"/>
        <w:rPr>
          <w:rFonts w:ascii="Arial" w:hAnsi="Arial" w:cs="Arial"/>
        </w:rPr>
      </w:pPr>
      <w:r w:rsidRPr="00DE5892">
        <w:rPr>
          <w:rFonts w:ascii="Arial" w:hAnsi="Arial" w:cs="Arial"/>
        </w:rPr>
        <w:t>A systematic review methodology was employed, guided by PRISMA standards. Peer-reviewed studies published within defined inclusion criteria were identified through database searches and appraised using validated quality assessment tools. Findings were synthesised narratively to account for methodological diversity. The review found that developmental delays result from cumulative and interacting risk factors, including prenatal and perinatal vulnerabilities, socio-economic disadvantage, and environmental stressors. Language, behavioural, and socio-emotional difficulties were most prevalent, often co-occurring and disproportionately affecting disadvantaged children. Early identification, parental engagement, and coordinated intervention were shown to improve outcomes. The study concludes that integrated, equity-focused public health strategies across health, education, and social care are essential to reducing developmental inequalities, while highlighting the need for strengthened surveillance and further research in middle childhood.</w:t>
      </w:r>
    </w:p>
    <w:p w14:paraId="638F967B" w14:textId="77777777" w:rsidR="00DE5892" w:rsidRPr="00CB45B3" w:rsidRDefault="00DE5892" w:rsidP="0073518C">
      <w:pPr>
        <w:spacing w:line="360" w:lineRule="auto"/>
        <w:jc w:val="both"/>
        <w:rPr>
          <w:rFonts w:ascii="Arial" w:hAnsi="Arial" w:cs="Arial"/>
        </w:rPr>
      </w:pPr>
    </w:p>
    <w:p w14:paraId="7DCA0CA1" w14:textId="77777777" w:rsidR="00CB45B3" w:rsidRDefault="00CB45B3" w:rsidP="0073518C">
      <w:pPr>
        <w:spacing w:line="360" w:lineRule="auto"/>
        <w:jc w:val="both"/>
        <w:rPr>
          <w:rFonts w:ascii="Arial" w:hAnsi="Arial" w:cs="Arial"/>
        </w:rPr>
      </w:pPr>
    </w:p>
    <w:p w14:paraId="43DFB5F7" w14:textId="77777777" w:rsidR="00DE5892" w:rsidRDefault="00DE5892" w:rsidP="0073518C">
      <w:pPr>
        <w:spacing w:line="360" w:lineRule="auto"/>
        <w:jc w:val="both"/>
        <w:rPr>
          <w:rFonts w:ascii="Arial" w:hAnsi="Arial" w:cs="Arial"/>
        </w:rPr>
      </w:pPr>
    </w:p>
    <w:p w14:paraId="62D26782" w14:textId="77777777" w:rsidR="00DE5892" w:rsidRDefault="00DE5892" w:rsidP="0073518C">
      <w:pPr>
        <w:spacing w:line="360" w:lineRule="auto"/>
        <w:jc w:val="both"/>
        <w:rPr>
          <w:rFonts w:ascii="Arial" w:hAnsi="Arial" w:cs="Arial"/>
        </w:rPr>
      </w:pPr>
    </w:p>
    <w:p w14:paraId="0CB4EF4B" w14:textId="77777777" w:rsidR="00DE5892" w:rsidRPr="00DE5892" w:rsidRDefault="00DE5892" w:rsidP="0073518C">
      <w:pPr>
        <w:spacing w:line="360" w:lineRule="auto"/>
        <w:jc w:val="both"/>
        <w:rPr>
          <w:rFonts w:ascii="Arial" w:hAnsi="Arial" w:cs="Arial"/>
        </w:rPr>
      </w:pPr>
    </w:p>
    <w:p w14:paraId="27D24C16" w14:textId="77777777" w:rsidR="008251AE" w:rsidRPr="001D6522" w:rsidRDefault="008251AE" w:rsidP="0073518C">
      <w:pPr>
        <w:spacing w:line="360" w:lineRule="auto"/>
        <w:jc w:val="center"/>
        <w:rPr>
          <w:rFonts w:ascii="Arial" w:hAnsi="Arial" w:cs="Arial"/>
        </w:rPr>
      </w:pPr>
    </w:p>
    <w:sdt>
      <w:sdtPr>
        <w:rPr>
          <w:rFonts w:ascii="Arial" w:eastAsiaTheme="minorHAnsi" w:hAnsi="Arial" w:cs="Arial"/>
          <w:color w:val="auto"/>
          <w:kern w:val="2"/>
          <w:sz w:val="24"/>
          <w:szCs w:val="24"/>
          <w:lang w:eastAsia="en-US"/>
          <w14:ligatures w14:val="standardContextual"/>
        </w:rPr>
        <w:id w:val="-1563086852"/>
        <w:docPartObj>
          <w:docPartGallery w:val="Table of Contents"/>
          <w:docPartUnique/>
        </w:docPartObj>
      </w:sdtPr>
      <w:sdtEndPr>
        <w:rPr>
          <w:b/>
          <w:bCs/>
        </w:rPr>
      </w:sdtEndPr>
      <w:sdtContent>
        <w:p w14:paraId="4C069770" w14:textId="6C995552" w:rsidR="006F1D2A" w:rsidRPr="0073518C" w:rsidRDefault="006F1D2A" w:rsidP="0073518C">
          <w:pPr>
            <w:pStyle w:val="TOCHeading"/>
            <w:spacing w:line="360" w:lineRule="auto"/>
            <w:jc w:val="center"/>
            <w:rPr>
              <w:rFonts w:ascii="Arial" w:hAnsi="Arial" w:cs="Arial"/>
              <w:b/>
              <w:bCs/>
            </w:rPr>
          </w:pPr>
          <w:r w:rsidRPr="0073518C">
            <w:rPr>
              <w:rFonts w:ascii="Arial" w:hAnsi="Arial" w:cs="Arial"/>
              <w:b/>
              <w:bCs/>
            </w:rPr>
            <w:t>Table of Contents</w:t>
          </w:r>
        </w:p>
        <w:p w14:paraId="1A1E8ABC" w14:textId="14C5FF83" w:rsidR="0073518C" w:rsidRPr="0073518C" w:rsidRDefault="006F1D2A" w:rsidP="0073518C">
          <w:pPr>
            <w:pStyle w:val="TOC1"/>
            <w:tabs>
              <w:tab w:val="right" w:leader="dot" w:pos="9016"/>
            </w:tabs>
            <w:spacing w:line="360" w:lineRule="auto"/>
            <w:rPr>
              <w:rFonts w:ascii="Arial" w:eastAsiaTheme="minorEastAsia" w:hAnsi="Arial" w:cs="Arial"/>
              <w:noProof/>
              <w:lang w:eastAsia="en-GB"/>
            </w:rPr>
          </w:pPr>
          <w:r w:rsidRPr="0073518C">
            <w:rPr>
              <w:rFonts w:ascii="Arial" w:hAnsi="Arial" w:cs="Arial"/>
            </w:rPr>
            <w:fldChar w:fldCharType="begin"/>
          </w:r>
          <w:r w:rsidRPr="0073518C">
            <w:rPr>
              <w:rFonts w:ascii="Arial" w:hAnsi="Arial" w:cs="Arial"/>
            </w:rPr>
            <w:instrText xml:space="preserve"> TOC \o "1-3" \h \z \u </w:instrText>
          </w:r>
          <w:r w:rsidRPr="0073518C">
            <w:rPr>
              <w:rFonts w:ascii="Arial" w:hAnsi="Arial" w:cs="Arial"/>
            </w:rPr>
            <w:fldChar w:fldCharType="separate"/>
          </w:r>
          <w:hyperlink w:anchor="_Toc219199472" w:history="1">
            <w:r w:rsidR="0073518C" w:rsidRPr="0073518C">
              <w:rPr>
                <w:rStyle w:val="Hyperlink"/>
                <w:rFonts w:ascii="Arial" w:hAnsi="Arial" w:cs="Arial"/>
                <w:noProof/>
              </w:rPr>
              <w:t>Chapter 1: Introduction</w:t>
            </w:r>
            <w:r w:rsidR="0073518C" w:rsidRPr="0073518C">
              <w:rPr>
                <w:rFonts w:ascii="Arial" w:hAnsi="Arial" w:cs="Arial"/>
                <w:noProof/>
                <w:webHidden/>
              </w:rPr>
              <w:tab/>
            </w:r>
            <w:r w:rsidR="0073518C" w:rsidRPr="0073518C">
              <w:rPr>
                <w:rFonts w:ascii="Arial" w:hAnsi="Arial" w:cs="Arial"/>
                <w:noProof/>
                <w:webHidden/>
              </w:rPr>
              <w:fldChar w:fldCharType="begin"/>
            </w:r>
            <w:r w:rsidR="0073518C" w:rsidRPr="0073518C">
              <w:rPr>
                <w:rFonts w:ascii="Arial" w:hAnsi="Arial" w:cs="Arial"/>
                <w:noProof/>
                <w:webHidden/>
              </w:rPr>
              <w:instrText xml:space="preserve"> PAGEREF _Toc219199472 \h </w:instrText>
            </w:r>
            <w:r w:rsidR="0073518C" w:rsidRPr="0073518C">
              <w:rPr>
                <w:rFonts w:ascii="Arial" w:hAnsi="Arial" w:cs="Arial"/>
                <w:noProof/>
                <w:webHidden/>
              </w:rPr>
            </w:r>
            <w:r w:rsidR="0073518C" w:rsidRPr="0073518C">
              <w:rPr>
                <w:rFonts w:ascii="Arial" w:hAnsi="Arial" w:cs="Arial"/>
                <w:noProof/>
                <w:webHidden/>
              </w:rPr>
              <w:fldChar w:fldCharType="separate"/>
            </w:r>
            <w:r w:rsidR="00597B7F">
              <w:rPr>
                <w:rFonts w:ascii="Arial" w:hAnsi="Arial" w:cs="Arial"/>
                <w:noProof/>
                <w:webHidden/>
              </w:rPr>
              <w:t>7</w:t>
            </w:r>
            <w:r w:rsidR="0073518C" w:rsidRPr="0073518C">
              <w:rPr>
                <w:rFonts w:ascii="Arial" w:hAnsi="Arial" w:cs="Arial"/>
                <w:noProof/>
                <w:webHidden/>
              </w:rPr>
              <w:fldChar w:fldCharType="end"/>
            </w:r>
          </w:hyperlink>
        </w:p>
        <w:p w14:paraId="20BD04FF" w14:textId="130A8474"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3" w:history="1">
            <w:r w:rsidRPr="0073518C">
              <w:rPr>
                <w:rStyle w:val="Hyperlink"/>
                <w:rFonts w:ascii="Arial" w:hAnsi="Arial" w:cs="Arial"/>
                <w:noProof/>
              </w:rPr>
              <w:t>1.1 Background of the Study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7</w:t>
            </w:r>
            <w:r w:rsidRPr="0073518C">
              <w:rPr>
                <w:rFonts w:ascii="Arial" w:hAnsi="Arial" w:cs="Arial"/>
                <w:noProof/>
                <w:webHidden/>
              </w:rPr>
              <w:fldChar w:fldCharType="end"/>
            </w:r>
          </w:hyperlink>
        </w:p>
        <w:p w14:paraId="0E75750B" w14:textId="20D93BB3"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4" w:history="1">
            <w:r w:rsidRPr="0073518C">
              <w:rPr>
                <w:rStyle w:val="Hyperlink"/>
                <w:rFonts w:ascii="Arial" w:hAnsi="Arial" w:cs="Arial"/>
                <w:noProof/>
              </w:rPr>
              <w:t>1.2 Context and Significance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8</w:t>
            </w:r>
            <w:r w:rsidRPr="0073518C">
              <w:rPr>
                <w:rFonts w:ascii="Arial" w:hAnsi="Arial" w:cs="Arial"/>
                <w:noProof/>
                <w:webHidden/>
              </w:rPr>
              <w:fldChar w:fldCharType="end"/>
            </w:r>
          </w:hyperlink>
        </w:p>
        <w:p w14:paraId="4B17E8A2" w14:textId="4CA20FEE"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5" w:history="1">
            <w:r w:rsidRPr="0073518C">
              <w:rPr>
                <w:rStyle w:val="Hyperlink"/>
                <w:rFonts w:ascii="Arial" w:hAnsi="Arial" w:cs="Arial"/>
                <w:noProof/>
              </w:rPr>
              <w:t>1.3 Rationale for the Study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9</w:t>
            </w:r>
            <w:r w:rsidRPr="0073518C">
              <w:rPr>
                <w:rFonts w:ascii="Arial" w:hAnsi="Arial" w:cs="Arial"/>
                <w:noProof/>
                <w:webHidden/>
              </w:rPr>
              <w:fldChar w:fldCharType="end"/>
            </w:r>
          </w:hyperlink>
        </w:p>
        <w:p w14:paraId="6F446D2F" w14:textId="51D4E211"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6" w:history="1">
            <w:r w:rsidRPr="0073518C">
              <w:rPr>
                <w:rStyle w:val="Hyperlink"/>
                <w:rFonts w:ascii="Arial" w:hAnsi="Arial" w:cs="Arial"/>
                <w:noProof/>
              </w:rPr>
              <w:t>1.4 Research Question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10</w:t>
            </w:r>
            <w:r w:rsidRPr="0073518C">
              <w:rPr>
                <w:rFonts w:ascii="Arial" w:hAnsi="Arial" w:cs="Arial"/>
                <w:noProof/>
                <w:webHidden/>
              </w:rPr>
              <w:fldChar w:fldCharType="end"/>
            </w:r>
          </w:hyperlink>
        </w:p>
        <w:p w14:paraId="2F1D9837" w14:textId="07CD5DDB"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7" w:history="1">
            <w:r w:rsidRPr="0073518C">
              <w:rPr>
                <w:rStyle w:val="Hyperlink"/>
                <w:rFonts w:ascii="Arial" w:hAnsi="Arial" w:cs="Arial"/>
                <w:noProof/>
              </w:rPr>
              <w:t>1.5 Aims and Objectives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10</w:t>
            </w:r>
            <w:r w:rsidRPr="0073518C">
              <w:rPr>
                <w:rFonts w:ascii="Arial" w:hAnsi="Arial" w:cs="Arial"/>
                <w:noProof/>
                <w:webHidden/>
              </w:rPr>
              <w:fldChar w:fldCharType="end"/>
            </w:r>
          </w:hyperlink>
        </w:p>
        <w:p w14:paraId="1D653E70" w14:textId="3C67EAC6"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8" w:history="1">
            <w:r w:rsidRPr="0073518C">
              <w:rPr>
                <w:rStyle w:val="Hyperlink"/>
                <w:rFonts w:ascii="Arial" w:hAnsi="Arial" w:cs="Arial"/>
                <w:noProof/>
              </w:rPr>
              <w:t>1.6 Structure of the Dissertation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10</w:t>
            </w:r>
            <w:r w:rsidRPr="0073518C">
              <w:rPr>
                <w:rFonts w:ascii="Arial" w:hAnsi="Arial" w:cs="Arial"/>
                <w:noProof/>
                <w:webHidden/>
              </w:rPr>
              <w:fldChar w:fldCharType="end"/>
            </w:r>
          </w:hyperlink>
        </w:p>
        <w:p w14:paraId="50191AF7" w14:textId="40B0A85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79" w:history="1">
            <w:r w:rsidRPr="0073518C">
              <w:rPr>
                <w:rStyle w:val="Hyperlink"/>
                <w:rFonts w:ascii="Arial" w:hAnsi="Arial" w:cs="Arial"/>
                <w:noProof/>
              </w:rPr>
              <w:t>1.7 Summary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_Toc219199479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11</w:t>
            </w:r>
            <w:r w:rsidRPr="0073518C">
              <w:rPr>
                <w:rFonts w:ascii="Arial" w:hAnsi="Arial" w:cs="Arial"/>
                <w:noProof/>
                <w:webHidden/>
              </w:rPr>
              <w:fldChar w:fldCharType="end"/>
            </w:r>
          </w:hyperlink>
        </w:p>
        <w:p w14:paraId="6E2C4C1F" w14:textId="44FD3645"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0" w:history="1">
            <w:r w:rsidRPr="0073518C">
              <w:rPr>
                <w:rStyle w:val="Hyperlink"/>
                <w:rFonts w:ascii="Arial" w:hAnsi="Arial" w:cs="Arial"/>
                <w:noProof/>
              </w:rPr>
              <w:t>Chapter 2: Literature Review</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12</w:t>
            </w:r>
            <w:r w:rsidRPr="0073518C">
              <w:rPr>
                <w:rFonts w:ascii="Arial" w:hAnsi="Arial" w:cs="Arial"/>
                <w:noProof/>
                <w:webHidden/>
              </w:rPr>
              <w:fldChar w:fldCharType="end"/>
            </w:r>
          </w:hyperlink>
        </w:p>
        <w:p w14:paraId="34712BA9" w14:textId="1084D4C1"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1" w:history="1">
            <w:r w:rsidRPr="0073518C">
              <w:rPr>
                <w:rStyle w:val="Hyperlink"/>
                <w:rFonts w:ascii="Arial" w:hAnsi="Arial" w:cs="Arial"/>
                <w:noProof/>
              </w:rPr>
              <w:t>2.1 Introduction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12</w:t>
            </w:r>
            <w:r w:rsidRPr="0073518C">
              <w:rPr>
                <w:rFonts w:ascii="Arial" w:hAnsi="Arial" w:cs="Arial"/>
                <w:noProof/>
                <w:webHidden/>
              </w:rPr>
              <w:fldChar w:fldCharType="end"/>
            </w:r>
          </w:hyperlink>
        </w:p>
        <w:p w14:paraId="74A4C989" w14:textId="6F490E07"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2" w:history="1">
            <w:r w:rsidRPr="0073518C">
              <w:rPr>
                <w:rStyle w:val="Hyperlink"/>
                <w:rFonts w:ascii="Arial" w:hAnsi="Arial" w:cs="Arial"/>
                <w:noProof/>
              </w:rPr>
              <w:t>2.2 Definition of Developmental Delays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_Toc219199482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12</w:t>
            </w:r>
            <w:r w:rsidRPr="0073518C">
              <w:rPr>
                <w:rFonts w:ascii="Arial" w:hAnsi="Arial" w:cs="Arial"/>
                <w:noProof/>
                <w:webHidden/>
              </w:rPr>
              <w:fldChar w:fldCharType="end"/>
            </w:r>
          </w:hyperlink>
        </w:p>
        <w:p w14:paraId="70D4701F" w14:textId="7CAF409A"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3" w:history="1">
            <w:r w:rsidRPr="0073518C">
              <w:rPr>
                <w:rStyle w:val="Hyperlink"/>
                <w:rFonts w:ascii="Arial" w:hAnsi="Arial" w:cs="Arial"/>
                <w:noProof/>
              </w:rPr>
              <w:t>2.3 Overview of Developmental Domains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13</w:t>
            </w:r>
            <w:r w:rsidRPr="0073518C">
              <w:rPr>
                <w:rFonts w:ascii="Arial" w:hAnsi="Arial" w:cs="Arial"/>
                <w:noProof/>
                <w:webHidden/>
              </w:rPr>
              <w:fldChar w:fldCharType="end"/>
            </w:r>
          </w:hyperlink>
        </w:p>
        <w:p w14:paraId="20DE5012" w14:textId="6366DE9E"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4" w:history="1">
            <w:r w:rsidRPr="0073518C">
              <w:rPr>
                <w:rStyle w:val="Hyperlink"/>
                <w:rFonts w:ascii="Arial" w:hAnsi="Arial" w:cs="Arial"/>
                <w:noProof/>
              </w:rPr>
              <w:t>2.4 Biological Risk Factors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13</w:t>
            </w:r>
            <w:r w:rsidRPr="0073518C">
              <w:rPr>
                <w:rFonts w:ascii="Arial" w:hAnsi="Arial" w:cs="Arial"/>
                <w:noProof/>
                <w:webHidden/>
              </w:rPr>
              <w:fldChar w:fldCharType="end"/>
            </w:r>
          </w:hyperlink>
        </w:p>
        <w:p w14:paraId="0BB2914B" w14:textId="6CD9F3B7" w:rsidR="0073518C" w:rsidRPr="0073518C" w:rsidRDefault="0073518C" w:rsidP="0073518C">
          <w:pPr>
            <w:pStyle w:val="TOC2"/>
            <w:rPr>
              <w:rFonts w:ascii="Arial" w:eastAsiaTheme="minorEastAsia" w:hAnsi="Arial" w:cs="Arial"/>
              <w:noProof/>
              <w:lang w:eastAsia="en-GB"/>
            </w:rPr>
          </w:pPr>
          <w:hyperlink w:anchor="_Toc219199485" w:history="1">
            <w:r w:rsidRPr="0073518C">
              <w:rPr>
                <w:rStyle w:val="Hyperlink"/>
                <w:rFonts w:ascii="Arial" w:hAnsi="Arial" w:cs="Arial"/>
                <w:noProof/>
              </w:rPr>
              <w:t xml:space="preserve">2.4.1 </w:t>
            </w:r>
            <w:r w:rsidRPr="0073518C">
              <w:rPr>
                <w:rStyle w:val="Hyperlink"/>
                <w:rFonts w:ascii="Arial" w:eastAsiaTheme="majorEastAsia" w:hAnsi="Arial" w:cs="Arial"/>
                <w:noProof/>
              </w:rPr>
              <w:t>Genetic Influences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14</w:t>
            </w:r>
            <w:r w:rsidRPr="0073518C">
              <w:rPr>
                <w:rFonts w:ascii="Arial" w:hAnsi="Arial" w:cs="Arial"/>
                <w:noProof/>
                <w:webHidden/>
              </w:rPr>
              <w:fldChar w:fldCharType="end"/>
            </w:r>
          </w:hyperlink>
        </w:p>
        <w:p w14:paraId="5C7C9A0D" w14:textId="771CCC44" w:rsidR="0073518C" w:rsidRPr="0073518C" w:rsidRDefault="0073518C" w:rsidP="0073518C">
          <w:pPr>
            <w:pStyle w:val="TOC2"/>
            <w:rPr>
              <w:rFonts w:ascii="Arial" w:eastAsiaTheme="minorEastAsia" w:hAnsi="Arial" w:cs="Arial"/>
              <w:noProof/>
              <w:lang w:eastAsia="en-GB"/>
            </w:rPr>
          </w:pPr>
          <w:hyperlink w:anchor="_Toc219199486" w:history="1">
            <w:r w:rsidRPr="0073518C">
              <w:rPr>
                <w:rStyle w:val="Hyperlink"/>
                <w:rFonts w:ascii="Arial" w:hAnsi="Arial" w:cs="Arial"/>
                <w:noProof/>
              </w:rPr>
              <w:t xml:space="preserve">2.4.2 </w:t>
            </w:r>
            <w:r w:rsidRPr="0073518C">
              <w:rPr>
                <w:rStyle w:val="Hyperlink"/>
                <w:rFonts w:ascii="Arial" w:eastAsiaTheme="majorEastAsia" w:hAnsi="Arial" w:cs="Arial"/>
                <w:noProof/>
              </w:rPr>
              <w:t>Birth Complications and Medical Conditions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15</w:t>
            </w:r>
            <w:r w:rsidRPr="0073518C">
              <w:rPr>
                <w:rFonts w:ascii="Arial" w:hAnsi="Arial" w:cs="Arial"/>
                <w:noProof/>
                <w:webHidden/>
              </w:rPr>
              <w:fldChar w:fldCharType="end"/>
            </w:r>
          </w:hyperlink>
        </w:p>
        <w:p w14:paraId="332EBA38" w14:textId="230B4551" w:rsidR="0073518C" w:rsidRPr="0073518C" w:rsidRDefault="0073518C" w:rsidP="0073518C">
          <w:pPr>
            <w:pStyle w:val="TOC2"/>
            <w:rPr>
              <w:rFonts w:ascii="Arial" w:eastAsiaTheme="minorEastAsia" w:hAnsi="Arial" w:cs="Arial"/>
              <w:noProof/>
              <w:lang w:eastAsia="en-GB"/>
            </w:rPr>
          </w:pPr>
          <w:hyperlink w:anchor="_Toc219199487" w:history="1">
            <w:r w:rsidRPr="0073518C">
              <w:rPr>
                <w:rStyle w:val="Hyperlink"/>
                <w:rFonts w:ascii="Arial" w:hAnsi="Arial" w:cs="Arial"/>
                <w:noProof/>
              </w:rPr>
              <w:t xml:space="preserve">2.4.3 </w:t>
            </w:r>
            <w:r w:rsidRPr="0073518C">
              <w:rPr>
                <w:rStyle w:val="Hyperlink"/>
                <w:rFonts w:ascii="Arial" w:eastAsiaTheme="majorEastAsia" w:hAnsi="Arial" w:cs="Arial"/>
                <w:noProof/>
              </w:rPr>
              <w:t>Neurodevelopmental Disorders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15</w:t>
            </w:r>
            <w:r w:rsidRPr="0073518C">
              <w:rPr>
                <w:rFonts w:ascii="Arial" w:hAnsi="Arial" w:cs="Arial"/>
                <w:noProof/>
                <w:webHidden/>
              </w:rPr>
              <w:fldChar w:fldCharType="end"/>
            </w:r>
          </w:hyperlink>
        </w:p>
        <w:p w14:paraId="22AAB37D" w14:textId="31A2750C"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8" w:history="1">
            <w:r w:rsidRPr="0073518C">
              <w:rPr>
                <w:rStyle w:val="Hyperlink"/>
                <w:rFonts w:ascii="Arial" w:hAnsi="Arial" w:cs="Arial"/>
                <w:noProof/>
              </w:rPr>
              <w:t>2.5 Environmental Risk Factors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16</w:t>
            </w:r>
            <w:r w:rsidRPr="0073518C">
              <w:rPr>
                <w:rFonts w:ascii="Arial" w:hAnsi="Arial" w:cs="Arial"/>
                <w:noProof/>
                <w:webHidden/>
              </w:rPr>
              <w:fldChar w:fldCharType="end"/>
            </w:r>
          </w:hyperlink>
        </w:p>
        <w:p w14:paraId="09B47E48" w14:textId="774E6BDA"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89" w:history="1">
            <w:r w:rsidRPr="0073518C">
              <w:rPr>
                <w:rStyle w:val="Hyperlink"/>
                <w:rFonts w:ascii="Arial" w:hAnsi="Arial" w:cs="Arial"/>
                <w:noProof/>
              </w:rPr>
              <w:t>2.6 Socio-Economic Risk Factors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_Toc219199489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17</w:t>
            </w:r>
            <w:r w:rsidRPr="0073518C">
              <w:rPr>
                <w:rFonts w:ascii="Arial" w:hAnsi="Arial" w:cs="Arial"/>
                <w:noProof/>
                <w:webHidden/>
              </w:rPr>
              <w:fldChar w:fldCharType="end"/>
            </w:r>
          </w:hyperlink>
        </w:p>
        <w:p w14:paraId="6C5D48A6" w14:textId="7B1A50F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90" w:history="1">
            <w:r w:rsidRPr="0073518C">
              <w:rPr>
                <w:rStyle w:val="Hyperlink"/>
                <w:rFonts w:ascii="Arial" w:hAnsi="Arial" w:cs="Arial"/>
                <w:noProof/>
              </w:rPr>
              <w:t>2.7 Most Reported Developmental Delays in Children Aged 5–12 Years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18</w:t>
            </w:r>
            <w:r w:rsidRPr="0073518C">
              <w:rPr>
                <w:rFonts w:ascii="Arial" w:hAnsi="Arial" w:cs="Arial"/>
                <w:noProof/>
                <w:webHidden/>
              </w:rPr>
              <w:fldChar w:fldCharType="end"/>
            </w:r>
          </w:hyperlink>
        </w:p>
        <w:p w14:paraId="51B906DC" w14:textId="2B49B58C"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91" w:history="1">
            <w:r w:rsidRPr="0073518C">
              <w:rPr>
                <w:rStyle w:val="Hyperlink"/>
                <w:rFonts w:ascii="Arial" w:hAnsi="Arial" w:cs="Arial"/>
                <w:noProof/>
              </w:rPr>
              <w:t>2.8 Importance of Early Identification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19</w:t>
            </w:r>
            <w:r w:rsidRPr="0073518C">
              <w:rPr>
                <w:rFonts w:ascii="Arial" w:hAnsi="Arial" w:cs="Arial"/>
                <w:noProof/>
                <w:webHidden/>
              </w:rPr>
              <w:fldChar w:fldCharType="end"/>
            </w:r>
          </w:hyperlink>
        </w:p>
        <w:p w14:paraId="4248F7D2" w14:textId="0A20E6FA" w:rsidR="0073518C" w:rsidRPr="0073518C" w:rsidRDefault="0073518C" w:rsidP="0073518C">
          <w:pPr>
            <w:pStyle w:val="TOC2"/>
            <w:rPr>
              <w:rFonts w:ascii="Arial" w:eastAsiaTheme="minorEastAsia" w:hAnsi="Arial" w:cs="Arial"/>
              <w:noProof/>
              <w:lang w:eastAsia="en-GB"/>
            </w:rPr>
          </w:pPr>
          <w:hyperlink w:anchor="_Toc219199492" w:history="1">
            <w:r w:rsidRPr="0073518C">
              <w:rPr>
                <w:rStyle w:val="Hyperlink"/>
                <w:rFonts w:ascii="Arial" w:hAnsi="Arial" w:cs="Arial"/>
                <w:noProof/>
              </w:rPr>
              <w:t xml:space="preserve">2.8.1 </w:t>
            </w:r>
            <w:r w:rsidRPr="0073518C">
              <w:rPr>
                <w:rStyle w:val="Hyperlink"/>
                <w:rFonts w:ascii="Arial" w:eastAsiaTheme="majorEastAsia" w:hAnsi="Arial" w:cs="Arial"/>
                <w:noProof/>
              </w:rPr>
              <w:t>Screening Tools and Assessments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_Toc219199492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19</w:t>
            </w:r>
            <w:r w:rsidRPr="0073518C">
              <w:rPr>
                <w:rFonts w:ascii="Arial" w:hAnsi="Arial" w:cs="Arial"/>
                <w:noProof/>
                <w:webHidden/>
              </w:rPr>
              <w:fldChar w:fldCharType="end"/>
            </w:r>
          </w:hyperlink>
        </w:p>
        <w:p w14:paraId="0457FB39" w14:textId="2E2B4C8D" w:rsidR="0073518C" w:rsidRPr="0073518C" w:rsidRDefault="0073518C" w:rsidP="0073518C">
          <w:pPr>
            <w:pStyle w:val="TOC2"/>
            <w:rPr>
              <w:rFonts w:ascii="Arial" w:eastAsiaTheme="minorEastAsia" w:hAnsi="Arial" w:cs="Arial"/>
              <w:noProof/>
              <w:lang w:eastAsia="en-GB"/>
            </w:rPr>
          </w:pPr>
          <w:hyperlink w:anchor="_Toc219199493" w:history="1">
            <w:r w:rsidRPr="0073518C">
              <w:rPr>
                <w:rStyle w:val="Hyperlink"/>
                <w:rFonts w:ascii="Arial" w:hAnsi="Arial" w:cs="Arial"/>
                <w:noProof/>
              </w:rPr>
              <w:t xml:space="preserve">2.8.2 </w:t>
            </w:r>
            <w:r w:rsidRPr="0073518C">
              <w:rPr>
                <w:rStyle w:val="Hyperlink"/>
                <w:rFonts w:ascii="Arial" w:eastAsiaTheme="majorEastAsia" w:hAnsi="Arial" w:cs="Arial"/>
                <w:noProof/>
              </w:rPr>
              <w:t>Role of Teachers, Healthcare Professionals, and Parents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20</w:t>
            </w:r>
            <w:r w:rsidRPr="0073518C">
              <w:rPr>
                <w:rFonts w:ascii="Arial" w:hAnsi="Arial" w:cs="Arial"/>
                <w:noProof/>
                <w:webHidden/>
              </w:rPr>
              <w:fldChar w:fldCharType="end"/>
            </w:r>
          </w:hyperlink>
        </w:p>
        <w:p w14:paraId="3E4D7B92" w14:textId="7E7303F1" w:rsidR="0073518C" w:rsidRPr="0073518C" w:rsidRDefault="0073518C" w:rsidP="0073518C">
          <w:pPr>
            <w:pStyle w:val="TOC2"/>
            <w:rPr>
              <w:rFonts w:ascii="Arial" w:eastAsiaTheme="minorEastAsia" w:hAnsi="Arial" w:cs="Arial"/>
              <w:noProof/>
              <w:lang w:eastAsia="en-GB"/>
            </w:rPr>
          </w:pPr>
          <w:hyperlink w:anchor="_Toc219199494" w:history="1">
            <w:r w:rsidRPr="0073518C">
              <w:rPr>
                <w:rStyle w:val="Hyperlink"/>
                <w:rFonts w:ascii="Arial" w:hAnsi="Arial" w:cs="Arial"/>
                <w:noProof/>
              </w:rPr>
              <w:t xml:space="preserve">2.8.3 </w:t>
            </w:r>
            <w:r w:rsidRPr="0073518C">
              <w:rPr>
                <w:rStyle w:val="Hyperlink"/>
                <w:rFonts w:ascii="Arial" w:eastAsiaTheme="majorEastAsia" w:hAnsi="Arial" w:cs="Arial"/>
                <w:noProof/>
              </w:rPr>
              <w:t>Barriers to Early Recognition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20</w:t>
            </w:r>
            <w:r w:rsidRPr="0073518C">
              <w:rPr>
                <w:rFonts w:ascii="Arial" w:hAnsi="Arial" w:cs="Arial"/>
                <w:noProof/>
                <w:webHidden/>
              </w:rPr>
              <w:fldChar w:fldCharType="end"/>
            </w:r>
          </w:hyperlink>
        </w:p>
        <w:p w14:paraId="3D8A5CEA" w14:textId="17FC650B"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95" w:history="1">
            <w:r w:rsidRPr="0073518C">
              <w:rPr>
                <w:rStyle w:val="Hyperlink"/>
                <w:rFonts w:ascii="Arial" w:hAnsi="Arial" w:cs="Arial"/>
                <w:noProof/>
              </w:rPr>
              <w:t>2.9 Impact of Early Intervention Strategies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21</w:t>
            </w:r>
            <w:r w:rsidRPr="0073518C">
              <w:rPr>
                <w:rFonts w:ascii="Arial" w:hAnsi="Arial" w:cs="Arial"/>
                <w:noProof/>
                <w:webHidden/>
              </w:rPr>
              <w:fldChar w:fldCharType="end"/>
            </w:r>
          </w:hyperlink>
        </w:p>
        <w:p w14:paraId="001B64CA" w14:textId="28B1C68C"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96" w:history="1">
            <w:r w:rsidRPr="0073518C">
              <w:rPr>
                <w:rStyle w:val="Hyperlink"/>
                <w:rFonts w:ascii="Arial" w:hAnsi="Arial" w:cs="Arial"/>
                <w:noProof/>
              </w:rPr>
              <w:t>2.10 Legislative and Policy Framework: The Impact of the Children Act</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22</w:t>
            </w:r>
            <w:r w:rsidRPr="0073518C">
              <w:rPr>
                <w:rFonts w:ascii="Arial" w:hAnsi="Arial" w:cs="Arial"/>
                <w:noProof/>
                <w:webHidden/>
              </w:rPr>
              <w:fldChar w:fldCharType="end"/>
            </w:r>
          </w:hyperlink>
        </w:p>
        <w:p w14:paraId="35F63C73" w14:textId="37BFA5DF"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497" w:history="1">
            <w:r w:rsidRPr="0073518C">
              <w:rPr>
                <w:rStyle w:val="Hyperlink"/>
                <w:rFonts w:ascii="Arial" w:hAnsi="Arial" w:cs="Arial"/>
                <w:noProof/>
              </w:rPr>
              <w:t>2.11 Theoretical Framework</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23</w:t>
            </w:r>
            <w:r w:rsidRPr="0073518C">
              <w:rPr>
                <w:rFonts w:ascii="Arial" w:hAnsi="Arial" w:cs="Arial"/>
                <w:noProof/>
                <w:webHidden/>
              </w:rPr>
              <w:fldChar w:fldCharType="end"/>
            </w:r>
          </w:hyperlink>
        </w:p>
        <w:p w14:paraId="4279E1EB" w14:textId="2DFFC89F" w:rsidR="0073518C" w:rsidRPr="0073518C" w:rsidRDefault="0073518C" w:rsidP="0073518C">
          <w:pPr>
            <w:pStyle w:val="TOC2"/>
            <w:rPr>
              <w:rFonts w:ascii="Arial" w:eastAsiaTheme="minorEastAsia" w:hAnsi="Arial" w:cs="Arial"/>
              <w:noProof/>
              <w:lang w:eastAsia="en-GB"/>
            </w:rPr>
          </w:pPr>
          <w:hyperlink w:anchor="_Toc219199498" w:history="1">
            <w:r w:rsidRPr="0073518C">
              <w:rPr>
                <w:rStyle w:val="Hyperlink"/>
                <w:rFonts w:ascii="Arial" w:eastAsiaTheme="majorEastAsia" w:hAnsi="Arial" w:cs="Arial"/>
                <w:noProof/>
              </w:rPr>
              <w:t>2.1</w:t>
            </w:r>
            <w:r w:rsidRPr="0073518C">
              <w:rPr>
                <w:rStyle w:val="Hyperlink"/>
                <w:rFonts w:ascii="Arial" w:hAnsi="Arial" w:cs="Arial"/>
                <w:noProof/>
              </w:rPr>
              <w:t>1</w:t>
            </w:r>
            <w:r w:rsidRPr="0073518C">
              <w:rPr>
                <w:rStyle w:val="Hyperlink"/>
                <w:rFonts w:ascii="Arial" w:eastAsiaTheme="majorEastAsia" w:hAnsi="Arial" w:cs="Arial"/>
                <w:noProof/>
              </w:rPr>
              <w:t>.1 Health Belief Model (HBM)</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23</w:t>
            </w:r>
            <w:r w:rsidRPr="0073518C">
              <w:rPr>
                <w:rFonts w:ascii="Arial" w:hAnsi="Arial" w:cs="Arial"/>
                <w:noProof/>
                <w:webHidden/>
              </w:rPr>
              <w:fldChar w:fldCharType="end"/>
            </w:r>
          </w:hyperlink>
        </w:p>
        <w:p w14:paraId="58DCC9F0" w14:textId="33FD7784" w:rsidR="0073518C" w:rsidRPr="0073518C" w:rsidRDefault="0073518C" w:rsidP="0073518C">
          <w:pPr>
            <w:pStyle w:val="TOC2"/>
            <w:rPr>
              <w:rFonts w:ascii="Arial" w:eastAsiaTheme="minorEastAsia" w:hAnsi="Arial" w:cs="Arial"/>
              <w:noProof/>
              <w:lang w:eastAsia="en-GB"/>
            </w:rPr>
          </w:pPr>
          <w:hyperlink w:anchor="_Toc219199499" w:history="1">
            <w:r w:rsidRPr="0073518C">
              <w:rPr>
                <w:rStyle w:val="Hyperlink"/>
                <w:rFonts w:ascii="Arial" w:eastAsiaTheme="majorEastAsia" w:hAnsi="Arial" w:cs="Arial"/>
                <w:noProof/>
              </w:rPr>
              <w:t>2.1</w:t>
            </w:r>
            <w:r w:rsidRPr="0073518C">
              <w:rPr>
                <w:rStyle w:val="Hyperlink"/>
                <w:rFonts w:ascii="Arial" w:hAnsi="Arial" w:cs="Arial"/>
                <w:noProof/>
              </w:rPr>
              <w:t>1</w:t>
            </w:r>
            <w:r w:rsidRPr="0073518C">
              <w:rPr>
                <w:rStyle w:val="Hyperlink"/>
                <w:rFonts w:ascii="Arial" w:eastAsiaTheme="majorEastAsia" w:hAnsi="Arial" w:cs="Arial"/>
                <w:noProof/>
              </w:rPr>
              <w:t>.2 Transtheoretical Model (TTM)</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_Toc219199499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24</w:t>
            </w:r>
            <w:r w:rsidRPr="0073518C">
              <w:rPr>
                <w:rFonts w:ascii="Arial" w:hAnsi="Arial" w:cs="Arial"/>
                <w:noProof/>
                <w:webHidden/>
              </w:rPr>
              <w:fldChar w:fldCharType="end"/>
            </w:r>
          </w:hyperlink>
        </w:p>
        <w:p w14:paraId="293BE6AA" w14:textId="51F1E86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0" w:history="1">
            <w:r w:rsidRPr="0073518C">
              <w:rPr>
                <w:rStyle w:val="Hyperlink"/>
                <w:rFonts w:ascii="Arial" w:hAnsi="Arial" w:cs="Arial"/>
                <w:noProof/>
              </w:rPr>
              <w:t>2.12 Gaps in the Existing Literature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24</w:t>
            </w:r>
            <w:r w:rsidRPr="0073518C">
              <w:rPr>
                <w:rFonts w:ascii="Arial" w:hAnsi="Arial" w:cs="Arial"/>
                <w:noProof/>
                <w:webHidden/>
              </w:rPr>
              <w:fldChar w:fldCharType="end"/>
            </w:r>
          </w:hyperlink>
        </w:p>
        <w:p w14:paraId="7A0CBF80" w14:textId="5B7CC84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1" w:history="1">
            <w:r w:rsidRPr="0073518C">
              <w:rPr>
                <w:rStyle w:val="Hyperlink"/>
                <w:rFonts w:ascii="Arial" w:hAnsi="Arial" w:cs="Arial"/>
                <w:noProof/>
              </w:rPr>
              <w:t>2.13 Strengths and Limitations in Current Evidence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25</w:t>
            </w:r>
            <w:r w:rsidRPr="0073518C">
              <w:rPr>
                <w:rFonts w:ascii="Arial" w:hAnsi="Arial" w:cs="Arial"/>
                <w:noProof/>
                <w:webHidden/>
              </w:rPr>
              <w:fldChar w:fldCharType="end"/>
            </w:r>
          </w:hyperlink>
        </w:p>
        <w:p w14:paraId="561B9719" w14:textId="60D2E53D"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2" w:history="1">
            <w:r w:rsidRPr="0073518C">
              <w:rPr>
                <w:rStyle w:val="Hyperlink"/>
                <w:rFonts w:ascii="Arial" w:hAnsi="Arial" w:cs="Arial"/>
                <w:noProof/>
              </w:rPr>
              <w:t>2.14 Summary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_Toc219199502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26</w:t>
            </w:r>
            <w:r w:rsidRPr="0073518C">
              <w:rPr>
                <w:rFonts w:ascii="Arial" w:hAnsi="Arial" w:cs="Arial"/>
                <w:noProof/>
                <w:webHidden/>
              </w:rPr>
              <w:fldChar w:fldCharType="end"/>
            </w:r>
          </w:hyperlink>
        </w:p>
        <w:p w14:paraId="7B806ED3" w14:textId="1F8948B4"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3" w:history="1">
            <w:r w:rsidRPr="0073518C">
              <w:rPr>
                <w:rStyle w:val="Hyperlink"/>
                <w:rFonts w:ascii="Arial" w:hAnsi="Arial" w:cs="Arial"/>
                <w:noProof/>
              </w:rPr>
              <w:t>Chapter 3: Methodology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27</w:t>
            </w:r>
            <w:r w:rsidRPr="0073518C">
              <w:rPr>
                <w:rFonts w:ascii="Arial" w:hAnsi="Arial" w:cs="Arial"/>
                <w:noProof/>
                <w:webHidden/>
              </w:rPr>
              <w:fldChar w:fldCharType="end"/>
            </w:r>
          </w:hyperlink>
        </w:p>
        <w:p w14:paraId="09287F34" w14:textId="64F03D56"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4" w:history="1">
            <w:r w:rsidRPr="0073518C">
              <w:rPr>
                <w:rStyle w:val="Hyperlink"/>
                <w:rFonts w:ascii="Arial" w:hAnsi="Arial" w:cs="Arial"/>
                <w:noProof/>
              </w:rPr>
              <w:t>3.1 Introduction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27</w:t>
            </w:r>
            <w:r w:rsidRPr="0073518C">
              <w:rPr>
                <w:rFonts w:ascii="Arial" w:hAnsi="Arial" w:cs="Arial"/>
                <w:noProof/>
                <w:webHidden/>
              </w:rPr>
              <w:fldChar w:fldCharType="end"/>
            </w:r>
          </w:hyperlink>
        </w:p>
        <w:p w14:paraId="71A4ACC1" w14:textId="25CAABC8"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5" w:history="1">
            <w:r w:rsidRPr="0073518C">
              <w:rPr>
                <w:rStyle w:val="Hyperlink"/>
                <w:rFonts w:ascii="Arial" w:hAnsi="Arial" w:cs="Arial"/>
                <w:noProof/>
              </w:rPr>
              <w:t>3.2 Research Philosophy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27</w:t>
            </w:r>
            <w:r w:rsidRPr="0073518C">
              <w:rPr>
                <w:rFonts w:ascii="Arial" w:hAnsi="Arial" w:cs="Arial"/>
                <w:noProof/>
                <w:webHidden/>
              </w:rPr>
              <w:fldChar w:fldCharType="end"/>
            </w:r>
          </w:hyperlink>
        </w:p>
        <w:p w14:paraId="55845129" w14:textId="3611AE4A"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6" w:history="1">
            <w:r w:rsidRPr="0073518C">
              <w:rPr>
                <w:rStyle w:val="Hyperlink"/>
                <w:rFonts w:ascii="Arial" w:hAnsi="Arial" w:cs="Arial"/>
                <w:noProof/>
              </w:rPr>
              <w:t>3.3 Research Approach</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28</w:t>
            </w:r>
            <w:r w:rsidRPr="0073518C">
              <w:rPr>
                <w:rFonts w:ascii="Arial" w:hAnsi="Arial" w:cs="Arial"/>
                <w:noProof/>
                <w:webHidden/>
              </w:rPr>
              <w:fldChar w:fldCharType="end"/>
            </w:r>
          </w:hyperlink>
        </w:p>
        <w:p w14:paraId="502A8535" w14:textId="76F442BD"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7" w:history="1">
            <w:r w:rsidRPr="0073518C">
              <w:rPr>
                <w:rStyle w:val="Hyperlink"/>
                <w:rFonts w:ascii="Arial" w:hAnsi="Arial" w:cs="Arial"/>
                <w:noProof/>
              </w:rPr>
              <w:t>3.4 Research Design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28</w:t>
            </w:r>
            <w:r w:rsidRPr="0073518C">
              <w:rPr>
                <w:rFonts w:ascii="Arial" w:hAnsi="Arial" w:cs="Arial"/>
                <w:noProof/>
                <w:webHidden/>
              </w:rPr>
              <w:fldChar w:fldCharType="end"/>
            </w:r>
          </w:hyperlink>
        </w:p>
        <w:p w14:paraId="0A453100" w14:textId="737C068B"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8" w:history="1">
            <w:r w:rsidRPr="0073518C">
              <w:rPr>
                <w:rStyle w:val="Hyperlink"/>
                <w:rFonts w:ascii="Arial" w:hAnsi="Arial" w:cs="Arial"/>
                <w:noProof/>
              </w:rPr>
              <w:t>3.5 Inclusion and Exclusion Criteria</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29</w:t>
            </w:r>
            <w:r w:rsidRPr="0073518C">
              <w:rPr>
                <w:rFonts w:ascii="Arial" w:hAnsi="Arial" w:cs="Arial"/>
                <w:noProof/>
                <w:webHidden/>
              </w:rPr>
              <w:fldChar w:fldCharType="end"/>
            </w:r>
          </w:hyperlink>
        </w:p>
        <w:p w14:paraId="1B759250" w14:textId="1ED08AF6"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09" w:history="1">
            <w:r w:rsidRPr="0073518C">
              <w:rPr>
                <w:rStyle w:val="Hyperlink"/>
                <w:rFonts w:ascii="Arial" w:hAnsi="Arial" w:cs="Arial"/>
                <w:noProof/>
              </w:rPr>
              <w:t>3.6 Literature Search and Data Collection Procedure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_Toc219199509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30</w:t>
            </w:r>
            <w:r w:rsidRPr="0073518C">
              <w:rPr>
                <w:rFonts w:ascii="Arial" w:hAnsi="Arial" w:cs="Arial"/>
                <w:noProof/>
                <w:webHidden/>
              </w:rPr>
              <w:fldChar w:fldCharType="end"/>
            </w:r>
          </w:hyperlink>
        </w:p>
        <w:p w14:paraId="087ABB37" w14:textId="1305E34C"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0" w:history="1">
            <w:r w:rsidRPr="0073518C">
              <w:rPr>
                <w:rStyle w:val="Hyperlink"/>
                <w:rFonts w:ascii="Arial" w:hAnsi="Arial" w:cs="Arial"/>
                <w:noProof/>
              </w:rPr>
              <w:t>3.7 Data Extraction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30</w:t>
            </w:r>
            <w:r w:rsidRPr="0073518C">
              <w:rPr>
                <w:rFonts w:ascii="Arial" w:hAnsi="Arial" w:cs="Arial"/>
                <w:noProof/>
                <w:webHidden/>
              </w:rPr>
              <w:fldChar w:fldCharType="end"/>
            </w:r>
          </w:hyperlink>
        </w:p>
        <w:p w14:paraId="676CF0A3" w14:textId="5F15DEA8"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1" w:history="1">
            <w:r w:rsidRPr="0073518C">
              <w:rPr>
                <w:rStyle w:val="Hyperlink"/>
                <w:rFonts w:ascii="Arial" w:hAnsi="Arial" w:cs="Arial"/>
                <w:noProof/>
              </w:rPr>
              <w:t>3.8 Quality Assessment</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31</w:t>
            </w:r>
            <w:r w:rsidRPr="0073518C">
              <w:rPr>
                <w:rFonts w:ascii="Arial" w:hAnsi="Arial" w:cs="Arial"/>
                <w:noProof/>
                <w:webHidden/>
              </w:rPr>
              <w:fldChar w:fldCharType="end"/>
            </w:r>
          </w:hyperlink>
        </w:p>
        <w:p w14:paraId="59589E3D" w14:textId="1794973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2" w:history="1">
            <w:r w:rsidRPr="0073518C">
              <w:rPr>
                <w:rStyle w:val="Hyperlink"/>
                <w:rFonts w:ascii="Arial" w:hAnsi="Arial" w:cs="Arial"/>
                <w:noProof/>
              </w:rPr>
              <w:t>3.9 Data Analysis Technique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_Toc219199512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31</w:t>
            </w:r>
            <w:r w:rsidRPr="0073518C">
              <w:rPr>
                <w:rFonts w:ascii="Arial" w:hAnsi="Arial" w:cs="Arial"/>
                <w:noProof/>
                <w:webHidden/>
              </w:rPr>
              <w:fldChar w:fldCharType="end"/>
            </w:r>
          </w:hyperlink>
        </w:p>
        <w:p w14:paraId="37BB821F" w14:textId="3F8F5865"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3" w:history="1">
            <w:r w:rsidRPr="0073518C">
              <w:rPr>
                <w:rStyle w:val="Hyperlink"/>
                <w:rFonts w:ascii="Arial" w:hAnsi="Arial" w:cs="Arial"/>
                <w:noProof/>
              </w:rPr>
              <w:t>3.10 Ethical Considerations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32</w:t>
            </w:r>
            <w:r w:rsidRPr="0073518C">
              <w:rPr>
                <w:rFonts w:ascii="Arial" w:hAnsi="Arial" w:cs="Arial"/>
                <w:noProof/>
                <w:webHidden/>
              </w:rPr>
              <w:fldChar w:fldCharType="end"/>
            </w:r>
          </w:hyperlink>
        </w:p>
        <w:p w14:paraId="2F7BB1AF" w14:textId="407B39AB"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4" w:history="1">
            <w:r w:rsidRPr="0073518C">
              <w:rPr>
                <w:rStyle w:val="Hyperlink"/>
                <w:rFonts w:ascii="Arial" w:hAnsi="Arial" w:cs="Arial"/>
                <w:noProof/>
              </w:rPr>
              <w:t>3.11 Chapter Summary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33</w:t>
            </w:r>
            <w:r w:rsidRPr="0073518C">
              <w:rPr>
                <w:rFonts w:ascii="Arial" w:hAnsi="Arial" w:cs="Arial"/>
                <w:noProof/>
                <w:webHidden/>
              </w:rPr>
              <w:fldChar w:fldCharType="end"/>
            </w:r>
          </w:hyperlink>
        </w:p>
        <w:p w14:paraId="375C58EC" w14:textId="1D7AE35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5" w:history="1">
            <w:r w:rsidRPr="0073518C">
              <w:rPr>
                <w:rStyle w:val="Hyperlink"/>
                <w:rFonts w:ascii="Arial" w:hAnsi="Arial" w:cs="Arial"/>
                <w:noProof/>
              </w:rPr>
              <w:t>Chapter 4: Results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35</w:t>
            </w:r>
            <w:r w:rsidRPr="0073518C">
              <w:rPr>
                <w:rFonts w:ascii="Arial" w:hAnsi="Arial" w:cs="Arial"/>
                <w:noProof/>
                <w:webHidden/>
              </w:rPr>
              <w:fldChar w:fldCharType="end"/>
            </w:r>
          </w:hyperlink>
        </w:p>
        <w:p w14:paraId="6CCC211C" w14:textId="1B9072D1"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6" w:history="1">
            <w:r w:rsidRPr="0073518C">
              <w:rPr>
                <w:rStyle w:val="Hyperlink"/>
                <w:rFonts w:ascii="Arial" w:hAnsi="Arial" w:cs="Arial"/>
                <w:noProof/>
              </w:rPr>
              <w:t>4.1 Introduction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35</w:t>
            </w:r>
            <w:r w:rsidRPr="0073518C">
              <w:rPr>
                <w:rFonts w:ascii="Arial" w:hAnsi="Arial" w:cs="Arial"/>
                <w:noProof/>
                <w:webHidden/>
              </w:rPr>
              <w:fldChar w:fldCharType="end"/>
            </w:r>
          </w:hyperlink>
        </w:p>
        <w:p w14:paraId="6E1F2508" w14:textId="199F2316"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7" w:history="1">
            <w:r w:rsidRPr="0073518C">
              <w:rPr>
                <w:rStyle w:val="Hyperlink"/>
                <w:rFonts w:ascii="Arial" w:hAnsi="Arial" w:cs="Arial"/>
                <w:noProof/>
              </w:rPr>
              <w:t>4.2 Study Selection Process Using PRISMA Guidelines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35</w:t>
            </w:r>
            <w:r w:rsidRPr="0073518C">
              <w:rPr>
                <w:rFonts w:ascii="Arial" w:hAnsi="Arial" w:cs="Arial"/>
                <w:noProof/>
                <w:webHidden/>
              </w:rPr>
              <w:fldChar w:fldCharType="end"/>
            </w:r>
          </w:hyperlink>
        </w:p>
        <w:p w14:paraId="3BDC9978" w14:textId="0D27EEC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8" w:history="1">
            <w:r w:rsidRPr="0073518C">
              <w:rPr>
                <w:rStyle w:val="Hyperlink"/>
                <w:rFonts w:ascii="Arial" w:hAnsi="Arial" w:cs="Arial"/>
                <w:noProof/>
              </w:rPr>
              <w:t>Table 4.1: Data Extraction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37</w:t>
            </w:r>
            <w:r w:rsidRPr="0073518C">
              <w:rPr>
                <w:rFonts w:ascii="Arial" w:hAnsi="Arial" w:cs="Arial"/>
                <w:noProof/>
                <w:webHidden/>
              </w:rPr>
              <w:fldChar w:fldCharType="end"/>
            </w:r>
          </w:hyperlink>
        </w:p>
        <w:p w14:paraId="18F86A49" w14:textId="1E8EA22D"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19" w:history="1">
            <w:r w:rsidRPr="0073518C">
              <w:rPr>
                <w:rStyle w:val="Hyperlink"/>
                <w:rFonts w:ascii="Arial" w:hAnsi="Arial" w:cs="Arial"/>
                <w:noProof/>
              </w:rPr>
              <w:t>4.3 Thematic Analysis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_Toc219199519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43</w:t>
            </w:r>
            <w:r w:rsidRPr="0073518C">
              <w:rPr>
                <w:rFonts w:ascii="Arial" w:hAnsi="Arial" w:cs="Arial"/>
                <w:noProof/>
                <w:webHidden/>
              </w:rPr>
              <w:fldChar w:fldCharType="end"/>
            </w:r>
          </w:hyperlink>
        </w:p>
        <w:p w14:paraId="0D123642" w14:textId="47BB8D36" w:rsidR="0073518C" w:rsidRPr="0073518C" w:rsidRDefault="0073518C" w:rsidP="0073518C">
          <w:pPr>
            <w:pStyle w:val="TOC2"/>
            <w:rPr>
              <w:rFonts w:ascii="Arial" w:eastAsiaTheme="minorEastAsia" w:hAnsi="Arial" w:cs="Arial"/>
              <w:noProof/>
              <w:lang w:eastAsia="en-GB"/>
            </w:rPr>
          </w:pPr>
          <w:hyperlink w:anchor="_Toc219199520" w:history="1">
            <w:r w:rsidRPr="0073518C">
              <w:rPr>
                <w:rStyle w:val="Hyperlink"/>
                <w:rFonts w:ascii="Arial" w:hAnsi="Arial" w:cs="Arial"/>
                <w:noProof/>
                <w:lang w:eastAsia="en-GB"/>
              </w:rPr>
              <w:t>4.3.1 Theme 1: Biological and Perinatal Risk Factors Influencing Developmental Delays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43</w:t>
            </w:r>
            <w:r w:rsidRPr="0073518C">
              <w:rPr>
                <w:rFonts w:ascii="Arial" w:hAnsi="Arial" w:cs="Arial"/>
                <w:noProof/>
                <w:webHidden/>
              </w:rPr>
              <w:fldChar w:fldCharType="end"/>
            </w:r>
          </w:hyperlink>
        </w:p>
        <w:p w14:paraId="0EB83D40" w14:textId="2B5CB80D" w:rsidR="0073518C" w:rsidRPr="0073518C" w:rsidRDefault="0073518C" w:rsidP="0073518C">
          <w:pPr>
            <w:pStyle w:val="TOC2"/>
            <w:rPr>
              <w:rFonts w:ascii="Arial" w:eastAsiaTheme="minorEastAsia" w:hAnsi="Arial" w:cs="Arial"/>
              <w:noProof/>
              <w:lang w:eastAsia="en-GB"/>
            </w:rPr>
          </w:pPr>
          <w:hyperlink w:anchor="_Toc219199521" w:history="1">
            <w:r w:rsidRPr="0073518C">
              <w:rPr>
                <w:rStyle w:val="Hyperlink"/>
                <w:rFonts w:ascii="Arial" w:hAnsi="Arial" w:cs="Arial"/>
                <w:noProof/>
                <w:lang w:eastAsia="en-GB"/>
              </w:rPr>
              <w:t>4.3.2 Theme 2: Socio-Economic Disadvantage and Environmental Influences on Development</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44</w:t>
            </w:r>
            <w:r w:rsidRPr="0073518C">
              <w:rPr>
                <w:rFonts w:ascii="Arial" w:hAnsi="Arial" w:cs="Arial"/>
                <w:noProof/>
                <w:webHidden/>
              </w:rPr>
              <w:fldChar w:fldCharType="end"/>
            </w:r>
          </w:hyperlink>
        </w:p>
        <w:p w14:paraId="4D12675D" w14:textId="19707057" w:rsidR="0073518C" w:rsidRPr="0073518C" w:rsidRDefault="0073518C" w:rsidP="0073518C">
          <w:pPr>
            <w:pStyle w:val="TOC2"/>
            <w:rPr>
              <w:rFonts w:ascii="Arial" w:eastAsiaTheme="minorEastAsia" w:hAnsi="Arial" w:cs="Arial"/>
              <w:noProof/>
              <w:lang w:eastAsia="en-GB"/>
            </w:rPr>
          </w:pPr>
          <w:hyperlink w:anchor="_Toc219199522" w:history="1">
            <w:r w:rsidRPr="0073518C">
              <w:rPr>
                <w:rStyle w:val="Hyperlink"/>
                <w:rFonts w:ascii="Arial" w:hAnsi="Arial" w:cs="Arial"/>
                <w:noProof/>
                <w:lang w:eastAsia="en-GB"/>
              </w:rPr>
              <w:t>4.3.3 Theme 3: Patterns and Types of Developmental Delays in School-Aged Children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_Toc219199522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44</w:t>
            </w:r>
            <w:r w:rsidRPr="0073518C">
              <w:rPr>
                <w:rFonts w:ascii="Arial" w:hAnsi="Arial" w:cs="Arial"/>
                <w:noProof/>
                <w:webHidden/>
              </w:rPr>
              <w:fldChar w:fldCharType="end"/>
            </w:r>
          </w:hyperlink>
        </w:p>
        <w:p w14:paraId="56142D94" w14:textId="2CFEC1D7" w:rsidR="0073518C" w:rsidRPr="0073518C" w:rsidRDefault="0073518C" w:rsidP="0073518C">
          <w:pPr>
            <w:pStyle w:val="TOC2"/>
            <w:rPr>
              <w:rFonts w:ascii="Arial" w:eastAsiaTheme="minorEastAsia" w:hAnsi="Arial" w:cs="Arial"/>
              <w:noProof/>
              <w:lang w:eastAsia="en-GB"/>
            </w:rPr>
          </w:pPr>
          <w:hyperlink w:anchor="_Toc219199523" w:history="1">
            <w:r w:rsidRPr="0073518C">
              <w:rPr>
                <w:rStyle w:val="Hyperlink"/>
                <w:rFonts w:ascii="Arial" w:hAnsi="Arial" w:cs="Arial"/>
                <w:noProof/>
                <w:lang w:eastAsia="en-GB"/>
              </w:rPr>
              <w:t>4.3.4 Theme 4: Early Identification, Intervention, and Public Health Approaches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45</w:t>
            </w:r>
            <w:r w:rsidRPr="0073518C">
              <w:rPr>
                <w:rFonts w:ascii="Arial" w:hAnsi="Arial" w:cs="Arial"/>
                <w:noProof/>
                <w:webHidden/>
              </w:rPr>
              <w:fldChar w:fldCharType="end"/>
            </w:r>
          </w:hyperlink>
        </w:p>
        <w:p w14:paraId="5F257BF4" w14:textId="307B4010"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24" w:history="1">
            <w:r w:rsidRPr="0073518C">
              <w:rPr>
                <w:rStyle w:val="Hyperlink"/>
                <w:rFonts w:ascii="Arial" w:hAnsi="Arial" w:cs="Arial"/>
                <w:noProof/>
              </w:rPr>
              <w:t>4.4 Chapter Summary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46</w:t>
            </w:r>
            <w:r w:rsidRPr="0073518C">
              <w:rPr>
                <w:rFonts w:ascii="Arial" w:hAnsi="Arial" w:cs="Arial"/>
                <w:noProof/>
                <w:webHidden/>
              </w:rPr>
              <w:fldChar w:fldCharType="end"/>
            </w:r>
          </w:hyperlink>
        </w:p>
        <w:p w14:paraId="3C111CC7" w14:textId="232C3892"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25" w:history="1">
            <w:r w:rsidRPr="0073518C">
              <w:rPr>
                <w:rStyle w:val="Hyperlink"/>
                <w:rFonts w:ascii="Arial" w:hAnsi="Arial" w:cs="Arial"/>
                <w:noProof/>
              </w:rPr>
              <w:t>Chapter 5: Discussion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47</w:t>
            </w:r>
            <w:r w:rsidRPr="0073518C">
              <w:rPr>
                <w:rFonts w:ascii="Arial" w:hAnsi="Arial" w:cs="Arial"/>
                <w:noProof/>
                <w:webHidden/>
              </w:rPr>
              <w:fldChar w:fldCharType="end"/>
            </w:r>
          </w:hyperlink>
        </w:p>
        <w:p w14:paraId="7789CFA9" w14:textId="6ECD07C8"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26" w:history="1">
            <w:r w:rsidRPr="0073518C">
              <w:rPr>
                <w:rStyle w:val="Hyperlink"/>
                <w:rFonts w:ascii="Arial" w:hAnsi="Arial" w:cs="Arial"/>
                <w:noProof/>
              </w:rPr>
              <w:t>5.1 Introduction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47</w:t>
            </w:r>
            <w:r w:rsidRPr="0073518C">
              <w:rPr>
                <w:rFonts w:ascii="Arial" w:hAnsi="Arial" w:cs="Arial"/>
                <w:noProof/>
                <w:webHidden/>
              </w:rPr>
              <w:fldChar w:fldCharType="end"/>
            </w:r>
          </w:hyperlink>
        </w:p>
        <w:p w14:paraId="7CF090A2" w14:textId="2240A26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27" w:history="1">
            <w:r w:rsidRPr="0073518C">
              <w:rPr>
                <w:rStyle w:val="Hyperlink"/>
                <w:rFonts w:ascii="Arial" w:hAnsi="Arial" w:cs="Arial"/>
                <w:noProof/>
              </w:rPr>
              <w:t>5.2 Discussion of Themes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47</w:t>
            </w:r>
            <w:r w:rsidRPr="0073518C">
              <w:rPr>
                <w:rFonts w:ascii="Arial" w:hAnsi="Arial" w:cs="Arial"/>
                <w:noProof/>
                <w:webHidden/>
              </w:rPr>
              <w:fldChar w:fldCharType="end"/>
            </w:r>
          </w:hyperlink>
        </w:p>
        <w:p w14:paraId="33E99C00" w14:textId="33673192" w:rsidR="0073518C" w:rsidRPr="0073518C" w:rsidRDefault="0073518C" w:rsidP="0073518C">
          <w:pPr>
            <w:pStyle w:val="TOC2"/>
            <w:rPr>
              <w:rFonts w:ascii="Arial" w:eastAsiaTheme="minorEastAsia" w:hAnsi="Arial" w:cs="Arial"/>
              <w:noProof/>
              <w:lang w:eastAsia="en-GB"/>
            </w:rPr>
          </w:pPr>
          <w:hyperlink w:anchor="_Toc219199528" w:history="1">
            <w:r w:rsidRPr="0073518C">
              <w:rPr>
                <w:rStyle w:val="Hyperlink"/>
                <w:rFonts w:ascii="Arial" w:hAnsi="Arial" w:cs="Arial"/>
                <w:noProof/>
                <w:lang w:eastAsia="en-GB"/>
              </w:rPr>
              <w:t>Theme 1: Biological and Perinatal Risk Factors Influencing Developmental Delays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47</w:t>
            </w:r>
            <w:r w:rsidRPr="0073518C">
              <w:rPr>
                <w:rFonts w:ascii="Arial" w:hAnsi="Arial" w:cs="Arial"/>
                <w:noProof/>
                <w:webHidden/>
              </w:rPr>
              <w:fldChar w:fldCharType="end"/>
            </w:r>
          </w:hyperlink>
        </w:p>
        <w:p w14:paraId="24127D4D" w14:textId="1D10AAEC" w:rsidR="0073518C" w:rsidRPr="0073518C" w:rsidRDefault="0073518C" w:rsidP="0073518C">
          <w:pPr>
            <w:pStyle w:val="TOC2"/>
            <w:rPr>
              <w:rFonts w:ascii="Arial" w:eastAsiaTheme="minorEastAsia" w:hAnsi="Arial" w:cs="Arial"/>
              <w:noProof/>
              <w:lang w:eastAsia="en-GB"/>
            </w:rPr>
          </w:pPr>
          <w:hyperlink w:anchor="_Toc219199529" w:history="1">
            <w:r w:rsidRPr="0073518C">
              <w:rPr>
                <w:rStyle w:val="Hyperlink"/>
                <w:rFonts w:ascii="Arial" w:hAnsi="Arial" w:cs="Arial"/>
                <w:noProof/>
                <w:lang w:eastAsia="en-GB"/>
              </w:rPr>
              <w:t>Theme 2: Socio-Economic Disadvantage and Environmental Influences on Development</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_Toc219199529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48</w:t>
            </w:r>
            <w:r w:rsidRPr="0073518C">
              <w:rPr>
                <w:rFonts w:ascii="Arial" w:hAnsi="Arial" w:cs="Arial"/>
                <w:noProof/>
                <w:webHidden/>
              </w:rPr>
              <w:fldChar w:fldCharType="end"/>
            </w:r>
          </w:hyperlink>
        </w:p>
        <w:p w14:paraId="745DA985" w14:textId="0BD94E2A" w:rsidR="0073518C" w:rsidRPr="0073518C" w:rsidRDefault="0073518C" w:rsidP="0073518C">
          <w:pPr>
            <w:pStyle w:val="TOC2"/>
            <w:rPr>
              <w:rFonts w:ascii="Arial" w:eastAsiaTheme="minorEastAsia" w:hAnsi="Arial" w:cs="Arial"/>
              <w:noProof/>
              <w:lang w:eastAsia="en-GB"/>
            </w:rPr>
          </w:pPr>
          <w:hyperlink w:anchor="_Toc219199530" w:history="1">
            <w:r w:rsidRPr="0073518C">
              <w:rPr>
                <w:rStyle w:val="Hyperlink"/>
                <w:rFonts w:ascii="Arial" w:hAnsi="Arial" w:cs="Arial"/>
                <w:noProof/>
                <w:lang w:eastAsia="en-GB"/>
              </w:rPr>
              <w:t>Theme 3: Patterns and Types of Developmental Delays in School-Aged Children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49</w:t>
            </w:r>
            <w:r w:rsidRPr="0073518C">
              <w:rPr>
                <w:rFonts w:ascii="Arial" w:hAnsi="Arial" w:cs="Arial"/>
                <w:noProof/>
                <w:webHidden/>
              </w:rPr>
              <w:fldChar w:fldCharType="end"/>
            </w:r>
          </w:hyperlink>
        </w:p>
        <w:p w14:paraId="483D3626" w14:textId="4831B99D" w:rsidR="0073518C" w:rsidRPr="0073518C" w:rsidRDefault="0073518C" w:rsidP="0073518C">
          <w:pPr>
            <w:pStyle w:val="TOC2"/>
            <w:rPr>
              <w:rFonts w:ascii="Arial" w:eastAsiaTheme="minorEastAsia" w:hAnsi="Arial" w:cs="Arial"/>
              <w:noProof/>
              <w:lang w:eastAsia="en-GB"/>
            </w:rPr>
          </w:pPr>
          <w:hyperlink w:anchor="_Toc219199531" w:history="1">
            <w:r w:rsidRPr="0073518C">
              <w:rPr>
                <w:rStyle w:val="Hyperlink"/>
                <w:rFonts w:ascii="Arial" w:hAnsi="Arial" w:cs="Arial"/>
                <w:noProof/>
                <w:lang w:eastAsia="en-GB"/>
              </w:rPr>
              <w:t>Theme 4: Early Identification, Intervention, and Public Health Approaches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50</w:t>
            </w:r>
            <w:r w:rsidRPr="0073518C">
              <w:rPr>
                <w:rFonts w:ascii="Arial" w:hAnsi="Arial" w:cs="Arial"/>
                <w:noProof/>
                <w:webHidden/>
              </w:rPr>
              <w:fldChar w:fldCharType="end"/>
            </w:r>
          </w:hyperlink>
        </w:p>
        <w:p w14:paraId="6F5319C2" w14:textId="68FE2C38"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2" w:history="1">
            <w:r w:rsidRPr="0073518C">
              <w:rPr>
                <w:rStyle w:val="Hyperlink"/>
                <w:rFonts w:ascii="Arial" w:hAnsi="Arial" w:cs="Arial"/>
                <w:noProof/>
              </w:rPr>
              <w:t xml:space="preserve">5.3 </w:t>
            </w:r>
            <w:r w:rsidRPr="0073518C">
              <w:rPr>
                <w:rStyle w:val="Hyperlink"/>
                <w:rFonts w:ascii="Arial" w:hAnsi="Arial" w:cs="Arial"/>
                <w:bCs/>
                <w:noProof/>
              </w:rPr>
              <w:t>Chapter Summary</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_Toc219199532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51</w:t>
            </w:r>
            <w:r w:rsidRPr="0073518C">
              <w:rPr>
                <w:rFonts w:ascii="Arial" w:hAnsi="Arial" w:cs="Arial"/>
                <w:noProof/>
                <w:webHidden/>
              </w:rPr>
              <w:fldChar w:fldCharType="end"/>
            </w:r>
          </w:hyperlink>
        </w:p>
        <w:p w14:paraId="62100C07" w14:textId="7B2F274A"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3" w:history="1">
            <w:r w:rsidRPr="0073518C">
              <w:rPr>
                <w:rStyle w:val="Hyperlink"/>
                <w:rFonts w:ascii="Arial" w:hAnsi="Arial" w:cs="Arial"/>
                <w:noProof/>
              </w:rPr>
              <w:t>Chapter 6: Conclusion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_Toc219199533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52</w:t>
            </w:r>
            <w:r w:rsidRPr="0073518C">
              <w:rPr>
                <w:rFonts w:ascii="Arial" w:hAnsi="Arial" w:cs="Arial"/>
                <w:noProof/>
                <w:webHidden/>
              </w:rPr>
              <w:fldChar w:fldCharType="end"/>
            </w:r>
          </w:hyperlink>
        </w:p>
        <w:p w14:paraId="1CAA5FC2" w14:textId="28902182"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4" w:history="1">
            <w:r w:rsidRPr="0073518C">
              <w:rPr>
                <w:rStyle w:val="Hyperlink"/>
                <w:rFonts w:ascii="Arial" w:hAnsi="Arial" w:cs="Arial"/>
                <w:noProof/>
              </w:rPr>
              <w:t>6.1 Introduction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_Toc219199534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52</w:t>
            </w:r>
            <w:r w:rsidRPr="0073518C">
              <w:rPr>
                <w:rFonts w:ascii="Arial" w:hAnsi="Arial" w:cs="Arial"/>
                <w:noProof/>
                <w:webHidden/>
              </w:rPr>
              <w:fldChar w:fldCharType="end"/>
            </w:r>
          </w:hyperlink>
        </w:p>
        <w:p w14:paraId="4F284894" w14:textId="637ED0E6"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5" w:history="1">
            <w:r w:rsidRPr="0073518C">
              <w:rPr>
                <w:rStyle w:val="Hyperlink"/>
                <w:rFonts w:ascii="Arial" w:hAnsi="Arial" w:cs="Arial"/>
                <w:noProof/>
              </w:rPr>
              <w:t>6.2 Overall Conclusions in Relation to the Research Question</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_Toc219199535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52</w:t>
            </w:r>
            <w:r w:rsidRPr="0073518C">
              <w:rPr>
                <w:rFonts w:ascii="Arial" w:hAnsi="Arial" w:cs="Arial"/>
                <w:noProof/>
                <w:webHidden/>
              </w:rPr>
              <w:fldChar w:fldCharType="end"/>
            </w:r>
          </w:hyperlink>
        </w:p>
        <w:p w14:paraId="57752AF5" w14:textId="2565D5F3"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6" w:history="1">
            <w:r w:rsidRPr="0073518C">
              <w:rPr>
                <w:rStyle w:val="Hyperlink"/>
                <w:rFonts w:ascii="Arial" w:hAnsi="Arial" w:cs="Arial"/>
                <w:noProof/>
              </w:rPr>
              <w:t>6.3 Reflection on the Effectiveness of the Research Approach</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_Toc219199536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53</w:t>
            </w:r>
            <w:r w:rsidRPr="0073518C">
              <w:rPr>
                <w:rFonts w:ascii="Arial" w:hAnsi="Arial" w:cs="Arial"/>
                <w:noProof/>
                <w:webHidden/>
              </w:rPr>
              <w:fldChar w:fldCharType="end"/>
            </w:r>
          </w:hyperlink>
        </w:p>
        <w:p w14:paraId="44FDE700" w14:textId="09415684"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7" w:history="1">
            <w:r w:rsidRPr="0073518C">
              <w:rPr>
                <w:rStyle w:val="Hyperlink"/>
                <w:rFonts w:ascii="Arial" w:hAnsi="Arial" w:cs="Arial"/>
                <w:noProof/>
              </w:rPr>
              <w:t>6.4 Emerging Insights and Unanticipated Reflections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_Toc219199537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54</w:t>
            </w:r>
            <w:r w:rsidRPr="0073518C">
              <w:rPr>
                <w:rFonts w:ascii="Arial" w:hAnsi="Arial" w:cs="Arial"/>
                <w:noProof/>
                <w:webHidden/>
              </w:rPr>
              <w:fldChar w:fldCharType="end"/>
            </w:r>
          </w:hyperlink>
        </w:p>
        <w:p w14:paraId="5B93B75A" w14:textId="6000E4C7"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8" w:history="1">
            <w:r w:rsidRPr="0073518C">
              <w:rPr>
                <w:rStyle w:val="Hyperlink"/>
                <w:rFonts w:ascii="Arial" w:hAnsi="Arial" w:cs="Arial"/>
                <w:noProof/>
              </w:rPr>
              <w:t>6.5 Recommendations for Policy and Practice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_Toc219199538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54</w:t>
            </w:r>
            <w:r w:rsidRPr="0073518C">
              <w:rPr>
                <w:rFonts w:ascii="Arial" w:hAnsi="Arial" w:cs="Arial"/>
                <w:noProof/>
                <w:webHidden/>
              </w:rPr>
              <w:fldChar w:fldCharType="end"/>
            </w:r>
          </w:hyperlink>
        </w:p>
        <w:p w14:paraId="4CEDD50E" w14:textId="55CFA31B"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39" w:history="1">
            <w:r w:rsidRPr="0073518C">
              <w:rPr>
                <w:rStyle w:val="Hyperlink"/>
                <w:rFonts w:ascii="Arial" w:hAnsi="Arial" w:cs="Arial"/>
                <w:noProof/>
              </w:rPr>
              <w:t>6.6 Recommendations for Future Research</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_Toc219199539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55</w:t>
            </w:r>
            <w:r w:rsidRPr="0073518C">
              <w:rPr>
                <w:rFonts w:ascii="Arial" w:hAnsi="Arial" w:cs="Arial"/>
                <w:noProof/>
                <w:webHidden/>
              </w:rPr>
              <w:fldChar w:fldCharType="end"/>
            </w:r>
          </w:hyperlink>
        </w:p>
        <w:p w14:paraId="5B13605D" w14:textId="65117799"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40" w:history="1">
            <w:r w:rsidRPr="0073518C">
              <w:rPr>
                <w:rStyle w:val="Hyperlink"/>
                <w:rFonts w:ascii="Arial" w:hAnsi="Arial" w:cs="Arial"/>
                <w:noProof/>
              </w:rPr>
              <w:t>6.7 Contribution to Knowledge and Final Remarks</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_Toc219199540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56</w:t>
            </w:r>
            <w:r w:rsidRPr="0073518C">
              <w:rPr>
                <w:rFonts w:ascii="Arial" w:hAnsi="Arial" w:cs="Arial"/>
                <w:noProof/>
                <w:webHidden/>
              </w:rPr>
              <w:fldChar w:fldCharType="end"/>
            </w:r>
          </w:hyperlink>
        </w:p>
        <w:p w14:paraId="1164A74E" w14:textId="5553F241" w:rsidR="0073518C" w:rsidRPr="0073518C" w:rsidRDefault="0073518C" w:rsidP="0073518C">
          <w:pPr>
            <w:pStyle w:val="TOC1"/>
            <w:tabs>
              <w:tab w:val="right" w:leader="dot" w:pos="9016"/>
            </w:tabs>
            <w:spacing w:line="360" w:lineRule="auto"/>
            <w:rPr>
              <w:rFonts w:ascii="Arial" w:eastAsiaTheme="minorEastAsia" w:hAnsi="Arial" w:cs="Arial"/>
              <w:noProof/>
              <w:lang w:eastAsia="en-GB"/>
            </w:rPr>
          </w:pPr>
          <w:hyperlink w:anchor="_Toc219199541" w:history="1">
            <w:r w:rsidRPr="0073518C">
              <w:rPr>
                <w:rStyle w:val="Hyperlink"/>
                <w:rFonts w:ascii="Arial" w:hAnsi="Arial" w:cs="Arial"/>
                <w:noProof/>
              </w:rPr>
              <w:t>Reference</w:t>
            </w:r>
            <w:r w:rsidRPr="0073518C">
              <w:rPr>
                <w:rFonts w:ascii="Arial" w:hAnsi="Arial" w:cs="Arial"/>
                <w:noProof/>
                <w:webHidden/>
              </w:rPr>
              <w:tab/>
            </w:r>
            <w:r w:rsidRPr="0073518C">
              <w:rPr>
                <w:rFonts w:ascii="Arial" w:hAnsi="Arial" w:cs="Arial"/>
                <w:noProof/>
                <w:webHidden/>
              </w:rPr>
              <w:fldChar w:fldCharType="begin"/>
            </w:r>
            <w:r w:rsidRPr="0073518C">
              <w:rPr>
                <w:rFonts w:ascii="Arial" w:hAnsi="Arial" w:cs="Arial"/>
                <w:noProof/>
                <w:webHidden/>
              </w:rPr>
              <w:instrText xml:space="preserve"> PAGEREF _Toc219199541 \h </w:instrText>
            </w:r>
            <w:r w:rsidRPr="0073518C">
              <w:rPr>
                <w:rFonts w:ascii="Arial" w:hAnsi="Arial" w:cs="Arial"/>
                <w:noProof/>
                <w:webHidden/>
              </w:rPr>
            </w:r>
            <w:r w:rsidRPr="0073518C">
              <w:rPr>
                <w:rFonts w:ascii="Arial" w:hAnsi="Arial" w:cs="Arial"/>
                <w:noProof/>
                <w:webHidden/>
              </w:rPr>
              <w:fldChar w:fldCharType="separate"/>
            </w:r>
            <w:r w:rsidR="00597B7F">
              <w:rPr>
                <w:rFonts w:ascii="Arial" w:hAnsi="Arial" w:cs="Arial"/>
                <w:noProof/>
                <w:webHidden/>
              </w:rPr>
              <w:t>57</w:t>
            </w:r>
            <w:r w:rsidRPr="0073518C">
              <w:rPr>
                <w:rFonts w:ascii="Arial" w:hAnsi="Arial" w:cs="Arial"/>
                <w:noProof/>
                <w:webHidden/>
              </w:rPr>
              <w:fldChar w:fldCharType="end"/>
            </w:r>
          </w:hyperlink>
        </w:p>
        <w:p w14:paraId="58A25FCC" w14:textId="46A79EA2" w:rsidR="006F1D2A" w:rsidRPr="0073518C" w:rsidRDefault="006F1D2A" w:rsidP="0073518C">
          <w:pPr>
            <w:spacing w:line="360" w:lineRule="auto"/>
            <w:jc w:val="both"/>
            <w:rPr>
              <w:rFonts w:ascii="Arial" w:hAnsi="Arial" w:cs="Arial"/>
            </w:rPr>
          </w:pPr>
          <w:r w:rsidRPr="0073518C">
            <w:rPr>
              <w:rFonts w:ascii="Arial" w:hAnsi="Arial" w:cs="Arial"/>
              <w:b/>
              <w:bCs/>
            </w:rPr>
            <w:fldChar w:fldCharType="end"/>
          </w:r>
        </w:p>
      </w:sdtContent>
    </w:sdt>
    <w:p w14:paraId="2F2E63D6" w14:textId="77777777" w:rsidR="00C114C4" w:rsidRPr="00890F3C" w:rsidRDefault="00C114C4" w:rsidP="00C114C4">
      <w:pPr>
        <w:pStyle w:val="Heading1"/>
      </w:pPr>
      <w:bookmarkStart w:id="0" w:name="_Toc219199472"/>
      <w:r w:rsidRPr="00890F3C">
        <w:lastRenderedPageBreak/>
        <w:t>Chapter 1: Introduction</w:t>
      </w:r>
      <w:bookmarkEnd w:id="0"/>
    </w:p>
    <w:p w14:paraId="21B8C7AF" w14:textId="77777777" w:rsidR="00C114C4" w:rsidRPr="00890F3C" w:rsidRDefault="00C114C4" w:rsidP="00C114C4">
      <w:pPr>
        <w:pStyle w:val="Heading1"/>
      </w:pPr>
      <w:bookmarkStart w:id="1" w:name="_Toc219199473"/>
      <w:r w:rsidRPr="00890F3C">
        <w:t>1.1 Background of the Study</w:t>
      </w:r>
      <w:bookmarkEnd w:id="1"/>
    </w:p>
    <w:p w14:paraId="48D14E3B" w14:textId="77777777" w:rsidR="00C114C4" w:rsidRPr="00890F3C" w:rsidRDefault="00C114C4" w:rsidP="00C114C4">
      <w:pPr>
        <w:spacing w:before="240" w:line="360" w:lineRule="auto"/>
        <w:jc w:val="both"/>
        <w:rPr>
          <w:rFonts w:ascii="Arial" w:hAnsi="Arial" w:cs="Arial"/>
        </w:rPr>
      </w:pPr>
      <w:r w:rsidRPr="00890F3C">
        <w:rPr>
          <w:rFonts w:ascii="Arial" w:hAnsi="Arial" w:cs="Arial"/>
        </w:rPr>
        <w:t>Child development is a complex, dynamic process influenced by an interplay of biological, environmental, and socio-economic factors</w:t>
      </w:r>
      <w:r>
        <w:rPr>
          <w:rFonts w:ascii="Arial" w:hAnsi="Arial" w:cs="Arial"/>
        </w:rPr>
        <w:t xml:space="preserve"> (</w:t>
      </w:r>
      <w:r w:rsidRPr="00433023">
        <w:rPr>
          <w:rFonts w:ascii="Arial" w:hAnsi="Arial" w:cs="Arial"/>
        </w:rPr>
        <w:t>Bennett</w:t>
      </w:r>
      <w:r>
        <w:rPr>
          <w:rFonts w:ascii="Arial" w:hAnsi="Arial" w:cs="Arial"/>
        </w:rPr>
        <w:t xml:space="preserve"> et al, 2017)</w:t>
      </w:r>
      <w:r w:rsidRPr="00890F3C">
        <w:rPr>
          <w:rFonts w:ascii="Arial" w:hAnsi="Arial" w:cs="Arial"/>
        </w:rPr>
        <w:t>. Developmental delays occur when a child fails to reach expected milestones in one or more domains</w:t>
      </w:r>
      <w:r>
        <w:rPr>
          <w:rFonts w:ascii="Arial" w:hAnsi="Arial" w:cs="Arial"/>
        </w:rPr>
        <w:t xml:space="preserve">, </w:t>
      </w:r>
      <w:r w:rsidRPr="00890F3C">
        <w:rPr>
          <w:rFonts w:ascii="Arial" w:hAnsi="Arial" w:cs="Arial"/>
        </w:rPr>
        <w:t>cognitive, motor, language, or socio-emotional</w:t>
      </w:r>
      <w:r>
        <w:rPr>
          <w:rFonts w:ascii="Arial" w:hAnsi="Arial" w:cs="Arial"/>
        </w:rPr>
        <w:t xml:space="preserve">, </w:t>
      </w:r>
      <w:r w:rsidRPr="00890F3C">
        <w:rPr>
          <w:rFonts w:ascii="Arial" w:hAnsi="Arial" w:cs="Arial"/>
        </w:rPr>
        <w:t>relative to peers of the same age (Vandesande et al., 2022). These delays can manifest in varied forms, from subtle cognitive difficulties to more pronounced challenges in communication or social interaction. For children aged 5–12 years, this period represents a crucial developmental phase where foundational skills are consolidated, academic learning accelerates, and social relationships expand (Singh and Anekar, 2018). Therefore, delays at this stage can have long-lasting implications for educational attainment, self-esteem, and mental health (Morris et al., 2021).</w:t>
      </w:r>
    </w:p>
    <w:p w14:paraId="20B2F61E" w14:textId="77777777" w:rsidR="00C114C4" w:rsidRPr="00890F3C" w:rsidRDefault="00C114C4" w:rsidP="00C114C4">
      <w:pPr>
        <w:spacing w:before="240" w:line="360" w:lineRule="auto"/>
        <w:jc w:val="both"/>
        <w:rPr>
          <w:rFonts w:ascii="Arial" w:hAnsi="Arial" w:cs="Arial"/>
        </w:rPr>
      </w:pPr>
      <w:r w:rsidRPr="00890F3C">
        <w:rPr>
          <w:rFonts w:ascii="Arial" w:hAnsi="Arial" w:cs="Arial"/>
        </w:rPr>
        <w:t>The causes of developmental delays are multifactorial. Biological factors such as prematurity, low birth weight, and genetic disorders are significant contributors (Mualem et al., 2024). Environmental exposures, including poor nutrition, lead contamination, and inadequate stimulation, can exacerbate these vulnerabilities. Socio-economic factors</w:t>
      </w:r>
      <w:r>
        <w:rPr>
          <w:rFonts w:ascii="Arial" w:hAnsi="Arial" w:cs="Arial"/>
        </w:rPr>
        <w:t xml:space="preserve">, </w:t>
      </w:r>
      <w:r w:rsidRPr="00890F3C">
        <w:rPr>
          <w:rFonts w:ascii="Arial" w:hAnsi="Arial" w:cs="Arial"/>
        </w:rPr>
        <w:t>particularly poverty, parental education, and housing conditions</w:t>
      </w:r>
      <w:r>
        <w:rPr>
          <w:rFonts w:ascii="Arial" w:hAnsi="Arial" w:cs="Arial"/>
        </w:rPr>
        <w:t xml:space="preserve">, </w:t>
      </w:r>
      <w:r w:rsidRPr="00890F3C">
        <w:rPr>
          <w:rFonts w:ascii="Arial" w:hAnsi="Arial" w:cs="Arial"/>
        </w:rPr>
        <w:t xml:space="preserve">also exert a profound influence, often mediating access to healthcare and educational support (Durkin and Yeargin-Allsopp, 2018). The World Health </w:t>
      </w:r>
      <w:r>
        <w:rPr>
          <w:rFonts w:ascii="Arial" w:hAnsi="Arial" w:cs="Arial"/>
        </w:rPr>
        <w:t>Organisation</w:t>
      </w:r>
      <w:r w:rsidRPr="00890F3C">
        <w:rPr>
          <w:rFonts w:ascii="Arial" w:hAnsi="Arial" w:cs="Arial"/>
        </w:rPr>
        <w:t xml:space="preserve"> (WHO, 2016) and UNICEF (2016) have consistently emphasised that developmental inequalities mirror broader socio-economic disparities, necessitating comprehensive public health interventions.</w:t>
      </w:r>
    </w:p>
    <w:p w14:paraId="0C9897B8" w14:textId="77777777" w:rsidR="00C114C4" w:rsidRPr="00890F3C" w:rsidRDefault="00C114C4" w:rsidP="00C114C4">
      <w:pPr>
        <w:spacing w:before="240" w:line="360" w:lineRule="auto"/>
        <w:jc w:val="both"/>
        <w:rPr>
          <w:rFonts w:ascii="Arial" w:hAnsi="Arial" w:cs="Arial"/>
        </w:rPr>
      </w:pPr>
      <w:r w:rsidRPr="00890F3C">
        <w:rPr>
          <w:rFonts w:ascii="Arial" w:hAnsi="Arial" w:cs="Arial"/>
        </w:rPr>
        <w:t xml:space="preserve">In England, increasing attention has been given to early childhood development, particularly among children under five. However, middle childhood (5–12 years) remains comparatively under-researched, despite being a pivotal period for consolidating earlier developmental gains and identifying emerging learning or behavioural issues (Elliott et al., 2022). Early identification and intervention are essential during this window, as delays that persist into school years often predict poorer educational trajectories and psychosocial outcomes (Sapiets et al., 2021). Given the growing prevalence and recognition of developmental challenges among </w:t>
      </w:r>
      <w:r w:rsidRPr="00890F3C">
        <w:rPr>
          <w:rFonts w:ascii="Arial" w:hAnsi="Arial" w:cs="Arial"/>
        </w:rPr>
        <w:lastRenderedPageBreak/>
        <w:t>school-aged children, there is an urgent need to explore the risk factors specific to this age group within the English context.</w:t>
      </w:r>
    </w:p>
    <w:p w14:paraId="550137DF" w14:textId="77777777" w:rsidR="00C114C4" w:rsidRPr="00890F3C" w:rsidRDefault="00C114C4" w:rsidP="00C114C4">
      <w:pPr>
        <w:pStyle w:val="Heading1"/>
      </w:pPr>
      <w:bookmarkStart w:id="2" w:name="_Toc219199474"/>
      <w:r w:rsidRPr="00890F3C">
        <w:t>1.2 Context and Significance</w:t>
      </w:r>
      <w:bookmarkEnd w:id="2"/>
    </w:p>
    <w:p w14:paraId="2AC95189" w14:textId="77777777" w:rsidR="00C114C4" w:rsidRPr="00890F3C" w:rsidRDefault="00C114C4" w:rsidP="00C114C4">
      <w:pPr>
        <w:spacing w:before="240" w:line="360" w:lineRule="auto"/>
        <w:jc w:val="both"/>
        <w:rPr>
          <w:rFonts w:ascii="Arial" w:hAnsi="Arial" w:cs="Arial"/>
        </w:rPr>
      </w:pPr>
      <w:r w:rsidRPr="00890F3C">
        <w:rPr>
          <w:rFonts w:ascii="Arial" w:hAnsi="Arial" w:cs="Arial"/>
        </w:rPr>
        <w:t>Globally, developmental delays are a major public health concern. Estimates suggest that 1–3% of children under 5 experience global developmental delay (GDD), while intellectual disability (ID) affects approximately 2.7% of school-aged children in England (Vasudevan and Suri, 2017). The Royal College of Paediatrics and Child Health (RCPCH, 2021) reported that more than 200,000 children in England exhibit moderate to severe developmental issues by the time they start school. Socio-economic disadvantage doubles the likelihood of developmental delay, reflecting deep-seated inequalities (Durkin and Yeargin-Allsopp, 2018).</w:t>
      </w:r>
    </w:p>
    <w:p w14:paraId="3045A053" w14:textId="77777777" w:rsidR="00D3556D" w:rsidRPr="00D3556D" w:rsidRDefault="00C114C4" w:rsidP="00D3556D">
      <w:pPr>
        <w:spacing w:before="240" w:line="360" w:lineRule="auto"/>
        <w:jc w:val="both"/>
        <w:rPr>
          <w:rFonts w:ascii="Arial" w:hAnsi="Arial" w:cs="Arial"/>
        </w:rPr>
      </w:pPr>
      <w:r w:rsidRPr="00890F3C">
        <w:rPr>
          <w:rFonts w:ascii="Arial" w:hAnsi="Arial" w:cs="Arial"/>
        </w:rPr>
        <w:t xml:space="preserve">Recent NHS (2024) data indicate a 30% increase in referrals to child development services over the past decade, suggesting both growing awareness and a rising burden on service provision. While this trend highlights improved identification, it also exposes systemic strain within </w:t>
      </w:r>
      <w:r>
        <w:rPr>
          <w:rFonts w:ascii="Arial" w:hAnsi="Arial" w:cs="Arial"/>
        </w:rPr>
        <w:t xml:space="preserve">the </w:t>
      </w:r>
      <w:r w:rsidRPr="00890F3C">
        <w:rPr>
          <w:rFonts w:ascii="Arial" w:hAnsi="Arial" w:cs="Arial"/>
        </w:rPr>
        <w:t xml:space="preserve">healthcare and education sectors. </w:t>
      </w:r>
      <w:r w:rsidR="00FA7B97" w:rsidRPr="00FA7B97">
        <w:rPr>
          <w:rFonts w:ascii="Arial" w:hAnsi="Arial" w:cs="Arial"/>
        </w:rPr>
        <w:t>According to estimates from WHO (2016) and UNICEF (2016), avoidable factors may prevent up to 43% of children under five in low- and middle-income countries from reaching their full developmental potential.</w:t>
      </w:r>
      <w:r w:rsidR="00FA7B97">
        <w:rPr>
          <w:rFonts w:ascii="Arial" w:hAnsi="Arial" w:cs="Arial"/>
        </w:rPr>
        <w:t xml:space="preserve"> </w:t>
      </w:r>
      <w:r w:rsidR="00D3556D" w:rsidRPr="00D3556D">
        <w:rPr>
          <w:rFonts w:ascii="Arial" w:hAnsi="Arial" w:cs="Arial"/>
        </w:rPr>
        <w:t>Although these statistics focus on early development, their effects are generally felt far into middle childhood, including academic achievement, emotional control, and social connections (Sapiets et al., 2021).</w:t>
      </w:r>
    </w:p>
    <w:p w14:paraId="108B3F3D" w14:textId="7A2458E8" w:rsidR="00C114C4" w:rsidRPr="00890F3C" w:rsidRDefault="00C114C4" w:rsidP="00C114C4">
      <w:pPr>
        <w:spacing w:before="240" w:line="360" w:lineRule="auto"/>
        <w:jc w:val="both"/>
        <w:rPr>
          <w:rFonts w:ascii="Arial" w:hAnsi="Arial" w:cs="Arial"/>
        </w:rPr>
      </w:pPr>
      <w:r w:rsidRPr="00890F3C">
        <w:rPr>
          <w:rFonts w:ascii="Arial" w:hAnsi="Arial" w:cs="Arial"/>
        </w:rPr>
        <w:t>In the English context, the persistence of early developmental vulnerabilities into the 5–12 age range underscores the need for targeted interventions, particularly for children from low-income families. The intersection of socio-economic deprivation, environmental exposure, and limited access to specialised services contributes to enduring inequalities (Olusanya et al., 2023). A public health approach</w:t>
      </w:r>
      <w:r>
        <w:rPr>
          <w:rFonts w:ascii="Arial" w:hAnsi="Arial" w:cs="Arial"/>
        </w:rPr>
        <w:t xml:space="preserve">, </w:t>
      </w:r>
      <w:r w:rsidRPr="00890F3C">
        <w:rPr>
          <w:rFonts w:ascii="Arial" w:hAnsi="Arial" w:cs="Arial"/>
        </w:rPr>
        <w:t>emphasising early detection, multi-agency collaboration, and community-based interventions</w:t>
      </w:r>
      <w:r>
        <w:rPr>
          <w:rFonts w:ascii="Arial" w:hAnsi="Arial" w:cs="Arial"/>
        </w:rPr>
        <w:t xml:space="preserve">, </w:t>
      </w:r>
      <w:r w:rsidRPr="00890F3C">
        <w:rPr>
          <w:rFonts w:ascii="Arial" w:hAnsi="Arial" w:cs="Arial"/>
        </w:rPr>
        <w:t>is vital for reducing these disparities and supporting vulnerable children (Smythe et al., 2024).</w:t>
      </w:r>
    </w:p>
    <w:p w14:paraId="4905BAB6" w14:textId="77777777" w:rsidR="00C114C4" w:rsidRPr="00890F3C" w:rsidRDefault="00C114C4" w:rsidP="00C114C4">
      <w:pPr>
        <w:pStyle w:val="Heading1"/>
      </w:pPr>
      <w:bookmarkStart w:id="3" w:name="_Toc219199475"/>
      <w:r w:rsidRPr="00890F3C">
        <w:lastRenderedPageBreak/>
        <w:t>1.</w:t>
      </w:r>
      <w:r>
        <w:t>3</w:t>
      </w:r>
      <w:r w:rsidRPr="00890F3C">
        <w:t xml:space="preserve"> Rationale for the Study</w:t>
      </w:r>
      <w:bookmarkEnd w:id="3"/>
    </w:p>
    <w:p w14:paraId="7BD8B0C1" w14:textId="77777777" w:rsidR="00C114C4" w:rsidRPr="00890F3C" w:rsidRDefault="00C114C4" w:rsidP="00C114C4">
      <w:pPr>
        <w:spacing w:before="240" w:line="360" w:lineRule="auto"/>
        <w:jc w:val="both"/>
        <w:rPr>
          <w:rFonts w:ascii="Arial" w:hAnsi="Arial" w:cs="Arial"/>
        </w:rPr>
      </w:pPr>
      <w:r w:rsidRPr="00890F3C">
        <w:rPr>
          <w:rFonts w:ascii="Arial" w:hAnsi="Arial" w:cs="Arial"/>
        </w:rPr>
        <w:t>While substantial research has addressed developmental delays in early childhood, there is a notable evidence gap concerning children aged 5–12 years in England. This period is critical for academic and social skill consolidation, yet it receives comparatively little attention in policy and research (Elliott et al., 2022). Many existing studies generalise findings from early childhood populations, overlooking the distinct developmental challenges and contextual factors of middle childhood</w:t>
      </w:r>
      <w:r>
        <w:rPr>
          <w:rFonts w:ascii="Arial" w:hAnsi="Arial" w:cs="Arial"/>
        </w:rPr>
        <w:t xml:space="preserve"> (</w:t>
      </w:r>
      <w:r w:rsidRPr="00282786">
        <w:rPr>
          <w:rFonts w:ascii="Arial" w:hAnsi="Arial" w:cs="Arial"/>
        </w:rPr>
        <w:t>Alderman</w:t>
      </w:r>
      <w:r>
        <w:rPr>
          <w:rFonts w:ascii="Arial" w:hAnsi="Arial" w:cs="Arial"/>
        </w:rPr>
        <w:t xml:space="preserve"> et al, 2017)</w:t>
      </w:r>
      <w:r w:rsidRPr="00890F3C">
        <w:rPr>
          <w:rFonts w:ascii="Arial" w:hAnsi="Arial" w:cs="Arial"/>
        </w:rPr>
        <w:t>.</w:t>
      </w:r>
    </w:p>
    <w:p w14:paraId="4301D7BF" w14:textId="77777777" w:rsidR="00C114C4" w:rsidRPr="00890F3C" w:rsidRDefault="00C114C4" w:rsidP="00C114C4">
      <w:pPr>
        <w:spacing w:before="240" w:line="360" w:lineRule="auto"/>
        <w:jc w:val="both"/>
        <w:rPr>
          <w:rFonts w:ascii="Arial" w:hAnsi="Arial" w:cs="Arial"/>
        </w:rPr>
      </w:pPr>
      <w:r w:rsidRPr="00890F3C">
        <w:rPr>
          <w:rFonts w:ascii="Arial" w:hAnsi="Arial" w:cs="Arial"/>
        </w:rPr>
        <w:t>Teachers, school nurses, and educational psychologists occupy a frontline position for detecting developmental difficulties at this stage</w:t>
      </w:r>
      <w:r>
        <w:rPr>
          <w:rFonts w:ascii="Arial" w:hAnsi="Arial" w:cs="Arial"/>
        </w:rPr>
        <w:t xml:space="preserve"> (</w:t>
      </w:r>
      <w:r w:rsidRPr="007C14ED">
        <w:rPr>
          <w:rFonts w:ascii="Arial" w:hAnsi="Arial" w:cs="Arial"/>
        </w:rPr>
        <w:t>Dikel</w:t>
      </w:r>
      <w:r>
        <w:rPr>
          <w:rFonts w:ascii="Arial" w:hAnsi="Arial" w:cs="Arial"/>
        </w:rPr>
        <w:t>, 2019)</w:t>
      </w:r>
      <w:r w:rsidRPr="00890F3C">
        <w:rPr>
          <w:rFonts w:ascii="Arial" w:hAnsi="Arial" w:cs="Arial"/>
        </w:rPr>
        <w:t>. However, without adequate training, standardised screening tools, or inter-agency collaboration, many children go unrecognised until difficulties become entrenched (Elliott et al., 2022). Consequently, interventions are often reactive rather than preventive, leading to poorer outcomes and higher costs for education and health services</w:t>
      </w:r>
      <w:r>
        <w:rPr>
          <w:rFonts w:ascii="Arial" w:hAnsi="Arial" w:cs="Arial"/>
        </w:rPr>
        <w:t xml:space="preserve"> (</w:t>
      </w:r>
      <w:r w:rsidRPr="00282786">
        <w:rPr>
          <w:rFonts w:ascii="Arial" w:hAnsi="Arial" w:cs="Arial"/>
        </w:rPr>
        <w:t>Alderman</w:t>
      </w:r>
      <w:r>
        <w:rPr>
          <w:rFonts w:ascii="Arial" w:hAnsi="Arial" w:cs="Arial"/>
        </w:rPr>
        <w:t xml:space="preserve"> et al, 2017)</w:t>
      </w:r>
      <w:r w:rsidRPr="00890F3C">
        <w:rPr>
          <w:rFonts w:ascii="Arial" w:hAnsi="Arial" w:cs="Arial"/>
        </w:rPr>
        <w:t>.</w:t>
      </w:r>
    </w:p>
    <w:p w14:paraId="38BE8923" w14:textId="77777777" w:rsidR="00C114C4" w:rsidRPr="00890F3C" w:rsidRDefault="00C114C4" w:rsidP="00C114C4">
      <w:pPr>
        <w:spacing w:before="240" w:line="360" w:lineRule="auto"/>
        <w:jc w:val="both"/>
        <w:rPr>
          <w:rFonts w:ascii="Arial" w:hAnsi="Arial" w:cs="Arial"/>
        </w:rPr>
      </w:pPr>
      <w:r w:rsidRPr="00890F3C">
        <w:rPr>
          <w:rFonts w:ascii="Arial" w:hAnsi="Arial" w:cs="Arial"/>
        </w:rPr>
        <w:t>This research is grounded in the recognition that biological vulnerabilities—such as low birth weight or neurodevelopmental disorders</w:t>
      </w:r>
      <w:r>
        <w:rPr>
          <w:rFonts w:ascii="Arial" w:hAnsi="Arial" w:cs="Arial"/>
        </w:rPr>
        <w:t xml:space="preserve">, </w:t>
      </w:r>
      <w:r w:rsidRPr="00890F3C">
        <w:rPr>
          <w:rFonts w:ascii="Arial" w:hAnsi="Arial" w:cs="Arial"/>
        </w:rPr>
        <w:t>often interact with environmental stressors (e.g., pollution, housing instability) and socio-economic disadvantages (Mualem et al., 2024). Understanding these interactions within England’s specific socio-political and healthcare context is essential for designing effective, equitable public health strategies (Totsika et al., 2022).</w:t>
      </w:r>
    </w:p>
    <w:p w14:paraId="009FD9E3" w14:textId="77777777" w:rsidR="00C114C4" w:rsidRDefault="00C114C4" w:rsidP="00C114C4">
      <w:pPr>
        <w:spacing w:before="240" w:line="360" w:lineRule="auto"/>
        <w:jc w:val="both"/>
        <w:rPr>
          <w:rFonts w:ascii="Arial" w:hAnsi="Arial" w:cs="Arial"/>
        </w:rPr>
      </w:pPr>
      <w:r w:rsidRPr="00890F3C">
        <w:rPr>
          <w:rFonts w:ascii="Arial" w:hAnsi="Arial" w:cs="Arial"/>
        </w:rPr>
        <w:t>Moreover, England’s healthcare and education systems are uniquely positioned to implement integrated strategies due to their existing frameworks for school health and child wellbeing. Yet, the lack of a comprehensive synthesis examining risk factors in this age range hampers policy coherence (Olusanya et al., 2023). This systematic review will therefore synthesise existing evidence to identify key risk factors, assess the effectiveness of early identification and intervention strategies, and provide evidence-based recommendations tailored to England’s context.</w:t>
      </w:r>
    </w:p>
    <w:p w14:paraId="0F768899" w14:textId="77777777" w:rsidR="00C114C4" w:rsidRPr="00890F3C" w:rsidRDefault="00C114C4" w:rsidP="00C114C4">
      <w:pPr>
        <w:spacing w:before="240" w:line="360" w:lineRule="auto"/>
        <w:jc w:val="both"/>
        <w:rPr>
          <w:rFonts w:ascii="Arial" w:hAnsi="Arial" w:cs="Arial"/>
        </w:rPr>
      </w:pPr>
      <w:r w:rsidRPr="00890F3C">
        <w:rPr>
          <w:rFonts w:ascii="Arial" w:hAnsi="Arial" w:cs="Arial"/>
        </w:rPr>
        <w:t xml:space="preserve">The study’s findings are expected to inform practitioners across health, education, and social care sectors, enhancing early detection and referral pathways. By identifying </w:t>
      </w:r>
      <w:r w:rsidRPr="00890F3C">
        <w:rPr>
          <w:rFonts w:ascii="Arial" w:hAnsi="Arial" w:cs="Arial"/>
        </w:rPr>
        <w:lastRenderedPageBreak/>
        <w:t>modifiable risk factors, the research can support targeted public health initiatives, reduce inequalities, and promote inclusive educational practices (Smythe et al., 2021). Ultimately, this study aims to strengthen the evidence base for preventive policies that improve developmental outcomes and life chances for vulnerable children (Morgart et al., 2021).</w:t>
      </w:r>
    </w:p>
    <w:p w14:paraId="516312B9" w14:textId="77777777" w:rsidR="00C114C4" w:rsidRPr="00890F3C" w:rsidRDefault="00C114C4" w:rsidP="00C114C4">
      <w:pPr>
        <w:pStyle w:val="Heading1"/>
      </w:pPr>
      <w:bookmarkStart w:id="4" w:name="_Toc219199476"/>
      <w:r w:rsidRPr="00890F3C">
        <w:t>1.</w:t>
      </w:r>
      <w:r>
        <w:t>4</w:t>
      </w:r>
      <w:r w:rsidRPr="00890F3C">
        <w:t xml:space="preserve"> Research Question</w:t>
      </w:r>
      <w:bookmarkEnd w:id="4"/>
    </w:p>
    <w:p w14:paraId="60D230F0" w14:textId="77777777" w:rsidR="00C114C4" w:rsidRPr="00890F3C" w:rsidRDefault="00C114C4" w:rsidP="00C114C4">
      <w:pPr>
        <w:spacing w:before="240" w:line="360" w:lineRule="auto"/>
        <w:jc w:val="both"/>
        <w:rPr>
          <w:rFonts w:ascii="Arial" w:hAnsi="Arial" w:cs="Arial"/>
        </w:rPr>
      </w:pPr>
      <w:r w:rsidRPr="00890F3C">
        <w:rPr>
          <w:rFonts w:ascii="Arial" w:hAnsi="Arial" w:cs="Arial"/>
        </w:rPr>
        <w:t>The central research question guiding this systematic review is:</w:t>
      </w:r>
    </w:p>
    <w:p w14:paraId="7AAC54BB" w14:textId="77777777" w:rsidR="00C114C4" w:rsidRPr="00890F3C" w:rsidRDefault="00C114C4" w:rsidP="00C114C4">
      <w:pPr>
        <w:spacing w:before="240" w:line="360" w:lineRule="auto"/>
        <w:jc w:val="both"/>
        <w:rPr>
          <w:rFonts w:ascii="Arial" w:hAnsi="Arial" w:cs="Arial"/>
        </w:rPr>
      </w:pPr>
      <w:r w:rsidRPr="00890F3C">
        <w:rPr>
          <w:rFonts w:ascii="Arial" w:hAnsi="Arial" w:cs="Arial"/>
        </w:rPr>
        <w:t>What are the primary risk factors associated with developmental delays in children aged 5 to 12 years in England, and how can a public health approach improve outcomes for vulnerable children?</w:t>
      </w:r>
    </w:p>
    <w:p w14:paraId="403B7934" w14:textId="77777777" w:rsidR="00C114C4" w:rsidRPr="00890F3C" w:rsidRDefault="00C114C4" w:rsidP="00C114C4">
      <w:pPr>
        <w:pStyle w:val="Heading1"/>
      </w:pPr>
      <w:bookmarkStart w:id="5" w:name="_Toc219199477"/>
      <w:r w:rsidRPr="00890F3C">
        <w:t>1.</w:t>
      </w:r>
      <w:r>
        <w:t>5</w:t>
      </w:r>
      <w:r w:rsidRPr="00890F3C">
        <w:t xml:space="preserve"> Aims and Objectives</w:t>
      </w:r>
      <w:bookmarkEnd w:id="5"/>
    </w:p>
    <w:p w14:paraId="44A58FB0" w14:textId="77777777" w:rsidR="00C114C4" w:rsidRPr="00890F3C" w:rsidRDefault="00C114C4" w:rsidP="00C114C4">
      <w:pPr>
        <w:spacing w:before="240" w:line="360" w:lineRule="auto"/>
        <w:jc w:val="both"/>
        <w:rPr>
          <w:rFonts w:ascii="Arial" w:hAnsi="Arial" w:cs="Arial"/>
          <w:b/>
          <w:bCs/>
        </w:rPr>
      </w:pPr>
      <w:r w:rsidRPr="00890F3C">
        <w:rPr>
          <w:rFonts w:ascii="Arial" w:hAnsi="Arial" w:cs="Arial"/>
          <w:b/>
          <w:bCs/>
        </w:rPr>
        <w:t>Aim:</w:t>
      </w:r>
    </w:p>
    <w:p w14:paraId="1E863DF0" w14:textId="77777777" w:rsidR="00C114C4" w:rsidRPr="00890F3C" w:rsidRDefault="00C114C4" w:rsidP="00C114C4">
      <w:pPr>
        <w:spacing w:before="240" w:line="360" w:lineRule="auto"/>
        <w:jc w:val="both"/>
        <w:rPr>
          <w:rFonts w:ascii="Arial" w:hAnsi="Arial" w:cs="Arial"/>
        </w:rPr>
      </w:pPr>
      <w:r w:rsidRPr="00890F3C">
        <w:rPr>
          <w:rFonts w:ascii="Arial" w:hAnsi="Arial" w:cs="Arial"/>
        </w:rPr>
        <w:t>To explore and identify the key risk factors contributing to developmental delays among children aged 5 to 12 years in England.</w:t>
      </w:r>
    </w:p>
    <w:p w14:paraId="1F02E25A" w14:textId="77777777" w:rsidR="00C114C4" w:rsidRPr="00890F3C" w:rsidRDefault="00C114C4" w:rsidP="00C114C4">
      <w:pPr>
        <w:spacing w:before="240" w:line="360" w:lineRule="auto"/>
        <w:jc w:val="both"/>
        <w:rPr>
          <w:rFonts w:ascii="Arial" w:hAnsi="Arial" w:cs="Arial"/>
          <w:b/>
          <w:bCs/>
        </w:rPr>
      </w:pPr>
      <w:r w:rsidRPr="00890F3C">
        <w:rPr>
          <w:rFonts w:ascii="Arial" w:hAnsi="Arial" w:cs="Arial"/>
          <w:b/>
          <w:bCs/>
        </w:rPr>
        <w:t>Objectives:</w:t>
      </w:r>
    </w:p>
    <w:p w14:paraId="4CB25915" w14:textId="77777777" w:rsidR="00C114C4" w:rsidRPr="00890F3C" w:rsidRDefault="00C114C4" w:rsidP="00C114C4">
      <w:pPr>
        <w:pStyle w:val="ListParagraph"/>
        <w:numPr>
          <w:ilvl w:val="0"/>
          <w:numId w:val="1"/>
        </w:numPr>
        <w:spacing w:before="240" w:after="0" w:line="360" w:lineRule="auto"/>
        <w:jc w:val="both"/>
        <w:rPr>
          <w:rFonts w:ascii="Arial" w:hAnsi="Arial" w:cs="Arial"/>
        </w:rPr>
      </w:pPr>
      <w:r w:rsidRPr="00890F3C">
        <w:rPr>
          <w:rFonts w:ascii="Arial" w:hAnsi="Arial" w:cs="Arial"/>
        </w:rPr>
        <w:t>To examine the biological, environmental, and socio-economic factors influencing developmental outcomes in children.</w:t>
      </w:r>
    </w:p>
    <w:p w14:paraId="711051EB" w14:textId="77777777" w:rsidR="00C114C4" w:rsidRPr="00890F3C" w:rsidRDefault="00C114C4" w:rsidP="00C114C4">
      <w:pPr>
        <w:pStyle w:val="ListParagraph"/>
        <w:numPr>
          <w:ilvl w:val="0"/>
          <w:numId w:val="1"/>
        </w:numPr>
        <w:spacing w:before="240" w:after="0" w:line="360" w:lineRule="auto"/>
        <w:jc w:val="both"/>
        <w:rPr>
          <w:rFonts w:ascii="Arial" w:hAnsi="Arial" w:cs="Arial"/>
        </w:rPr>
      </w:pPr>
      <w:r w:rsidRPr="00890F3C">
        <w:rPr>
          <w:rFonts w:ascii="Arial" w:hAnsi="Arial" w:cs="Arial"/>
        </w:rPr>
        <w:t>To identify the most reported developmental delays within the 5–12-year age group.</w:t>
      </w:r>
    </w:p>
    <w:p w14:paraId="1A2395AA" w14:textId="77777777" w:rsidR="00C114C4" w:rsidRPr="00890F3C" w:rsidRDefault="00C114C4" w:rsidP="00C114C4">
      <w:pPr>
        <w:pStyle w:val="ListParagraph"/>
        <w:numPr>
          <w:ilvl w:val="0"/>
          <w:numId w:val="1"/>
        </w:numPr>
        <w:spacing w:before="240" w:after="0" w:line="360" w:lineRule="auto"/>
        <w:jc w:val="both"/>
        <w:rPr>
          <w:rFonts w:ascii="Arial" w:hAnsi="Arial" w:cs="Arial"/>
        </w:rPr>
      </w:pPr>
      <w:r w:rsidRPr="00890F3C">
        <w:rPr>
          <w:rFonts w:ascii="Arial" w:hAnsi="Arial" w:cs="Arial"/>
        </w:rPr>
        <w:t>To evaluate the impact of early identification and intervention strategies on developmental progress.</w:t>
      </w:r>
    </w:p>
    <w:p w14:paraId="623166CF" w14:textId="77777777" w:rsidR="00C114C4" w:rsidRPr="00890F3C" w:rsidRDefault="00C114C4" w:rsidP="00C114C4">
      <w:pPr>
        <w:pStyle w:val="ListParagraph"/>
        <w:numPr>
          <w:ilvl w:val="0"/>
          <w:numId w:val="1"/>
        </w:numPr>
        <w:spacing w:before="240" w:after="0" w:line="360" w:lineRule="auto"/>
        <w:jc w:val="both"/>
        <w:rPr>
          <w:rFonts w:ascii="Arial" w:hAnsi="Arial" w:cs="Arial"/>
        </w:rPr>
      </w:pPr>
      <w:r w:rsidRPr="00890F3C">
        <w:rPr>
          <w:rFonts w:ascii="Arial" w:hAnsi="Arial" w:cs="Arial"/>
        </w:rPr>
        <w:t>To develop evidence-based recommendations for public health strategies and policies aimed at reducing developmental delays and improving support for vulnerable children.</w:t>
      </w:r>
    </w:p>
    <w:p w14:paraId="1C41FB0D" w14:textId="77777777" w:rsidR="00C114C4" w:rsidRPr="00890F3C" w:rsidRDefault="00C114C4" w:rsidP="00C114C4">
      <w:pPr>
        <w:pStyle w:val="Heading1"/>
      </w:pPr>
      <w:bookmarkStart w:id="6" w:name="_Toc219199478"/>
      <w:r w:rsidRPr="00890F3C">
        <w:t>1.</w:t>
      </w:r>
      <w:r>
        <w:t>6</w:t>
      </w:r>
      <w:r w:rsidRPr="00890F3C">
        <w:t xml:space="preserve"> Structure of the Dissertation</w:t>
      </w:r>
      <w:bookmarkEnd w:id="6"/>
    </w:p>
    <w:p w14:paraId="2A48F21F" w14:textId="303831ED" w:rsidR="00C114C4" w:rsidRPr="00890F3C" w:rsidRDefault="001173B6" w:rsidP="00C114C4">
      <w:pPr>
        <w:spacing w:before="240" w:line="360" w:lineRule="auto"/>
        <w:jc w:val="both"/>
        <w:rPr>
          <w:rFonts w:ascii="Arial" w:hAnsi="Arial" w:cs="Arial"/>
        </w:rPr>
      </w:pPr>
      <w:r w:rsidRPr="001173B6">
        <w:rPr>
          <w:rFonts w:ascii="Arial" w:hAnsi="Arial" w:cs="Arial"/>
        </w:rPr>
        <w:t xml:space="preserve">This dissertation is organised into six chapters. Chapter 1 introduces the study by outlining the background, rationale, significance, aims, and objectives. Chapter 2 </w:t>
      </w:r>
      <w:r w:rsidRPr="001173B6">
        <w:rPr>
          <w:rFonts w:ascii="Arial" w:hAnsi="Arial" w:cs="Arial"/>
        </w:rPr>
        <w:lastRenderedPageBreak/>
        <w:t>presents a comprehensive literature review, critically examining existing research relevant to child developmental health. Chapter 3 describes the research methodology, detailing the systematic review design, inclusion and exclusion criteria, search strategy, data extraction, and analytical approach. Chapter 4 reports the results, identifying key themes and patterns from the reviewed literature. Chapter 5 discusses the findings in relation to existing evidence, theory, and policy context. Finally, Chapter 6 concludes the study, offering recommendations and highlighting limitations and directions for future research.</w:t>
      </w:r>
    </w:p>
    <w:p w14:paraId="4B7D6547" w14:textId="77777777" w:rsidR="00C114C4" w:rsidRPr="00890F3C" w:rsidRDefault="00C114C4" w:rsidP="00C114C4">
      <w:pPr>
        <w:pStyle w:val="Heading1"/>
      </w:pPr>
      <w:bookmarkStart w:id="7" w:name="_Toc219199479"/>
      <w:r w:rsidRPr="00890F3C">
        <w:t>1.</w:t>
      </w:r>
      <w:r>
        <w:t>7</w:t>
      </w:r>
      <w:r w:rsidRPr="00890F3C">
        <w:t xml:space="preserve"> Summary</w:t>
      </w:r>
      <w:bookmarkEnd w:id="7"/>
    </w:p>
    <w:p w14:paraId="24A342B7" w14:textId="77777777" w:rsidR="00C114C4" w:rsidRPr="00890F3C" w:rsidRDefault="00C114C4" w:rsidP="00C114C4">
      <w:pPr>
        <w:spacing w:before="240" w:line="360" w:lineRule="auto"/>
        <w:jc w:val="both"/>
        <w:rPr>
          <w:rFonts w:ascii="Arial" w:hAnsi="Arial" w:cs="Arial"/>
        </w:rPr>
      </w:pPr>
      <w:r w:rsidRPr="00890F3C">
        <w:rPr>
          <w:rFonts w:ascii="Arial" w:hAnsi="Arial" w:cs="Arial"/>
        </w:rPr>
        <w:t xml:space="preserve">In summary, developmental delays among school-aged children represent a growing challenge for health and education systems in England. Despite significant advances in early childhood research, middle childhood remains a neglected period in developmental surveillance and intervention planning. This study seeks to fill this gap by systematically reviewing evidence on risk factors for developmental delays in children aged 5–12 years, within the English context. Through a public health lens, it will identify opportunities for earlier detection, integrated care, and policy reform </w:t>
      </w:r>
      <w:r>
        <w:rPr>
          <w:rFonts w:ascii="Arial" w:hAnsi="Arial" w:cs="Arial"/>
        </w:rPr>
        <w:t>to improve outcomes and reduce</w:t>
      </w:r>
      <w:r w:rsidRPr="00890F3C">
        <w:rPr>
          <w:rFonts w:ascii="Arial" w:hAnsi="Arial" w:cs="Arial"/>
        </w:rPr>
        <w:t xml:space="preserve"> inequalities for vulnerable children.</w:t>
      </w:r>
    </w:p>
    <w:p w14:paraId="26432BDE" w14:textId="77777777" w:rsidR="00C114C4" w:rsidRDefault="00C114C4" w:rsidP="00C114C4">
      <w:pPr>
        <w:spacing w:before="240" w:line="360" w:lineRule="auto"/>
        <w:jc w:val="both"/>
        <w:rPr>
          <w:rFonts w:ascii="Arial" w:hAnsi="Arial" w:cs="Arial"/>
        </w:rPr>
      </w:pPr>
    </w:p>
    <w:p w14:paraId="79F69EC3" w14:textId="77777777" w:rsidR="00C114C4" w:rsidRDefault="00C114C4" w:rsidP="00C114C4">
      <w:pPr>
        <w:spacing w:before="240" w:line="360" w:lineRule="auto"/>
        <w:jc w:val="both"/>
        <w:rPr>
          <w:rFonts w:ascii="Arial" w:hAnsi="Arial" w:cs="Arial"/>
        </w:rPr>
      </w:pPr>
    </w:p>
    <w:p w14:paraId="0535AB1C" w14:textId="77777777" w:rsidR="00C114C4" w:rsidRDefault="00C114C4" w:rsidP="00C114C4">
      <w:pPr>
        <w:spacing w:before="240" w:line="360" w:lineRule="auto"/>
        <w:jc w:val="both"/>
        <w:rPr>
          <w:rFonts w:ascii="Arial" w:hAnsi="Arial" w:cs="Arial"/>
        </w:rPr>
      </w:pPr>
    </w:p>
    <w:p w14:paraId="76F205D8" w14:textId="77777777" w:rsidR="00C114C4" w:rsidRDefault="00C114C4" w:rsidP="00C114C4">
      <w:pPr>
        <w:spacing w:before="240" w:line="360" w:lineRule="auto"/>
        <w:jc w:val="both"/>
        <w:rPr>
          <w:rFonts w:ascii="Arial" w:hAnsi="Arial" w:cs="Arial"/>
        </w:rPr>
      </w:pPr>
    </w:p>
    <w:p w14:paraId="3DD723E8" w14:textId="77777777" w:rsidR="00C114C4" w:rsidRDefault="00C114C4" w:rsidP="00C114C4">
      <w:pPr>
        <w:spacing w:before="240" w:line="360" w:lineRule="auto"/>
        <w:jc w:val="both"/>
        <w:rPr>
          <w:rFonts w:ascii="Arial" w:hAnsi="Arial" w:cs="Arial"/>
        </w:rPr>
      </w:pPr>
    </w:p>
    <w:p w14:paraId="3378BD3D" w14:textId="77777777" w:rsidR="00C114C4" w:rsidRDefault="00C114C4" w:rsidP="00C114C4">
      <w:pPr>
        <w:rPr>
          <w:rFonts w:ascii="Arial" w:hAnsi="Arial" w:cs="Arial"/>
        </w:rPr>
      </w:pPr>
    </w:p>
    <w:p w14:paraId="455A177F" w14:textId="77777777" w:rsidR="00C114C4" w:rsidRDefault="00C114C4" w:rsidP="00C114C4">
      <w:pPr>
        <w:rPr>
          <w:rFonts w:ascii="Arial" w:hAnsi="Arial" w:cs="Arial"/>
        </w:rPr>
      </w:pPr>
    </w:p>
    <w:p w14:paraId="51798DC4" w14:textId="77777777" w:rsidR="00C114C4" w:rsidRPr="00C114C4" w:rsidRDefault="00C114C4" w:rsidP="00C114C4">
      <w:pPr>
        <w:rPr>
          <w:rFonts w:ascii="Arial" w:hAnsi="Arial" w:cs="Arial"/>
        </w:rPr>
      </w:pPr>
    </w:p>
    <w:p w14:paraId="074B9F28" w14:textId="4859AE18" w:rsidR="00B17E9F" w:rsidRPr="00B17E9F" w:rsidRDefault="00B17E9F" w:rsidP="008A07BF">
      <w:pPr>
        <w:pStyle w:val="Heading1"/>
      </w:pPr>
      <w:bookmarkStart w:id="8" w:name="_Toc219199480"/>
      <w:r w:rsidRPr="00B17E9F">
        <w:lastRenderedPageBreak/>
        <w:t>Chapter 2: Literature Review</w:t>
      </w:r>
      <w:bookmarkEnd w:id="8"/>
    </w:p>
    <w:p w14:paraId="7B257D8C" w14:textId="72CCC6FB" w:rsidR="00B17E9F" w:rsidRPr="00B17E9F" w:rsidRDefault="00B17E9F" w:rsidP="008A07BF">
      <w:pPr>
        <w:pStyle w:val="Heading1"/>
      </w:pPr>
      <w:bookmarkStart w:id="9" w:name="_Toc219199481"/>
      <w:r w:rsidRPr="00B17E9F">
        <w:t>2.1 Introduction</w:t>
      </w:r>
      <w:bookmarkEnd w:id="9"/>
      <w:r w:rsidRPr="00B17E9F">
        <w:t xml:space="preserve"> </w:t>
      </w:r>
    </w:p>
    <w:p w14:paraId="1F790CFB" w14:textId="67EB5C3D" w:rsidR="00B17E9F" w:rsidRPr="00B17E9F" w:rsidRDefault="00B17E9F" w:rsidP="00381B18">
      <w:pPr>
        <w:spacing w:before="240" w:line="360" w:lineRule="auto"/>
        <w:jc w:val="both"/>
        <w:rPr>
          <w:rFonts w:ascii="Arial" w:hAnsi="Arial" w:cs="Arial"/>
        </w:rPr>
      </w:pPr>
      <w:r w:rsidRPr="00B17E9F">
        <w:rPr>
          <w:rFonts w:ascii="Arial" w:hAnsi="Arial" w:cs="Arial"/>
        </w:rPr>
        <w:t xml:space="preserve">Chapter 2 provides a critical examination of existing research on developmental delays among children aged 5 to 12 years in England. This review </w:t>
      </w:r>
      <w:r w:rsidR="00381B18">
        <w:rPr>
          <w:rFonts w:ascii="Arial" w:hAnsi="Arial" w:cs="Arial"/>
        </w:rPr>
        <w:t>examines the range of factors that influence developmental progress and assesses the interplay between biological, environmental, and socioeconomic</w:t>
      </w:r>
      <w:r w:rsidRPr="00B17E9F">
        <w:rPr>
          <w:rFonts w:ascii="Arial" w:hAnsi="Arial" w:cs="Arial"/>
        </w:rPr>
        <w:t xml:space="preserve"> determinants. It also </w:t>
      </w:r>
      <w:r w:rsidR="00381B18">
        <w:rPr>
          <w:rFonts w:ascii="Arial" w:hAnsi="Arial" w:cs="Arial"/>
        </w:rPr>
        <w:t>examines the most frequently reported developmental delays within this age group and evaluates the significance</w:t>
      </w:r>
      <w:r w:rsidRPr="00B17E9F">
        <w:rPr>
          <w:rFonts w:ascii="Arial" w:hAnsi="Arial" w:cs="Arial"/>
        </w:rPr>
        <w:t xml:space="preserve"> of early identification and intervention strategies. Additionally, the legislative context, with a particular focus on the Children Act, is examined to understand how national policy shapes support mechanisms for vulnerable children. By synthesising current evidence, this chapter aims to highlight prevailing trends, identify gaps in knowledge, and establish a foundation for further inquiry into improving developmental outcomes and informing public health strategies.</w:t>
      </w:r>
    </w:p>
    <w:p w14:paraId="01F3CBC2" w14:textId="67B2B765" w:rsidR="00B17E9F" w:rsidRPr="00B17E9F" w:rsidRDefault="00381B18" w:rsidP="008A07BF">
      <w:pPr>
        <w:pStyle w:val="Heading1"/>
      </w:pPr>
      <w:bookmarkStart w:id="10" w:name="_Toc219199482"/>
      <w:r>
        <w:t xml:space="preserve">2.2 </w:t>
      </w:r>
      <w:r w:rsidR="00B17E9F" w:rsidRPr="00B17E9F">
        <w:t>Definition of Developmental Delays</w:t>
      </w:r>
      <w:bookmarkEnd w:id="10"/>
      <w:r w:rsidR="00B17E9F" w:rsidRPr="00B17E9F">
        <w:t xml:space="preserve"> </w:t>
      </w:r>
    </w:p>
    <w:p w14:paraId="00DC8B66" w14:textId="6B8BDCA7" w:rsidR="00B17E9F" w:rsidRPr="00B17E9F" w:rsidRDefault="00B17E9F" w:rsidP="00381B18">
      <w:pPr>
        <w:spacing w:before="240" w:line="360" w:lineRule="auto"/>
        <w:jc w:val="both"/>
        <w:rPr>
          <w:rFonts w:ascii="Arial" w:hAnsi="Arial" w:cs="Arial"/>
        </w:rPr>
      </w:pPr>
      <w:r w:rsidRPr="00B17E9F">
        <w:rPr>
          <w:rFonts w:ascii="Arial" w:hAnsi="Arial" w:cs="Arial"/>
        </w:rPr>
        <w:t>Developmental delays refer to a condition in which a child does not achieve expected milestones within the typical timeframe across one or more areas of development</w:t>
      </w:r>
      <w:r w:rsidR="004E52A0">
        <w:rPr>
          <w:rFonts w:ascii="Arial" w:hAnsi="Arial" w:cs="Arial"/>
        </w:rPr>
        <w:t xml:space="preserve"> (</w:t>
      </w:r>
      <w:r w:rsidR="004E52A0" w:rsidRPr="004E52A0">
        <w:rPr>
          <w:rFonts w:ascii="Arial" w:hAnsi="Arial" w:cs="Arial"/>
        </w:rPr>
        <w:t>Elia</w:t>
      </w:r>
      <w:r w:rsidR="004E52A0">
        <w:rPr>
          <w:rFonts w:ascii="Arial" w:hAnsi="Arial" w:cs="Arial"/>
        </w:rPr>
        <w:t xml:space="preserve"> and </w:t>
      </w:r>
      <w:r w:rsidR="004E52A0" w:rsidRPr="004E52A0">
        <w:rPr>
          <w:rFonts w:ascii="Arial" w:hAnsi="Arial" w:cs="Arial"/>
        </w:rPr>
        <w:t>Coghill</w:t>
      </w:r>
      <w:r w:rsidR="004E52A0">
        <w:rPr>
          <w:rFonts w:ascii="Arial" w:hAnsi="Arial" w:cs="Arial"/>
        </w:rPr>
        <w:t>, 2021)</w:t>
      </w:r>
      <w:r w:rsidRPr="00B17E9F">
        <w:rPr>
          <w:rFonts w:ascii="Arial" w:hAnsi="Arial" w:cs="Arial"/>
        </w:rPr>
        <w:t>. These delays can manifest in cognitive, language, social, emotional, or physical domains, and they may arise from diverse influences</w:t>
      </w:r>
      <w:r w:rsidR="00381B18">
        <w:rPr>
          <w:rFonts w:ascii="Arial" w:hAnsi="Arial" w:cs="Arial"/>
        </w:rPr>
        <w:t>,</w:t>
      </w:r>
      <w:r w:rsidRPr="00B17E9F">
        <w:rPr>
          <w:rFonts w:ascii="Arial" w:hAnsi="Arial" w:cs="Arial"/>
        </w:rPr>
        <w:t xml:space="preserve"> including genetic predispositions, environmental stressors, or underlying medical conditions</w:t>
      </w:r>
      <w:r w:rsidR="008E4F0F">
        <w:rPr>
          <w:rFonts w:ascii="Arial" w:hAnsi="Arial" w:cs="Arial"/>
        </w:rPr>
        <w:t xml:space="preserve"> (</w:t>
      </w:r>
      <w:r w:rsidR="008E4F0F" w:rsidRPr="008E4F0F">
        <w:rPr>
          <w:rFonts w:ascii="Arial" w:hAnsi="Arial" w:cs="Arial"/>
        </w:rPr>
        <w:t>Applegate</w:t>
      </w:r>
      <w:r w:rsidR="008E4F0F">
        <w:rPr>
          <w:rFonts w:ascii="Arial" w:hAnsi="Arial" w:cs="Arial"/>
        </w:rPr>
        <w:t xml:space="preserve"> et al, 2024)</w:t>
      </w:r>
      <w:r w:rsidRPr="00B17E9F">
        <w:rPr>
          <w:rFonts w:ascii="Arial" w:hAnsi="Arial" w:cs="Arial"/>
        </w:rPr>
        <w:t>. While some delays are temporary and improve with targeted support, others may indicate long-term developmental disorders requiring sustained intervention. Understanding the nature and presentation of developmental delays is essential for timely identification and effective management</w:t>
      </w:r>
      <w:r w:rsidR="00F65F1F">
        <w:rPr>
          <w:rFonts w:ascii="Arial" w:hAnsi="Arial" w:cs="Arial"/>
        </w:rPr>
        <w:t xml:space="preserve"> (</w:t>
      </w:r>
      <w:r w:rsidR="00F60AF8" w:rsidRPr="00F60AF8">
        <w:rPr>
          <w:rFonts w:ascii="Arial" w:hAnsi="Arial" w:cs="Arial"/>
        </w:rPr>
        <w:t>Shaw</w:t>
      </w:r>
      <w:r w:rsidR="00F65F1F">
        <w:rPr>
          <w:rFonts w:ascii="Arial" w:hAnsi="Arial" w:cs="Arial"/>
        </w:rPr>
        <w:t>, 202</w:t>
      </w:r>
      <w:r w:rsidR="00F60AF8">
        <w:rPr>
          <w:rFonts w:ascii="Arial" w:hAnsi="Arial" w:cs="Arial"/>
        </w:rPr>
        <w:t>3</w:t>
      </w:r>
      <w:r w:rsidR="00F65F1F">
        <w:rPr>
          <w:rFonts w:ascii="Arial" w:hAnsi="Arial" w:cs="Arial"/>
        </w:rPr>
        <w:t>)</w:t>
      </w:r>
      <w:r w:rsidRPr="00B17E9F">
        <w:rPr>
          <w:rFonts w:ascii="Arial" w:hAnsi="Arial" w:cs="Arial"/>
        </w:rPr>
        <w:t>.</w:t>
      </w:r>
    </w:p>
    <w:p w14:paraId="52D4BE0C" w14:textId="5DB14EF8" w:rsidR="00B17E9F" w:rsidRDefault="00B17E9F" w:rsidP="00381B18">
      <w:pPr>
        <w:spacing w:before="240" w:line="360" w:lineRule="auto"/>
        <w:jc w:val="both"/>
        <w:rPr>
          <w:rFonts w:ascii="Arial" w:hAnsi="Arial" w:cs="Arial"/>
        </w:rPr>
      </w:pPr>
      <w:r w:rsidRPr="00B17E9F">
        <w:rPr>
          <w:rFonts w:ascii="Arial" w:hAnsi="Arial" w:cs="Arial"/>
        </w:rPr>
        <w:t>Developmental delays are typically identified when a child's developmental trajectory significantly differs from established norms used by healthcare and educational professionals</w:t>
      </w:r>
      <w:r w:rsidR="00F65F1F">
        <w:rPr>
          <w:rFonts w:ascii="Arial" w:hAnsi="Arial" w:cs="Arial"/>
        </w:rPr>
        <w:t xml:space="preserve"> (</w:t>
      </w:r>
      <w:r w:rsidR="00F65F1F" w:rsidRPr="008E4F0F">
        <w:rPr>
          <w:rFonts w:ascii="Arial" w:hAnsi="Arial" w:cs="Arial"/>
        </w:rPr>
        <w:t>Applegate</w:t>
      </w:r>
      <w:r w:rsidR="00F65F1F">
        <w:rPr>
          <w:rFonts w:ascii="Arial" w:hAnsi="Arial" w:cs="Arial"/>
        </w:rPr>
        <w:t xml:space="preserve"> et al, 2024)</w:t>
      </w:r>
      <w:r w:rsidRPr="00B17E9F">
        <w:rPr>
          <w:rFonts w:ascii="Arial" w:hAnsi="Arial" w:cs="Arial"/>
        </w:rPr>
        <w:t>. Delays can vary in severity, ranging from mild to profound, and may affect a single domain or multiple domains. Their identification is central to ensuring that children receive early and appropriate support services</w:t>
      </w:r>
      <w:r w:rsidR="00F65F1F">
        <w:rPr>
          <w:rFonts w:ascii="Arial" w:hAnsi="Arial" w:cs="Arial"/>
        </w:rPr>
        <w:t xml:space="preserve"> (</w:t>
      </w:r>
      <w:r w:rsidR="00F65F1F" w:rsidRPr="004E52A0">
        <w:rPr>
          <w:rFonts w:ascii="Arial" w:hAnsi="Arial" w:cs="Arial"/>
        </w:rPr>
        <w:t>Elia</w:t>
      </w:r>
      <w:r w:rsidR="00F65F1F">
        <w:rPr>
          <w:rFonts w:ascii="Arial" w:hAnsi="Arial" w:cs="Arial"/>
        </w:rPr>
        <w:t xml:space="preserve"> and </w:t>
      </w:r>
      <w:r w:rsidR="00F65F1F" w:rsidRPr="004E52A0">
        <w:rPr>
          <w:rFonts w:ascii="Arial" w:hAnsi="Arial" w:cs="Arial"/>
        </w:rPr>
        <w:t>Coghill</w:t>
      </w:r>
      <w:r w:rsidR="00F65F1F">
        <w:rPr>
          <w:rFonts w:ascii="Arial" w:hAnsi="Arial" w:cs="Arial"/>
        </w:rPr>
        <w:t xml:space="preserve">, 2021). </w:t>
      </w:r>
      <w:r w:rsidRPr="00B17E9F">
        <w:rPr>
          <w:rFonts w:ascii="Arial" w:hAnsi="Arial" w:cs="Arial"/>
        </w:rPr>
        <w:t xml:space="preserve">Early recognition enables families, educators, and practitioners to </w:t>
      </w:r>
      <w:r w:rsidRPr="00B17E9F">
        <w:rPr>
          <w:rFonts w:ascii="Arial" w:hAnsi="Arial" w:cs="Arial"/>
        </w:rPr>
        <w:lastRenderedPageBreak/>
        <w:t>implement strategies that foster improved developmental outcomes and prevent further challenges as the child grows</w:t>
      </w:r>
      <w:r w:rsidR="00F65F1F">
        <w:rPr>
          <w:rFonts w:ascii="Arial" w:hAnsi="Arial" w:cs="Arial"/>
        </w:rPr>
        <w:t xml:space="preserve"> (</w:t>
      </w:r>
      <w:r w:rsidR="00F65F1F" w:rsidRPr="008E4F0F">
        <w:rPr>
          <w:rFonts w:ascii="Arial" w:hAnsi="Arial" w:cs="Arial"/>
        </w:rPr>
        <w:t>Applegate</w:t>
      </w:r>
      <w:r w:rsidR="00F65F1F">
        <w:rPr>
          <w:rFonts w:ascii="Arial" w:hAnsi="Arial" w:cs="Arial"/>
        </w:rPr>
        <w:t xml:space="preserve"> et al, 2024)</w:t>
      </w:r>
      <w:r w:rsidRPr="00B17E9F">
        <w:rPr>
          <w:rFonts w:ascii="Arial" w:hAnsi="Arial" w:cs="Arial"/>
        </w:rPr>
        <w:t>.</w:t>
      </w:r>
    </w:p>
    <w:p w14:paraId="468BA498" w14:textId="32EC6FD0" w:rsidR="00B17E9F" w:rsidRPr="00B17E9F" w:rsidRDefault="00381B18" w:rsidP="008A07BF">
      <w:pPr>
        <w:pStyle w:val="Heading1"/>
      </w:pPr>
      <w:bookmarkStart w:id="11" w:name="_Toc219199483"/>
      <w:r>
        <w:t xml:space="preserve">2.3 </w:t>
      </w:r>
      <w:r w:rsidR="00B17E9F" w:rsidRPr="00B17E9F">
        <w:t>Overview of Developmental Domains</w:t>
      </w:r>
      <w:bookmarkEnd w:id="11"/>
      <w:r w:rsidR="00B17E9F" w:rsidRPr="00B17E9F">
        <w:t xml:space="preserve"> </w:t>
      </w:r>
    </w:p>
    <w:p w14:paraId="76362F49" w14:textId="7288A3C7" w:rsidR="00B17E9F" w:rsidRPr="00B17E9F" w:rsidRDefault="00B17E9F" w:rsidP="00381B18">
      <w:pPr>
        <w:spacing w:before="240" w:line="360" w:lineRule="auto"/>
        <w:jc w:val="both"/>
        <w:rPr>
          <w:rFonts w:ascii="Arial" w:hAnsi="Arial" w:cs="Arial"/>
        </w:rPr>
      </w:pPr>
      <w:r w:rsidRPr="00B17E9F">
        <w:rPr>
          <w:rFonts w:ascii="Arial" w:hAnsi="Arial" w:cs="Arial"/>
        </w:rPr>
        <w:t>The development of children encompasses several interconnected domains that collectively shape their learning and functioning. The cognitive domain relates to processes such as reasoning, memory, problem-solving, and academic skill acquisition</w:t>
      </w:r>
      <w:r w:rsidR="00E3103D">
        <w:rPr>
          <w:rFonts w:ascii="Arial" w:hAnsi="Arial" w:cs="Arial"/>
        </w:rPr>
        <w:t xml:space="preserve"> (</w:t>
      </w:r>
      <w:r w:rsidR="00E3103D" w:rsidRPr="00E3103D">
        <w:rPr>
          <w:rFonts w:ascii="Arial" w:hAnsi="Arial" w:cs="Arial"/>
        </w:rPr>
        <w:t>Yi</w:t>
      </w:r>
      <w:r w:rsidR="00C1061C">
        <w:rPr>
          <w:rFonts w:ascii="Arial" w:hAnsi="Arial" w:cs="Arial"/>
        </w:rPr>
        <w:t xml:space="preserve"> </w:t>
      </w:r>
      <w:r w:rsidR="00E3103D" w:rsidRPr="00E3103D">
        <w:rPr>
          <w:rFonts w:ascii="Arial" w:hAnsi="Arial" w:cs="Arial"/>
        </w:rPr>
        <w:t>and Keat, 2024</w:t>
      </w:r>
      <w:r w:rsidR="00E3103D">
        <w:rPr>
          <w:rFonts w:ascii="Arial" w:hAnsi="Arial" w:cs="Arial"/>
        </w:rPr>
        <w:t>)</w:t>
      </w:r>
      <w:r w:rsidRPr="00B17E9F">
        <w:rPr>
          <w:rFonts w:ascii="Arial" w:hAnsi="Arial" w:cs="Arial"/>
        </w:rPr>
        <w:t>. Children experiencing delays in this area may struggle with attention, abstract thinking, or the ability to process information at expected levels. The language domain comprises both expressive and receptive communication skills</w:t>
      </w:r>
      <w:r w:rsidR="00647745">
        <w:rPr>
          <w:rFonts w:ascii="Arial" w:hAnsi="Arial" w:cs="Arial"/>
        </w:rPr>
        <w:t xml:space="preserve"> (</w:t>
      </w:r>
      <w:r w:rsidR="00647745" w:rsidRPr="00647745">
        <w:rPr>
          <w:rFonts w:ascii="Arial" w:hAnsi="Arial" w:cs="Arial"/>
        </w:rPr>
        <w:t>Warren</w:t>
      </w:r>
      <w:r w:rsidR="00647745">
        <w:rPr>
          <w:rFonts w:ascii="Arial" w:hAnsi="Arial" w:cs="Arial"/>
        </w:rPr>
        <w:t xml:space="preserve"> et al, 2016)</w:t>
      </w:r>
      <w:r w:rsidRPr="00B17E9F">
        <w:rPr>
          <w:rFonts w:ascii="Arial" w:hAnsi="Arial" w:cs="Arial"/>
        </w:rPr>
        <w:t>. Delays in this area often manifest as difficulties in understanding instructions, constructing sentences, or engaging in age-appropriate conversations. The physical domain includes fine and gross motor skills, which support coordination, balance, handwriting, and general movement</w:t>
      </w:r>
      <w:r w:rsidR="006E1B98">
        <w:rPr>
          <w:rFonts w:ascii="Arial" w:hAnsi="Arial" w:cs="Arial"/>
        </w:rPr>
        <w:t xml:space="preserve"> (</w:t>
      </w:r>
      <w:r w:rsidR="006E1B98" w:rsidRPr="006E1B98">
        <w:rPr>
          <w:rFonts w:ascii="Arial" w:hAnsi="Arial" w:cs="Arial"/>
        </w:rPr>
        <w:t>Dornelas</w:t>
      </w:r>
      <w:r w:rsidR="006E1B98">
        <w:rPr>
          <w:rFonts w:ascii="Arial" w:hAnsi="Arial" w:cs="Arial"/>
        </w:rPr>
        <w:t xml:space="preserve"> et al, 2016)</w:t>
      </w:r>
      <w:r w:rsidRPr="00B17E9F">
        <w:rPr>
          <w:rFonts w:ascii="Arial" w:hAnsi="Arial" w:cs="Arial"/>
        </w:rPr>
        <w:t>. Delays here may become evident through clumsiness, difficulty manipulating objects, or challenges in performing routine physical tasks</w:t>
      </w:r>
      <w:r w:rsidR="00081150">
        <w:rPr>
          <w:rFonts w:ascii="Arial" w:hAnsi="Arial" w:cs="Arial"/>
        </w:rPr>
        <w:t xml:space="preserve"> (</w:t>
      </w:r>
      <w:r w:rsidR="005065AD" w:rsidRPr="005065AD">
        <w:rPr>
          <w:rFonts w:ascii="Arial" w:hAnsi="Arial" w:cs="Arial"/>
        </w:rPr>
        <w:t>Eadie</w:t>
      </w:r>
      <w:r w:rsidR="005065AD">
        <w:rPr>
          <w:rFonts w:ascii="Arial" w:hAnsi="Arial" w:cs="Arial"/>
        </w:rPr>
        <w:t xml:space="preserve"> et al</w:t>
      </w:r>
      <w:r w:rsidR="00081150" w:rsidRPr="00E3103D">
        <w:rPr>
          <w:rFonts w:ascii="Arial" w:hAnsi="Arial" w:cs="Arial"/>
        </w:rPr>
        <w:t>, 2024</w:t>
      </w:r>
      <w:r w:rsidR="00081150">
        <w:rPr>
          <w:rFonts w:ascii="Arial" w:hAnsi="Arial" w:cs="Arial"/>
        </w:rPr>
        <w:t>)</w:t>
      </w:r>
      <w:r w:rsidRPr="00B17E9F">
        <w:rPr>
          <w:rFonts w:ascii="Arial" w:hAnsi="Arial" w:cs="Arial"/>
        </w:rPr>
        <w:t>.</w:t>
      </w:r>
    </w:p>
    <w:p w14:paraId="61936F25" w14:textId="587B1036" w:rsidR="00B17E9F" w:rsidRPr="00B17E9F" w:rsidRDefault="00B17E9F" w:rsidP="00381B18">
      <w:pPr>
        <w:spacing w:before="240" w:line="360" w:lineRule="auto"/>
        <w:jc w:val="both"/>
        <w:rPr>
          <w:rFonts w:ascii="Arial" w:hAnsi="Arial" w:cs="Arial"/>
        </w:rPr>
      </w:pPr>
      <w:r w:rsidRPr="00B17E9F">
        <w:rPr>
          <w:rFonts w:ascii="Arial" w:hAnsi="Arial" w:cs="Arial"/>
        </w:rPr>
        <w:t>The social and emotional domains are equally critical, as they influence a child’s capacity to form relationships, regulate emotions, and navigate social situations. Social delays may lead to difficulty interpreting social cues, cooperating with peers, or forming friendships</w:t>
      </w:r>
      <w:r w:rsidR="00081150">
        <w:rPr>
          <w:rFonts w:ascii="Arial" w:hAnsi="Arial" w:cs="Arial"/>
        </w:rPr>
        <w:t xml:space="preserve"> (</w:t>
      </w:r>
      <w:r w:rsidR="00081150" w:rsidRPr="00E3103D">
        <w:rPr>
          <w:rFonts w:ascii="Arial" w:hAnsi="Arial" w:cs="Arial"/>
        </w:rPr>
        <w:t>Yi</w:t>
      </w:r>
      <w:r w:rsidR="00081150">
        <w:rPr>
          <w:rFonts w:ascii="Arial" w:hAnsi="Arial" w:cs="Arial"/>
        </w:rPr>
        <w:t xml:space="preserve"> </w:t>
      </w:r>
      <w:r w:rsidR="00081150" w:rsidRPr="00E3103D">
        <w:rPr>
          <w:rFonts w:ascii="Arial" w:hAnsi="Arial" w:cs="Arial"/>
        </w:rPr>
        <w:t>and Keat, 2024</w:t>
      </w:r>
      <w:r w:rsidR="00081150">
        <w:rPr>
          <w:rFonts w:ascii="Arial" w:hAnsi="Arial" w:cs="Arial"/>
        </w:rPr>
        <w:t>)</w:t>
      </w:r>
      <w:r w:rsidRPr="00B17E9F">
        <w:rPr>
          <w:rFonts w:ascii="Arial" w:hAnsi="Arial" w:cs="Arial"/>
        </w:rPr>
        <w:t>. Emotional delays may present as problems in managing frustration, anxiety, or behavioural responses. Because these domains are interdependent, a delay in one area often affects others</w:t>
      </w:r>
      <w:r w:rsidR="00081150">
        <w:rPr>
          <w:rFonts w:ascii="Arial" w:hAnsi="Arial" w:cs="Arial"/>
        </w:rPr>
        <w:t xml:space="preserve"> (</w:t>
      </w:r>
      <w:r w:rsidR="00081150" w:rsidRPr="00647745">
        <w:rPr>
          <w:rFonts w:ascii="Arial" w:hAnsi="Arial" w:cs="Arial"/>
        </w:rPr>
        <w:t>Warren</w:t>
      </w:r>
      <w:r w:rsidR="00081150">
        <w:rPr>
          <w:rFonts w:ascii="Arial" w:hAnsi="Arial" w:cs="Arial"/>
        </w:rPr>
        <w:t xml:space="preserve"> et al, 2016)</w:t>
      </w:r>
      <w:r w:rsidRPr="00B17E9F">
        <w:rPr>
          <w:rFonts w:ascii="Arial" w:hAnsi="Arial" w:cs="Arial"/>
        </w:rPr>
        <w:t>. For instance, language difficulties may hinder social interaction, while cognitive delays may influence emotional regulation</w:t>
      </w:r>
      <w:r w:rsidR="00081150">
        <w:rPr>
          <w:rFonts w:ascii="Arial" w:hAnsi="Arial" w:cs="Arial"/>
        </w:rPr>
        <w:t xml:space="preserve"> (</w:t>
      </w:r>
      <w:r w:rsidR="005065AD" w:rsidRPr="005065AD">
        <w:rPr>
          <w:rFonts w:ascii="Arial" w:hAnsi="Arial" w:cs="Arial"/>
        </w:rPr>
        <w:t>Likhar</w:t>
      </w:r>
      <w:r w:rsidR="005065AD">
        <w:rPr>
          <w:rFonts w:ascii="Arial" w:hAnsi="Arial" w:cs="Arial"/>
        </w:rPr>
        <w:t xml:space="preserve"> </w:t>
      </w:r>
      <w:r w:rsidR="00081150">
        <w:rPr>
          <w:rFonts w:ascii="Arial" w:hAnsi="Arial" w:cs="Arial"/>
        </w:rPr>
        <w:t>et al, 20</w:t>
      </w:r>
      <w:r w:rsidR="005065AD">
        <w:rPr>
          <w:rFonts w:ascii="Arial" w:hAnsi="Arial" w:cs="Arial"/>
        </w:rPr>
        <w:t>22</w:t>
      </w:r>
      <w:r w:rsidR="00081150">
        <w:rPr>
          <w:rFonts w:ascii="Arial" w:hAnsi="Arial" w:cs="Arial"/>
        </w:rPr>
        <w:t>)</w:t>
      </w:r>
      <w:r w:rsidRPr="00B17E9F">
        <w:rPr>
          <w:rFonts w:ascii="Arial" w:hAnsi="Arial" w:cs="Arial"/>
        </w:rPr>
        <w:t>. A comprehensive understanding of each developmental domain allows practitioners to identify the root of a child’s challenges and tailor interventions accordingly. Recognising the complexity and overlap across domains ensures a holistic approach to supporting developmental progress in school-aged children</w:t>
      </w:r>
      <w:r w:rsidR="00081150">
        <w:rPr>
          <w:rFonts w:ascii="Arial" w:hAnsi="Arial" w:cs="Arial"/>
        </w:rPr>
        <w:t xml:space="preserve"> (</w:t>
      </w:r>
      <w:r w:rsidR="00081150" w:rsidRPr="00647745">
        <w:rPr>
          <w:rFonts w:ascii="Arial" w:hAnsi="Arial" w:cs="Arial"/>
        </w:rPr>
        <w:t>Warren</w:t>
      </w:r>
      <w:r w:rsidR="00081150">
        <w:rPr>
          <w:rFonts w:ascii="Arial" w:hAnsi="Arial" w:cs="Arial"/>
        </w:rPr>
        <w:t xml:space="preserve"> et al, 2016)</w:t>
      </w:r>
      <w:r w:rsidRPr="00B17E9F">
        <w:rPr>
          <w:rFonts w:ascii="Arial" w:hAnsi="Arial" w:cs="Arial"/>
        </w:rPr>
        <w:t>.</w:t>
      </w:r>
    </w:p>
    <w:p w14:paraId="701BBD26" w14:textId="5470C368" w:rsidR="00B17E9F" w:rsidRPr="00B17E9F" w:rsidRDefault="00B17E9F" w:rsidP="008A07BF">
      <w:pPr>
        <w:pStyle w:val="Heading1"/>
      </w:pPr>
      <w:bookmarkStart w:id="12" w:name="_Toc219199484"/>
      <w:r w:rsidRPr="00B17E9F">
        <w:t>2.</w:t>
      </w:r>
      <w:r w:rsidR="00381B18">
        <w:t>4</w:t>
      </w:r>
      <w:r w:rsidRPr="00B17E9F">
        <w:t xml:space="preserve"> Biological Risk Factors</w:t>
      </w:r>
      <w:bookmarkEnd w:id="12"/>
      <w:r w:rsidRPr="00B17E9F">
        <w:t xml:space="preserve"> </w:t>
      </w:r>
    </w:p>
    <w:p w14:paraId="383E4860" w14:textId="20402655" w:rsidR="00B17E9F" w:rsidRPr="00B17E9F" w:rsidRDefault="00B17E9F" w:rsidP="00381B18">
      <w:pPr>
        <w:spacing w:before="240" w:line="360" w:lineRule="auto"/>
        <w:jc w:val="both"/>
        <w:rPr>
          <w:rFonts w:ascii="Arial" w:hAnsi="Arial" w:cs="Arial"/>
        </w:rPr>
      </w:pPr>
      <w:r w:rsidRPr="00B17E9F">
        <w:rPr>
          <w:rFonts w:ascii="Arial" w:hAnsi="Arial" w:cs="Arial"/>
        </w:rPr>
        <w:t xml:space="preserve">Biological influences represent a significant category of risk factors contributing to developmental delays. These include genetic variations, perinatal complications, </w:t>
      </w:r>
      <w:r w:rsidRPr="00B17E9F">
        <w:rPr>
          <w:rFonts w:ascii="Arial" w:hAnsi="Arial" w:cs="Arial"/>
        </w:rPr>
        <w:lastRenderedPageBreak/>
        <w:t>chronic medical conditions, and neurodevelopmental disorders</w:t>
      </w:r>
      <w:r w:rsidR="001A7667">
        <w:rPr>
          <w:rFonts w:ascii="Arial" w:hAnsi="Arial" w:cs="Arial"/>
        </w:rPr>
        <w:t xml:space="preserve"> (</w:t>
      </w:r>
      <w:r w:rsidR="001A7667" w:rsidRPr="001A7667">
        <w:rPr>
          <w:rFonts w:ascii="Arial" w:hAnsi="Arial" w:cs="Arial"/>
        </w:rPr>
        <w:t>Korpilahti</w:t>
      </w:r>
      <w:r w:rsidR="001A7667">
        <w:rPr>
          <w:rFonts w:ascii="Arial" w:hAnsi="Arial" w:cs="Arial"/>
        </w:rPr>
        <w:t xml:space="preserve"> et al, 2016)</w:t>
      </w:r>
      <w:r w:rsidRPr="00B17E9F">
        <w:rPr>
          <w:rFonts w:ascii="Arial" w:hAnsi="Arial" w:cs="Arial"/>
        </w:rPr>
        <w:t>. Biological risks often interact with environmental and social conditions to compound developmental difficulties</w:t>
      </w:r>
      <w:r w:rsidR="00450662">
        <w:rPr>
          <w:rFonts w:ascii="Arial" w:hAnsi="Arial" w:cs="Arial"/>
        </w:rPr>
        <w:t xml:space="preserve"> (</w:t>
      </w:r>
      <w:r w:rsidR="00450662" w:rsidRPr="00450662">
        <w:rPr>
          <w:rFonts w:ascii="Arial" w:hAnsi="Arial" w:cs="Arial"/>
        </w:rPr>
        <w:t>Kaur</w:t>
      </w:r>
      <w:r w:rsidR="00450662">
        <w:rPr>
          <w:rFonts w:ascii="Arial" w:hAnsi="Arial" w:cs="Arial"/>
        </w:rPr>
        <w:t xml:space="preserve"> et al, 2021)</w:t>
      </w:r>
      <w:r w:rsidRPr="00B17E9F">
        <w:rPr>
          <w:rFonts w:ascii="Arial" w:hAnsi="Arial" w:cs="Arial"/>
        </w:rPr>
        <w:t>. For many children, these factors shape early brain development, affecting cognitive processing, behaviour, and learning capacities. Understanding biological risk factors is crucial for early detection, as children with identifiable biological vulnerabilities benefit from prompt assessment and tailored interventions</w:t>
      </w:r>
      <w:r w:rsidR="00F97B6A">
        <w:rPr>
          <w:rFonts w:ascii="Arial" w:hAnsi="Arial" w:cs="Arial"/>
        </w:rPr>
        <w:t xml:space="preserve"> (</w:t>
      </w:r>
      <w:r w:rsidR="00F97B6A" w:rsidRPr="001A7667">
        <w:rPr>
          <w:rFonts w:ascii="Arial" w:hAnsi="Arial" w:cs="Arial"/>
        </w:rPr>
        <w:t>Korpilahti</w:t>
      </w:r>
      <w:r w:rsidR="00F97B6A">
        <w:rPr>
          <w:rFonts w:ascii="Arial" w:hAnsi="Arial" w:cs="Arial"/>
        </w:rPr>
        <w:t xml:space="preserve"> et al, 2016)</w:t>
      </w:r>
      <w:r w:rsidRPr="00B17E9F">
        <w:rPr>
          <w:rFonts w:ascii="Arial" w:hAnsi="Arial" w:cs="Arial"/>
        </w:rPr>
        <w:t>. This section outlines the principal biological influences that contribute to developmental delays in children aged 5 to 12 years in England.</w:t>
      </w:r>
    </w:p>
    <w:p w14:paraId="486B5222" w14:textId="327B3C93" w:rsidR="00B17E9F" w:rsidRPr="00B17E9F" w:rsidRDefault="00381B18" w:rsidP="008A07BF">
      <w:pPr>
        <w:pStyle w:val="Heading2"/>
      </w:pPr>
      <w:bookmarkStart w:id="13" w:name="_Toc219199485"/>
      <w:r>
        <w:t xml:space="preserve">2.4.1 </w:t>
      </w:r>
      <w:r w:rsidR="00B17E9F" w:rsidRPr="00B17E9F">
        <w:rPr>
          <w:rFonts w:eastAsiaTheme="majorEastAsia"/>
        </w:rPr>
        <w:t>Genetic Influences</w:t>
      </w:r>
      <w:bookmarkEnd w:id="13"/>
      <w:r w:rsidR="00B17E9F" w:rsidRPr="00B17E9F">
        <w:rPr>
          <w:rFonts w:eastAsiaTheme="majorEastAsia"/>
        </w:rPr>
        <w:t xml:space="preserve"> </w:t>
      </w:r>
    </w:p>
    <w:p w14:paraId="583AB239" w14:textId="6FEDDCAD" w:rsidR="00B17E9F" w:rsidRPr="00B17E9F" w:rsidRDefault="00B17E9F" w:rsidP="00381B18">
      <w:pPr>
        <w:spacing w:before="240" w:line="360" w:lineRule="auto"/>
        <w:jc w:val="both"/>
        <w:rPr>
          <w:rFonts w:ascii="Arial" w:hAnsi="Arial" w:cs="Arial"/>
        </w:rPr>
      </w:pPr>
      <w:r w:rsidRPr="00B17E9F">
        <w:rPr>
          <w:rFonts w:ascii="Arial" w:hAnsi="Arial" w:cs="Arial"/>
        </w:rPr>
        <w:t>Genetic factors play a significant role in shaping children’s developmental outcomes. Certain chromosomal abnormalities, such as Down syndrome, Fragile X syndrome, and Williams syndrome, are strongly associated with developmental delays across multiple domains</w:t>
      </w:r>
      <w:r w:rsidR="00F97B6A">
        <w:rPr>
          <w:rFonts w:ascii="Arial" w:hAnsi="Arial" w:cs="Arial"/>
        </w:rPr>
        <w:t xml:space="preserve"> (</w:t>
      </w:r>
      <w:r w:rsidR="00F97B6A" w:rsidRPr="00450662">
        <w:rPr>
          <w:rFonts w:ascii="Arial" w:hAnsi="Arial" w:cs="Arial"/>
        </w:rPr>
        <w:t>Kaur</w:t>
      </w:r>
      <w:r w:rsidR="00F97B6A">
        <w:rPr>
          <w:rFonts w:ascii="Arial" w:hAnsi="Arial" w:cs="Arial"/>
        </w:rPr>
        <w:t xml:space="preserve"> et al, 2021)</w:t>
      </w:r>
      <w:r w:rsidRPr="00B17E9F">
        <w:rPr>
          <w:rFonts w:ascii="Arial" w:hAnsi="Arial" w:cs="Arial"/>
        </w:rPr>
        <w:t>. These genetic conditions may affect intellectual functioning, language acquisition, and motor skills, resulting in variations in learning patterns and behavioural characteristics. Children with genetic conditions frequently require a combination of educational, therapeutic, and medical support to optimise their developmental progress</w:t>
      </w:r>
      <w:r w:rsidR="00733562">
        <w:rPr>
          <w:rFonts w:ascii="Arial" w:hAnsi="Arial" w:cs="Arial"/>
        </w:rPr>
        <w:t xml:space="preserve"> (</w:t>
      </w:r>
      <w:r w:rsidR="00733562" w:rsidRPr="00937113">
        <w:rPr>
          <w:rFonts w:ascii="Arial" w:hAnsi="Arial" w:cs="Arial"/>
        </w:rPr>
        <w:t>Scattolin</w:t>
      </w:r>
      <w:r w:rsidR="00733562">
        <w:rPr>
          <w:rFonts w:ascii="Arial" w:hAnsi="Arial" w:cs="Arial"/>
        </w:rPr>
        <w:t xml:space="preserve"> et al, 2022)</w:t>
      </w:r>
      <w:r w:rsidRPr="00B17E9F">
        <w:rPr>
          <w:rFonts w:ascii="Arial" w:hAnsi="Arial" w:cs="Arial"/>
        </w:rPr>
        <w:t>. Advances in genetic testing have enabled earlier recognition of these conditions, allowing families and health professionals to understand potential developmental trajectories and implement appropriate interventions</w:t>
      </w:r>
      <w:r w:rsidR="00F97B6A">
        <w:rPr>
          <w:rFonts w:ascii="Arial" w:hAnsi="Arial" w:cs="Arial"/>
        </w:rPr>
        <w:t xml:space="preserve"> (</w:t>
      </w:r>
      <w:r w:rsidR="00F97B6A" w:rsidRPr="001A7667">
        <w:rPr>
          <w:rFonts w:ascii="Arial" w:hAnsi="Arial" w:cs="Arial"/>
        </w:rPr>
        <w:t>Korpilahti</w:t>
      </w:r>
      <w:r w:rsidR="00F97B6A">
        <w:rPr>
          <w:rFonts w:ascii="Arial" w:hAnsi="Arial" w:cs="Arial"/>
        </w:rPr>
        <w:t xml:space="preserve"> et al, 2016)</w:t>
      </w:r>
      <w:r w:rsidRPr="00B17E9F">
        <w:rPr>
          <w:rFonts w:ascii="Arial" w:hAnsi="Arial" w:cs="Arial"/>
        </w:rPr>
        <w:t>.</w:t>
      </w:r>
    </w:p>
    <w:p w14:paraId="0BDC78E4" w14:textId="3C11B725" w:rsidR="00B17E9F" w:rsidRPr="00B17E9F" w:rsidRDefault="00B17E9F" w:rsidP="00381B18">
      <w:pPr>
        <w:spacing w:before="240" w:line="360" w:lineRule="auto"/>
        <w:jc w:val="both"/>
        <w:rPr>
          <w:rFonts w:ascii="Arial" w:hAnsi="Arial" w:cs="Arial"/>
        </w:rPr>
      </w:pPr>
      <w:r w:rsidRPr="00B17E9F">
        <w:rPr>
          <w:rFonts w:ascii="Arial" w:hAnsi="Arial" w:cs="Arial"/>
        </w:rPr>
        <w:t>Beyond chromosomal disorders, hereditary patterns also contribute to developmental vulnerabilities. For instance, a family history of learning difficulties, speech delays, or attention-deficit/hyperactivity disorder (ADHD) indicates increased risk for similar patterns appearing in children</w:t>
      </w:r>
      <w:r w:rsidR="00733562">
        <w:rPr>
          <w:rFonts w:ascii="Arial" w:hAnsi="Arial" w:cs="Arial"/>
        </w:rPr>
        <w:t xml:space="preserve"> (</w:t>
      </w:r>
      <w:r w:rsidR="00733562" w:rsidRPr="00937113">
        <w:rPr>
          <w:rFonts w:ascii="Arial" w:hAnsi="Arial" w:cs="Arial"/>
        </w:rPr>
        <w:t>Scattolin</w:t>
      </w:r>
      <w:r w:rsidR="00733562">
        <w:rPr>
          <w:rFonts w:ascii="Arial" w:hAnsi="Arial" w:cs="Arial"/>
        </w:rPr>
        <w:t xml:space="preserve"> et al, 2022)</w:t>
      </w:r>
      <w:r w:rsidRPr="00B17E9F">
        <w:rPr>
          <w:rFonts w:ascii="Arial" w:hAnsi="Arial" w:cs="Arial"/>
        </w:rPr>
        <w:t>. Genetic predispositions influence brain structure, neurological functioning, and temperament, all of which contribute to developmental outcomes</w:t>
      </w:r>
      <w:r w:rsidR="00F97B6A">
        <w:rPr>
          <w:rFonts w:ascii="Arial" w:hAnsi="Arial" w:cs="Arial"/>
        </w:rPr>
        <w:t xml:space="preserve"> (</w:t>
      </w:r>
      <w:r w:rsidR="00F97B6A" w:rsidRPr="001A7667">
        <w:rPr>
          <w:rFonts w:ascii="Arial" w:hAnsi="Arial" w:cs="Arial"/>
        </w:rPr>
        <w:t>Korpilahti</w:t>
      </w:r>
      <w:r w:rsidR="00F97B6A">
        <w:rPr>
          <w:rFonts w:ascii="Arial" w:hAnsi="Arial" w:cs="Arial"/>
        </w:rPr>
        <w:t xml:space="preserve"> et al, 2016)</w:t>
      </w:r>
      <w:r w:rsidRPr="00B17E9F">
        <w:rPr>
          <w:rFonts w:ascii="Arial" w:hAnsi="Arial" w:cs="Arial"/>
        </w:rPr>
        <w:t>. While genetic factors alone are rarely deterministic, they create a foundation upon which environmental conditions exert further influence. Therefore, identifying genetic risk factors enables practitioners to anticipate potential challenges and design personalised support plans that accommodate the child’s individual needs</w:t>
      </w:r>
      <w:r w:rsidR="001C147A">
        <w:rPr>
          <w:rFonts w:ascii="Arial" w:hAnsi="Arial" w:cs="Arial"/>
        </w:rPr>
        <w:t xml:space="preserve"> (</w:t>
      </w:r>
      <w:r w:rsidR="001C147A" w:rsidRPr="001C147A">
        <w:rPr>
          <w:rFonts w:ascii="Arial" w:hAnsi="Arial" w:cs="Arial"/>
        </w:rPr>
        <w:t>Demirci</w:t>
      </w:r>
      <w:r w:rsidR="001C147A">
        <w:rPr>
          <w:rFonts w:ascii="Arial" w:hAnsi="Arial" w:cs="Arial"/>
        </w:rPr>
        <w:t xml:space="preserve"> and </w:t>
      </w:r>
      <w:r w:rsidR="001C147A" w:rsidRPr="001C147A">
        <w:rPr>
          <w:rFonts w:ascii="Arial" w:hAnsi="Arial" w:cs="Arial"/>
        </w:rPr>
        <w:t>Kartal</w:t>
      </w:r>
      <w:r w:rsidR="001C147A">
        <w:rPr>
          <w:rFonts w:ascii="Arial" w:hAnsi="Arial" w:cs="Arial"/>
        </w:rPr>
        <w:t>, 2018)</w:t>
      </w:r>
      <w:r w:rsidRPr="00B17E9F">
        <w:rPr>
          <w:rFonts w:ascii="Arial" w:hAnsi="Arial" w:cs="Arial"/>
        </w:rPr>
        <w:t>.</w:t>
      </w:r>
    </w:p>
    <w:p w14:paraId="24168597" w14:textId="2AA792CD" w:rsidR="00B17E9F" w:rsidRPr="00B17E9F" w:rsidRDefault="00381B18" w:rsidP="008A07BF">
      <w:pPr>
        <w:pStyle w:val="Heading2"/>
      </w:pPr>
      <w:bookmarkStart w:id="14" w:name="_Toc219199486"/>
      <w:r>
        <w:lastRenderedPageBreak/>
        <w:t xml:space="preserve">2.4.2 </w:t>
      </w:r>
      <w:r w:rsidR="00B17E9F" w:rsidRPr="00B17E9F">
        <w:rPr>
          <w:rFonts w:eastAsiaTheme="majorEastAsia"/>
        </w:rPr>
        <w:t>Birth Complications and Medical Conditions</w:t>
      </w:r>
      <w:bookmarkEnd w:id="14"/>
      <w:r w:rsidR="00B17E9F" w:rsidRPr="00B17E9F">
        <w:rPr>
          <w:rFonts w:eastAsiaTheme="majorEastAsia"/>
        </w:rPr>
        <w:t xml:space="preserve"> </w:t>
      </w:r>
    </w:p>
    <w:p w14:paraId="0F0FC5A1" w14:textId="3160BEC2" w:rsidR="00B17E9F" w:rsidRPr="00B17E9F" w:rsidRDefault="00B17E9F" w:rsidP="00381B18">
      <w:pPr>
        <w:spacing w:before="240" w:line="360" w:lineRule="auto"/>
        <w:jc w:val="both"/>
        <w:rPr>
          <w:rFonts w:ascii="Arial" w:hAnsi="Arial" w:cs="Arial"/>
        </w:rPr>
      </w:pPr>
      <w:r w:rsidRPr="00B17E9F">
        <w:rPr>
          <w:rFonts w:ascii="Arial" w:hAnsi="Arial" w:cs="Arial"/>
        </w:rPr>
        <w:t>Complications arising during pregnancy, labour, or the neonatal period can have lasting effects on a child's development. Premature birth, low birth weight, and oxygen deprivation during delivery are known risk factors for cognitive and motor delays</w:t>
      </w:r>
      <w:r w:rsidR="009A0B98">
        <w:rPr>
          <w:rFonts w:ascii="Arial" w:hAnsi="Arial" w:cs="Arial"/>
        </w:rPr>
        <w:t xml:space="preserve"> (</w:t>
      </w:r>
      <w:r w:rsidR="009A0B98" w:rsidRPr="00937113">
        <w:rPr>
          <w:rFonts w:ascii="Arial" w:hAnsi="Arial" w:cs="Arial"/>
        </w:rPr>
        <w:t>Scattolin</w:t>
      </w:r>
      <w:r w:rsidR="009A0B98">
        <w:rPr>
          <w:rFonts w:ascii="Arial" w:hAnsi="Arial" w:cs="Arial"/>
        </w:rPr>
        <w:t xml:space="preserve"> et al, 2022)</w:t>
      </w:r>
      <w:r w:rsidRPr="00B17E9F">
        <w:rPr>
          <w:rFonts w:ascii="Arial" w:hAnsi="Arial" w:cs="Arial"/>
        </w:rPr>
        <w:t>. These complications may interfere with critical stages of brain development, leading to difficulties in attention, coordination, or sensory processing</w:t>
      </w:r>
      <w:r w:rsidR="00777C0F">
        <w:rPr>
          <w:rFonts w:ascii="Arial" w:hAnsi="Arial" w:cs="Arial"/>
        </w:rPr>
        <w:t xml:space="preserve"> (</w:t>
      </w:r>
      <w:r w:rsidR="00777C0F" w:rsidRPr="001C147A">
        <w:rPr>
          <w:rFonts w:ascii="Arial" w:hAnsi="Arial" w:cs="Arial"/>
        </w:rPr>
        <w:t>Demirci</w:t>
      </w:r>
      <w:r w:rsidR="00777C0F">
        <w:rPr>
          <w:rFonts w:ascii="Arial" w:hAnsi="Arial" w:cs="Arial"/>
        </w:rPr>
        <w:t xml:space="preserve"> and </w:t>
      </w:r>
      <w:r w:rsidR="00777C0F" w:rsidRPr="001C147A">
        <w:rPr>
          <w:rFonts w:ascii="Arial" w:hAnsi="Arial" w:cs="Arial"/>
        </w:rPr>
        <w:t>Kartal</w:t>
      </w:r>
      <w:r w:rsidR="00777C0F">
        <w:rPr>
          <w:rFonts w:ascii="Arial" w:hAnsi="Arial" w:cs="Arial"/>
        </w:rPr>
        <w:t>, 2018)</w:t>
      </w:r>
      <w:r w:rsidRPr="00B17E9F">
        <w:rPr>
          <w:rFonts w:ascii="Arial" w:hAnsi="Arial" w:cs="Arial"/>
        </w:rPr>
        <w:t>. Children born prematurely are particularly vulnerable to developmental delays and often require ongoing monitoring throughout early childhood and school years. Although advances in neonatal care have improved long-term outcomes, many children continue to face challenges linked to early medical complications</w:t>
      </w:r>
      <w:r w:rsidR="00F97B6A">
        <w:rPr>
          <w:rFonts w:ascii="Arial" w:hAnsi="Arial" w:cs="Arial"/>
        </w:rPr>
        <w:t xml:space="preserve"> (</w:t>
      </w:r>
      <w:r w:rsidR="00F97B6A" w:rsidRPr="00450662">
        <w:rPr>
          <w:rFonts w:ascii="Arial" w:hAnsi="Arial" w:cs="Arial"/>
        </w:rPr>
        <w:t>Kaur</w:t>
      </w:r>
      <w:r w:rsidR="00F97B6A">
        <w:rPr>
          <w:rFonts w:ascii="Arial" w:hAnsi="Arial" w:cs="Arial"/>
        </w:rPr>
        <w:t xml:space="preserve"> et al, 2021)</w:t>
      </w:r>
      <w:r w:rsidRPr="00B17E9F">
        <w:rPr>
          <w:rFonts w:ascii="Arial" w:hAnsi="Arial" w:cs="Arial"/>
        </w:rPr>
        <w:t>.</w:t>
      </w:r>
    </w:p>
    <w:p w14:paraId="6224647C" w14:textId="1D4329B3" w:rsidR="00B17E9F" w:rsidRPr="00B17E9F" w:rsidRDefault="00B17E9F" w:rsidP="00381B18">
      <w:pPr>
        <w:spacing w:before="240" w:line="360" w:lineRule="auto"/>
        <w:jc w:val="both"/>
        <w:rPr>
          <w:rFonts w:ascii="Arial" w:hAnsi="Arial" w:cs="Arial"/>
        </w:rPr>
      </w:pPr>
      <w:r w:rsidRPr="00B17E9F">
        <w:rPr>
          <w:rFonts w:ascii="Arial" w:hAnsi="Arial" w:cs="Arial"/>
        </w:rPr>
        <w:t>Chronic medical conditions also contribute to developmental delays. Conditions such as epilepsy, congenital heart disease, and metabolic disorders can affect neurological functioning and cognitive development</w:t>
      </w:r>
      <w:r w:rsidR="00F97B6A">
        <w:rPr>
          <w:rFonts w:ascii="Arial" w:hAnsi="Arial" w:cs="Arial"/>
        </w:rPr>
        <w:t xml:space="preserve"> (</w:t>
      </w:r>
      <w:r w:rsidR="00F97B6A" w:rsidRPr="001A7667">
        <w:rPr>
          <w:rFonts w:ascii="Arial" w:hAnsi="Arial" w:cs="Arial"/>
        </w:rPr>
        <w:t>Korpilahti</w:t>
      </w:r>
      <w:r w:rsidR="00F97B6A">
        <w:rPr>
          <w:rFonts w:ascii="Arial" w:hAnsi="Arial" w:cs="Arial"/>
        </w:rPr>
        <w:t xml:space="preserve"> et al, 2016)</w:t>
      </w:r>
      <w:r w:rsidRPr="00B17E9F">
        <w:rPr>
          <w:rFonts w:ascii="Arial" w:hAnsi="Arial" w:cs="Arial"/>
        </w:rPr>
        <w:t>. Frequent hospitalisations or complex treatment regimens may further impact school attendance and participation, limiting opportunities for learning and social engagement. Additionally, nutritional deficiencies or long-term exposure to medication can influence growth and developmental progress</w:t>
      </w:r>
      <w:r w:rsidR="00777C0F">
        <w:rPr>
          <w:rFonts w:ascii="Arial" w:hAnsi="Arial" w:cs="Arial"/>
        </w:rPr>
        <w:t xml:space="preserve"> (</w:t>
      </w:r>
      <w:r w:rsidR="00777C0F" w:rsidRPr="001C147A">
        <w:rPr>
          <w:rFonts w:ascii="Arial" w:hAnsi="Arial" w:cs="Arial"/>
        </w:rPr>
        <w:t>Demirci</w:t>
      </w:r>
      <w:r w:rsidR="00777C0F">
        <w:rPr>
          <w:rFonts w:ascii="Arial" w:hAnsi="Arial" w:cs="Arial"/>
        </w:rPr>
        <w:t xml:space="preserve"> and </w:t>
      </w:r>
      <w:r w:rsidR="00777C0F" w:rsidRPr="001C147A">
        <w:rPr>
          <w:rFonts w:ascii="Arial" w:hAnsi="Arial" w:cs="Arial"/>
        </w:rPr>
        <w:t>Kartal</w:t>
      </w:r>
      <w:r w:rsidR="00777C0F">
        <w:rPr>
          <w:rFonts w:ascii="Arial" w:hAnsi="Arial" w:cs="Arial"/>
        </w:rPr>
        <w:t>, 2018)</w:t>
      </w:r>
      <w:r w:rsidRPr="00B17E9F">
        <w:rPr>
          <w:rFonts w:ascii="Arial" w:hAnsi="Arial" w:cs="Arial"/>
        </w:rPr>
        <w:t>. Understanding the impact of birth complications and medical conditions enables healthcare professionals to identify at-risk children and ensure they receive coordinated and continuous support across medical and educational settings</w:t>
      </w:r>
      <w:r w:rsidR="00F97B6A">
        <w:rPr>
          <w:rFonts w:ascii="Arial" w:hAnsi="Arial" w:cs="Arial"/>
        </w:rPr>
        <w:t xml:space="preserve"> (</w:t>
      </w:r>
      <w:r w:rsidR="008042A3" w:rsidRPr="008042A3">
        <w:rPr>
          <w:rFonts w:ascii="Arial" w:hAnsi="Arial" w:cs="Arial"/>
        </w:rPr>
        <w:t>Fardell</w:t>
      </w:r>
      <w:r w:rsidR="008042A3">
        <w:rPr>
          <w:rFonts w:ascii="Arial" w:hAnsi="Arial" w:cs="Arial"/>
        </w:rPr>
        <w:t xml:space="preserve"> </w:t>
      </w:r>
      <w:r w:rsidR="00F97B6A">
        <w:rPr>
          <w:rFonts w:ascii="Arial" w:hAnsi="Arial" w:cs="Arial"/>
        </w:rPr>
        <w:t>et al, 202</w:t>
      </w:r>
      <w:r w:rsidR="008042A3">
        <w:rPr>
          <w:rFonts w:ascii="Arial" w:hAnsi="Arial" w:cs="Arial"/>
        </w:rPr>
        <w:t>3</w:t>
      </w:r>
      <w:r w:rsidR="00F97B6A">
        <w:rPr>
          <w:rFonts w:ascii="Arial" w:hAnsi="Arial" w:cs="Arial"/>
        </w:rPr>
        <w:t>)</w:t>
      </w:r>
      <w:r w:rsidRPr="00B17E9F">
        <w:rPr>
          <w:rFonts w:ascii="Arial" w:hAnsi="Arial" w:cs="Arial"/>
        </w:rPr>
        <w:t>.</w:t>
      </w:r>
    </w:p>
    <w:p w14:paraId="292FE5A8" w14:textId="19A6CB7C" w:rsidR="00B17E9F" w:rsidRPr="00B17E9F" w:rsidRDefault="00381B18" w:rsidP="008A07BF">
      <w:pPr>
        <w:pStyle w:val="Heading2"/>
      </w:pPr>
      <w:bookmarkStart w:id="15" w:name="_Toc219199487"/>
      <w:r>
        <w:t xml:space="preserve">2.4.3 </w:t>
      </w:r>
      <w:r w:rsidR="00B17E9F" w:rsidRPr="00B17E9F">
        <w:rPr>
          <w:rFonts w:eastAsiaTheme="majorEastAsia"/>
        </w:rPr>
        <w:t>Neurodevelopmental Disorders</w:t>
      </w:r>
      <w:bookmarkEnd w:id="15"/>
      <w:r w:rsidR="00B17E9F" w:rsidRPr="00B17E9F">
        <w:rPr>
          <w:rFonts w:eastAsiaTheme="majorEastAsia"/>
        </w:rPr>
        <w:t xml:space="preserve"> </w:t>
      </w:r>
    </w:p>
    <w:p w14:paraId="2D8A1422" w14:textId="7D9C35D0" w:rsidR="00B17E9F" w:rsidRPr="00B17E9F" w:rsidRDefault="00B17E9F" w:rsidP="00381B18">
      <w:pPr>
        <w:spacing w:before="240" w:line="360" w:lineRule="auto"/>
        <w:jc w:val="both"/>
        <w:rPr>
          <w:rFonts w:ascii="Arial" w:hAnsi="Arial" w:cs="Arial"/>
        </w:rPr>
      </w:pPr>
      <w:r w:rsidRPr="00B17E9F">
        <w:rPr>
          <w:rFonts w:ascii="Arial" w:hAnsi="Arial" w:cs="Arial"/>
        </w:rPr>
        <w:t>Neurodevelopmental disorders, including autism spectrum disorder (ASD), ADHD, and developmental coordination disorder (DCD), represent a major category of biological risk factors associated with developmental delays</w:t>
      </w:r>
      <w:r w:rsidR="00F97B6A">
        <w:rPr>
          <w:rFonts w:ascii="Arial" w:hAnsi="Arial" w:cs="Arial"/>
        </w:rPr>
        <w:t xml:space="preserve"> (</w:t>
      </w:r>
      <w:r w:rsidR="00F97B6A" w:rsidRPr="00450662">
        <w:rPr>
          <w:rFonts w:ascii="Arial" w:hAnsi="Arial" w:cs="Arial"/>
        </w:rPr>
        <w:t>Kaur</w:t>
      </w:r>
      <w:r w:rsidR="00F97B6A">
        <w:rPr>
          <w:rFonts w:ascii="Arial" w:hAnsi="Arial" w:cs="Arial"/>
        </w:rPr>
        <w:t xml:space="preserve"> et al, 2021)</w:t>
      </w:r>
      <w:r w:rsidRPr="00B17E9F">
        <w:rPr>
          <w:rFonts w:ascii="Arial" w:hAnsi="Arial" w:cs="Arial"/>
        </w:rPr>
        <w:t>. Children with ASD may experience challenges in social communication, emotional regulation, and sensory processing, often accompanied by restricted interests or repetitive behaviours</w:t>
      </w:r>
      <w:r w:rsidR="00777C0F">
        <w:rPr>
          <w:rFonts w:ascii="Arial" w:hAnsi="Arial" w:cs="Arial"/>
        </w:rPr>
        <w:t xml:space="preserve"> (</w:t>
      </w:r>
      <w:r w:rsidR="00777C0F" w:rsidRPr="001C147A">
        <w:rPr>
          <w:rFonts w:ascii="Arial" w:hAnsi="Arial" w:cs="Arial"/>
        </w:rPr>
        <w:t>Demirci</w:t>
      </w:r>
      <w:r w:rsidR="00777C0F">
        <w:rPr>
          <w:rFonts w:ascii="Arial" w:hAnsi="Arial" w:cs="Arial"/>
        </w:rPr>
        <w:t xml:space="preserve"> and </w:t>
      </w:r>
      <w:r w:rsidR="00777C0F" w:rsidRPr="001C147A">
        <w:rPr>
          <w:rFonts w:ascii="Arial" w:hAnsi="Arial" w:cs="Arial"/>
        </w:rPr>
        <w:t>Kartal</w:t>
      </w:r>
      <w:r w:rsidR="00777C0F">
        <w:rPr>
          <w:rFonts w:ascii="Arial" w:hAnsi="Arial" w:cs="Arial"/>
        </w:rPr>
        <w:t>, 2018)</w:t>
      </w:r>
      <w:r w:rsidRPr="00B17E9F">
        <w:rPr>
          <w:rFonts w:ascii="Arial" w:hAnsi="Arial" w:cs="Arial"/>
        </w:rPr>
        <w:t>. These characteristics can lead to developmental delays in language, social skills, and adaptive functioning</w:t>
      </w:r>
      <w:r w:rsidR="00F97B6A">
        <w:rPr>
          <w:rFonts w:ascii="Arial" w:hAnsi="Arial" w:cs="Arial"/>
        </w:rPr>
        <w:t xml:space="preserve"> (</w:t>
      </w:r>
      <w:r w:rsidR="00F97B6A" w:rsidRPr="001A7667">
        <w:rPr>
          <w:rFonts w:ascii="Arial" w:hAnsi="Arial" w:cs="Arial"/>
        </w:rPr>
        <w:t>Korpilahti</w:t>
      </w:r>
      <w:r w:rsidR="00F97B6A">
        <w:rPr>
          <w:rFonts w:ascii="Arial" w:hAnsi="Arial" w:cs="Arial"/>
        </w:rPr>
        <w:t xml:space="preserve"> et al, 2016)</w:t>
      </w:r>
      <w:r w:rsidRPr="00B17E9F">
        <w:rPr>
          <w:rFonts w:ascii="Arial" w:hAnsi="Arial" w:cs="Arial"/>
        </w:rPr>
        <w:t xml:space="preserve">. Early diagnosis is crucial in ensuring children receive specialised support </w:t>
      </w:r>
      <w:r w:rsidRPr="00B17E9F">
        <w:rPr>
          <w:rFonts w:ascii="Arial" w:hAnsi="Arial" w:cs="Arial"/>
        </w:rPr>
        <w:lastRenderedPageBreak/>
        <w:t>aimed at improving communication, reducing anxiety, and enhancing independence</w:t>
      </w:r>
      <w:r w:rsidR="00F97B6A">
        <w:rPr>
          <w:rFonts w:ascii="Arial" w:hAnsi="Arial" w:cs="Arial"/>
        </w:rPr>
        <w:t xml:space="preserve"> (</w:t>
      </w:r>
      <w:r w:rsidR="001379D5" w:rsidRPr="001379D5">
        <w:rPr>
          <w:rFonts w:ascii="Arial" w:hAnsi="Arial" w:cs="Arial"/>
        </w:rPr>
        <w:t>Aravamuthan</w:t>
      </w:r>
      <w:r w:rsidR="001379D5">
        <w:rPr>
          <w:rFonts w:ascii="Arial" w:hAnsi="Arial" w:cs="Arial"/>
        </w:rPr>
        <w:t xml:space="preserve"> </w:t>
      </w:r>
      <w:r w:rsidR="00F97B6A">
        <w:rPr>
          <w:rFonts w:ascii="Arial" w:hAnsi="Arial" w:cs="Arial"/>
        </w:rPr>
        <w:t>et al, 202</w:t>
      </w:r>
      <w:r w:rsidR="001379D5">
        <w:rPr>
          <w:rFonts w:ascii="Arial" w:hAnsi="Arial" w:cs="Arial"/>
        </w:rPr>
        <w:t>4</w:t>
      </w:r>
      <w:r w:rsidR="00F97B6A">
        <w:rPr>
          <w:rFonts w:ascii="Arial" w:hAnsi="Arial" w:cs="Arial"/>
        </w:rPr>
        <w:t>)</w:t>
      </w:r>
      <w:r w:rsidRPr="00B17E9F">
        <w:rPr>
          <w:rFonts w:ascii="Arial" w:hAnsi="Arial" w:cs="Arial"/>
        </w:rPr>
        <w:t>.</w:t>
      </w:r>
    </w:p>
    <w:p w14:paraId="33C7C01E" w14:textId="50AE2E83" w:rsidR="00B17E9F" w:rsidRPr="00B17E9F" w:rsidRDefault="00B17E9F" w:rsidP="00381B18">
      <w:pPr>
        <w:spacing w:before="240" w:line="360" w:lineRule="auto"/>
        <w:jc w:val="both"/>
        <w:rPr>
          <w:rFonts w:ascii="Arial" w:hAnsi="Arial" w:cs="Arial"/>
        </w:rPr>
      </w:pPr>
      <w:r w:rsidRPr="00B17E9F">
        <w:rPr>
          <w:rFonts w:ascii="Arial" w:hAnsi="Arial" w:cs="Arial"/>
        </w:rPr>
        <w:t>ADHD and DCD also contribute to developmental differences in school-aged children</w:t>
      </w:r>
      <w:r w:rsidR="009A0B98">
        <w:rPr>
          <w:rFonts w:ascii="Arial" w:hAnsi="Arial" w:cs="Arial"/>
        </w:rPr>
        <w:t xml:space="preserve"> (</w:t>
      </w:r>
      <w:r w:rsidR="009A0B98" w:rsidRPr="00937113">
        <w:rPr>
          <w:rFonts w:ascii="Arial" w:hAnsi="Arial" w:cs="Arial"/>
        </w:rPr>
        <w:t>Scattolin</w:t>
      </w:r>
      <w:r w:rsidR="009A0B98">
        <w:rPr>
          <w:rFonts w:ascii="Arial" w:hAnsi="Arial" w:cs="Arial"/>
        </w:rPr>
        <w:t xml:space="preserve"> et al, 2022)</w:t>
      </w:r>
      <w:r w:rsidRPr="00B17E9F">
        <w:rPr>
          <w:rFonts w:ascii="Arial" w:hAnsi="Arial" w:cs="Arial"/>
        </w:rPr>
        <w:t>. Children with ADHD often face difficulties with attention, impulsivity, and behavioural control, which can affect academic achievement and peer relationships</w:t>
      </w:r>
      <w:r w:rsidR="00777C0F">
        <w:rPr>
          <w:rFonts w:ascii="Arial" w:hAnsi="Arial" w:cs="Arial"/>
        </w:rPr>
        <w:t xml:space="preserve"> (</w:t>
      </w:r>
      <w:r w:rsidR="00777C0F" w:rsidRPr="001C147A">
        <w:rPr>
          <w:rFonts w:ascii="Arial" w:hAnsi="Arial" w:cs="Arial"/>
        </w:rPr>
        <w:t>Demirci</w:t>
      </w:r>
      <w:r w:rsidR="00777C0F">
        <w:rPr>
          <w:rFonts w:ascii="Arial" w:hAnsi="Arial" w:cs="Arial"/>
        </w:rPr>
        <w:t xml:space="preserve"> and </w:t>
      </w:r>
      <w:r w:rsidR="00777C0F" w:rsidRPr="001C147A">
        <w:rPr>
          <w:rFonts w:ascii="Arial" w:hAnsi="Arial" w:cs="Arial"/>
        </w:rPr>
        <w:t>Kartal</w:t>
      </w:r>
      <w:r w:rsidR="00777C0F">
        <w:rPr>
          <w:rFonts w:ascii="Arial" w:hAnsi="Arial" w:cs="Arial"/>
        </w:rPr>
        <w:t>, 2018)</w:t>
      </w:r>
      <w:r w:rsidRPr="00B17E9F">
        <w:rPr>
          <w:rFonts w:ascii="Arial" w:hAnsi="Arial" w:cs="Arial"/>
        </w:rPr>
        <w:t>. Those with DCD may have delayed motor coordination, affecting handwriting, balance, and everyday tasks requiring fine motor precision. These neurodevelopmental conditions frequently co-occur, creating complex developmental profiles</w:t>
      </w:r>
      <w:r w:rsidR="00937113">
        <w:rPr>
          <w:rFonts w:ascii="Arial" w:hAnsi="Arial" w:cs="Arial"/>
        </w:rPr>
        <w:t xml:space="preserve"> (</w:t>
      </w:r>
      <w:r w:rsidR="000C2CEE" w:rsidRPr="000C2CEE">
        <w:rPr>
          <w:rFonts w:ascii="Arial" w:hAnsi="Arial" w:cs="Arial"/>
        </w:rPr>
        <w:t>Toki</w:t>
      </w:r>
      <w:r w:rsidR="00937113">
        <w:rPr>
          <w:rFonts w:ascii="Arial" w:hAnsi="Arial" w:cs="Arial"/>
        </w:rPr>
        <w:t xml:space="preserve"> et al, 202</w:t>
      </w:r>
      <w:r w:rsidR="000C2CEE">
        <w:rPr>
          <w:rFonts w:ascii="Arial" w:hAnsi="Arial" w:cs="Arial"/>
        </w:rPr>
        <w:t>4</w:t>
      </w:r>
      <w:r w:rsidR="00937113">
        <w:rPr>
          <w:rFonts w:ascii="Arial" w:hAnsi="Arial" w:cs="Arial"/>
        </w:rPr>
        <w:t>)</w:t>
      </w:r>
      <w:r w:rsidRPr="00B17E9F">
        <w:rPr>
          <w:rFonts w:ascii="Arial" w:hAnsi="Arial" w:cs="Arial"/>
        </w:rPr>
        <w:t>. Recognising their presence allows practitioners to implement targeted interventions, such as behavioural therapy, occupational therapy, or structured educational support, to help children reach their developmental potential</w:t>
      </w:r>
      <w:r w:rsidR="00F97B6A">
        <w:rPr>
          <w:rFonts w:ascii="Arial" w:hAnsi="Arial" w:cs="Arial"/>
        </w:rPr>
        <w:t xml:space="preserve"> (</w:t>
      </w:r>
      <w:r w:rsidR="008776AC" w:rsidRPr="008776AC">
        <w:rPr>
          <w:rFonts w:ascii="Arial" w:hAnsi="Arial" w:cs="Arial"/>
        </w:rPr>
        <w:t>Lee</w:t>
      </w:r>
      <w:r w:rsidR="008776AC">
        <w:rPr>
          <w:rFonts w:ascii="Arial" w:hAnsi="Arial" w:cs="Arial"/>
        </w:rPr>
        <w:t xml:space="preserve"> </w:t>
      </w:r>
      <w:r w:rsidR="00F97B6A">
        <w:rPr>
          <w:rFonts w:ascii="Arial" w:hAnsi="Arial" w:cs="Arial"/>
        </w:rPr>
        <w:t>et al, 202</w:t>
      </w:r>
      <w:r w:rsidR="008776AC">
        <w:rPr>
          <w:rFonts w:ascii="Arial" w:hAnsi="Arial" w:cs="Arial"/>
        </w:rPr>
        <w:t>5</w:t>
      </w:r>
      <w:r w:rsidR="00F97B6A">
        <w:rPr>
          <w:rFonts w:ascii="Arial" w:hAnsi="Arial" w:cs="Arial"/>
        </w:rPr>
        <w:t>)</w:t>
      </w:r>
      <w:r w:rsidRPr="00B17E9F">
        <w:rPr>
          <w:rFonts w:ascii="Arial" w:hAnsi="Arial" w:cs="Arial"/>
        </w:rPr>
        <w:t>.</w:t>
      </w:r>
    </w:p>
    <w:p w14:paraId="11221A3D" w14:textId="532F60C9" w:rsidR="00B17E9F" w:rsidRPr="00B17E9F" w:rsidRDefault="00B17E9F" w:rsidP="008A07BF">
      <w:pPr>
        <w:pStyle w:val="Heading1"/>
      </w:pPr>
      <w:bookmarkStart w:id="16" w:name="_Toc219199488"/>
      <w:r w:rsidRPr="00B17E9F">
        <w:t>2.</w:t>
      </w:r>
      <w:r w:rsidR="00381B18">
        <w:t>5</w:t>
      </w:r>
      <w:r w:rsidRPr="00B17E9F">
        <w:t xml:space="preserve"> Environmental Risk Factors</w:t>
      </w:r>
      <w:bookmarkEnd w:id="16"/>
      <w:r w:rsidRPr="00B17E9F">
        <w:t xml:space="preserve"> </w:t>
      </w:r>
    </w:p>
    <w:p w14:paraId="645559BE" w14:textId="6616CAB2" w:rsidR="00B17E9F" w:rsidRPr="00B17E9F" w:rsidRDefault="00B17E9F" w:rsidP="00381B18">
      <w:pPr>
        <w:spacing w:before="240" w:line="360" w:lineRule="auto"/>
        <w:jc w:val="both"/>
        <w:rPr>
          <w:rFonts w:ascii="Arial" w:hAnsi="Arial" w:cs="Arial"/>
        </w:rPr>
      </w:pPr>
      <w:r w:rsidRPr="00B17E9F">
        <w:rPr>
          <w:rFonts w:ascii="Arial" w:hAnsi="Arial" w:cs="Arial"/>
        </w:rPr>
        <w:t>Environmental influences play a central role in shaping developmental outcomes, as children’s experiences within their home, school, and community significantly affect their learning and behaviour</w:t>
      </w:r>
      <w:r w:rsidR="00A02D4D">
        <w:rPr>
          <w:rFonts w:ascii="Arial" w:hAnsi="Arial" w:cs="Arial"/>
        </w:rPr>
        <w:t xml:space="preserve"> (</w:t>
      </w:r>
      <w:r w:rsidR="00A02D4D" w:rsidRPr="00A02D4D">
        <w:rPr>
          <w:rFonts w:ascii="Arial" w:hAnsi="Arial" w:cs="Arial"/>
        </w:rPr>
        <w:t>Fan</w:t>
      </w:r>
      <w:r w:rsidR="00A02D4D">
        <w:rPr>
          <w:rFonts w:ascii="Arial" w:hAnsi="Arial" w:cs="Arial"/>
        </w:rPr>
        <w:t xml:space="preserve"> et al, 2021)</w:t>
      </w:r>
      <w:r w:rsidRPr="00B17E9F">
        <w:rPr>
          <w:rFonts w:ascii="Arial" w:hAnsi="Arial" w:cs="Arial"/>
        </w:rPr>
        <w:t>. The quality of the home environment, including the availability of stimulating activities, parental responsiveness, and emotional support, has a strong impact on cognitive and social development</w:t>
      </w:r>
      <w:r w:rsidR="00DC124B">
        <w:rPr>
          <w:rFonts w:ascii="Arial" w:hAnsi="Arial" w:cs="Arial"/>
        </w:rPr>
        <w:t xml:space="preserve"> (</w:t>
      </w:r>
      <w:r w:rsidR="00DC124B" w:rsidRPr="00DC124B">
        <w:rPr>
          <w:rFonts w:ascii="Arial" w:hAnsi="Arial" w:cs="Arial"/>
        </w:rPr>
        <w:t>Olusanya</w:t>
      </w:r>
      <w:r w:rsidR="00DC124B">
        <w:rPr>
          <w:rFonts w:ascii="Arial" w:hAnsi="Arial" w:cs="Arial"/>
        </w:rPr>
        <w:t xml:space="preserve"> et al, 2018)</w:t>
      </w:r>
      <w:r w:rsidRPr="00B17E9F">
        <w:rPr>
          <w:rFonts w:ascii="Arial" w:hAnsi="Arial" w:cs="Arial"/>
        </w:rPr>
        <w:t>. Children lacking access to enriching experiences or consistent caregiving may show delays in language acquisition, problem-solving skills, or emotional regulation. Environmental risks can also arise from unstable family structures, parental stress, or exposure to conflict, all of which may disrupt developmental progress</w:t>
      </w:r>
      <w:r w:rsidR="00330E0D">
        <w:rPr>
          <w:rFonts w:ascii="Arial" w:hAnsi="Arial" w:cs="Arial"/>
        </w:rPr>
        <w:t xml:space="preserve"> (</w:t>
      </w:r>
      <w:r w:rsidR="00330E0D" w:rsidRPr="00330E0D">
        <w:rPr>
          <w:rFonts w:ascii="Arial" w:hAnsi="Arial" w:cs="Arial"/>
        </w:rPr>
        <w:t>Zablotsky</w:t>
      </w:r>
      <w:r w:rsidR="00330E0D">
        <w:rPr>
          <w:rFonts w:ascii="Arial" w:hAnsi="Arial" w:cs="Arial"/>
        </w:rPr>
        <w:t xml:space="preserve"> et al, 2019)</w:t>
      </w:r>
      <w:r w:rsidRPr="00B17E9F">
        <w:rPr>
          <w:rFonts w:ascii="Arial" w:hAnsi="Arial" w:cs="Arial"/>
        </w:rPr>
        <w:t>.</w:t>
      </w:r>
    </w:p>
    <w:p w14:paraId="3960C815" w14:textId="21C2A7BA" w:rsidR="00B17E9F" w:rsidRPr="00B17E9F" w:rsidRDefault="00B17E9F" w:rsidP="00381B18">
      <w:pPr>
        <w:spacing w:before="240" w:line="360" w:lineRule="auto"/>
        <w:jc w:val="both"/>
        <w:rPr>
          <w:rFonts w:ascii="Arial" w:hAnsi="Arial" w:cs="Arial"/>
        </w:rPr>
      </w:pPr>
      <w:r w:rsidRPr="00B17E9F">
        <w:rPr>
          <w:rFonts w:ascii="Arial" w:hAnsi="Arial" w:cs="Arial"/>
        </w:rPr>
        <w:t>Exposure to environmental hazards further contributes to developmental challenges. Poor housing conditions, pollution, and exposure to substances such as lead or tobacco smoke can negatively influence neurological development</w:t>
      </w:r>
      <w:r w:rsidR="00D939D1">
        <w:rPr>
          <w:rFonts w:ascii="Arial" w:hAnsi="Arial" w:cs="Arial"/>
        </w:rPr>
        <w:t xml:space="preserve"> (</w:t>
      </w:r>
      <w:r w:rsidR="00D939D1" w:rsidRPr="00A02D4D">
        <w:rPr>
          <w:rFonts w:ascii="Arial" w:hAnsi="Arial" w:cs="Arial"/>
        </w:rPr>
        <w:t>Fan</w:t>
      </w:r>
      <w:r w:rsidR="00D939D1">
        <w:rPr>
          <w:rFonts w:ascii="Arial" w:hAnsi="Arial" w:cs="Arial"/>
        </w:rPr>
        <w:t xml:space="preserve"> et al, 2021)</w:t>
      </w:r>
      <w:r w:rsidRPr="00B17E9F">
        <w:rPr>
          <w:rFonts w:ascii="Arial" w:hAnsi="Arial" w:cs="Arial"/>
        </w:rPr>
        <w:t>. Nutritional deficits caused by food insecurity may impair physical growth and cognitive functioning, affecting concentration and school readiness</w:t>
      </w:r>
      <w:r w:rsidR="00D939D1">
        <w:rPr>
          <w:rFonts w:ascii="Arial" w:hAnsi="Arial" w:cs="Arial"/>
        </w:rPr>
        <w:t xml:space="preserve"> (</w:t>
      </w:r>
      <w:r w:rsidR="00D939D1" w:rsidRPr="00A02D4D">
        <w:rPr>
          <w:rFonts w:ascii="Arial" w:hAnsi="Arial" w:cs="Arial"/>
        </w:rPr>
        <w:t>Fan</w:t>
      </w:r>
      <w:r w:rsidR="00D939D1">
        <w:rPr>
          <w:rFonts w:ascii="Arial" w:hAnsi="Arial" w:cs="Arial"/>
        </w:rPr>
        <w:t xml:space="preserve"> et al, 2021)</w:t>
      </w:r>
      <w:r w:rsidRPr="00B17E9F">
        <w:rPr>
          <w:rFonts w:ascii="Arial" w:hAnsi="Arial" w:cs="Arial"/>
        </w:rPr>
        <w:t xml:space="preserve">. In addition, children living in unsafe neighbourhoods may have limited opportunities for play and </w:t>
      </w:r>
      <w:r w:rsidRPr="00B17E9F">
        <w:rPr>
          <w:rFonts w:ascii="Arial" w:hAnsi="Arial" w:cs="Arial"/>
        </w:rPr>
        <w:lastRenderedPageBreak/>
        <w:t>social interaction, reducing the experiences necessary for healthy social and physical development</w:t>
      </w:r>
      <w:r w:rsidR="00D939D1">
        <w:rPr>
          <w:rFonts w:ascii="Arial" w:hAnsi="Arial" w:cs="Arial"/>
        </w:rPr>
        <w:t xml:space="preserve"> (</w:t>
      </w:r>
      <w:r w:rsidR="00D939D1" w:rsidRPr="00DC124B">
        <w:rPr>
          <w:rFonts w:ascii="Arial" w:hAnsi="Arial" w:cs="Arial"/>
        </w:rPr>
        <w:t>Olusanya</w:t>
      </w:r>
      <w:r w:rsidR="00D939D1">
        <w:rPr>
          <w:rFonts w:ascii="Arial" w:hAnsi="Arial" w:cs="Arial"/>
        </w:rPr>
        <w:t xml:space="preserve"> et al, 2018)</w:t>
      </w:r>
      <w:r w:rsidRPr="00B17E9F">
        <w:rPr>
          <w:rFonts w:ascii="Arial" w:hAnsi="Arial" w:cs="Arial"/>
        </w:rPr>
        <w:t>.</w:t>
      </w:r>
    </w:p>
    <w:p w14:paraId="07CF5F62" w14:textId="1D36C578" w:rsidR="00B17E9F" w:rsidRPr="00B17E9F" w:rsidRDefault="00B17E9F" w:rsidP="00381B18">
      <w:pPr>
        <w:spacing w:before="240" w:line="360" w:lineRule="auto"/>
        <w:jc w:val="both"/>
        <w:rPr>
          <w:rFonts w:ascii="Arial" w:hAnsi="Arial" w:cs="Arial"/>
        </w:rPr>
      </w:pPr>
      <w:r w:rsidRPr="00B17E9F">
        <w:rPr>
          <w:rFonts w:ascii="Arial" w:hAnsi="Arial" w:cs="Arial"/>
        </w:rPr>
        <w:t>Schools and community environments also influence children’s developmental trajectories. Inadequate educational resources, overcrowded classrooms, or insufficient learning support can exacerbate existing difficulties and impede developmental progress</w:t>
      </w:r>
      <w:r w:rsidR="00D939D1">
        <w:rPr>
          <w:rFonts w:ascii="Arial" w:hAnsi="Arial" w:cs="Arial"/>
        </w:rPr>
        <w:t xml:space="preserve"> (</w:t>
      </w:r>
      <w:r w:rsidR="00D939D1" w:rsidRPr="00DC124B">
        <w:rPr>
          <w:rFonts w:ascii="Arial" w:hAnsi="Arial" w:cs="Arial"/>
        </w:rPr>
        <w:t>Olusanya</w:t>
      </w:r>
      <w:r w:rsidR="00D939D1">
        <w:rPr>
          <w:rFonts w:ascii="Arial" w:hAnsi="Arial" w:cs="Arial"/>
        </w:rPr>
        <w:t xml:space="preserve"> et al, 2018)</w:t>
      </w:r>
      <w:r w:rsidRPr="00B17E9F">
        <w:rPr>
          <w:rFonts w:ascii="Arial" w:hAnsi="Arial" w:cs="Arial"/>
        </w:rPr>
        <w:t>. Teachers play a crucial role in observing early signs of delay, yet high workloads or limited training may hinder timely identification</w:t>
      </w:r>
      <w:r w:rsidR="00D939D1">
        <w:rPr>
          <w:rFonts w:ascii="Arial" w:hAnsi="Arial" w:cs="Arial"/>
        </w:rPr>
        <w:t xml:space="preserve"> (</w:t>
      </w:r>
      <w:r w:rsidR="00D939D1" w:rsidRPr="00330E0D">
        <w:rPr>
          <w:rFonts w:ascii="Arial" w:hAnsi="Arial" w:cs="Arial"/>
        </w:rPr>
        <w:t>Zablotsky</w:t>
      </w:r>
      <w:r w:rsidR="00D939D1">
        <w:rPr>
          <w:rFonts w:ascii="Arial" w:hAnsi="Arial" w:cs="Arial"/>
        </w:rPr>
        <w:t xml:space="preserve"> et al, 2019)</w:t>
      </w:r>
      <w:r w:rsidRPr="00B17E9F">
        <w:rPr>
          <w:rFonts w:ascii="Arial" w:hAnsi="Arial" w:cs="Arial"/>
        </w:rPr>
        <w:t>. Community services, such as after-school programmes or health clinics, can buffer environmental risks, but disparities in availability mean that not all children receive equal support</w:t>
      </w:r>
      <w:r w:rsidR="00D939D1">
        <w:rPr>
          <w:rFonts w:ascii="Arial" w:hAnsi="Arial" w:cs="Arial"/>
        </w:rPr>
        <w:t xml:space="preserve"> (</w:t>
      </w:r>
      <w:r w:rsidR="00D939D1" w:rsidRPr="00330E0D">
        <w:rPr>
          <w:rFonts w:ascii="Arial" w:hAnsi="Arial" w:cs="Arial"/>
        </w:rPr>
        <w:t>Zablotsky</w:t>
      </w:r>
      <w:r w:rsidR="00D939D1">
        <w:rPr>
          <w:rFonts w:ascii="Arial" w:hAnsi="Arial" w:cs="Arial"/>
        </w:rPr>
        <w:t xml:space="preserve"> et al, 2019)</w:t>
      </w:r>
      <w:r w:rsidRPr="00B17E9F">
        <w:rPr>
          <w:rFonts w:ascii="Arial" w:hAnsi="Arial" w:cs="Arial"/>
        </w:rPr>
        <w:t>. Understanding environmental factors helps illustrate the broader context in which developmental delays arise and highlights areas where community investment may yield significant improvements in children's outcomes</w:t>
      </w:r>
      <w:r w:rsidR="00D939D1">
        <w:rPr>
          <w:rFonts w:ascii="Arial" w:hAnsi="Arial" w:cs="Arial"/>
        </w:rPr>
        <w:t xml:space="preserve"> (</w:t>
      </w:r>
      <w:r w:rsidR="00D939D1" w:rsidRPr="00A02D4D">
        <w:rPr>
          <w:rFonts w:ascii="Arial" w:hAnsi="Arial" w:cs="Arial"/>
        </w:rPr>
        <w:t>Fan</w:t>
      </w:r>
      <w:r w:rsidR="00D939D1">
        <w:rPr>
          <w:rFonts w:ascii="Arial" w:hAnsi="Arial" w:cs="Arial"/>
        </w:rPr>
        <w:t xml:space="preserve"> et al, 2021)</w:t>
      </w:r>
      <w:r w:rsidRPr="00B17E9F">
        <w:rPr>
          <w:rFonts w:ascii="Arial" w:hAnsi="Arial" w:cs="Arial"/>
        </w:rPr>
        <w:t>.</w:t>
      </w:r>
    </w:p>
    <w:p w14:paraId="398AE21B" w14:textId="1903C9AC" w:rsidR="00B17E9F" w:rsidRPr="00B17E9F" w:rsidRDefault="00B17E9F" w:rsidP="008A07BF">
      <w:pPr>
        <w:pStyle w:val="Heading1"/>
      </w:pPr>
      <w:bookmarkStart w:id="17" w:name="_Toc219199489"/>
      <w:r w:rsidRPr="00B17E9F">
        <w:t>2.</w:t>
      </w:r>
      <w:r w:rsidR="00381B18">
        <w:t>6</w:t>
      </w:r>
      <w:r w:rsidRPr="00B17E9F">
        <w:t xml:space="preserve"> Socio-Economic Risk Factors</w:t>
      </w:r>
      <w:bookmarkEnd w:id="17"/>
      <w:r w:rsidRPr="00B17E9F">
        <w:t xml:space="preserve"> </w:t>
      </w:r>
    </w:p>
    <w:p w14:paraId="201105CB" w14:textId="6BAAC6A0" w:rsidR="00B17E9F" w:rsidRPr="00B17E9F" w:rsidRDefault="00B17E9F" w:rsidP="00381B18">
      <w:pPr>
        <w:spacing w:before="240" w:line="360" w:lineRule="auto"/>
        <w:jc w:val="both"/>
        <w:rPr>
          <w:rFonts w:ascii="Arial" w:hAnsi="Arial" w:cs="Arial"/>
        </w:rPr>
      </w:pPr>
      <w:r w:rsidRPr="00B17E9F">
        <w:rPr>
          <w:rFonts w:ascii="Arial" w:hAnsi="Arial" w:cs="Arial"/>
        </w:rPr>
        <w:t>Socio-economic disadvantage is widely recognised as a significant predictor of developmental delays. Children from low-income families often face multiple intersecting challenges, including limited access to healthcare, reduced availability of educational resources, and exposure to stressors such as housing instability or food insecurity</w:t>
      </w:r>
      <w:r w:rsidR="002E0ABD">
        <w:rPr>
          <w:rFonts w:ascii="Arial" w:hAnsi="Arial" w:cs="Arial"/>
        </w:rPr>
        <w:t xml:space="preserve"> (</w:t>
      </w:r>
      <w:r w:rsidR="002E0ABD" w:rsidRPr="002E0ABD">
        <w:rPr>
          <w:rFonts w:ascii="Arial" w:hAnsi="Arial" w:cs="Arial"/>
        </w:rPr>
        <w:t>Alijanzadeh</w:t>
      </w:r>
      <w:r w:rsidR="002E0ABD">
        <w:rPr>
          <w:rFonts w:ascii="Arial" w:hAnsi="Arial" w:cs="Arial"/>
        </w:rPr>
        <w:t xml:space="preserve"> et al, 2024)</w:t>
      </w:r>
      <w:r w:rsidRPr="00B17E9F">
        <w:rPr>
          <w:rFonts w:ascii="Arial" w:hAnsi="Arial" w:cs="Arial"/>
        </w:rPr>
        <w:t>. These conditions place considerable strain on families and can affect children's cognitive, language, and emotional development. The effects of poverty frequently accumulate over time, leading to disparities in school readiness and academic achievement</w:t>
      </w:r>
      <w:r w:rsidR="00080DBE">
        <w:rPr>
          <w:rFonts w:ascii="Arial" w:hAnsi="Arial" w:cs="Arial"/>
        </w:rPr>
        <w:t xml:space="preserve"> (</w:t>
      </w:r>
      <w:r w:rsidR="00080DBE" w:rsidRPr="00080DBE">
        <w:rPr>
          <w:rFonts w:ascii="Arial" w:hAnsi="Arial" w:cs="Arial"/>
        </w:rPr>
        <w:t>Symonds</w:t>
      </w:r>
      <w:r w:rsidR="00080DBE">
        <w:rPr>
          <w:rFonts w:ascii="Arial" w:hAnsi="Arial" w:cs="Arial"/>
        </w:rPr>
        <w:t xml:space="preserve"> et al, 2021)</w:t>
      </w:r>
      <w:r w:rsidRPr="00B17E9F">
        <w:rPr>
          <w:rFonts w:ascii="Arial" w:hAnsi="Arial" w:cs="Arial"/>
        </w:rPr>
        <w:t>. Children from disadvantaged backgrounds may enter school with reduced vocabulary, weaker problem-solving skills, and heightened emotional or behavioural difficulties</w:t>
      </w:r>
      <w:r w:rsidR="00E21CC7">
        <w:rPr>
          <w:rFonts w:ascii="Arial" w:hAnsi="Arial" w:cs="Arial"/>
        </w:rPr>
        <w:t xml:space="preserve"> (</w:t>
      </w:r>
      <w:r w:rsidR="00E21CC7" w:rsidRPr="002E0ABD">
        <w:rPr>
          <w:rFonts w:ascii="Arial" w:hAnsi="Arial" w:cs="Arial"/>
        </w:rPr>
        <w:t>Alijanzadeh</w:t>
      </w:r>
      <w:r w:rsidR="00E21CC7">
        <w:rPr>
          <w:rFonts w:ascii="Arial" w:hAnsi="Arial" w:cs="Arial"/>
        </w:rPr>
        <w:t xml:space="preserve"> et al, 2024)</w:t>
      </w:r>
      <w:r w:rsidRPr="00B17E9F">
        <w:rPr>
          <w:rFonts w:ascii="Arial" w:hAnsi="Arial" w:cs="Arial"/>
        </w:rPr>
        <w:t>.</w:t>
      </w:r>
    </w:p>
    <w:p w14:paraId="5D52BF3E" w14:textId="61FD1A4F" w:rsidR="00B17E9F" w:rsidRPr="00B17E9F" w:rsidRDefault="00B17E9F" w:rsidP="00381B18">
      <w:pPr>
        <w:spacing w:before="240" w:line="360" w:lineRule="auto"/>
        <w:jc w:val="both"/>
        <w:rPr>
          <w:rFonts w:ascii="Arial" w:hAnsi="Arial" w:cs="Arial"/>
        </w:rPr>
      </w:pPr>
      <w:r w:rsidRPr="00B17E9F">
        <w:rPr>
          <w:rFonts w:ascii="Arial" w:hAnsi="Arial" w:cs="Arial"/>
        </w:rPr>
        <w:t>Parental education and employment status also influence children's developmental outcomes. Parents with limited educational attainment may have fewer opportunities to engage in literacy activities or provide structured learning experiences at home</w:t>
      </w:r>
      <w:r w:rsidR="00E21CC7">
        <w:rPr>
          <w:rFonts w:ascii="Arial" w:hAnsi="Arial" w:cs="Arial"/>
        </w:rPr>
        <w:t xml:space="preserve"> (</w:t>
      </w:r>
      <w:r w:rsidR="00E21CC7" w:rsidRPr="002E0ABD">
        <w:rPr>
          <w:rFonts w:ascii="Arial" w:hAnsi="Arial" w:cs="Arial"/>
        </w:rPr>
        <w:t>Alijanzadeh</w:t>
      </w:r>
      <w:r w:rsidR="00E21CC7">
        <w:rPr>
          <w:rFonts w:ascii="Arial" w:hAnsi="Arial" w:cs="Arial"/>
        </w:rPr>
        <w:t xml:space="preserve"> et al, 2024)</w:t>
      </w:r>
      <w:r w:rsidRPr="00B17E9F">
        <w:rPr>
          <w:rFonts w:ascii="Arial" w:hAnsi="Arial" w:cs="Arial"/>
        </w:rPr>
        <w:t>. Economic hardship can also reduce access to extracurricular activities, therapeutic interventions, or specialist assessments</w:t>
      </w:r>
      <w:r w:rsidR="00E21CC7">
        <w:rPr>
          <w:rFonts w:ascii="Arial" w:hAnsi="Arial" w:cs="Arial"/>
        </w:rPr>
        <w:t xml:space="preserve"> (</w:t>
      </w:r>
      <w:r w:rsidR="00E21CC7" w:rsidRPr="00080DBE">
        <w:rPr>
          <w:rFonts w:ascii="Arial" w:hAnsi="Arial" w:cs="Arial"/>
        </w:rPr>
        <w:t>Symonds</w:t>
      </w:r>
      <w:r w:rsidR="00E21CC7">
        <w:rPr>
          <w:rFonts w:ascii="Arial" w:hAnsi="Arial" w:cs="Arial"/>
        </w:rPr>
        <w:t xml:space="preserve"> et al, 2021)</w:t>
      </w:r>
      <w:r w:rsidRPr="00B17E9F">
        <w:rPr>
          <w:rFonts w:ascii="Arial" w:hAnsi="Arial" w:cs="Arial"/>
        </w:rPr>
        <w:t xml:space="preserve">. </w:t>
      </w:r>
      <w:r w:rsidRPr="00B17E9F">
        <w:rPr>
          <w:rFonts w:ascii="Arial" w:hAnsi="Arial" w:cs="Arial"/>
        </w:rPr>
        <w:lastRenderedPageBreak/>
        <w:t>The social gradient in developmental health highlights a clear pattern: as socio-economic status declines, the likelihood of developmental delay increases</w:t>
      </w:r>
      <w:r w:rsidR="00E21CC7">
        <w:rPr>
          <w:rFonts w:ascii="Arial" w:hAnsi="Arial" w:cs="Arial"/>
        </w:rPr>
        <w:t xml:space="preserve"> (</w:t>
      </w:r>
      <w:r w:rsidR="00E21CC7" w:rsidRPr="002E0ABD">
        <w:rPr>
          <w:rFonts w:ascii="Arial" w:hAnsi="Arial" w:cs="Arial"/>
        </w:rPr>
        <w:t>Alijanzadeh</w:t>
      </w:r>
      <w:r w:rsidR="00E21CC7">
        <w:rPr>
          <w:rFonts w:ascii="Arial" w:hAnsi="Arial" w:cs="Arial"/>
        </w:rPr>
        <w:t xml:space="preserve"> et al, 2024)</w:t>
      </w:r>
      <w:r w:rsidRPr="00B17E9F">
        <w:rPr>
          <w:rFonts w:ascii="Arial" w:hAnsi="Arial" w:cs="Arial"/>
        </w:rPr>
        <w:t>. Recognising the impact of socio-economic risk factors is essential for designing equitable policies that ensure all children receive adequate support, regardless of their background</w:t>
      </w:r>
      <w:r w:rsidR="00E21CC7">
        <w:rPr>
          <w:rFonts w:ascii="Arial" w:hAnsi="Arial" w:cs="Arial"/>
        </w:rPr>
        <w:t xml:space="preserve"> (</w:t>
      </w:r>
      <w:r w:rsidR="00E21CC7" w:rsidRPr="00080DBE">
        <w:rPr>
          <w:rFonts w:ascii="Arial" w:hAnsi="Arial" w:cs="Arial"/>
        </w:rPr>
        <w:t>Symonds</w:t>
      </w:r>
      <w:r w:rsidR="00E21CC7">
        <w:rPr>
          <w:rFonts w:ascii="Arial" w:hAnsi="Arial" w:cs="Arial"/>
        </w:rPr>
        <w:t xml:space="preserve"> et al, 2021)</w:t>
      </w:r>
      <w:r w:rsidRPr="00B17E9F">
        <w:rPr>
          <w:rFonts w:ascii="Arial" w:hAnsi="Arial" w:cs="Arial"/>
        </w:rPr>
        <w:t>.</w:t>
      </w:r>
    </w:p>
    <w:p w14:paraId="6F842E2A" w14:textId="77777777" w:rsidR="00381B18" w:rsidRDefault="00B17E9F" w:rsidP="008A07BF">
      <w:pPr>
        <w:pStyle w:val="Heading1"/>
      </w:pPr>
      <w:bookmarkStart w:id="18" w:name="_Toc219199490"/>
      <w:r w:rsidRPr="00B17E9F">
        <w:t>2.</w:t>
      </w:r>
      <w:r w:rsidR="00381B18">
        <w:t>7</w:t>
      </w:r>
      <w:r w:rsidRPr="00B17E9F">
        <w:t xml:space="preserve"> Most Reported Developmental Delays in Children Aged 5–12 Years</w:t>
      </w:r>
      <w:bookmarkEnd w:id="18"/>
      <w:r w:rsidRPr="00B17E9F">
        <w:t xml:space="preserve"> </w:t>
      </w:r>
    </w:p>
    <w:p w14:paraId="1C55CB7B" w14:textId="19844AC3" w:rsidR="00B17E9F" w:rsidRPr="00B17E9F" w:rsidRDefault="00B17E9F" w:rsidP="00381B18">
      <w:pPr>
        <w:spacing w:before="240" w:line="360" w:lineRule="auto"/>
        <w:jc w:val="both"/>
        <w:rPr>
          <w:rFonts w:ascii="Arial" w:hAnsi="Arial" w:cs="Arial"/>
        </w:rPr>
      </w:pPr>
      <w:r w:rsidRPr="00B17E9F">
        <w:rPr>
          <w:rFonts w:ascii="Arial" w:hAnsi="Arial" w:cs="Arial"/>
        </w:rPr>
        <w:t>School-aged children frequently present with a range of developmental delays that become increasingly apparent as academic and social demands grow</w:t>
      </w:r>
      <w:r w:rsidR="00B855FB">
        <w:rPr>
          <w:rFonts w:ascii="Arial" w:hAnsi="Arial" w:cs="Arial"/>
        </w:rPr>
        <w:t xml:space="preserve"> (</w:t>
      </w:r>
      <w:r w:rsidR="00B855FB" w:rsidRPr="00B855FB">
        <w:rPr>
          <w:rFonts w:ascii="Arial" w:hAnsi="Arial" w:cs="Arial"/>
        </w:rPr>
        <w:t>Lai</w:t>
      </w:r>
      <w:r w:rsidR="00B855FB">
        <w:rPr>
          <w:rFonts w:ascii="Arial" w:hAnsi="Arial" w:cs="Arial"/>
        </w:rPr>
        <w:t xml:space="preserve"> et al, 2018)</w:t>
      </w:r>
      <w:r w:rsidRPr="00B17E9F">
        <w:rPr>
          <w:rFonts w:ascii="Arial" w:hAnsi="Arial" w:cs="Arial"/>
        </w:rPr>
        <w:t xml:space="preserve">. One of the </w:t>
      </w:r>
      <w:r w:rsidR="00381B18" w:rsidRPr="00B17E9F">
        <w:rPr>
          <w:rFonts w:ascii="Arial" w:hAnsi="Arial" w:cs="Arial"/>
        </w:rPr>
        <w:t>most reported</w:t>
      </w:r>
      <w:r w:rsidRPr="00B17E9F">
        <w:rPr>
          <w:rFonts w:ascii="Arial" w:hAnsi="Arial" w:cs="Arial"/>
        </w:rPr>
        <w:t xml:space="preserve"> delays in this age group relates to speech, language, and communication skills. Children may struggle with vocabulary acquisition, sentence formation, or comprehension, affecting their ability to engage in classroom learning and interact with peers</w:t>
      </w:r>
      <w:r w:rsidR="00BF4875">
        <w:rPr>
          <w:rFonts w:ascii="Arial" w:hAnsi="Arial" w:cs="Arial"/>
        </w:rPr>
        <w:t xml:space="preserve"> (</w:t>
      </w:r>
      <w:r w:rsidR="00BF4875" w:rsidRPr="00BF4875">
        <w:rPr>
          <w:rFonts w:ascii="Arial" w:hAnsi="Arial" w:cs="Arial"/>
        </w:rPr>
        <w:t>Cleaton</w:t>
      </w:r>
      <w:r w:rsidR="00BF4875">
        <w:rPr>
          <w:rFonts w:ascii="Arial" w:hAnsi="Arial" w:cs="Arial"/>
        </w:rPr>
        <w:t xml:space="preserve"> et al, 2020)</w:t>
      </w:r>
      <w:r w:rsidRPr="00B17E9F">
        <w:rPr>
          <w:rFonts w:ascii="Arial" w:hAnsi="Arial" w:cs="Arial"/>
        </w:rPr>
        <w:t>. Delays in language development can have long-term implications for literacy, academic achievement, and self-esteem. As language is foundational to learning, early identification is essential to prevent widening educational gaps</w:t>
      </w:r>
      <w:r w:rsidR="0095674F">
        <w:rPr>
          <w:rFonts w:ascii="Arial" w:hAnsi="Arial" w:cs="Arial"/>
        </w:rPr>
        <w:t xml:space="preserve"> (</w:t>
      </w:r>
      <w:r w:rsidR="0095674F" w:rsidRPr="0095674F">
        <w:rPr>
          <w:rFonts w:ascii="Arial" w:hAnsi="Arial" w:cs="Arial"/>
        </w:rPr>
        <w:t>Maenner</w:t>
      </w:r>
      <w:r w:rsidR="0095674F">
        <w:rPr>
          <w:rFonts w:ascii="Arial" w:hAnsi="Arial" w:cs="Arial"/>
        </w:rPr>
        <w:t>, 2021)</w:t>
      </w:r>
      <w:r w:rsidRPr="00B17E9F">
        <w:rPr>
          <w:rFonts w:ascii="Arial" w:hAnsi="Arial" w:cs="Arial"/>
        </w:rPr>
        <w:t>.</w:t>
      </w:r>
    </w:p>
    <w:p w14:paraId="226BF804" w14:textId="6080FCAF" w:rsidR="00B17E9F" w:rsidRPr="00B17E9F" w:rsidRDefault="00B17E9F" w:rsidP="00381B18">
      <w:pPr>
        <w:spacing w:before="240" w:line="360" w:lineRule="auto"/>
        <w:jc w:val="both"/>
        <w:rPr>
          <w:rFonts w:ascii="Arial" w:hAnsi="Arial" w:cs="Arial"/>
        </w:rPr>
      </w:pPr>
      <w:r w:rsidRPr="00B17E9F">
        <w:rPr>
          <w:rFonts w:ascii="Arial" w:hAnsi="Arial" w:cs="Arial"/>
        </w:rPr>
        <w:t>Cognitive and learning delays also become more noticeable during the primary school years</w:t>
      </w:r>
      <w:r w:rsidR="009D202C">
        <w:rPr>
          <w:rFonts w:ascii="Arial" w:hAnsi="Arial" w:cs="Arial"/>
        </w:rPr>
        <w:t xml:space="preserve"> (</w:t>
      </w:r>
      <w:r w:rsidR="009D202C" w:rsidRPr="00BF4875">
        <w:rPr>
          <w:rFonts w:ascii="Arial" w:hAnsi="Arial" w:cs="Arial"/>
        </w:rPr>
        <w:t>Cleaton</w:t>
      </w:r>
      <w:r w:rsidR="009D202C">
        <w:rPr>
          <w:rFonts w:ascii="Arial" w:hAnsi="Arial" w:cs="Arial"/>
        </w:rPr>
        <w:t xml:space="preserve"> et al, 2020)</w:t>
      </w:r>
      <w:r w:rsidRPr="00B17E9F">
        <w:rPr>
          <w:rFonts w:ascii="Arial" w:hAnsi="Arial" w:cs="Arial"/>
        </w:rPr>
        <w:t>. Difficulties in areas such as working memory, processing speed, reading, and mathematics are often observed</w:t>
      </w:r>
      <w:r w:rsidR="009D202C">
        <w:rPr>
          <w:rFonts w:ascii="Arial" w:hAnsi="Arial" w:cs="Arial"/>
        </w:rPr>
        <w:t xml:space="preserve"> (</w:t>
      </w:r>
      <w:r w:rsidR="009D202C" w:rsidRPr="00B855FB">
        <w:rPr>
          <w:rFonts w:ascii="Arial" w:hAnsi="Arial" w:cs="Arial"/>
        </w:rPr>
        <w:t>Lai</w:t>
      </w:r>
      <w:r w:rsidR="009D202C">
        <w:rPr>
          <w:rFonts w:ascii="Arial" w:hAnsi="Arial" w:cs="Arial"/>
        </w:rPr>
        <w:t xml:space="preserve"> et al, 2018)</w:t>
      </w:r>
      <w:r w:rsidRPr="00B17E9F">
        <w:rPr>
          <w:rFonts w:ascii="Arial" w:hAnsi="Arial" w:cs="Arial"/>
        </w:rPr>
        <w:t>. These challenges may be associated with specific learning difficulties like dyslexia or dyscalculia, or they may reflect broader cognitive delays</w:t>
      </w:r>
      <w:r w:rsidR="009D202C">
        <w:rPr>
          <w:rFonts w:ascii="Arial" w:hAnsi="Arial" w:cs="Arial"/>
        </w:rPr>
        <w:t xml:space="preserve"> (</w:t>
      </w:r>
      <w:r w:rsidR="009D202C" w:rsidRPr="00B855FB">
        <w:rPr>
          <w:rFonts w:ascii="Arial" w:hAnsi="Arial" w:cs="Arial"/>
        </w:rPr>
        <w:t>Lai</w:t>
      </w:r>
      <w:r w:rsidR="009D202C">
        <w:rPr>
          <w:rFonts w:ascii="Arial" w:hAnsi="Arial" w:cs="Arial"/>
        </w:rPr>
        <w:t xml:space="preserve"> et al, 2018)</w:t>
      </w:r>
      <w:r w:rsidRPr="00B17E9F">
        <w:rPr>
          <w:rFonts w:ascii="Arial" w:hAnsi="Arial" w:cs="Arial"/>
        </w:rPr>
        <w:t>. Children with learning delays often require tailored instructional approaches to enhance their academic progress. Without appropriate support, they may fall behind their peers, leading to frustration, reduced motivation, and potential behavioural difficulties</w:t>
      </w:r>
      <w:r w:rsidR="009D202C">
        <w:rPr>
          <w:rFonts w:ascii="Arial" w:hAnsi="Arial" w:cs="Arial"/>
        </w:rPr>
        <w:t xml:space="preserve"> (</w:t>
      </w:r>
      <w:r w:rsidR="009D202C" w:rsidRPr="00BF4875">
        <w:rPr>
          <w:rFonts w:ascii="Arial" w:hAnsi="Arial" w:cs="Arial"/>
        </w:rPr>
        <w:t>Cleaton</w:t>
      </w:r>
      <w:r w:rsidR="009D202C">
        <w:rPr>
          <w:rFonts w:ascii="Arial" w:hAnsi="Arial" w:cs="Arial"/>
        </w:rPr>
        <w:t xml:space="preserve"> et al, 2020)</w:t>
      </w:r>
      <w:r w:rsidRPr="00B17E9F">
        <w:rPr>
          <w:rFonts w:ascii="Arial" w:hAnsi="Arial" w:cs="Arial"/>
        </w:rPr>
        <w:t>.</w:t>
      </w:r>
    </w:p>
    <w:p w14:paraId="2E3EC3B8" w14:textId="2D8D6542" w:rsidR="00B17E9F" w:rsidRPr="00B17E9F" w:rsidRDefault="00B17E9F" w:rsidP="00381B18">
      <w:pPr>
        <w:spacing w:before="240" w:line="360" w:lineRule="auto"/>
        <w:jc w:val="both"/>
        <w:rPr>
          <w:rFonts w:ascii="Arial" w:hAnsi="Arial" w:cs="Arial"/>
        </w:rPr>
      </w:pPr>
      <w:r w:rsidRPr="00B17E9F">
        <w:rPr>
          <w:rFonts w:ascii="Arial" w:hAnsi="Arial" w:cs="Arial"/>
        </w:rPr>
        <w:t>Social and emotional developmental delays are another significant concern. Children may experience difficulties in forming friendships, understanding social cues, or regulating their emotions</w:t>
      </w:r>
      <w:r w:rsidR="009D202C">
        <w:rPr>
          <w:rFonts w:ascii="Arial" w:hAnsi="Arial" w:cs="Arial"/>
        </w:rPr>
        <w:t xml:space="preserve"> (</w:t>
      </w:r>
      <w:r w:rsidR="009D202C" w:rsidRPr="00BF4875">
        <w:rPr>
          <w:rFonts w:ascii="Arial" w:hAnsi="Arial" w:cs="Arial"/>
        </w:rPr>
        <w:t>Cleaton</w:t>
      </w:r>
      <w:r w:rsidR="009D202C">
        <w:rPr>
          <w:rFonts w:ascii="Arial" w:hAnsi="Arial" w:cs="Arial"/>
        </w:rPr>
        <w:t xml:space="preserve"> et al, 2020)</w:t>
      </w:r>
      <w:r w:rsidRPr="00B17E9F">
        <w:rPr>
          <w:rFonts w:ascii="Arial" w:hAnsi="Arial" w:cs="Arial"/>
        </w:rPr>
        <w:t>. These challenges are commonly associated with conditions such as ASD or anxiety disorders, but may also arise from environmental stressors or trauma</w:t>
      </w:r>
      <w:r w:rsidR="009D202C">
        <w:rPr>
          <w:rFonts w:ascii="Arial" w:hAnsi="Arial" w:cs="Arial"/>
        </w:rPr>
        <w:t xml:space="preserve"> (</w:t>
      </w:r>
      <w:r w:rsidR="009D202C" w:rsidRPr="00B855FB">
        <w:rPr>
          <w:rFonts w:ascii="Arial" w:hAnsi="Arial" w:cs="Arial"/>
        </w:rPr>
        <w:t>Lai</w:t>
      </w:r>
      <w:r w:rsidR="009D202C">
        <w:rPr>
          <w:rFonts w:ascii="Arial" w:hAnsi="Arial" w:cs="Arial"/>
        </w:rPr>
        <w:t xml:space="preserve"> et al, 2018)</w:t>
      </w:r>
      <w:r w:rsidRPr="00B17E9F">
        <w:rPr>
          <w:rFonts w:ascii="Arial" w:hAnsi="Arial" w:cs="Arial"/>
        </w:rPr>
        <w:t xml:space="preserve">. Emotional regulation difficulties can affect behaviours within the classroom, contributing to disruptive incidents or </w:t>
      </w:r>
      <w:r w:rsidRPr="00B17E9F">
        <w:rPr>
          <w:rFonts w:ascii="Arial" w:hAnsi="Arial" w:cs="Arial"/>
        </w:rPr>
        <w:lastRenderedPageBreak/>
        <w:t>withdrawal from social interactions</w:t>
      </w:r>
      <w:r w:rsidR="009D202C">
        <w:rPr>
          <w:rFonts w:ascii="Arial" w:hAnsi="Arial" w:cs="Arial"/>
        </w:rPr>
        <w:t xml:space="preserve"> (</w:t>
      </w:r>
      <w:r w:rsidR="009D202C" w:rsidRPr="0095674F">
        <w:rPr>
          <w:rFonts w:ascii="Arial" w:hAnsi="Arial" w:cs="Arial"/>
        </w:rPr>
        <w:t>Maenner</w:t>
      </w:r>
      <w:r w:rsidR="009D202C">
        <w:rPr>
          <w:rFonts w:ascii="Arial" w:hAnsi="Arial" w:cs="Arial"/>
        </w:rPr>
        <w:t>, 2021)</w:t>
      </w:r>
      <w:r w:rsidRPr="00B17E9F">
        <w:rPr>
          <w:rFonts w:ascii="Arial" w:hAnsi="Arial" w:cs="Arial"/>
        </w:rPr>
        <w:t>. Addressing social and emotional delays is essential for fostering resilience, mental well-being, and positive school experiences</w:t>
      </w:r>
      <w:r w:rsidR="009D202C">
        <w:rPr>
          <w:rFonts w:ascii="Arial" w:hAnsi="Arial" w:cs="Arial"/>
        </w:rPr>
        <w:t xml:space="preserve"> (</w:t>
      </w:r>
      <w:r w:rsidR="009D202C" w:rsidRPr="0095674F">
        <w:rPr>
          <w:rFonts w:ascii="Arial" w:hAnsi="Arial" w:cs="Arial"/>
        </w:rPr>
        <w:t>Maenner</w:t>
      </w:r>
      <w:r w:rsidR="009D202C">
        <w:rPr>
          <w:rFonts w:ascii="Arial" w:hAnsi="Arial" w:cs="Arial"/>
        </w:rPr>
        <w:t>, 2021)</w:t>
      </w:r>
      <w:r w:rsidRPr="00B17E9F">
        <w:rPr>
          <w:rFonts w:ascii="Arial" w:hAnsi="Arial" w:cs="Arial"/>
        </w:rPr>
        <w:t>. Understanding the range of developmental delays common in this age group supports the implementation of comprehensive strategies to meet children's diverse needs.</w:t>
      </w:r>
    </w:p>
    <w:p w14:paraId="38E7373F" w14:textId="557C527D" w:rsidR="00B17E9F" w:rsidRPr="00B17E9F" w:rsidRDefault="00B17E9F" w:rsidP="008A07BF">
      <w:pPr>
        <w:pStyle w:val="Heading1"/>
      </w:pPr>
      <w:bookmarkStart w:id="19" w:name="_Toc219199491"/>
      <w:r w:rsidRPr="00B17E9F">
        <w:t>2.</w:t>
      </w:r>
      <w:r w:rsidR="00381B18">
        <w:t>8</w:t>
      </w:r>
      <w:r w:rsidRPr="00B17E9F">
        <w:t xml:space="preserve"> Importance of Early Identification</w:t>
      </w:r>
      <w:bookmarkEnd w:id="19"/>
      <w:r w:rsidRPr="00B17E9F">
        <w:t xml:space="preserve"> </w:t>
      </w:r>
    </w:p>
    <w:p w14:paraId="29493A6E" w14:textId="02CDE09D" w:rsidR="00B17E9F" w:rsidRPr="00B17E9F" w:rsidRDefault="00B17E9F" w:rsidP="00381B18">
      <w:pPr>
        <w:spacing w:before="240" w:line="360" w:lineRule="auto"/>
        <w:jc w:val="both"/>
        <w:rPr>
          <w:rFonts w:ascii="Arial" w:hAnsi="Arial" w:cs="Arial"/>
        </w:rPr>
      </w:pPr>
      <w:r w:rsidRPr="00B17E9F">
        <w:rPr>
          <w:rFonts w:ascii="Arial" w:hAnsi="Arial" w:cs="Arial"/>
        </w:rPr>
        <w:t>Early identification of developmental delays is crucial for ensuring that children receive timely and effective support. Detecting delays at an early stage allows for the implementation of targeted interventions that can significantly improve long-term outcomes</w:t>
      </w:r>
      <w:r w:rsidR="00A10C54">
        <w:rPr>
          <w:rFonts w:ascii="Arial" w:hAnsi="Arial" w:cs="Arial"/>
        </w:rPr>
        <w:t xml:space="preserve"> (</w:t>
      </w:r>
      <w:r w:rsidR="00A10C54" w:rsidRPr="00A10C54">
        <w:rPr>
          <w:rFonts w:ascii="Arial" w:hAnsi="Arial" w:cs="Arial"/>
        </w:rPr>
        <w:t>Macy</w:t>
      </w:r>
      <w:r w:rsidR="00A10C54">
        <w:rPr>
          <w:rFonts w:ascii="Arial" w:hAnsi="Arial" w:cs="Arial"/>
        </w:rPr>
        <w:t>, 2022)</w:t>
      </w:r>
      <w:r w:rsidRPr="00B17E9F">
        <w:rPr>
          <w:rFonts w:ascii="Arial" w:hAnsi="Arial" w:cs="Arial"/>
        </w:rPr>
        <w:t>. Early assessment can prevent the escalation of difficulties, reduce the impact on academic performance, and support positive social and emotional development</w:t>
      </w:r>
      <w:r w:rsidR="001E6C25">
        <w:rPr>
          <w:rFonts w:ascii="Arial" w:hAnsi="Arial" w:cs="Arial"/>
        </w:rPr>
        <w:t xml:space="preserve"> (</w:t>
      </w:r>
      <w:r w:rsidR="001E6C25" w:rsidRPr="001E6C25">
        <w:rPr>
          <w:rFonts w:ascii="Arial" w:hAnsi="Arial" w:cs="Arial"/>
        </w:rPr>
        <w:t>Faruk</w:t>
      </w:r>
      <w:r w:rsidR="001E6C25">
        <w:rPr>
          <w:rFonts w:ascii="Arial" w:hAnsi="Arial" w:cs="Arial"/>
        </w:rPr>
        <w:t xml:space="preserve"> et al, 2020)</w:t>
      </w:r>
      <w:r w:rsidRPr="00B17E9F">
        <w:rPr>
          <w:rFonts w:ascii="Arial" w:hAnsi="Arial" w:cs="Arial"/>
        </w:rPr>
        <w:t>. Schools and healthcare professionals play a central role in recognising early signs of difficulty and coordinating appropriate referrals. Timely identification helps ensure that children access resources that enable them to reach their developmental potential</w:t>
      </w:r>
      <w:r w:rsidR="00F508D3">
        <w:rPr>
          <w:rFonts w:ascii="Arial" w:hAnsi="Arial" w:cs="Arial"/>
        </w:rPr>
        <w:t xml:space="preserve"> (</w:t>
      </w:r>
      <w:r w:rsidR="00F508D3" w:rsidRPr="00A10C54">
        <w:rPr>
          <w:rFonts w:ascii="Arial" w:hAnsi="Arial" w:cs="Arial"/>
        </w:rPr>
        <w:t>Macy</w:t>
      </w:r>
      <w:r w:rsidR="00F508D3">
        <w:rPr>
          <w:rFonts w:ascii="Arial" w:hAnsi="Arial" w:cs="Arial"/>
        </w:rPr>
        <w:t>, 2022)</w:t>
      </w:r>
      <w:r w:rsidRPr="00B17E9F">
        <w:rPr>
          <w:rFonts w:ascii="Arial" w:hAnsi="Arial" w:cs="Arial"/>
        </w:rPr>
        <w:t>.</w:t>
      </w:r>
    </w:p>
    <w:p w14:paraId="3F735298" w14:textId="0B4EB875" w:rsidR="00381B18" w:rsidRDefault="00381B18" w:rsidP="008A07BF">
      <w:pPr>
        <w:pStyle w:val="Heading2"/>
      </w:pPr>
      <w:bookmarkStart w:id="20" w:name="_Toc219199492"/>
      <w:r>
        <w:t xml:space="preserve">2.8.1 </w:t>
      </w:r>
      <w:r w:rsidR="00B17E9F" w:rsidRPr="00B17E9F">
        <w:rPr>
          <w:rFonts w:eastAsiaTheme="majorEastAsia"/>
        </w:rPr>
        <w:t>Screening Tools and Assessments</w:t>
      </w:r>
      <w:bookmarkEnd w:id="20"/>
      <w:r w:rsidR="00B17E9F" w:rsidRPr="00B17E9F">
        <w:rPr>
          <w:rFonts w:eastAsiaTheme="majorEastAsia"/>
        </w:rPr>
        <w:t xml:space="preserve"> </w:t>
      </w:r>
    </w:p>
    <w:p w14:paraId="0A725252" w14:textId="37C41D21" w:rsidR="00B17E9F" w:rsidRPr="00B17E9F" w:rsidRDefault="00B17E9F" w:rsidP="00381B18">
      <w:pPr>
        <w:spacing w:before="240" w:line="360" w:lineRule="auto"/>
        <w:jc w:val="both"/>
        <w:rPr>
          <w:rFonts w:ascii="Arial" w:hAnsi="Arial" w:cs="Arial"/>
        </w:rPr>
      </w:pPr>
      <w:r w:rsidRPr="00B17E9F">
        <w:rPr>
          <w:rFonts w:ascii="Arial" w:hAnsi="Arial" w:cs="Arial"/>
        </w:rPr>
        <w:t>Screening tools and assessments provide structured methods for identifying developmental delays and evaluating the extent of a child’s difficulties</w:t>
      </w:r>
      <w:r w:rsidR="00A1496A">
        <w:rPr>
          <w:rFonts w:ascii="Arial" w:hAnsi="Arial" w:cs="Arial"/>
        </w:rPr>
        <w:t xml:space="preserve"> (</w:t>
      </w:r>
      <w:r w:rsidR="00A1496A" w:rsidRPr="00A1496A">
        <w:rPr>
          <w:rFonts w:ascii="Arial" w:hAnsi="Arial" w:cs="Arial"/>
        </w:rPr>
        <w:t>Marlow</w:t>
      </w:r>
      <w:r w:rsidR="00A1496A">
        <w:rPr>
          <w:rFonts w:ascii="Arial" w:hAnsi="Arial" w:cs="Arial"/>
        </w:rPr>
        <w:t xml:space="preserve"> et al, 2019)</w:t>
      </w:r>
      <w:r w:rsidRPr="00B17E9F">
        <w:rPr>
          <w:rFonts w:ascii="Arial" w:hAnsi="Arial" w:cs="Arial"/>
        </w:rPr>
        <w:t>. Standardised assessments in areas such as speech and language, cognitive ability, and motor coordination offer reliable insights into a child’s developmental profile</w:t>
      </w:r>
      <w:r w:rsidR="00000043">
        <w:rPr>
          <w:rFonts w:ascii="Arial" w:hAnsi="Arial" w:cs="Arial"/>
        </w:rPr>
        <w:t xml:space="preserve"> (</w:t>
      </w:r>
      <w:r w:rsidR="00000043" w:rsidRPr="001E6C25">
        <w:rPr>
          <w:rFonts w:ascii="Arial" w:hAnsi="Arial" w:cs="Arial"/>
        </w:rPr>
        <w:t>Faruk</w:t>
      </w:r>
      <w:r w:rsidR="00000043">
        <w:rPr>
          <w:rFonts w:ascii="Arial" w:hAnsi="Arial" w:cs="Arial"/>
        </w:rPr>
        <w:t xml:space="preserve"> et al, 2020)</w:t>
      </w:r>
      <w:r w:rsidRPr="00B17E9F">
        <w:rPr>
          <w:rFonts w:ascii="Arial" w:hAnsi="Arial" w:cs="Arial"/>
        </w:rPr>
        <w:t>. These tools are frequently used by educational psychologists, speech and language therapists, and paediatricians to support diagnostic processes. Routine screening in school settings can help detect concerns that may not be immediately apparent to parents or teachers, facilitating early referral for specialist evaluation</w:t>
      </w:r>
      <w:r w:rsidR="00000043">
        <w:rPr>
          <w:rFonts w:ascii="Arial" w:hAnsi="Arial" w:cs="Arial"/>
        </w:rPr>
        <w:t xml:space="preserve"> (</w:t>
      </w:r>
      <w:r w:rsidR="00000043" w:rsidRPr="001E6C25">
        <w:rPr>
          <w:rFonts w:ascii="Arial" w:hAnsi="Arial" w:cs="Arial"/>
        </w:rPr>
        <w:t>Faruk</w:t>
      </w:r>
      <w:r w:rsidR="00000043">
        <w:rPr>
          <w:rFonts w:ascii="Arial" w:hAnsi="Arial" w:cs="Arial"/>
        </w:rPr>
        <w:t xml:space="preserve"> et al, 2020)</w:t>
      </w:r>
      <w:r w:rsidRPr="00B17E9F">
        <w:rPr>
          <w:rFonts w:ascii="Arial" w:hAnsi="Arial" w:cs="Arial"/>
        </w:rPr>
        <w:t>.</w:t>
      </w:r>
    </w:p>
    <w:p w14:paraId="6FE01A90" w14:textId="2C5D7FBF" w:rsidR="00B17E9F" w:rsidRPr="00B17E9F" w:rsidRDefault="00B17E9F" w:rsidP="00381B18">
      <w:pPr>
        <w:spacing w:before="240" w:line="360" w:lineRule="auto"/>
        <w:jc w:val="both"/>
        <w:rPr>
          <w:rFonts w:ascii="Arial" w:hAnsi="Arial" w:cs="Arial"/>
        </w:rPr>
      </w:pPr>
      <w:r w:rsidRPr="00B17E9F">
        <w:rPr>
          <w:rFonts w:ascii="Arial" w:hAnsi="Arial" w:cs="Arial"/>
        </w:rPr>
        <w:t>Comprehensive assessments involve multiple sources of information, including teacher observations, parental reports, and formal testing</w:t>
      </w:r>
      <w:r w:rsidR="00B75651">
        <w:rPr>
          <w:rFonts w:ascii="Arial" w:hAnsi="Arial" w:cs="Arial"/>
        </w:rPr>
        <w:t xml:space="preserve"> (</w:t>
      </w:r>
      <w:r w:rsidR="00B75651" w:rsidRPr="00A1496A">
        <w:rPr>
          <w:rFonts w:ascii="Arial" w:hAnsi="Arial" w:cs="Arial"/>
        </w:rPr>
        <w:t>Marlow</w:t>
      </w:r>
      <w:r w:rsidR="00B75651">
        <w:rPr>
          <w:rFonts w:ascii="Arial" w:hAnsi="Arial" w:cs="Arial"/>
        </w:rPr>
        <w:t xml:space="preserve"> et al, 2019)</w:t>
      </w:r>
      <w:r w:rsidRPr="00B17E9F">
        <w:rPr>
          <w:rFonts w:ascii="Arial" w:hAnsi="Arial" w:cs="Arial"/>
        </w:rPr>
        <w:t>. This multidimensional approach ensures that children’s needs are understood in a broader context</w:t>
      </w:r>
      <w:r w:rsidR="00000043">
        <w:rPr>
          <w:rFonts w:ascii="Arial" w:hAnsi="Arial" w:cs="Arial"/>
        </w:rPr>
        <w:t xml:space="preserve"> (</w:t>
      </w:r>
      <w:r w:rsidR="00000043" w:rsidRPr="001E6C25">
        <w:rPr>
          <w:rFonts w:ascii="Arial" w:hAnsi="Arial" w:cs="Arial"/>
        </w:rPr>
        <w:t>Faruk</w:t>
      </w:r>
      <w:r w:rsidR="00000043">
        <w:rPr>
          <w:rFonts w:ascii="Arial" w:hAnsi="Arial" w:cs="Arial"/>
        </w:rPr>
        <w:t xml:space="preserve"> et al, 2020)</w:t>
      </w:r>
      <w:r w:rsidRPr="00B17E9F">
        <w:rPr>
          <w:rFonts w:ascii="Arial" w:hAnsi="Arial" w:cs="Arial"/>
        </w:rPr>
        <w:t xml:space="preserve">. Assessments also help professionals develop personalised intervention plans tailored to a child’s strengths and areas of difficulty. </w:t>
      </w:r>
      <w:r w:rsidRPr="00B17E9F">
        <w:rPr>
          <w:rFonts w:ascii="Arial" w:hAnsi="Arial" w:cs="Arial"/>
        </w:rPr>
        <w:lastRenderedPageBreak/>
        <w:t>Effective use of screening tools supports early intervention and promotes collaboration between families and services, enhancing developmental outcomes</w:t>
      </w:r>
      <w:r w:rsidR="00B75651">
        <w:rPr>
          <w:rFonts w:ascii="Arial" w:hAnsi="Arial" w:cs="Arial"/>
        </w:rPr>
        <w:t xml:space="preserve"> (</w:t>
      </w:r>
      <w:r w:rsidR="00B75651" w:rsidRPr="00A1496A">
        <w:rPr>
          <w:rFonts w:ascii="Arial" w:hAnsi="Arial" w:cs="Arial"/>
        </w:rPr>
        <w:t>Marlow</w:t>
      </w:r>
      <w:r w:rsidR="00B75651">
        <w:rPr>
          <w:rFonts w:ascii="Arial" w:hAnsi="Arial" w:cs="Arial"/>
        </w:rPr>
        <w:t xml:space="preserve"> et al, 2019)</w:t>
      </w:r>
      <w:r w:rsidRPr="00B17E9F">
        <w:rPr>
          <w:rFonts w:ascii="Arial" w:hAnsi="Arial" w:cs="Arial"/>
        </w:rPr>
        <w:t>.</w:t>
      </w:r>
    </w:p>
    <w:p w14:paraId="635347B1" w14:textId="43ECD75D" w:rsidR="00381B18" w:rsidRDefault="00381B18" w:rsidP="008A07BF">
      <w:pPr>
        <w:pStyle w:val="Heading2"/>
      </w:pPr>
      <w:bookmarkStart w:id="21" w:name="_Toc219199493"/>
      <w:r>
        <w:t xml:space="preserve">2.8.2 </w:t>
      </w:r>
      <w:r w:rsidR="00B17E9F" w:rsidRPr="00B17E9F">
        <w:rPr>
          <w:rFonts w:eastAsiaTheme="majorEastAsia"/>
        </w:rPr>
        <w:t>Role of Teachers, Healthcare Professionals, and Parents</w:t>
      </w:r>
      <w:bookmarkEnd w:id="21"/>
      <w:r w:rsidR="00B17E9F" w:rsidRPr="00B17E9F">
        <w:rPr>
          <w:rFonts w:eastAsiaTheme="majorEastAsia"/>
        </w:rPr>
        <w:t xml:space="preserve"> </w:t>
      </w:r>
    </w:p>
    <w:p w14:paraId="487E4B52" w14:textId="6AD01326" w:rsidR="00B17E9F" w:rsidRPr="00B17E9F" w:rsidRDefault="00B17E9F" w:rsidP="00381B18">
      <w:pPr>
        <w:spacing w:before="240" w:line="360" w:lineRule="auto"/>
        <w:jc w:val="both"/>
        <w:rPr>
          <w:rFonts w:ascii="Arial" w:hAnsi="Arial" w:cs="Arial"/>
        </w:rPr>
      </w:pPr>
      <w:r w:rsidRPr="00B17E9F">
        <w:rPr>
          <w:rFonts w:ascii="Arial" w:hAnsi="Arial" w:cs="Arial"/>
        </w:rPr>
        <w:t>Teachers play an essential role in identifying developmental delays due to their daily interactions with children and their understanding of age-appropriate expectations</w:t>
      </w:r>
      <w:r w:rsidR="00CE76E9">
        <w:rPr>
          <w:rFonts w:ascii="Arial" w:hAnsi="Arial" w:cs="Arial"/>
        </w:rPr>
        <w:t xml:space="preserve"> (</w:t>
      </w:r>
      <w:r w:rsidR="00CE76E9" w:rsidRPr="00CE76E9">
        <w:rPr>
          <w:rFonts w:ascii="Arial" w:hAnsi="Arial" w:cs="Arial"/>
        </w:rPr>
        <w:t>Sapiets</w:t>
      </w:r>
      <w:r w:rsidR="00CE76E9">
        <w:rPr>
          <w:rFonts w:ascii="Arial" w:hAnsi="Arial" w:cs="Arial"/>
        </w:rPr>
        <w:t xml:space="preserve"> et al, 2023)</w:t>
      </w:r>
      <w:r w:rsidRPr="00B17E9F">
        <w:rPr>
          <w:rFonts w:ascii="Arial" w:hAnsi="Arial" w:cs="Arial"/>
        </w:rPr>
        <w:t>. They are often the first to observe challenges in academic performance, behaviour, or social interaction. Their insights contribute significantly to early referrals and the development of individual education plans</w:t>
      </w:r>
      <w:r w:rsidR="00C95413">
        <w:rPr>
          <w:rFonts w:ascii="Arial" w:hAnsi="Arial" w:cs="Arial"/>
        </w:rPr>
        <w:t xml:space="preserve"> (</w:t>
      </w:r>
      <w:r w:rsidR="00C95413" w:rsidRPr="00C95413">
        <w:rPr>
          <w:rFonts w:ascii="Arial" w:hAnsi="Arial" w:cs="Arial"/>
        </w:rPr>
        <w:t>Kiing</w:t>
      </w:r>
      <w:r w:rsidR="00C95413">
        <w:rPr>
          <w:rFonts w:ascii="Arial" w:hAnsi="Arial" w:cs="Arial"/>
        </w:rPr>
        <w:t xml:space="preserve"> et al, 2019)</w:t>
      </w:r>
      <w:r w:rsidRPr="00B17E9F">
        <w:rPr>
          <w:rFonts w:ascii="Arial" w:hAnsi="Arial" w:cs="Arial"/>
        </w:rPr>
        <w:t>. Teachers also support intervention through classroom strategies that promote learning and participation</w:t>
      </w:r>
      <w:r w:rsidR="005260B8">
        <w:rPr>
          <w:rFonts w:ascii="Arial" w:hAnsi="Arial" w:cs="Arial"/>
        </w:rPr>
        <w:t xml:space="preserve"> (</w:t>
      </w:r>
      <w:r w:rsidR="005260B8" w:rsidRPr="00C95413">
        <w:rPr>
          <w:rFonts w:ascii="Arial" w:hAnsi="Arial" w:cs="Arial"/>
        </w:rPr>
        <w:t>Kiing</w:t>
      </w:r>
      <w:r w:rsidR="005260B8">
        <w:rPr>
          <w:rFonts w:ascii="Arial" w:hAnsi="Arial" w:cs="Arial"/>
        </w:rPr>
        <w:t xml:space="preserve"> et al, 2019)</w:t>
      </w:r>
      <w:r w:rsidRPr="00B17E9F">
        <w:rPr>
          <w:rFonts w:ascii="Arial" w:hAnsi="Arial" w:cs="Arial"/>
        </w:rPr>
        <w:t>.</w:t>
      </w:r>
    </w:p>
    <w:p w14:paraId="4D062064" w14:textId="211C51CE" w:rsidR="00B17E9F" w:rsidRPr="00B17E9F" w:rsidRDefault="00B17E9F" w:rsidP="00381B18">
      <w:pPr>
        <w:spacing w:before="240" w:line="360" w:lineRule="auto"/>
        <w:jc w:val="both"/>
        <w:rPr>
          <w:rFonts w:ascii="Arial" w:hAnsi="Arial" w:cs="Arial"/>
        </w:rPr>
      </w:pPr>
      <w:r w:rsidRPr="00B17E9F">
        <w:rPr>
          <w:rFonts w:ascii="Arial" w:hAnsi="Arial" w:cs="Arial"/>
        </w:rPr>
        <w:t>Healthcare professionals, including GPs, paediatricians, and therapists, contribute through medical assessments, diagnostic evaluations, and therapeutic support</w:t>
      </w:r>
      <w:r w:rsidR="005260B8">
        <w:rPr>
          <w:rFonts w:ascii="Arial" w:hAnsi="Arial" w:cs="Arial"/>
        </w:rPr>
        <w:t xml:space="preserve"> (</w:t>
      </w:r>
      <w:r w:rsidR="005260B8" w:rsidRPr="00CE76E9">
        <w:rPr>
          <w:rFonts w:ascii="Arial" w:hAnsi="Arial" w:cs="Arial"/>
        </w:rPr>
        <w:t>Sapiets</w:t>
      </w:r>
      <w:r w:rsidR="005260B8">
        <w:rPr>
          <w:rFonts w:ascii="Arial" w:hAnsi="Arial" w:cs="Arial"/>
        </w:rPr>
        <w:t xml:space="preserve"> et al, 2023)</w:t>
      </w:r>
      <w:r w:rsidRPr="00B17E9F">
        <w:rPr>
          <w:rFonts w:ascii="Arial" w:hAnsi="Arial" w:cs="Arial"/>
        </w:rPr>
        <w:t>. Parents provide valuable information about a child’s behaviour at home and developmental history</w:t>
      </w:r>
      <w:r w:rsidR="005260B8">
        <w:rPr>
          <w:rFonts w:ascii="Arial" w:hAnsi="Arial" w:cs="Arial"/>
        </w:rPr>
        <w:t xml:space="preserve"> (</w:t>
      </w:r>
      <w:r w:rsidR="005260B8" w:rsidRPr="00C95413">
        <w:rPr>
          <w:rFonts w:ascii="Arial" w:hAnsi="Arial" w:cs="Arial"/>
        </w:rPr>
        <w:t>Kiing</w:t>
      </w:r>
      <w:r w:rsidR="005260B8">
        <w:rPr>
          <w:rFonts w:ascii="Arial" w:hAnsi="Arial" w:cs="Arial"/>
        </w:rPr>
        <w:t xml:space="preserve"> et al, 2019)</w:t>
      </w:r>
      <w:r w:rsidRPr="00B17E9F">
        <w:rPr>
          <w:rFonts w:ascii="Arial" w:hAnsi="Arial" w:cs="Arial"/>
        </w:rPr>
        <w:t>. Collaboration among teachers, healthcare providers, and parents ensures a comprehensive understanding of the child’s needs</w:t>
      </w:r>
      <w:r w:rsidR="005260B8">
        <w:rPr>
          <w:rFonts w:ascii="Arial" w:hAnsi="Arial" w:cs="Arial"/>
        </w:rPr>
        <w:t xml:space="preserve"> (</w:t>
      </w:r>
      <w:r w:rsidR="005260B8" w:rsidRPr="00CE76E9">
        <w:rPr>
          <w:rFonts w:ascii="Arial" w:hAnsi="Arial" w:cs="Arial"/>
        </w:rPr>
        <w:t>Sapiets</w:t>
      </w:r>
      <w:r w:rsidR="005260B8">
        <w:rPr>
          <w:rFonts w:ascii="Arial" w:hAnsi="Arial" w:cs="Arial"/>
        </w:rPr>
        <w:t xml:space="preserve"> et al, 2023)</w:t>
      </w:r>
      <w:r w:rsidRPr="00B17E9F">
        <w:rPr>
          <w:rFonts w:ascii="Arial" w:hAnsi="Arial" w:cs="Arial"/>
        </w:rPr>
        <w:t>. This multidisciplinary approach enhances decision-making and ensures that interventions are consistent across home and school environments.</w:t>
      </w:r>
    </w:p>
    <w:p w14:paraId="7F157E55" w14:textId="27164606" w:rsidR="00B17E9F" w:rsidRPr="00B17E9F" w:rsidRDefault="00381B18" w:rsidP="008A07BF">
      <w:pPr>
        <w:pStyle w:val="Heading2"/>
      </w:pPr>
      <w:bookmarkStart w:id="22" w:name="_Toc219199494"/>
      <w:r>
        <w:t xml:space="preserve">2.8.3 </w:t>
      </w:r>
      <w:r w:rsidR="00B17E9F" w:rsidRPr="00B17E9F">
        <w:rPr>
          <w:rFonts w:eastAsiaTheme="majorEastAsia"/>
        </w:rPr>
        <w:t>Barriers to Early Recognition</w:t>
      </w:r>
      <w:bookmarkEnd w:id="22"/>
      <w:r w:rsidR="00B17E9F" w:rsidRPr="00B17E9F">
        <w:rPr>
          <w:rFonts w:eastAsiaTheme="majorEastAsia"/>
        </w:rPr>
        <w:t xml:space="preserve"> </w:t>
      </w:r>
    </w:p>
    <w:p w14:paraId="769C7332" w14:textId="3A3ED119" w:rsidR="00B17E9F" w:rsidRPr="00B17E9F" w:rsidRDefault="00B17E9F" w:rsidP="00381B18">
      <w:pPr>
        <w:spacing w:before="240" w:line="360" w:lineRule="auto"/>
        <w:jc w:val="both"/>
        <w:rPr>
          <w:rFonts w:ascii="Arial" w:hAnsi="Arial" w:cs="Arial"/>
        </w:rPr>
      </w:pPr>
      <w:r w:rsidRPr="00B17E9F">
        <w:rPr>
          <w:rFonts w:ascii="Arial" w:hAnsi="Arial" w:cs="Arial"/>
        </w:rPr>
        <w:t xml:space="preserve">Despite the importance of early identification, several barriers hinder </w:t>
      </w:r>
      <w:r w:rsidR="00381B18">
        <w:rPr>
          <w:rFonts w:ascii="Arial" w:hAnsi="Arial" w:cs="Arial"/>
        </w:rPr>
        <w:t xml:space="preserve">the </w:t>
      </w:r>
      <w:r w:rsidRPr="00B17E9F">
        <w:rPr>
          <w:rFonts w:ascii="Arial" w:hAnsi="Arial" w:cs="Arial"/>
        </w:rPr>
        <w:t>timely recognition of developmental delays</w:t>
      </w:r>
      <w:r w:rsidR="00EF65BB">
        <w:rPr>
          <w:rFonts w:ascii="Arial" w:hAnsi="Arial" w:cs="Arial"/>
        </w:rPr>
        <w:t xml:space="preserve"> (</w:t>
      </w:r>
      <w:r w:rsidR="00EF65BB" w:rsidRPr="00CE76E9">
        <w:rPr>
          <w:rFonts w:ascii="Arial" w:hAnsi="Arial" w:cs="Arial"/>
        </w:rPr>
        <w:t>Sapiets</w:t>
      </w:r>
      <w:r w:rsidR="00EF65BB">
        <w:rPr>
          <w:rFonts w:ascii="Arial" w:hAnsi="Arial" w:cs="Arial"/>
        </w:rPr>
        <w:t xml:space="preserve"> et al, 2023)</w:t>
      </w:r>
      <w:r w:rsidRPr="00B17E9F">
        <w:rPr>
          <w:rFonts w:ascii="Arial" w:hAnsi="Arial" w:cs="Arial"/>
        </w:rPr>
        <w:t>. Limited awareness among parents or teachers can delay referrals, especially when delays are subtle or attributed to temporary developmental differences</w:t>
      </w:r>
      <w:r w:rsidR="00A41D6E">
        <w:rPr>
          <w:rFonts w:ascii="Arial" w:hAnsi="Arial" w:cs="Arial"/>
        </w:rPr>
        <w:t xml:space="preserve"> (</w:t>
      </w:r>
      <w:r w:rsidR="00A41D6E" w:rsidRPr="00A41D6E">
        <w:rPr>
          <w:rFonts w:ascii="Arial" w:hAnsi="Arial" w:cs="Arial"/>
        </w:rPr>
        <w:t>Marshall</w:t>
      </w:r>
      <w:r w:rsidR="00A41D6E">
        <w:rPr>
          <w:rFonts w:ascii="Arial" w:hAnsi="Arial" w:cs="Arial"/>
        </w:rPr>
        <w:t xml:space="preserve"> et al, 2020)</w:t>
      </w:r>
      <w:r w:rsidRPr="00B17E9F">
        <w:rPr>
          <w:rFonts w:ascii="Arial" w:hAnsi="Arial" w:cs="Arial"/>
        </w:rPr>
        <w:t>. Cultural beliefs, stigma, or concerns about labelling may discourage families from seeking assessment. In some cases, schools may lack the resources or training needed to recognise signs of developmental difficulty, leading to missed opportunities for early support</w:t>
      </w:r>
      <w:r w:rsidR="006307B1">
        <w:rPr>
          <w:rFonts w:ascii="Arial" w:hAnsi="Arial" w:cs="Arial"/>
        </w:rPr>
        <w:t xml:space="preserve"> (</w:t>
      </w:r>
      <w:r w:rsidR="006307B1" w:rsidRPr="00A41D6E">
        <w:rPr>
          <w:rFonts w:ascii="Arial" w:hAnsi="Arial" w:cs="Arial"/>
        </w:rPr>
        <w:t>Marshall</w:t>
      </w:r>
      <w:r w:rsidR="006307B1">
        <w:rPr>
          <w:rFonts w:ascii="Arial" w:hAnsi="Arial" w:cs="Arial"/>
        </w:rPr>
        <w:t xml:space="preserve"> et al, 2020)</w:t>
      </w:r>
      <w:r w:rsidRPr="00B17E9F">
        <w:rPr>
          <w:rFonts w:ascii="Arial" w:hAnsi="Arial" w:cs="Arial"/>
        </w:rPr>
        <w:t>.</w:t>
      </w:r>
    </w:p>
    <w:p w14:paraId="66DC287C" w14:textId="7152614F" w:rsidR="00B17E9F" w:rsidRPr="00B17E9F" w:rsidRDefault="00B17E9F" w:rsidP="00381B18">
      <w:pPr>
        <w:spacing w:before="240" w:line="360" w:lineRule="auto"/>
        <w:jc w:val="both"/>
        <w:rPr>
          <w:rFonts w:ascii="Arial" w:hAnsi="Arial" w:cs="Arial"/>
        </w:rPr>
      </w:pPr>
      <w:r w:rsidRPr="00B17E9F">
        <w:rPr>
          <w:rFonts w:ascii="Arial" w:hAnsi="Arial" w:cs="Arial"/>
        </w:rPr>
        <w:t xml:space="preserve">Systemic barriers also contribute to delays in identification. Long waiting times for specialist assessments, shortages of therapeutic services, and regional disparities in </w:t>
      </w:r>
      <w:r w:rsidRPr="00B17E9F">
        <w:rPr>
          <w:rFonts w:ascii="Arial" w:hAnsi="Arial" w:cs="Arial"/>
        </w:rPr>
        <w:lastRenderedPageBreak/>
        <w:t>service provision can all impede access to timely support</w:t>
      </w:r>
      <w:r w:rsidR="00EF65BB">
        <w:rPr>
          <w:rFonts w:ascii="Arial" w:hAnsi="Arial" w:cs="Arial"/>
        </w:rPr>
        <w:t xml:space="preserve"> (</w:t>
      </w:r>
      <w:r w:rsidR="00EF65BB" w:rsidRPr="00CE76E9">
        <w:rPr>
          <w:rFonts w:ascii="Arial" w:hAnsi="Arial" w:cs="Arial"/>
        </w:rPr>
        <w:t>Sapiets</w:t>
      </w:r>
      <w:r w:rsidR="00EF65BB">
        <w:rPr>
          <w:rFonts w:ascii="Arial" w:hAnsi="Arial" w:cs="Arial"/>
        </w:rPr>
        <w:t xml:space="preserve"> et al, 2023)</w:t>
      </w:r>
      <w:r w:rsidRPr="00B17E9F">
        <w:rPr>
          <w:rFonts w:ascii="Arial" w:hAnsi="Arial" w:cs="Arial"/>
        </w:rPr>
        <w:t>. Children from disadvantaged backgrounds are particularly vulnerable to delayed recognition due to limited access to healthcare and educational services</w:t>
      </w:r>
      <w:r w:rsidR="006307B1">
        <w:rPr>
          <w:rFonts w:ascii="Arial" w:hAnsi="Arial" w:cs="Arial"/>
        </w:rPr>
        <w:t xml:space="preserve"> (</w:t>
      </w:r>
      <w:r w:rsidR="006307B1" w:rsidRPr="00A41D6E">
        <w:rPr>
          <w:rFonts w:ascii="Arial" w:hAnsi="Arial" w:cs="Arial"/>
        </w:rPr>
        <w:t>Marshall</w:t>
      </w:r>
      <w:r w:rsidR="006307B1">
        <w:rPr>
          <w:rFonts w:ascii="Arial" w:hAnsi="Arial" w:cs="Arial"/>
        </w:rPr>
        <w:t xml:space="preserve"> et al, 2020)</w:t>
      </w:r>
      <w:r w:rsidRPr="00B17E9F">
        <w:rPr>
          <w:rFonts w:ascii="Arial" w:hAnsi="Arial" w:cs="Arial"/>
        </w:rPr>
        <w:t>. Addressing these barriers is essential to ensuring that all children receive early and appropriate support.</w:t>
      </w:r>
    </w:p>
    <w:p w14:paraId="270A11DD" w14:textId="21ABD634" w:rsidR="00B17E9F" w:rsidRPr="00B17E9F" w:rsidRDefault="00B17E9F" w:rsidP="008A07BF">
      <w:pPr>
        <w:pStyle w:val="Heading1"/>
      </w:pPr>
      <w:bookmarkStart w:id="23" w:name="_Toc219199495"/>
      <w:r w:rsidRPr="00B17E9F">
        <w:t>2.</w:t>
      </w:r>
      <w:r w:rsidR="00381B18">
        <w:t>9</w:t>
      </w:r>
      <w:r w:rsidRPr="00B17E9F">
        <w:t xml:space="preserve"> Impact of Early Intervention Strategies</w:t>
      </w:r>
      <w:bookmarkEnd w:id="23"/>
      <w:r w:rsidRPr="00B17E9F">
        <w:t xml:space="preserve"> </w:t>
      </w:r>
    </w:p>
    <w:p w14:paraId="485C0594" w14:textId="43891081" w:rsidR="00B17E9F" w:rsidRPr="00B17E9F" w:rsidRDefault="00B17E9F" w:rsidP="00381B18">
      <w:pPr>
        <w:spacing w:before="240" w:line="360" w:lineRule="auto"/>
        <w:jc w:val="both"/>
        <w:rPr>
          <w:rFonts w:ascii="Arial" w:hAnsi="Arial" w:cs="Arial"/>
        </w:rPr>
      </w:pPr>
      <w:r w:rsidRPr="00B17E9F">
        <w:rPr>
          <w:rFonts w:ascii="Arial" w:hAnsi="Arial" w:cs="Arial"/>
        </w:rPr>
        <w:t>Early intervention has been shown to significantly improve outcomes for children with developmental delays. By providing targeted support during critical periods of development, early intervention can enhance cognitive, language, and motor skills</w:t>
      </w:r>
      <w:r w:rsidR="0013412C">
        <w:rPr>
          <w:rFonts w:ascii="Arial" w:hAnsi="Arial" w:cs="Arial"/>
        </w:rPr>
        <w:t xml:space="preserve"> (</w:t>
      </w:r>
      <w:r w:rsidR="0013412C" w:rsidRPr="0013412C">
        <w:rPr>
          <w:rFonts w:ascii="Arial" w:hAnsi="Arial" w:cs="Arial"/>
        </w:rPr>
        <w:t>Guralnick</w:t>
      </w:r>
      <w:r w:rsidR="0013412C">
        <w:rPr>
          <w:rFonts w:ascii="Arial" w:hAnsi="Arial" w:cs="Arial"/>
        </w:rPr>
        <w:t>, 2016)</w:t>
      </w:r>
      <w:r w:rsidRPr="00B17E9F">
        <w:rPr>
          <w:rFonts w:ascii="Arial" w:hAnsi="Arial" w:cs="Arial"/>
        </w:rPr>
        <w:t>. Evidence suggests that children who receive early support demonstrate improved academic performance, better social skills, and greater independence compared with those who are identified later</w:t>
      </w:r>
      <w:r w:rsidR="008878A6">
        <w:rPr>
          <w:rFonts w:ascii="Arial" w:hAnsi="Arial" w:cs="Arial"/>
        </w:rPr>
        <w:t xml:space="preserve"> (</w:t>
      </w:r>
      <w:r w:rsidR="008878A6" w:rsidRPr="008878A6">
        <w:rPr>
          <w:rFonts w:ascii="Arial" w:hAnsi="Arial" w:cs="Arial"/>
        </w:rPr>
        <w:t>Ward</w:t>
      </w:r>
      <w:r w:rsidR="008878A6">
        <w:rPr>
          <w:rFonts w:ascii="Arial" w:hAnsi="Arial" w:cs="Arial"/>
        </w:rPr>
        <w:t xml:space="preserve"> et al, 2020)</w:t>
      </w:r>
      <w:r w:rsidRPr="00B17E9F">
        <w:rPr>
          <w:rFonts w:ascii="Arial" w:hAnsi="Arial" w:cs="Arial"/>
        </w:rPr>
        <w:t>. Interventions may include speech and language therapy, occupational therapy, behavioural support, or specialised educational programmes</w:t>
      </w:r>
      <w:r w:rsidR="00A83E1A">
        <w:rPr>
          <w:rFonts w:ascii="Arial" w:hAnsi="Arial" w:cs="Arial"/>
        </w:rPr>
        <w:t xml:space="preserve"> (</w:t>
      </w:r>
      <w:r w:rsidR="00A83E1A" w:rsidRPr="00A83E1A">
        <w:rPr>
          <w:rFonts w:ascii="Arial" w:hAnsi="Arial" w:cs="Arial"/>
        </w:rPr>
        <w:t>Lovett</w:t>
      </w:r>
      <w:r w:rsidR="00A83E1A">
        <w:rPr>
          <w:rFonts w:ascii="Arial" w:hAnsi="Arial" w:cs="Arial"/>
        </w:rPr>
        <w:t xml:space="preserve"> et al, 2017)</w:t>
      </w:r>
      <w:r w:rsidRPr="00B17E9F">
        <w:rPr>
          <w:rFonts w:ascii="Arial" w:hAnsi="Arial" w:cs="Arial"/>
        </w:rPr>
        <w:t>. Early intervention also reduces the long-term need for intensive services, benefiting both families and the wider education and healthcare systems</w:t>
      </w:r>
      <w:r w:rsidR="00CD6D6A">
        <w:rPr>
          <w:rFonts w:ascii="Arial" w:hAnsi="Arial" w:cs="Arial"/>
        </w:rPr>
        <w:t xml:space="preserve"> (</w:t>
      </w:r>
      <w:r w:rsidR="00CD6D6A" w:rsidRPr="00A83E1A">
        <w:rPr>
          <w:rFonts w:ascii="Arial" w:hAnsi="Arial" w:cs="Arial"/>
        </w:rPr>
        <w:t>Lovett</w:t>
      </w:r>
      <w:r w:rsidR="00CD6D6A">
        <w:rPr>
          <w:rFonts w:ascii="Arial" w:hAnsi="Arial" w:cs="Arial"/>
        </w:rPr>
        <w:t xml:space="preserve"> et al, 2017)</w:t>
      </w:r>
      <w:r w:rsidRPr="00B17E9F">
        <w:rPr>
          <w:rFonts w:ascii="Arial" w:hAnsi="Arial" w:cs="Arial"/>
        </w:rPr>
        <w:t>.</w:t>
      </w:r>
    </w:p>
    <w:p w14:paraId="0D4EE4BF" w14:textId="5D467958" w:rsidR="00B17E9F" w:rsidRPr="00B17E9F" w:rsidRDefault="00B17E9F" w:rsidP="00381B18">
      <w:pPr>
        <w:spacing w:before="240" w:line="360" w:lineRule="auto"/>
        <w:jc w:val="both"/>
        <w:rPr>
          <w:rFonts w:ascii="Arial" w:hAnsi="Arial" w:cs="Arial"/>
        </w:rPr>
      </w:pPr>
      <w:r w:rsidRPr="00B17E9F">
        <w:rPr>
          <w:rFonts w:ascii="Arial" w:hAnsi="Arial" w:cs="Arial"/>
        </w:rPr>
        <w:t>Interventions are most effective when they are tailored to the individual needs of the child and implemented consistently across home and school settings</w:t>
      </w:r>
      <w:r w:rsidR="004C7570">
        <w:rPr>
          <w:rFonts w:ascii="Arial" w:hAnsi="Arial" w:cs="Arial"/>
        </w:rPr>
        <w:t xml:space="preserve"> (</w:t>
      </w:r>
      <w:r w:rsidR="004C7570" w:rsidRPr="008878A6">
        <w:rPr>
          <w:rFonts w:ascii="Arial" w:hAnsi="Arial" w:cs="Arial"/>
        </w:rPr>
        <w:t>Ward</w:t>
      </w:r>
      <w:r w:rsidR="004C7570">
        <w:rPr>
          <w:rFonts w:ascii="Arial" w:hAnsi="Arial" w:cs="Arial"/>
        </w:rPr>
        <w:t xml:space="preserve"> et al, 2020)</w:t>
      </w:r>
      <w:r w:rsidRPr="00B17E9F">
        <w:rPr>
          <w:rFonts w:ascii="Arial" w:hAnsi="Arial" w:cs="Arial"/>
        </w:rPr>
        <w:t>. Parent-led interventions, for example, empower families to support their child’s development through structured activities and communication strategies</w:t>
      </w:r>
      <w:r w:rsidR="00CD6D6A">
        <w:rPr>
          <w:rFonts w:ascii="Arial" w:hAnsi="Arial" w:cs="Arial"/>
        </w:rPr>
        <w:t xml:space="preserve"> (</w:t>
      </w:r>
      <w:r w:rsidR="00CD6D6A" w:rsidRPr="00A83E1A">
        <w:rPr>
          <w:rFonts w:ascii="Arial" w:hAnsi="Arial" w:cs="Arial"/>
        </w:rPr>
        <w:t>Lovett</w:t>
      </w:r>
      <w:r w:rsidR="00CD6D6A">
        <w:rPr>
          <w:rFonts w:ascii="Arial" w:hAnsi="Arial" w:cs="Arial"/>
        </w:rPr>
        <w:t xml:space="preserve"> et al, 2017)</w:t>
      </w:r>
      <w:r w:rsidRPr="00B17E9F">
        <w:rPr>
          <w:rFonts w:ascii="Arial" w:hAnsi="Arial" w:cs="Arial"/>
        </w:rPr>
        <w:t>. School-based interventions, such as small-group instruction or targeted teaching approaches, help children develop specific skills that support academic progress</w:t>
      </w:r>
      <w:r w:rsidR="00CD6D6A">
        <w:rPr>
          <w:rFonts w:ascii="Arial" w:hAnsi="Arial" w:cs="Arial"/>
        </w:rPr>
        <w:t xml:space="preserve"> (</w:t>
      </w:r>
      <w:r w:rsidR="00CD6D6A" w:rsidRPr="0013412C">
        <w:rPr>
          <w:rFonts w:ascii="Arial" w:hAnsi="Arial" w:cs="Arial"/>
        </w:rPr>
        <w:t>Guralnick</w:t>
      </w:r>
      <w:r w:rsidR="00CD6D6A">
        <w:rPr>
          <w:rFonts w:ascii="Arial" w:hAnsi="Arial" w:cs="Arial"/>
        </w:rPr>
        <w:t>, 2016)</w:t>
      </w:r>
      <w:r w:rsidRPr="00B17E9F">
        <w:rPr>
          <w:rFonts w:ascii="Arial" w:hAnsi="Arial" w:cs="Arial"/>
        </w:rPr>
        <w:t>. The success of early intervention relies on close collaboration between professionals and families, ensuring that strategies are personalised and achievable</w:t>
      </w:r>
      <w:r w:rsidR="00CD6D6A">
        <w:rPr>
          <w:rFonts w:ascii="Arial" w:hAnsi="Arial" w:cs="Arial"/>
        </w:rPr>
        <w:t xml:space="preserve"> (</w:t>
      </w:r>
      <w:r w:rsidR="00CD6D6A" w:rsidRPr="0013412C">
        <w:rPr>
          <w:rFonts w:ascii="Arial" w:hAnsi="Arial" w:cs="Arial"/>
        </w:rPr>
        <w:t>Guralnick</w:t>
      </w:r>
      <w:r w:rsidR="00CD6D6A">
        <w:rPr>
          <w:rFonts w:ascii="Arial" w:hAnsi="Arial" w:cs="Arial"/>
        </w:rPr>
        <w:t>, 2016)</w:t>
      </w:r>
      <w:r w:rsidRPr="00B17E9F">
        <w:rPr>
          <w:rFonts w:ascii="Arial" w:hAnsi="Arial" w:cs="Arial"/>
        </w:rPr>
        <w:t>.</w:t>
      </w:r>
    </w:p>
    <w:p w14:paraId="69DB0FDC" w14:textId="7CAFB520" w:rsidR="00B17E9F" w:rsidRPr="00B17E9F" w:rsidRDefault="00B17E9F" w:rsidP="00381B18">
      <w:pPr>
        <w:spacing w:before="240" w:line="360" w:lineRule="auto"/>
        <w:jc w:val="both"/>
        <w:rPr>
          <w:rFonts w:ascii="Arial" w:hAnsi="Arial" w:cs="Arial"/>
        </w:rPr>
      </w:pPr>
      <w:r w:rsidRPr="00B17E9F">
        <w:rPr>
          <w:rFonts w:ascii="Arial" w:hAnsi="Arial" w:cs="Arial"/>
        </w:rPr>
        <w:t>Beyond improving developmental outcomes, early intervention also plays a key role in supporting emotional well-being</w:t>
      </w:r>
      <w:r w:rsidR="004C7570">
        <w:rPr>
          <w:rFonts w:ascii="Arial" w:hAnsi="Arial" w:cs="Arial"/>
        </w:rPr>
        <w:t xml:space="preserve"> (</w:t>
      </w:r>
      <w:r w:rsidR="004C7570" w:rsidRPr="008878A6">
        <w:rPr>
          <w:rFonts w:ascii="Arial" w:hAnsi="Arial" w:cs="Arial"/>
        </w:rPr>
        <w:t>Ward</w:t>
      </w:r>
      <w:r w:rsidR="004C7570">
        <w:rPr>
          <w:rFonts w:ascii="Arial" w:hAnsi="Arial" w:cs="Arial"/>
        </w:rPr>
        <w:t xml:space="preserve"> et al, 2020)</w:t>
      </w:r>
      <w:r w:rsidRPr="00B17E9F">
        <w:rPr>
          <w:rFonts w:ascii="Arial" w:hAnsi="Arial" w:cs="Arial"/>
        </w:rPr>
        <w:t>. Children who receive timely support are more likely to experience positive peer interactions, greater confidence, and reduced behavioural challenges</w:t>
      </w:r>
      <w:r w:rsidR="00CD6D6A">
        <w:rPr>
          <w:rFonts w:ascii="Arial" w:hAnsi="Arial" w:cs="Arial"/>
        </w:rPr>
        <w:t xml:space="preserve"> (</w:t>
      </w:r>
      <w:r w:rsidR="00CD6D6A" w:rsidRPr="0013412C">
        <w:rPr>
          <w:rFonts w:ascii="Arial" w:hAnsi="Arial" w:cs="Arial"/>
        </w:rPr>
        <w:t>Guralnick</w:t>
      </w:r>
      <w:r w:rsidR="00CD6D6A">
        <w:rPr>
          <w:rFonts w:ascii="Arial" w:hAnsi="Arial" w:cs="Arial"/>
        </w:rPr>
        <w:t>, 2016)</w:t>
      </w:r>
      <w:r w:rsidRPr="00B17E9F">
        <w:rPr>
          <w:rFonts w:ascii="Arial" w:hAnsi="Arial" w:cs="Arial"/>
        </w:rPr>
        <w:t xml:space="preserve">. Early intervention can mitigate the impact of environmental or socio-economic risk factors, providing children with </w:t>
      </w:r>
      <w:r w:rsidRPr="00B17E9F">
        <w:rPr>
          <w:rFonts w:ascii="Arial" w:hAnsi="Arial" w:cs="Arial"/>
        </w:rPr>
        <w:lastRenderedPageBreak/>
        <w:t>opportunities that may otherwise be limited by their circumstances</w:t>
      </w:r>
      <w:r w:rsidR="008D18F5">
        <w:rPr>
          <w:rFonts w:ascii="Arial" w:hAnsi="Arial" w:cs="Arial"/>
        </w:rPr>
        <w:t xml:space="preserve"> (</w:t>
      </w:r>
      <w:r w:rsidR="008D18F5" w:rsidRPr="008878A6">
        <w:rPr>
          <w:rFonts w:ascii="Arial" w:hAnsi="Arial" w:cs="Arial"/>
        </w:rPr>
        <w:t>Ward</w:t>
      </w:r>
      <w:r w:rsidR="008D18F5">
        <w:rPr>
          <w:rFonts w:ascii="Arial" w:hAnsi="Arial" w:cs="Arial"/>
        </w:rPr>
        <w:t xml:space="preserve"> et al, 2020)</w:t>
      </w:r>
      <w:r w:rsidRPr="00B17E9F">
        <w:rPr>
          <w:rFonts w:ascii="Arial" w:hAnsi="Arial" w:cs="Arial"/>
        </w:rPr>
        <w:t>. Understanding the effectiveness of early intervention underscores its importance in reducing developmental inequalities and promoting long-term well-being</w:t>
      </w:r>
      <w:r w:rsidR="00CD6D6A">
        <w:rPr>
          <w:rFonts w:ascii="Arial" w:hAnsi="Arial" w:cs="Arial"/>
        </w:rPr>
        <w:t xml:space="preserve"> (</w:t>
      </w:r>
      <w:r w:rsidR="00CD6D6A" w:rsidRPr="00A83E1A">
        <w:rPr>
          <w:rFonts w:ascii="Arial" w:hAnsi="Arial" w:cs="Arial"/>
        </w:rPr>
        <w:t>Lovett</w:t>
      </w:r>
      <w:r w:rsidR="00CD6D6A">
        <w:rPr>
          <w:rFonts w:ascii="Arial" w:hAnsi="Arial" w:cs="Arial"/>
        </w:rPr>
        <w:t xml:space="preserve"> et al, 2017)</w:t>
      </w:r>
      <w:r w:rsidRPr="00B17E9F">
        <w:rPr>
          <w:rFonts w:ascii="Arial" w:hAnsi="Arial" w:cs="Arial"/>
        </w:rPr>
        <w:t>.</w:t>
      </w:r>
    </w:p>
    <w:p w14:paraId="13FC4F7B" w14:textId="3F78EDDA" w:rsidR="00B17E9F" w:rsidRPr="00B17E9F" w:rsidRDefault="00B17E9F" w:rsidP="008A07BF">
      <w:pPr>
        <w:pStyle w:val="Heading1"/>
      </w:pPr>
      <w:bookmarkStart w:id="24" w:name="_Toc219199496"/>
      <w:r w:rsidRPr="00B17E9F">
        <w:t>2.</w:t>
      </w:r>
      <w:r w:rsidR="00381B18">
        <w:t>10</w:t>
      </w:r>
      <w:r w:rsidRPr="00B17E9F">
        <w:t xml:space="preserve"> Legislative and Policy Framework: The Impact of the Children Act</w:t>
      </w:r>
      <w:bookmarkEnd w:id="24"/>
      <w:r w:rsidRPr="00B17E9F">
        <w:t xml:space="preserve"> </w:t>
      </w:r>
    </w:p>
    <w:p w14:paraId="5181CC04" w14:textId="677A76DF" w:rsidR="00B17E9F" w:rsidRPr="00B17E9F" w:rsidRDefault="00B17E9F" w:rsidP="00381B18">
      <w:pPr>
        <w:spacing w:before="240" w:line="360" w:lineRule="auto"/>
        <w:jc w:val="both"/>
        <w:rPr>
          <w:rFonts w:ascii="Arial" w:hAnsi="Arial" w:cs="Arial"/>
        </w:rPr>
      </w:pPr>
      <w:r w:rsidRPr="00B17E9F">
        <w:rPr>
          <w:rFonts w:ascii="Arial" w:hAnsi="Arial" w:cs="Arial"/>
        </w:rPr>
        <w:t>The Children Act provides the legal foundation for safeguarding and promoting the welfare of children in England</w:t>
      </w:r>
      <w:r w:rsidR="007E0EBD">
        <w:rPr>
          <w:rFonts w:ascii="Arial" w:hAnsi="Arial" w:cs="Arial"/>
        </w:rPr>
        <w:t xml:space="preserve"> (</w:t>
      </w:r>
      <w:r w:rsidR="007E0EBD" w:rsidRPr="007E0EBD">
        <w:rPr>
          <w:rFonts w:ascii="Arial" w:hAnsi="Arial" w:cs="Arial"/>
        </w:rPr>
        <w:t>Biehal</w:t>
      </w:r>
      <w:r w:rsidR="007E0EBD">
        <w:rPr>
          <w:rFonts w:ascii="Arial" w:hAnsi="Arial" w:cs="Arial"/>
        </w:rPr>
        <w:t>, 2018)</w:t>
      </w:r>
      <w:r w:rsidRPr="00B17E9F">
        <w:rPr>
          <w:rFonts w:ascii="Arial" w:hAnsi="Arial" w:cs="Arial"/>
        </w:rPr>
        <w:t>. It outlines the responsibilities of local authorities, schools, and health services to ensure that children’s developmental needs are met through early help, protection, and coordinated support</w:t>
      </w:r>
      <w:r w:rsidR="00F652CB">
        <w:rPr>
          <w:rFonts w:ascii="Arial" w:hAnsi="Arial" w:cs="Arial"/>
        </w:rPr>
        <w:t xml:space="preserve"> (</w:t>
      </w:r>
      <w:r w:rsidR="00F652CB" w:rsidRPr="00F652CB">
        <w:rPr>
          <w:rFonts w:ascii="Arial" w:hAnsi="Arial" w:cs="Arial"/>
        </w:rPr>
        <w:t>Castro</w:t>
      </w:r>
      <w:r w:rsidR="00F652CB">
        <w:rPr>
          <w:rFonts w:ascii="Arial" w:hAnsi="Arial" w:cs="Arial"/>
        </w:rPr>
        <w:t xml:space="preserve"> and </w:t>
      </w:r>
      <w:r w:rsidR="00F652CB" w:rsidRPr="00F652CB">
        <w:rPr>
          <w:rFonts w:ascii="Arial" w:hAnsi="Arial" w:cs="Arial"/>
        </w:rPr>
        <w:t>Palikara</w:t>
      </w:r>
      <w:r w:rsidR="00F652CB">
        <w:rPr>
          <w:rFonts w:ascii="Arial" w:hAnsi="Arial" w:cs="Arial"/>
        </w:rPr>
        <w:t>, 2016)</w:t>
      </w:r>
      <w:r w:rsidRPr="00B17E9F">
        <w:rPr>
          <w:rFonts w:ascii="Arial" w:hAnsi="Arial" w:cs="Arial"/>
        </w:rPr>
        <w:t>. The Act emphasises the importance of intervention at the earliest opportunity, recognising that timely action is crucial to improving children’s developmental outcomes</w:t>
      </w:r>
      <w:r w:rsidR="0093665F">
        <w:rPr>
          <w:rFonts w:ascii="Arial" w:hAnsi="Arial" w:cs="Arial"/>
        </w:rPr>
        <w:t xml:space="preserve"> (</w:t>
      </w:r>
      <w:r w:rsidR="0093665F" w:rsidRPr="0093665F">
        <w:rPr>
          <w:rFonts w:ascii="Arial" w:hAnsi="Arial" w:cs="Arial"/>
        </w:rPr>
        <w:t>Thoburn</w:t>
      </w:r>
      <w:r w:rsidR="0093665F">
        <w:rPr>
          <w:rFonts w:ascii="Arial" w:hAnsi="Arial" w:cs="Arial"/>
        </w:rPr>
        <w:t>, 2023)</w:t>
      </w:r>
      <w:r w:rsidRPr="00B17E9F">
        <w:rPr>
          <w:rFonts w:ascii="Arial" w:hAnsi="Arial" w:cs="Arial"/>
        </w:rPr>
        <w:t xml:space="preserve">. Its principles underpin multi-agency collaboration, ensuring that children with developmental delays receive appropriate and consistent </w:t>
      </w:r>
      <w:r w:rsidR="00A5671E">
        <w:rPr>
          <w:rFonts w:ascii="Arial" w:hAnsi="Arial" w:cs="Arial"/>
        </w:rPr>
        <w:t>support (</w:t>
      </w:r>
      <w:r w:rsidR="00A5671E" w:rsidRPr="007E0EBD">
        <w:rPr>
          <w:rFonts w:ascii="Arial" w:hAnsi="Arial" w:cs="Arial"/>
        </w:rPr>
        <w:t>Biehal</w:t>
      </w:r>
      <w:r w:rsidR="00A5671E">
        <w:rPr>
          <w:rFonts w:ascii="Arial" w:hAnsi="Arial" w:cs="Arial"/>
        </w:rPr>
        <w:t>, 2018)</w:t>
      </w:r>
      <w:r w:rsidRPr="00B17E9F">
        <w:rPr>
          <w:rFonts w:ascii="Arial" w:hAnsi="Arial" w:cs="Arial"/>
        </w:rPr>
        <w:t>.</w:t>
      </w:r>
    </w:p>
    <w:p w14:paraId="7B7CA757" w14:textId="3E851F4B" w:rsidR="00B17E9F" w:rsidRPr="00B17E9F" w:rsidRDefault="00B17E9F" w:rsidP="00381B18">
      <w:pPr>
        <w:spacing w:before="240" w:line="360" w:lineRule="auto"/>
        <w:jc w:val="both"/>
        <w:rPr>
          <w:rFonts w:ascii="Arial" w:hAnsi="Arial" w:cs="Arial"/>
        </w:rPr>
      </w:pPr>
      <w:r w:rsidRPr="00B17E9F">
        <w:rPr>
          <w:rFonts w:ascii="Arial" w:hAnsi="Arial" w:cs="Arial"/>
        </w:rPr>
        <w:t>A core element of the Children Act is its focus on promoting the welfare of the child. This includes ensuring access to health assessments, educational support, and specialist services</w:t>
      </w:r>
      <w:r w:rsidR="00C935F6">
        <w:rPr>
          <w:rFonts w:ascii="Arial" w:hAnsi="Arial" w:cs="Arial"/>
        </w:rPr>
        <w:t xml:space="preserve"> (</w:t>
      </w:r>
      <w:r w:rsidR="00C935F6" w:rsidRPr="00C935F6">
        <w:rPr>
          <w:rFonts w:ascii="Arial" w:hAnsi="Arial" w:cs="Arial"/>
        </w:rPr>
        <w:t>Keeling</w:t>
      </w:r>
      <w:r w:rsidR="00C935F6">
        <w:rPr>
          <w:rFonts w:ascii="Arial" w:hAnsi="Arial" w:cs="Arial"/>
        </w:rPr>
        <w:t xml:space="preserve"> and </w:t>
      </w:r>
      <w:r w:rsidR="00C935F6" w:rsidRPr="00C935F6">
        <w:rPr>
          <w:rFonts w:ascii="Arial" w:hAnsi="Arial" w:cs="Arial"/>
        </w:rPr>
        <w:t>Oakley</w:t>
      </w:r>
      <w:r w:rsidR="00C935F6">
        <w:rPr>
          <w:rFonts w:ascii="Arial" w:hAnsi="Arial" w:cs="Arial"/>
        </w:rPr>
        <w:t>, 2021)</w:t>
      </w:r>
      <w:r w:rsidRPr="00B17E9F">
        <w:rPr>
          <w:rFonts w:ascii="Arial" w:hAnsi="Arial" w:cs="Arial"/>
        </w:rPr>
        <w:t>. The Act requires agencies to work together to identify children who may be at risk of developmental difficulties and to implement support plans that address their needs holistically</w:t>
      </w:r>
      <w:r w:rsidR="00A5671E">
        <w:rPr>
          <w:rFonts w:ascii="Arial" w:hAnsi="Arial" w:cs="Arial"/>
        </w:rPr>
        <w:t xml:space="preserve"> (</w:t>
      </w:r>
      <w:r w:rsidR="00A5671E" w:rsidRPr="007E0EBD">
        <w:rPr>
          <w:rFonts w:ascii="Arial" w:hAnsi="Arial" w:cs="Arial"/>
        </w:rPr>
        <w:t>Biehal</w:t>
      </w:r>
      <w:r w:rsidR="00A5671E">
        <w:rPr>
          <w:rFonts w:ascii="Arial" w:hAnsi="Arial" w:cs="Arial"/>
        </w:rPr>
        <w:t>, 2018)</w:t>
      </w:r>
      <w:r w:rsidRPr="00B17E9F">
        <w:rPr>
          <w:rFonts w:ascii="Arial" w:hAnsi="Arial" w:cs="Arial"/>
        </w:rPr>
        <w:t>. This legislative framework supports early identification and intervention by encouraging communication between schools, health professionals, and social services</w:t>
      </w:r>
      <w:r w:rsidR="00A5671E">
        <w:rPr>
          <w:rFonts w:ascii="Arial" w:hAnsi="Arial" w:cs="Arial"/>
        </w:rPr>
        <w:t xml:space="preserve"> (</w:t>
      </w:r>
      <w:r w:rsidR="00A5671E" w:rsidRPr="00F652CB">
        <w:rPr>
          <w:rFonts w:ascii="Arial" w:hAnsi="Arial" w:cs="Arial"/>
        </w:rPr>
        <w:t>Castro</w:t>
      </w:r>
      <w:r w:rsidR="00A5671E">
        <w:rPr>
          <w:rFonts w:ascii="Arial" w:hAnsi="Arial" w:cs="Arial"/>
        </w:rPr>
        <w:t xml:space="preserve"> and </w:t>
      </w:r>
      <w:r w:rsidR="00A5671E" w:rsidRPr="00F652CB">
        <w:rPr>
          <w:rFonts w:ascii="Arial" w:hAnsi="Arial" w:cs="Arial"/>
        </w:rPr>
        <w:t>Palikara</w:t>
      </w:r>
      <w:r w:rsidR="00A5671E">
        <w:rPr>
          <w:rFonts w:ascii="Arial" w:hAnsi="Arial" w:cs="Arial"/>
        </w:rPr>
        <w:t>, 2016)</w:t>
      </w:r>
      <w:r w:rsidRPr="00B17E9F">
        <w:rPr>
          <w:rFonts w:ascii="Arial" w:hAnsi="Arial" w:cs="Arial"/>
        </w:rPr>
        <w:t>.</w:t>
      </w:r>
    </w:p>
    <w:p w14:paraId="782CB867" w14:textId="6AA46C27" w:rsidR="00B17E9F" w:rsidRPr="00B17E9F" w:rsidRDefault="00B17E9F" w:rsidP="00381B18">
      <w:pPr>
        <w:spacing w:before="240" w:line="360" w:lineRule="auto"/>
        <w:jc w:val="both"/>
        <w:rPr>
          <w:rFonts w:ascii="Arial" w:hAnsi="Arial" w:cs="Arial"/>
        </w:rPr>
      </w:pPr>
      <w:r w:rsidRPr="00B17E9F">
        <w:rPr>
          <w:rFonts w:ascii="Arial" w:hAnsi="Arial" w:cs="Arial"/>
        </w:rPr>
        <w:t>The Children Act also addresses inequality by emphasising the duty to support vulnerable children, including those affected by socio-economic disadvantage, disability, or family instability. Its provisions highlight the need for accessible services and equitable support regardless of background</w:t>
      </w:r>
      <w:r w:rsidR="00A5671E">
        <w:rPr>
          <w:rFonts w:ascii="Arial" w:hAnsi="Arial" w:cs="Arial"/>
        </w:rPr>
        <w:t xml:space="preserve"> (</w:t>
      </w:r>
      <w:r w:rsidR="00A5671E" w:rsidRPr="007E0EBD">
        <w:rPr>
          <w:rFonts w:ascii="Arial" w:hAnsi="Arial" w:cs="Arial"/>
        </w:rPr>
        <w:t>Biehal</w:t>
      </w:r>
      <w:r w:rsidR="00A5671E">
        <w:rPr>
          <w:rFonts w:ascii="Arial" w:hAnsi="Arial" w:cs="Arial"/>
        </w:rPr>
        <w:t>, 2018)</w:t>
      </w:r>
      <w:r w:rsidRPr="00B17E9F">
        <w:rPr>
          <w:rFonts w:ascii="Arial" w:hAnsi="Arial" w:cs="Arial"/>
        </w:rPr>
        <w:t xml:space="preserve">. By shaping policy and practice across multiple sectors, the Act plays a crucial role in improving developmental outcomes and ensuring that all children </w:t>
      </w:r>
      <w:r w:rsidR="00381B18" w:rsidRPr="00B17E9F">
        <w:rPr>
          <w:rFonts w:ascii="Arial" w:hAnsi="Arial" w:cs="Arial"/>
        </w:rPr>
        <w:t>can</w:t>
      </w:r>
      <w:r w:rsidRPr="00B17E9F">
        <w:rPr>
          <w:rFonts w:ascii="Arial" w:hAnsi="Arial" w:cs="Arial"/>
        </w:rPr>
        <w:t xml:space="preserve"> reach their full potential</w:t>
      </w:r>
      <w:r w:rsidR="00A5671E">
        <w:rPr>
          <w:rFonts w:ascii="Arial" w:hAnsi="Arial" w:cs="Arial"/>
        </w:rPr>
        <w:t xml:space="preserve"> (</w:t>
      </w:r>
      <w:r w:rsidR="00A5671E" w:rsidRPr="00C935F6">
        <w:rPr>
          <w:rFonts w:ascii="Arial" w:hAnsi="Arial" w:cs="Arial"/>
        </w:rPr>
        <w:t>Keeling</w:t>
      </w:r>
      <w:r w:rsidR="00A5671E">
        <w:rPr>
          <w:rFonts w:ascii="Arial" w:hAnsi="Arial" w:cs="Arial"/>
        </w:rPr>
        <w:t xml:space="preserve"> and </w:t>
      </w:r>
      <w:r w:rsidR="00A5671E" w:rsidRPr="00C935F6">
        <w:rPr>
          <w:rFonts w:ascii="Arial" w:hAnsi="Arial" w:cs="Arial"/>
        </w:rPr>
        <w:t>Oakley</w:t>
      </w:r>
      <w:r w:rsidR="00A5671E">
        <w:rPr>
          <w:rFonts w:ascii="Arial" w:hAnsi="Arial" w:cs="Arial"/>
        </w:rPr>
        <w:t>, 2021)</w:t>
      </w:r>
      <w:r w:rsidRPr="00B17E9F">
        <w:rPr>
          <w:rFonts w:ascii="Arial" w:hAnsi="Arial" w:cs="Arial"/>
        </w:rPr>
        <w:t>.</w:t>
      </w:r>
    </w:p>
    <w:p w14:paraId="108F3752" w14:textId="292CF461" w:rsidR="00381B18" w:rsidRPr="00381B18" w:rsidRDefault="00381B18" w:rsidP="008A07BF">
      <w:pPr>
        <w:pStyle w:val="Heading1"/>
      </w:pPr>
      <w:bookmarkStart w:id="25" w:name="_Toc219199497"/>
      <w:r w:rsidRPr="00381B18">
        <w:lastRenderedPageBreak/>
        <w:t>2.1</w:t>
      </w:r>
      <w:r>
        <w:t>1</w:t>
      </w:r>
      <w:r w:rsidRPr="00381B18">
        <w:t xml:space="preserve"> Theoretical Framework</w:t>
      </w:r>
      <w:bookmarkEnd w:id="25"/>
    </w:p>
    <w:p w14:paraId="6A3CA9D6" w14:textId="11D18239" w:rsidR="00381B18" w:rsidRDefault="00381B18" w:rsidP="008A07BF">
      <w:pPr>
        <w:pStyle w:val="Heading2"/>
      </w:pPr>
      <w:bookmarkStart w:id="26" w:name="_Toc219199498"/>
      <w:r w:rsidRPr="00381B18">
        <w:rPr>
          <w:rFonts w:eastAsiaTheme="majorEastAsia"/>
        </w:rPr>
        <w:t>2.1</w:t>
      </w:r>
      <w:r>
        <w:t>1</w:t>
      </w:r>
      <w:r w:rsidRPr="00381B18">
        <w:rPr>
          <w:rFonts w:eastAsiaTheme="majorEastAsia"/>
        </w:rPr>
        <w:t>.1 Health Belief Model (HBM)</w:t>
      </w:r>
      <w:bookmarkEnd w:id="26"/>
    </w:p>
    <w:p w14:paraId="6EDA0DF5" w14:textId="53126244" w:rsidR="00381B18" w:rsidRPr="00381B18" w:rsidRDefault="00381B18" w:rsidP="00381B18">
      <w:pPr>
        <w:spacing w:before="240" w:line="360" w:lineRule="auto"/>
        <w:jc w:val="both"/>
        <w:rPr>
          <w:rFonts w:ascii="Arial" w:hAnsi="Arial" w:cs="Arial"/>
          <w:b/>
          <w:bCs/>
        </w:rPr>
      </w:pPr>
      <w:r w:rsidRPr="00381B18">
        <w:rPr>
          <w:rFonts w:ascii="Arial" w:hAnsi="Arial" w:cs="Arial"/>
        </w:rPr>
        <w:t>The Health Belief Model (HBM) provides a useful lens for understanding how parents, caregivers, and professionals perceive the risks and consequences associated with developmental delays</w:t>
      </w:r>
      <w:r w:rsidR="00591797">
        <w:rPr>
          <w:rFonts w:ascii="Arial" w:hAnsi="Arial" w:cs="Arial"/>
        </w:rPr>
        <w:t xml:space="preserve"> (</w:t>
      </w:r>
      <w:r w:rsidR="00591797" w:rsidRPr="00591797">
        <w:rPr>
          <w:rFonts w:ascii="Arial" w:hAnsi="Arial" w:cs="Arial"/>
        </w:rPr>
        <w:t>Jeihooni</w:t>
      </w:r>
      <w:r w:rsidR="00591797">
        <w:rPr>
          <w:rFonts w:ascii="Arial" w:hAnsi="Arial" w:cs="Arial"/>
        </w:rPr>
        <w:t xml:space="preserve"> et al, 2022)</w:t>
      </w:r>
      <w:r w:rsidRPr="00381B18">
        <w:rPr>
          <w:rFonts w:ascii="Arial" w:hAnsi="Arial" w:cs="Arial"/>
        </w:rPr>
        <w:t>. Central to the HBM is the notion that individuals’ health-related behaviours are shaped by their perceptions of susceptibility, severity, benefits, and barriers</w:t>
      </w:r>
      <w:r w:rsidR="00037DD5">
        <w:rPr>
          <w:rFonts w:ascii="Arial" w:hAnsi="Arial" w:cs="Arial"/>
        </w:rPr>
        <w:t xml:space="preserve"> (</w:t>
      </w:r>
      <w:r w:rsidR="00037DD5" w:rsidRPr="00037DD5">
        <w:rPr>
          <w:rFonts w:ascii="Arial" w:hAnsi="Arial" w:cs="Arial"/>
        </w:rPr>
        <w:t>Moridi</w:t>
      </w:r>
      <w:r w:rsidR="00037DD5">
        <w:rPr>
          <w:rFonts w:ascii="Arial" w:hAnsi="Arial" w:cs="Arial"/>
        </w:rPr>
        <w:t xml:space="preserve"> et al, 2021)</w:t>
      </w:r>
      <w:r w:rsidRPr="00381B18">
        <w:rPr>
          <w:rFonts w:ascii="Arial" w:hAnsi="Arial" w:cs="Arial"/>
        </w:rPr>
        <w:t>. In the context of child development, parents who believe their child may be susceptible to developmental difficulties and who view these delays as potentially severe in terms of long-term academic or social outcomes are more likely to seek timely screening, assessment, and intervention</w:t>
      </w:r>
      <w:r w:rsidR="00D77D1E">
        <w:rPr>
          <w:rFonts w:ascii="Arial" w:hAnsi="Arial" w:cs="Arial"/>
        </w:rPr>
        <w:t xml:space="preserve"> (</w:t>
      </w:r>
      <w:r w:rsidR="00D77D1E" w:rsidRPr="00591797">
        <w:rPr>
          <w:rFonts w:ascii="Arial" w:hAnsi="Arial" w:cs="Arial"/>
        </w:rPr>
        <w:t>Jeihooni</w:t>
      </w:r>
      <w:r w:rsidR="00D77D1E">
        <w:rPr>
          <w:rFonts w:ascii="Arial" w:hAnsi="Arial" w:cs="Arial"/>
        </w:rPr>
        <w:t xml:space="preserve"> et al, 2022)</w:t>
      </w:r>
      <w:r w:rsidRPr="00381B18">
        <w:rPr>
          <w:rFonts w:ascii="Arial" w:hAnsi="Arial" w:cs="Arial"/>
        </w:rPr>
        <w:t>. Perceived benefits, such as improved functioning or enhanced school readiness, further motivate engagement with services. Conversely, perceived barriers</w:t>
      </w:r>
      <w:r w:rsidR="00D77D1E">
        <w:rPr>
          <w:rFonts w:ascii="Arial" w:hAnsi="Arial" w:cs="Arial"/>
        </w:rPr>
        <w:t>,</w:t>
      </w:r>
      <w:r w:rsidRPr="00381B18">
        <w:rPr>
          <w:rFonts w:ascii="Arial" w:hAnsi="Arial" w:cs="Arial"/>
        </w:rPr>
        <w:t xml:space="preserve"> including stigma, lack of knowledge, cultural beliefs, or limited access to healthcare</w:t>
      </w:r>
      <w:r w:rsidR="00D77D1E">
        <w:rPr>
          <w:rFonts w:ascii="Arial" w:hAnsi="Arial" w:cs="Arial"/>
        </w:rPr>
        <w:t>,</w:t>
      </w:r>
      <w:r w:rsidRPr="00381B18">
        <w:rPr>
          <w:rFonts w:ascii="Arial" w:hAnsi="Arial" w:cs="Arial"/>
        </w:rPr>
        <w:t xml:space="preserve"> can prevent families from pursuing early support even when concerns are present</w:t>
      </w:r>
      <w:r w:rsidR="00D77D1E">
        <w:rPr>
          <w:rFonts w:ascii="Arial" w:hAnsi="Arial" w:cs="Arial"/>
        </w:rPr>
        <w:t xml:space="preserve"> (</w:t>
      </w:r>
      <w:r w:rsidR="00D77D1E" w:rsidRPr="00037DD5">
        <w:rPr>
          <w:rFonts w:ascii="Arial" w:hAnsi="Arial" w:cs="Arial"/>
        </w:rPr>
        <w:t>Moridi</w:t>
      </w:r>
      <w:r w:rsidR="00D77D1E">
        <w:rPr>
          <w:rFonts w:ascii="Arial" w:hAnsi="Arial" w:cs="Arial"/>
        </w:rPr>
        <w:t xml:space="preserve"> et al, 2021)</w:t>
      </w:r>
      <w:r w:rsidRPr="00381B18">
        <w:rPr>
          <w:rFonts w:ascii="Arial" w:hAnsi="Arial" w:cs="Arial"/>
        </w:rPr>
        <w:t>.</w:t>
      </w:r>
    </w:p>
    <w:p w14:paraId="133E4879" w14:textId="1A0C84FB" w:rsidR="00381B18" w:rsidRPr="00381B18" w:rsidRDefault="00381B18" w:rsidP="00381B18">
      <w:pPr>
        <w:spacing w:before="240" w:line="360" w:lineRule="auto"/>
        <w:jc w:val="both"/>
        <w:rPr>
          <w:rFonts w:ascii="Arial" w:hAnsi="Arial" w:cs="Arial"/>
        </w:rPr>
      </w:pPr>
      <w:r w:rsidRPr="00381B18">
        <w:rPr>
          <w:rFonts w:ascii="Arial" w:hAnsi="Arial" w:cs="Arial"/>
        </w:rPr>
        <w:t>The HBM also underscores the importance of cues to action, such as developmental checklists, teacher feedback, or professional guidance from health visitors and general practitioners</w:t>
      </w:r>
      <w:r w:rsidR="00D77D1E">
        <w:rPr>
          <w:rFonts w:ascii="Arial" w:hAnsi="Arial" w:cs="Arial"/>
        </w:rPr>
        <w:t xml:space="preserve"> (</w:t>
      </w:r>
      <w:r w:rsidR="00D77D1E" w:rsidRPr="00037DD5">
        <w:rPr>
          <w:rFonts w:ascii="Arial" w:hAnsi="Arial" w:cs="Arial"/>
        </w:rPr>
        <w:t>Moridi</w:t>
      </w:r>
      <w:r w:rsidR="00D77D1E">
        <w:rPr>
          <w:rFonts w:ascii="Arial" w:hAnsi="Arial" w:cs="Arial"/>
        </w:rPr>
        <w:t xml:space="preserve"> et al, 2021)</w:t>
      </w:r>
      <w:r w:rsidRPr="00381B18">
        <w:rPr>
          <w:rFonts w:ascii="Arial" w:hAnsi="Arial" w:cs="Arial"/>
        </w:rPr>
        <w:t>. These prompts can encourage families to move from awareness to action and can strengthen early identification efforts</w:t>
      </w:r>
      <w:r w:rsidR="00D77D1E">
        <w:rPr>
          <w:rFonts w:ascii="Arial" w:hAnsi="Arial" w:cs="Arial"/>
        </w:rPr>
        <w:t xml:space="preserve"> (</w:t>
      </w:r>
      <w:r w:rsidR="00D77D1E" w:rsidRPr="00591797">
        <w:rPr>
          <w:rFonts w:ascii="Arial" w:hAnsi="Arial" w:cs="Arial"/>
        </w:rPr>
        <w:t>Jeihooni</w:t>
      </w:r>
      <w:r w:rsidR="00D77D1E">
        <w:rPr>
          <w:rFonts w:ascii="Arial" w:hAnsi="Arial" w:cs="Arial"/>
        </w:rPr>
        <w:t xml:space="preserve"> et al, 2022)</w:t>
      </w:r>
      <w:r w:rsidRPr="00381B18">
        <w:rPr>
          <w:rFonts w:ascii="Arial" w:hAnsi="Arial" w:cs="Arial"/>
        </w:rPr>
        <w:t>. Self-efficacy, another key component of the HBM, is highly relevant to developmental monitoring. Parents who feel confident in recognising developmental concerns are more likely to advocate for their child and to engage with intervention services</w:t>
      </w:r>
      <w:r w:rsidR="00D77D1E">
        <w:rPr>
          <w:rFonts w:ascii="Arial" w:hAnsi="Arial" w:cs="Arial"/>
        </w:rPr>
        <w:t xml:space="preserve"> (</w:t>
      </w:r>
      <w:r w:rsidR="00D77D1E" w:rsidRPr="00037DD5">
        <w:rPr>
          <w:rFonts w:ascii="Arial" w:hAnsi="Arial" w:cs="Arial"/>
        </w:rPr>
        <w:t>Moridi</w:t>
      </w:r>
      <w:r w:rsidR="00D77D1E">
        <w:rPr>
          <w:rFonts w:ascii="Arial" w:hAnsi="Arial" w:cs="Arial"/>
        </w:rPr>
        <w:t xml:space="preserve"> et al, 2021)</w:t>
      </w:r>
      <w:r w:rsidRPr="00381B18">
        <w:rPr>
          <w:rFonts w:ascii="Arial" w:hAnsi="Arial" w:cs="Arial"/>
        </w:rPr>
        <w:t>. Applying the HBM within research and practice can therefore deepen understanding of why some families pursue early intervention while others delay or avoid seeking help, despite comparable levels of need</w:t>
      </w:r>
      <w:r w:rsidR="00D77D1E">
        <w:rPr>
          <w:rFonts w:ascii="Arial" w:hAnsi="Arial" w:cs="Arial"/>
        </w:rPr>
        <w:t xml:space="preserve"> (</w:t>
      </w:r>
      <w:r w:rsidR="00D77D1E" w:rsidRPr="00591797">
        <w:rPr>
          <w:rFonts w:ascii="Arial" w:hAnsi="Arial" w:cs="Arial"/>
        </w:rPr>
        <w:t>Jeihooni</w:t>
      </w:r>
      <w:r w:rsidR="00D77D1E">
        <w:rPr>
          <w:rFonts w:ascii="Arial" w:hAnsi="Arial" w:cs="Arial"/>
        </w:rPr>
        <w:t xml:space="preserve"> et al, 2022)</w:t>
      </w:r>
      <w:r w:rsidRPr="00381B18">
        <w:rPr>
          <w:rFonts w:ascii="Arial" w:hAnsi="Arial" w:cs="Arial"/>
        </w:rPr>
        <w:t>. The model highlights the necessity of targeted public health messaging, professional training, and supportive policies aimed at reducing perceived barriers and strengthening parental confidence in developmental decision-making</w:t>
      </w:r>
      <w:r w:rsidR="00D77D1E">
        <w:rPr>
          <w:rFonts w:ascii="Arial" w:hAnsi="Arial" w:cs="Arial"/>
        </w:rPr>
        <w:t xml:space="preserve"> (</w:t>
      </w:r>
      <w:r w:rsidR="00D77D1E" w:rsidRPr="00037DD5">
        <w:rPr>
          <w:rFonts w:ascii="Arial" w:hAnsi="Arial" w:cs="Arial"/>
        </w:rPr>
        <w:t>Moridi</w:t>
      </w:r>
      <w:r w:rsidR="00D77D1E">
        <w:rPr>
          <w:rFonts w:ascii="Arial" w:hAnsi="Arial" w:cs="Arial"/>
        </w:rPr>
        <w:t xml:space="preserve"> et al, 2021)</w:t>
      </w:r>
      <w:r w:rsidRPr="00381B18">
        <w:rPr>
          <w:rFonts w:ascii="Arial" w:hAnsi="Arial" w:cs="Arial"/>
        </w:rPr>
        <w:t>.</w:t>
      </w:r>
    </w:p>
    <w:p w14:paraId="576EFD82" w14:textId="36BF38FE" w:rsidR="00381B18" w:rsidRPr="00381B18" w:rsidRDefault="00381B18" w:rsidP="008A07BF">
      <w:pPr>
        <w:pStyle w:val="Heading2"/>
      </w:pPr>
      <w:bookmarkStart w:id="27" w:name="_Toc219199499"/>
      <w:r w:rsidRPr="00381B18">
        <w:rPr>
          <w:rFonts w:eastAsiaTheme="majorEastAsia"/>
        </w:rPr>
        <w:lastRenderedPageBreak/>
        <w:t>2.1</w:t>
      </w:r>
      <w:r>
        <w:t>1</w:t>
      </w:r>
      <w:r w:rsidRPr="00381B18">
        <w:rPr>
          <w:rFonts w:eastAsiaTheme="majorEastAsia"/>
        </w:rPr>
        <w:t>.2 Transtheoretical Model (TTM)</w:t>
      </w:r>
      <w:bookmarkEnd w:id="27"/>
    </w:p>
    <w:p w14:paraId="58003CDE" w14:textId="25E51C25" w:rsidR="00381B18" w:rsidRPr="00381B18" w:rsidRDefault="00381B18" w:rsidP="00381B18">
      <w:pPr>
        <w:spacing w:before="240" w:line="360" w:lineRule="auto"/>
        <w:jc w:val="both"/>
        <w:rPr>
          <w:rFonts w:ascii="Arial" w:hAnsi="Arial" w:cs="Arial"/>
        </w:rPr>
      </w:pPr>
      <w:r w:rsidRPr="00381B18">
        <w:rPr>
          <w:rFonts w:ascii="Arial" w:hAnsi="Arial" w:cs="Arial"/>
        </w:rPr>
        <w:t>The Transtheoretical Model (TTM), commonly applied in health behaviour research, offers a structured understanding of how individuals progress through stages of readiness when responding to concerns about developmental delays</w:t>
      </w:r>
      <w:r w:rsidR="00D61633">
        <w:rPr>
          <w:rFonts w:ascii="Arial" w:hAnsi="Arial" w:cs="Arial"/>
        </w:rPr>
        <w:t xml:space="preserve"> (</w:t>
      </w:r>
      <w:r w:rsidR="00D61633" w:rsidRPr="00D61633">
        <w:rPr>
          <w:rFonts w:ascii="Arial" w:hAnsi="Arial" w:cs="Arial"/>
        </w:rPr>
        <w:t>Xie</w:t>
      </w:r>
      <w:r w:rsidR="00D61633">
        <w:rPr>
          <w:rFonts w:ascii="Arial" w:hAnsi="Arial" w:cs="Arial"/>
        </w:rPr>
        <w:t xml:space="preserve"> et al, 2025)</w:t>
      </w:r>
      <w:r w:rsidRPr="00381B18">
        <w:rPr>
          <w:rFonts w:ascii="Arial" w:hAnsi="Arial" w:cs="Arial"/>
        </w:rPr>
        <w:t xml:space="preserve">. </w:t>
      </w:r>
      <w:r w:rsidR="00D3556D" w:rsidRPr="00D3556D">
        <w:rPr>
          <w:rFonts w:ascii="Arial" w:hAnsi="Arial" w:cs="Arial"/>
        </w:rPr>
        <w:t>Precontemplation, contemplation, preparation, action, and maintenance are the five stages of change that the model suggests, each of which denotes a different degree of awareness and desire to act (Sheng et al, 2023).</w:t>
      </w:r>
      <w:r w:rsidR="00D3556D">
        <w:rPr>
          <w:rFonts w:ascii="Arial" w:hAnsi="Arial" w:cs="Arial"/>
        </w:rPr>
        <w:t xml:space="preserve"> </w:t>
      </w:r>
      <w:r w:rsidRPr="00381B18">
        <w:rPr>
          <w:rFonts w:ascii="Arial" w:hAnsi="Arial" w:cs="Arial"/>
        </w:rPr>
        <w:t>Within the developmental context, many parents may initially be in the precontemplation stage, unaware that their child’s behaviours or academic difficulties reflect underlying developmental issues</w:t>
      </w:r>
      <w:r w:rsidR="002B7186">
        <w:rPr>
          <w:rFonts w:ascii="Arial" w:hAnsi="Arial" w:cs="Arial"/>
        </w:rPr>
        <w:t xml:space="preserve"> (</w:t>
      </w:r>
      <w:r w:rsidR="002B7186" w:rsidRPr="00D61633">
        <w:rPr>
          <w:rFonts w:ascii="Arial" w:hAnsi="Arial" w:cs="Arial"/>
        </w:rPr>
        <w:t>Xie</w:t>
      </w:r>
      <w:r w:rsidR="002B7186">
        <w:rPr>
          <w:rFonts w:ascii="Arial" w:hAnsi="Arial" w:cs="Arial"/>
        </w:rPr>
        <w:t xml:space="preserve"> et al, 2025)</w:t>
      </w:r>
      <w:r w:rsidRPr="00381B18">
        <w:rPr>
          <w:rFonts w:ascii="Arial" w:hAnsi="Arial" w:cs="Arial"/>
        </w:rPr>
        <w:t>. As concerns emerge through teacher reports, peer comparisons, or clinical observations, parents may shift into the contemplation stage, weighing the implications of delays and feeling uncertain about the next steps</w:t>
      </w:r>
      <w:r w:rsidR="002B7186">
        <w:rPr>
          <w:rFonts w:ascii="Arial" w:hAnsi="Arial" w:cs="Arial"/>
        </w:rPr>
        <w:t xml:space="preserve"> (</w:t>
      </w:r>
      <w:r w:rsidR="002B7186" w:rsidRPr="00D61633">
        <w:rPr>
          <w:rFonts w:ascii="Arial" w:hAnsi="Arial" w:cs="Arial"/>
        </w:rPr>
        <w:t>Xie</w:t>
      </w:r>
      <w:r w:rsidR="002B7186">
        <w:rPr>
          <w:rFonts w:ascii="Arial" w:hAnsi="Arial" w:cs="Arial"/>
        </w:rPr>
        <w:t xml:space="preserve"> et al, 2025)</w:t>
      </w:r>
      <w:r w:rsidRPr="00381B18">
        <w:rPr>
          <w:rFonts w:ascii="Arial" w:hAnsi="Arial" w:cs="Arial"/>
        </w:rPr>
        <w:t>. During the preparation stage, parents begin seeking information, scheduling assessments, or discussing concerns with professionals, paving the way for more active engagement</w:t>
      </w:r>
      <w:r w:rsidR="002B7186">
        <w:rPr>
          <w:rFonts w:ascii="Arial" w:hAnsi="Arial" w:cs="Arial"/>
        </w:rPr>
        <w:t xml:space="preserve"> (</w:t>
      </w:r>
      <w:r w:rsidR="002B7186" w:rsidRPr="008D51DE">
        <w:rPr>
          <w:rFonts w:ascii="Arial" w:hAnsi="Arial" w:cs="Arial"/>
        </w:rPr>
        <w:t>Sheng</w:t>
      </w:r>
      <w:r w:rsidR="002B7186">
        <w:rPr>
          <w:rFonts w:ascii="Arial" w:hAnsi="Arial" w:cs="Arial"/>
        </w:rPr>
        <w:t xml:space="preserve"> et al, 2023)</w:t>
      </w:r>
      <w:r w:rsidRPr="00381B18">
        <w:rPr>
          <w:rFonts w:ascii="Arial" w:hAnsi="Arial" w:cs="Arial"/>
        </w:rPr>
        <w:t>.</w:t>
      </w:r>
    </w:p>
    <w:p w14:paraId="66AB34BC" w14:textId="2280659D" w:rsidR="00B17E9F" w:rsidRPr="00B17E9F" w:rsidRDefault="00381B18" w:rsidP="00381B18">
      <w:pPr>
        <w:spacing w:before="240" w:line="360" w:lineRule="auto"/>
        <w:jc w:val="both"/>
        <w:rPr>
          <w:rFonts w:ascii="Arial" w:hAnsi="Arial" w:cs="Arial"/>
        </w:rPr>
      </w:pPr>
      <w:r w:rsidRPr="00381B18">
        <w:rPr>
          <w:rFonts w:ascii="Arial" w:hAnsi="Arial" w:cs="Arial"/>
        </w:rPr>
        <w:t>The action stage reflects a significant shift in behaviour, where families access interventions such as speech therapy, educational support, or behavioural programmes. The maintenance stage involves sustaining engagement, attending sessions, and reinforcing developmental gains over time</w:t>
      </w:r>
      <w:r w:rsidR="002B7186">
        <w:rPr>
          <w:rFonts w:ascii="Arial" w:hAnsi="Arial" w:cs="Arial"/>
        </w:rPr>
        <w:t xml:space="preserve"> (</w:t>
      </w:r>
      <w:r w:rsidR="002B7186" w:rsidRPr="008D51DE">
        <w:rPr>
          <w:rFonts w:ascii="Arial" w:hAnsi="Arial" w:cs="Arial"/>
        </w:rPr>
        <w:t>Sheng</w:t>
      </w:r>
      <w:r w:rsidR="002B7186">
        <w:rPr>
          <w:rFonts w:ascii="Arial" w:hAnsi="Arial" w:cs="Arial"/>
        </w:rPr>
        <w:t xml:space="preserve"> et al, 2023)</w:t>
      </w:r>
      <w:r w:rsidRPr="00381B18">
        <w:rPr>
          <w:rFonts w:ascii="Arial" w:hAnsi="Arial" w:cs="Arial"/>
        </w:rPr>
        <w:t>. TTM emphasises that relapse or regression is not failure but a natural part of the behavioural change cycle, particularly when families face structural barriers such as long waiting lists, financial constraints, or limited service availability</w:t>
      </w:r>
      <w:r w:rsidR="002B7186">
        <w:rPr>
          <w:rFonts w:ascii="Arial" w:hAnsi="Arial" w:cs="Arial"/>
        </w:rPr>
        <w:t xml:space="preserve"> (</w:t>
      </w:r>
      <w:r w:rsidR="002B7186" w:rsidRPr="00D61633">
        <w:rPr>
          <w:rFonts w:ascii="Arial" w:hAnsi="Arial" w:cs="Arial"/>
        </w:rPr>
        <w:t>Xie</w:t>
      </w:r>
      <w:r w:rsidR="002B7186">
        <w:rPr>
          <w:rFonts w:ascii="Arial" w:hAnsi="Arial" w:cs="Arial"/>
        </w:rPr>
        <w:t xml:space="preserve"> et al, 2025)</w:t>
      </w:r>
      <w:r w:rsidRPr="00381B18">
        <w:rPr>
          <w:rFonts w:ascii="Arial" w:hAnsi="Arial" w:cs="Arial"/>
        </w:rPr>
        <w:t>. For professionals working with children, the model highlights the importance of tailoring communication and support based on a family’s current stage of readiness</w:t>
      </w:r>
      <w:r w:rsidR="002B7186">
        <w:rPr>
          <w:rFonts w:ascii="Arial" w:hAnsi="Arial" w:cs="Arial"/>
        </w:rPr>
        <w:t xml:space="preserve"> (</w:t>
      </w:r>
      <w:r w:rsidR="002B7186" w:rsidRPr="00D61633">
        <w:rPr>
          <w:rFonts w:ascii="Arial" w:hAnsi="Arial" w:cs="Arial"/>
        </w:rPr>
        <w:t>Xie</w:t>
      </w:r>
      <w:r w:rsidR="002B7186">
        <w:rPr>
          <w:rFonts w:ascii="Arial" w:hAnsi="Arial" w:cs="Arial"/>
        </w:rPr>
        <w:t xml:space="preserve"> et al, 2025)</w:t>
      </w:r>
      <w:r w:rsidRPr="00381B18">
        <w:rPr>
          <w:rFonts w:ascii="Arial" w:hAnsi="Arial" w:cs="Arial"/>
        </w:rPr>
        <w:t>. This theory</w:t>
      </w:r>
      <w:r>
        <w:rPr>
          <w:rFonts w:ascii="Arial" w:hAnsi="Arial" w:cs="Arial"/>
        </w:rPr>
        <w:t>,</w:t>
      </w:r>
      <w:r w:rsidRPr="00381B18">
        <w:rPr>
          <w:rFonts w:ascii="Arial" w:hAnsi="Arial" w:cs="Arial"/>
        </w:rPr>
        <w:t xml:space="preserve"> therefore</w:t>
      </w:r>
      <w:r>
        <w:rPr>
          <w:rFonts w:ascii="Arial" w:hAnsi="Arial" w:cs="Arial"/>
        </w:rPr>
        <w:t>,</w:t>
      </w:r>
      <w:r w:rsidRPr="00381B18">
        <w:rPr>
          <w:rFonts w:ascii="Arial" w:hAnsi="Arial" w:cs="Arial"/>
        </w:rPr>
        <w:t xml:space="preserve"> provides a valuable framework for understanding variability in parental engagement and informing strategies to encourage progression toward timely assessment and intervention for developmental delays</w:t>
      </w:r>
      <w:r w:rsidR="002B7186">
        <w:rPr>
          <w:rFonts w:ascii="Arial" w:hAnsi="Arial" w:cs="Arial"/>
        </w:rPr>
        <w:t xml:space="preserve"> (</w:t>
      </w:r>
      <w:r w:rsidR="002B7186" w:rsidRPr="008D51DE">
        <w:rPr>
          <w:rFonts w:ascii="Arial" w:hAnsi="Arial" w:cs="Arial"/>
        </w:rPr>
        <w:t>Sheng</w:t>
      </w:r>
      <w:r w:rsidR="002B7186">
        <w:rPr>
          <w:rFonts w:ascii="Arial" w:hAnsi="Arial" w:cs="Arial"/>
        </w:rPr>
        <w:t xml:space="preserve"> et al, 2023)</w:t>
      </w:r>
      <w:r w:rsidRPr="00381B18">
        <w:rPr>
          <w:rFonts w:ascii="Arial" w:hAnsi="Arial" w:cs="Arial"/>
        </w:rPr>
        <w:t>.</w:t>
      </w:r>
    </w:p>
    <w:p w14:paraId="51131119" w14:textId="13E4DDC5" w:rsidR="00B17E9F" w:rsidRPr="00B17E9F" w:rsidRDefault="00B17E9F" w:rsidP="008A07BF">
      <w:pPr>
        <w:pStyle w:val="Heading1"/>
      </w:pPr>
      <w:bookmarkStart w:id="28" w:name="_Toc219199500"/>
      <w:r w:rsidRPr="00B17E9F">
        <w:t>2.1</w:t>
      </w:r>
      <w:r w:rsidR="00381B18">
        <w:t>2</w:t>
      </w:r>
      <w:r w:rsidRPr="00B17E9F">
        <w:t xml:space="preserve"> Gaps in the Existing Literature</w:t>
      </w:r>
      <w:bookmarkEnd w:id="28"/>
      <w:r w:rsidRPr="00B17E9F">
        <w:t xml:space="preserve"> </w:t>
      </w:r>
    </w:p>
    <w:p w14:paraId="6383CF23" w14:textId="476941F0" w:rsidR="00B17E9F" w:rsidRPr="00B17E9F" w:rsidRDefault="00B17E9F" w:rsidP="00381B18">
      <w:pPr>
        <w:spacing w:before="240" w:line="360" w:lineRule="auto"/>
        <w:jc w:val="both"/>
        <w:rPr>
          <w:rFonts w:ascii="Arial" w:hAnsi="Arial" w:cs="Arial"/>
        </w:rPr>
      </w:pPr>
      <w:r w:rsidRPr="00B17E9F">
        <w:rPr>
          <w:rFonts w:ascii="Arial" w:hAnsi="Arial" w:cs="Arial"/>
        </w:rPr>
        <w:t xml:space="preserve">Although research on developmental delays is extensive, several gaps remain in understanding the specific factors affecting children aged 5 to 12 years in England. </w:t>
      </w:r>
      <w:r w:rsidRPr="00B17E9F">
        <w:rPr>
          <w:rFonts w:ascii="Arial" w:hAnsi="Arial" w:cs="Arial"/>
        </w:rPr>
        <w:lastRenderedPageBreak/>
        <w:t>Much of the existing literature focuses on early childhood, leaving a relative lack of studies exploring developmental trajectories during the later primary school years</w:t>
      </w:r>
      <w:r w:rsidR="00794A71">
        <w:rPr>
          <w:rFonts w:ascii="Arial" w:hAnsi="Arial" w:cs="Arial"/>
        </w:rPr>
        <w:t xml:space="preserve"> (</w:t>
      </w:r>
      <w:r w:rsidR="00794A71" w:rsidRPr="00794A71">
        <w:rPr>
          <w:rFonts w:ascii="Arial" w:hAnsi="Arial" w:cs="Arial"/>
        </w:rPr>
        <w:t>Brown</w:t>
      </w:r>
      <w:r w:rsidR="00794A71">
        <w:rPr>
          <w:rFonts w:ascii="Arial" w:hAnsi="Arial" w:cs="Arial"/>
        </w:rPr>
        <w:t xml:space="preserve"> et al, 2020)</w:t>
      </w:r>
      <w:r w:rsidRPr="00B17E9F">
        <w:rPr>
          <w:rFonts w:ascii="Arial" w:hAnsi="Arial" w:cs="Arial"/>
        </w:rPr>
        <w:t>. This gap limits understanding of how early delays evolve and how school environments contribute to developmental progress or ongoing difficulties. More age-specific research is needed to inform interventions tailored to older children</w:t>
      </w:r>
      <w:r w:rsidR="00C86DF2">
        <w:rPr>
          <w:rFonts w:ascii="Arial" w:hAnsi="Arial" w:cs="Arial"/>
        </w:rPr>
        <w:t xml:space="preserve"> (</w:t>
      </w:r>
      <w:r w:rsidR="00C86DF2" w:rsidRPr="00C86DF2">
        <w:rPr>
          <w:rFonts w:ascii="Arial" w:hAnsi="Arial" w:cs="Arial"/>
        </w:rPr>
        <w:t>Thomas</w:t>
      </w:r>
      <w:r w:rsidR="00C86DF2">
        <w:rPr>
          <w:rFonts w:ascii="Arial" w:hAnsi="Arial" w:cs="Arial"/>
        </w:rPr>
        <w:t>, 2016)</w:t>
      </w:r>
      <w:r w:rsidRPr="00B17E9F">
        <w:rPr>
          <w:rFonts w:ascii="Arial" w:hAnsi="Arial" w:cs="Arial"/>
        </w:rPr>
        <w:t>.</w:t>
      </w:r>
    </w:p>
    <w:p w14:paraId="52AE5080" w14:textId="09B5DE09" w:rsidR="00B17E9F" w:rsidRPr="00B17E9F" w:rsidRDefault="00B17E9F" w:rsidP="00381B18">
      <w:pPr>
        <w:spacing w:before="240" w:line="360" w:lineRule="auto"/>
        <w:jc w:val="both"/>
        <w:rPr>
          <w:rFonts w:ascii="Arial" w:hAnsi="Arial" w:cs="Arial"/>
        </w:rPr>
      </w:pPr>
      <w:r w:rsidRPr="00B17E9F">
        <w:rPr>
          <w:rFonts w:ascii="Arial" w:hAnsi="Arial" w:cs="Arial"/>
        </w:rPr>
        <w:t>There is also limited research examining how socio-economic and environmental factors interact with biological influences to shape developmental outcomes</w:t>
      </w:r>
      <w:r w:rsidR="004B267D">
        <w:rPr>
          <w:rFonts w:ascii="Arial" w:hAnsi="Arial" w:cs="Arial"/>
        </w:rPr>
        <w:t xml:space="preserve"> (</w:t>
      </w:r>
      <w:r w:rsidR="004B267D" w:rsidRPr="004B267D">
        <w:rPr>
          <w:rFonts w:ascii="Arial" w:hAnsi="Arial" w:cs="Arial"/>
        </w:rPr>
        <w:t>Robinson</w:t>
      </w:r>
      <w:r w:rsidR="004B267D">
        <w:rPr>
          <w:rFonts w:ascii="Arial" w:hAnsi="Arial" w:cs="Arial"/>
        </w:rPr>
        <w:t>, 2017)</w:t>
      </w:r>
      <w:r w:rsidRPr="00B17E9F">
        <w:rPr>
          <w:rFonts w:ascii="Arial" w:hAnsi="Arial" w:cs="Arial"/>
        </w:rPr>
        <w:t>. While individual risk factors have been studied extensively, fewer studies consider the cumulative impact of multiple risks on school-aged children</w:t>
      </w:r>
      <w:r w:rsidR="002A4DEE">
        <w:rPr>
          <w:rFonts w:ascii="Arial" w:hAnsi="Arial" w:cs="Arial"/>
        </w:rPr>
        <w:t xml:space="preserve"> (</w:t>
      </w:r>
      <w:r w:rsidR="002A4DEE" w:rsidRPr="00794A71">
        <w:rPr>
          <w:rFonts w:ascii="Arial" w:hAnsi="Arial" w:cs="Arial"/>
        </w:rPr>
        <w:t>Brown</w:t>
      </w:r>
      <w:r w:rsidR="002A4DEE">
        <w:rPr>
          <w:rFonts w:ascii="Arial" w:hAnsi="Arial" w:cs="Arial"/>
        </w:rPr>
        <w:t xml:space="preserve"> et al, 2020)</w:t>
      </w:r>
      <w:r w:rsidRPr="00B17E9F">
        <w:rPr>
          <w:rFonts w:ascii="Arial" w:hAnsi="Arial" w:cs="Arial"/>
        </w:rPr>
        <w:t>. This makes it challenging to design comprehensive interventions that address the full range of influences affecting child development. Research examining the lived experiences of families and the role of community resources is particularly lacking</w:t>
      </w:r>
      <w:r w:rsidR="002A4DEE">
        <w:rPr>
          <w:rFonts w:ascii="Arial" w:hAnsi="Arial" w:cs="Arial"/>
        </w:rPr>
        <w:t xml:space="preserve"> (</w:t>
      </w:r>
      <w:r w:rsidR="002A4DEE" w:rsidRPr="00C86DF2">
        <w:rPr>
          <w:rFonts w:ascii="Arial" w:hAnsi="Arial" w:cs="Arial"/>
        </w:rPr>
        <w:t>Thomas</w:t>
      </w:r>
      <w:r w:rsidR="002A4DEE">
        <w:rPr>
          <w:rFonts w:ascii="Arial" w:hAnsi="Arial" w:cs="Arial"/>
        </w:rPr>
        <w:t>, 2016)</w:t>
      </w:r>
      <w:r w:rsidRPr="00B17E9F">
        <w:rPr>
          <w:rFonts w:ascii="Arial" w:hAnsi="Arial" w:cs="Arial"/>
        </w:rPr>
        <w:t>.</w:t>
      </w:r>
    </w:p>
    <w:p w14:paraId="018F0227" w14:textId="57DF9C25" w:rsidR="00B17E9F" w:rsidRPr="00B17E9F" w:rsidRDefault="00B17E9F" w:rsidP="00381B18">
      <w:pPr>
        <w:spacing w:before="240" w:line="360" w:lineRule="auto"/>
        <w:jc w:val="both"/>
        <w:rPr>
          <w:rFonts w:ascii="Arial" w:hAnsi="Arial" w:cs="Arial"/>
        </w:rPr>
      </w:pPr>
      <w:r w:rsidRPr="00B17E9F">
        <w:rPr>
          <w:rFonts w:ascii="Arial" w:hAnsi="Arial" w:cs="Arial"/>
        </w:rPr>
        <w:t>Finally, there is insufficient evidence evaluating the effectiveness of current early identification and intervention strategies within the English context</w:t>
      </w:r>
      <w:r w:rsidR="002A4DEE">
        <w:rPr>
          <w:rFonts w:ascii="Arial" w:hAnsi="Arial" w:cs="Arial"/>
        </w:rPr>
        <w:t xml:space="preserve"> (</w:t>
      </w:r>
      <w:r w:rsidR="002A4DEE" w:rsidRPr="004B267D">
        <w:rPr>
          <w:rFonts w:ascii="Arial" w:hAnsi="Arial" w:cs="Arial"/>
        </w:rPr>
        <w:t>Robinson</w:t>
      </w:r>
      <w:r w:rsidR="002A4DEE">
        <w:rPr>
          <w:rFonts w:ascii="Arial" w:hAnsi="Arial" w:cs="Arial"/>
        </w:rPr>
        <w:t>, 2017)</w:t>
      </w:r>
      <w:r w:rsidRPr="00B17E9F">
        <w:rPr>
          <w:rFonts w:ascii="Arial" w:hAnsi="Arial" w:cs="Arial"/>
        </w:rPr>
        <w:t>. Many programmes are adapted from international models, and local evaluations are limited</w:t>
      </w:r>
      <w:r w:rsidR="002A4DEE">
        <w:rPr>
          <w:rFonts w:ascii="Arial" w:hAnsi="Arial" w:cs="Arial"/>
        </w:rPr>
        <w:t xml:space="preserve"> (</w:t>
      </w:r>
      <w:r w:rsidR="002A4DEE" w:rsidRPr="00794A71">
        <w:rPr>
          <w:rFonts w:ascii="Arial" w:hAnsi="Arial" w:cs="Arial"/>
        </w:rPr>
        <w:t>Brown</w:t>
      </w:r>
      <w:r w:rsidR="002A4DEE">
        <w:rPr>
          <w:rFonts w:ascii="Arial" w:hAnsi="Arial" w:cs="Arial"/>
        </w:rPr>
        <w:t xml:space="preserve"> et al, 2020)</w:t>
      </w:r>
      <w:r w:rsidRPr="00B17E9F">
        <w:rPr>
          <w:rFonts w:ascii="Arial" w:hAnsi="Arial" w:cs="Arial"/>
        </w:rPr>
        <w:t>. Understanding the impact of these interventions across different regions, socio-economic groups, and school settings would provide valuable insight into improving support systems and ensuring equitable access to services</w:t>
      </w:r>
      <w:r w:rsidR="002A4DEE">
        <w:rPr>
          <w:rFonts w:ascii="Arial" w:hAnsi="Arial" w:cs="Arial"/>
        </w:rPr>
        <w:t xml:space="preserve"> (</w:t>
      </w:r>
      <w:r w:rsidR="002A4DEE" w:rsidRPr="004B267D">
        <w:rPr>
          <w:rFonts w:ascii="Arial" w:hAnsi="Arial" w:cs="Arial"/>
        </w:rPr>
        <w:t>Robinson</w:t>
      </w:r>
      <w:r w:rsidR="002A4DEE">
        <w:rPr>
          <w:rFonts w:ascii="Arial" w:hAnsi="Arial" w:cs="Arial"/>
        </w:rPr>
        <w:t>, 2017)</w:t>
      </w:r>
      <w:r w:rsidRPr="00B17E9F">
        <w:rPr>
          <w:rFonts w:ascii="Arial" w:hAnsi="Arial" w:cs="Arial"/>
        </w:rPr>
        <w:t>.</w:t>
      </w:r>
    </w:p>
    <w:p w14:paraId="665252C1" w14:textId="312C2859" w:rsidR="00B17E9F" w:rsidRPr="00B17E9F" w:rsidRDefault="00B17E9F" w:rsidP="008A07BF">
      <w:pPr>
        <w:pStyle w:val="Heading1"/>
      </w:pPr>
      <w:bookmarkStart w:id="29" w:name="_Toc219199501"/>
      <w:r w:rsidRPr="00B17E9F">
        <w:t>2.1</w:t>
      </w:r>
      <w:r w:rsidR="00381B18">
        <w:t>3</w:t>
      </w:r>
      <w:r w:rsidRPr="00B17E9F">
        <w:t xml:space="preserve"> Strengths and Limitations in Current Evidence</w:t>
      </w:r>
      <w:bookmarkEnd w:id="29"/>
      <w:r w:rsidRPr="00B17E9F">
        <w:t xml:space="preserve"> </w:t>
      </w:r>
    </w:p>
    <w:p w14:paraId="7F3DA5FB" w14:textId="6A34F3DA" w:rsidR="00B17E9F" w:rsidRPr="00B17E9F" w:rsidRDefault="00B17E9F" w:rsidP="00381B18">
      <w:pPr>
        <w:spacing w:before="240" w:line="360" w:lineRule="auto"/>
        <w:jc w:val="both"/>
        <w:rPr>
          <w:rFonts w:ascii="Arial" w:hAnsi="Arial" w:cs="Arial"/>
        </w:rPr>
      </w:pPr>
      <w:r w:rsidRPr="00B17E9F">
        <w:rPr>
          <w:rFonts w:ascii="Arial" w:hAnsi="Arial" w:cs="Arial"/>
        </w:rPr>
        <w:t>Current literature provides valuable insights into the biological, environmental, and socio-economic factors associated with developmental delays. Research has highlighted the importance of early identification and intervention, demonstrating clear benefits for children’s academic, social, and emotional outcomes</w:t>
      </w:r>
      <w:r w:rsidR="00FC1730">
        <w:rPr>
          <w:rFonts w:ascii="Arial" w:hAnsi="Arial" w:cs="Arial"/>
        </w:rPr>
        <w:t xml:space="preserve"> (</w:t>
      </w:r>
      <w:r w:rsidR="00FC1730" w:rsidRPr="00FC1730">
        <w:rPr>
          <w:rFonts w:ascii="Arial" w:hAnsi="Arial" w:cs="Arial"/>
        </w:rPr>
        <w:t>Cairney</w:t>
      </w:r>
      <w:r w:rsidR="00FC1730">
        <w:rPr>
          <w:rFonts w:ascii="Arial" w:hAnsi="Arial" w:cs="Arial"/>
        </w:rPr>
        <w:t xml:space="preserve"> et al, 2021)</w:t>
      </w:r>
      <w:r w:rsidRPr="00B17E9F">
        <w:rPr>
          <w:rFonts w:ascii="Arial" w:hAnsi="Arial" w:cs="Arial"/>
        </w:rPr>
        <w:t>. Studies have also improved understanding of specific developmental disorders and the role of genetics in shaping developmental trajectories. These strengths contribute to a solid foundation for designing effective support strategies</w:t>
      </w:r>
      <w:r w:rsidR="004D6AC9">
        <w:rPr>
          <w:rFonts w:ascii="Arial" w:hAnsi="Arial" w:cs="Arial"/>
        </w:rPr>
        <w:t xml:space="preserve"> (</w:t>
      </w:r>
      <w:r w:rsidR="004D6AC9" w:rsidRPr="004D6AC9">
        <w:rPr>
          <w:rFonts w:ascii="Arial" w:hAnsi="Arial" w:cs="Arial"/>
        </w:rPr>
        <w:t>Anderson</w:t>
      </w:r>
      <w:r w:rsidR="004D6AC9">
        <w:rPr>
          <w:rFonts w:ascii="Arial" w:hAnsi="Arial" w:cs="Arial"/>
        </w:rPr>
        <w:t xml:space="preserve"> and </w:t>
      </w:r>
      <w:r w:rsidR="004D6AC9" w:rsidRPr="004D6AC9">
        <w:rPr>
          <w:rFonts w:ascii="Arial" w:hAnsi="Arial" w:cs="Arial"/>
        </w:rPr>
        <w:t>Burnett</w:t>
      </w:r>
      <w:r w:rsidR="004D6AC9">
        <w:rPr>
          <w:rFonts w:ascii="Arial" w:hAnsi="Arial" w:cs="Arial"/>
        </w:rPr>
        <w:t>, 2017)</w:t>
      </w:r>
      <w:r w:rsidRPr="00B17E9F">
        <w:rPr>
          <w:rFonts w:ascii="Arial" w:hAnsi="Arial" w:cs="Arial"/>
        </w:rPr>
        <w:t>.</w:t>
      </w:r>
    </w:p>
    <w:p w14:paraId="02131F99" w14:textId="574CB38A" w:rsidR="00B17E9F" w:rsidRPr="00B17E9F" w:rsidRDefault="00B17E9F" w:rsidP="00381B18">
      <w:pPr>
        <w:spacing w:before="240" w:line="360" w:lineRule="auto"/>
        <w:jc w:val="both"/>
        <w:rPr>
          <w:rFonts w:ascii="Arial" w:hAnsi="Arial" w:cs="Arial"/>
        </w:rPr>
      </w:pPr>
      <w:r w:rsidRPr="00B17E9F">
        <w:rPr>
          <w:rFonts w:ascii="Arial" w:hAnsi="Arial" w:cs="Arial"/>
        </w:rPr>
        <w:lastRenderedPageBreak/>
        <w:t>However, limitations in the evidence base remain. Many studies rely on small sample sizes or focus on clinical populations, limiting generalisability. Research within England is uneven, with some regions better represented than others</w:t>
      </w:r>
      <w:r w:rsidR="00C87CFF">
        <w:rPr>
          <w:rFonts w:ascii="Arial" w:hAnsi="Arial" w:cs="Arial"/>
        </w:rPr>
        <w:t xml:space="preserve"> (</w:t>
      </w:r>
      <w:r w:rsidR="00C87CFF" w:rsidRPr="004D6AC9">
        <w:rPr>
          <w:rFonts w:ascii="Arial" w:hAnsi="Arial" w:cs="Arial"/>
        </w:rPr>
        <w:t>Anderson</w:t>
      </w:r>
      <w:r w:rsidR="00C87CFF">
        <w:rPr>
          <w:rFonts w:ascii="Arial" w:hAnsi="Arial" w:cs="Arial"/>
        </w:rPr>
        <w:t xml:space="preserve"> and </w:t>
      </w:r>
      <w:r w:rsidR="00C87CFF" w:rsidRPr="004D6AC9">
        <w:rPr>
          <w:rFonts w:ascii="Arial" w:hAnsi="Arial" w:cs="Arial"/>
        </w:rPr>
        <w:t>Burnett</w:t>
      </w:r>
      <w:r w:rsidR="00C87CFF">
        <w:rPr>
          <w:rFonts w:ascii="Arial" w:hAnsi="Arial" w:cs="Arial"/>
        </w:rPr>
        <w:t>, 2017)</w:t>
      </w:r>
      <w:r w:rsidRPr="00B17E9F">
        <w:rPr>
          <w:rFonts w:ascii="Arial" w:hAnsi="Arial" w:cs="Arial"/>
        </w:rPr>
        <w:t>. There is also a lack of longitudinal studies following children from early childhood through primary school, making it difficult to fully understand long-term developmental pathways</w:t>
      </w:r>
      <w:r w:rsidR="00C87CFF">
        <w:rPr>
          <w:rFonts w:ascii="Arial" w:hAnsi="Arial" w:cs="Arial"/>
        </w:rPr>
        <w:t xml:space="preserve"> (</w:t>
      </w:r>
      <w:r w:rsidR="00C87CFF" w:rsidRPr="004D6AC9">
        <w:rPr>
          <w:rFonts w:ascii="Arial" w:hAnsi="Arial" w:cs="Arial"/>
        </w:rPr>
        <w:t>Anderson</w:t>
      </w:r>
      <w:r w:rsidR="00C87CFF">
        <w:rPr>
          <w:rFonts w:ascii="Arial" w:hAnsi="Arial" w:cs="Arial"/>
        </w:rPr>
        <w:t xml:space="preserve"> and </w:t>
      </w:r>
      <w:r w:rsidR="00C87CFF" w:rsidRPr="004D6AC9">
        <w:rPr>
          <w:rFonts w:ascii="Arial" w:hAnsi="Arial" w:cs="Arial"/>
        </w:rPr>
        <w:t>Burnett</w:t>
      </w:r>
      <w:r w:rsidR="00C87CFF">
        <w:rPr>
          <w:rFonts w:ascii="Arial" w:hAnsi="Arial" w:cs="Arial"/>
        </w:rPr>
        <w:t>, 2017)</w:t>
      </w:r>
      <w:r w:rsidRPr="00B17E9F">
        <w:rPr>
          <w:rFonts w:ascii="Arial" w:hAnsi="Arial" w:cs="Arial"/>
        </w:rPr>
        <w:t>. Methodological differences across studies further complicate the comparison of findings</w:t>
      </w:r>
      <w:r w:rsidR="00C87CFF">
        <w:rPr>
          <w:rFonts w:ascii="Arial" w:hAnsi="Arial" w:cs="Arial"/>
        </w:rPr>
        <w:t xml:space="preserve"> (</w:t>
      </w:r>
      <w:r w:rsidR="00C87CFF" w:rsidRPr="00FC1730">
        <w:rPr>
          <w:rFonts w:ascii="Arial" w:hAnsi="Arial" w:cs="Arial"/>
        </w:rPr>
        <w:t>Cairney</w:t>
      </w:r>
      <w:r w:rsidR="00C87CFF">
        <w:rPr>
          <w:rFonts w:ascii="Arial" w:hAnsi="Arial" w:cs="Arial"/>
        </w:rPr>
        <w:t xml:space="preserve"> et al, 2021)</w:t>
      </w:r>
      <w:r w:rsidRPr="00B17E9F">
        <w:rPr>
          <w:rFonts w:ascii="Arial" w:hAnsi="Arial" w:cs="Arial"/>
        </w:rPr>
        <w:t>. These limitations indicate the need for more comprehensive and representative research to inform policy and practice</w:t>
      </w:r>
      <w:r w:rsidR="00C87CFF">
        <w:rPr>
          <w:rFonts w:ascii="Arial" w:hAnsi="Arial" w:cs="Arial"/>
        </w:rPr>
        <w:t xml:space="preserve"> (</w:t>
      </w:r>
      <w:r w:rsidR="00C87CFF" w:rsidRPr="00FC1730">
        <w:rPr>
          <w:rFonts w:ascii="Arial" w:hAnsi="Arial" w:cs="Arial"/>
        </w:rPr>
        <w:t>Cairney</w:t>
      </w:r>
      <w:r w:rsidR="00C87CFF">
        <w:rPr>
          <w:rFonts w:ascii="Arial" w:hAnsi="Arial" w:cs="Arial"/>
        </w:rPr>
        <w:t xml:space="preserve"> et al, 2021)</w:t>
      </w:r>
      <w:r w:rsidRPr="00B17E9F">
        <w:rPr>
          <w:rFonts w:ascii="Arial" w:hAnsi="Arial" w:cs="Arial"/>
        </w:rPr>
        <w:t>.</w:t>
      </w:r>
    </w:p>
    <w:p w14:paraId="32AFF033" w14:textId="4B17BB72" w:rsidR="00B17E9F" w:rsidRPr="00B17E9F" w:rsidRDefault="00B17E9F" w:rsidP="008A07BF">
      <w:pPr>
        <w:pStyle w:val="Heading1"/>
      </w:pPr>
      <w:bookmarkStart w:id="30" w:name="_Toc219199502"/>
      <w:r w:rsidRPr="00B17E9F">
        <w:t>2.1</w:t>
      </w:r>
      <w:r w:rsidR="00381B18">
        <w:t>4</w:t>
      </w:r>
      <w:r w:rsidRPr="00B17E9F">
        <w:t xml:space="preserve"> </w:t>
      </w:r>
      <w:r w:rsidR="0073518C">
        <w:t>Chapter s</w:t>
      </w:r>
      <w:r w:rsidRPr="00B17E9F">
        <w:t>ummary</w:t>
      </w:r>
      <w:bookmarkEnd w:id="30"/>
      <w:r w:rsidRPr="00B17E9F">
        <w:t xml:space="preserve"> </w:t>
      </w:r>
    </w:p>
    <w:p w14:paraId="65C3F7FB" w14:textId="6D65639D" w:rsidR="008A07BF" w:rsidRDefault="00381B18" w:rsidP="00381B18">
      <w:pPr>
        <w:spacing w:before="240" w:line="360" w:lineRule="auto"/>
        <w:jc w:val="both"/>
        <w:rPr>
          <w:rFonts w:ascii="Arial" w:hAnsi="Arial" w:cs="Arial"/>
        </w:rPr>
      </w:pPr>
      <w:r w:rsidRPr="00381B18">
        <w:rPr>
          <w:rFonts w:ascii="Arial" w:hAnsi="Arial" w:cs="Arial"/>
        </w:rPr>
        <w:t>The literature reviewed in this chapter highlights the multifaceted nature of developmental delays among children aged 5 to 12 years in England, demonstrating the influence of biological, environmental, and socio-economic determinants. Evidence consistently reinforces the value of early identification and intervention, yet also exposes persistent barriers related to service access, parental awareness, and structural inequalities. The Children Act provides an essential legislative foundation for safeguarding and promoting children’s welfare, although gaps remain in translating policy into practice. Theoretical models such as the Health Belief Model and the Transtheoretical Model further illuminate how parental beliefs and readiness shape engagement with support services. Together, these findings underline the need for integrated, equitable, and evidence-driven approaches to improve developmental outcomes.</w:t>
      </w:r>
    </w:p>
    <w:p w14:paraId="0A58A508" w14:textId="77777777" w:rsidR="00762F36" w:rsidRDefault="00762F36" w:rsidP="00381B18">
      <w:pPr>
        <w:spacing w:before="240" w:line="360" w:lineRule="auto"/>
        <w:jc w:val="both"/>
        <w:rPr>
          <w:rFonts w:ascii="Arial" w:hAnsi="Arial" w:cs="Arial"/>
        </w:rPr>
      </w:pPr>
    </w:p>
    <w:p w14:paraId="2D406A8F" w14:textId="77777777" w:rsidR="00762F36" w:rsidRDefault="00762F36" w:rsidP="00381B18">
      <w:pPr>
        <w:spacing w:before="240" w:line="360" w:lineRule="auto"/>
        <w:jc w:val="both"/>
        <w:rPr>
          <w:rFonts w:ascii="Arial" w:hAnsi="Arial" w:cs="Arial"/>
        </w:rPr>
      </w:pPr>
    </w:p>
    <w:p w14:paraId="34CDEC4B" w14:textId="77777777" w:rsidR="00762F36" w:rsidRDefault="00762F36" w:rsidP="00381B18">
      <w:pPr>
        <w:spacing w:before="240" w:line="360" w:lineRule="auto"/>
        <w:jc w:val="both"/>
        <w:rPr>
          <w:rFonts w:ascii="Arial" w:hAnsi="Arial" w:cs="Arial"/>
        </w:rPr>
      </w:pPr>
    </w:p>
    <w:p w14:paraId="209B0FBB" w14:textId="77777777" w:rsidR="00ED6DF0" w:rsidRDefault="00ED6DF0" w:rsidP="00381B18">
      <w:pPr>
        <w:spacing w:before="240" w:line="360" w:lineRule="auto"/>
        <w:jc w:val="both"/>
        <w:rPr>
          <w:rFonts w:ascii="Arial" w:hAnsi="Arial" w:cs="Arial"/>
        </w:rPr>
      </w:pPr>
    </w:p>
    <w:p w14:paraId="4DDE33E3" w14:textId="77777777" w:rsidR="00ED6DF0" w:rsidRDefault="00ED6DF0" w:rsidP="00381B18">
      <w:pPr>
        <w:spacing w:before="240" w:line="360" w:lineRule="auto"/>
        <w:jc w:val="both"/>
        <w:rPr>
          <w:rFonts w:ascii="Arial" w:hAnsi="Arial" w:cs="Arial"/>
        </w:rPr>
      </w:pPr>
    </w:p>
    <w:p w14:paraId="715CCEDC" w14:textId="77777777" w:rsidR="00762F36" w:rsidRDefault="00762F36" w:rsidP="00381B18">
      <w:pPr>
        <w:spacing w:before="240" w:line="360" w:lineRule="auto"/>
        <w:jc w:val="both"/>
        <w:rPr>
          <w:rFonts w:ascii="Arial" w:hAnsi="Arial" w:cs="Arial"/>
        </w:rPr>
      </w:pPr>
    </w:p>
    <w:p w14:paraId="245F6D28" w14:textId="77777777" w:rsidR="00ED6DF0" w:rsidRPr="007237AE" w:rsidRDefault="00ED6DF0" w:rsidP="00ED6DF0">
      <w:pPr>
        <w:pStyle w:val="Heading1"/>
      </w:pPr>
      <w:bookmarkStart w:id="31" w:name="_Toc219199503"/>
      <w:r w:rsidRPr="007237AE">
        <w:lastRenderedPageBreak/>
        <w:t>Chapter 3: Methodology</w:t>
      </w:r>
      <w:bookmarkEnd w:id="31"/>
    </w:p>
    <w:p w14:paraId="7BEB5F3C" w14:textId="77777777" w:rsidR="00ED6DF0" w:rsidRPr="007237AE" w:rsidRDefault="00ED6DF0" w:rsidP="00ED6DF0">
      <w:pPr>
        <w:pStyle w:val="Heading1"/>
      </w:pPr>
      <w:bookmarkStart w:id="32" w:name="_Toc219199504"/>
      <w:r w:rsidRPr="007237AE">
        <w:t>3.1 Introduction</w:t>
      </w:r>
      <w:bookmarkEnd w:id="32"/>
      <w:r w:rsidRPr="007237AE">
        <w:t xml:space="preserve"> </w:t>
      </w:r>
    </w:p>
    <w:p w14:paraId="0FB17A7C" w14:textId="77777777" w:rsidR="00ED6DF0" w:rsidRPr="007237AE" w:rsidRDefault="00ED6DF0" w:rsidP="00ED6DF0">
      <w:pPr>
        <w:spacing w:line="360" w:lineRule="auto"/>
        <w:jc w:val="both"/>
        <w:rPr>
          <w:rFonts w:ascii="Arial" w:hAnsi="Arial" w:cs="Arial"/>
        </w:rPr>
      </w:pPr>
      <w:r w:rsidRPr="007237AE">
        <w:rPr>
          <w:rFonts w:ascii="Arial" w:hAnsi="Arial" w:cs="Arial"/>
        </w:rPr>
        <w:t>This chapter outlines the methodological framework adopted for this systematic review, which examines the risk factors associated with developmental delays among children aged 5 to 12 years in England. The methodology is designed to ensure rigour, transparency, and reproducibility, consistent with established systematic review standards. The chapter presents the research philosophy, approach, and design underpinning the study, followed by detailed explanations of the inclusion and exclusion criteria, literature search strategy, data extraction process, quality assessment tools, and data analysis techniques. Ethical considerations relevant to conducting a systematic review of published literature are also addressed to ensure academic integrity and responsible research practice.</w:t>
      </w:r>
    </w:p>
    <w:p w14:paraId="26B499ED" w14:textId="77777777" w:rsidR="00ED6DF0" w:rsidRPr="007237AE" w:rsidRDefault="00ED6DF0" w:rsidP="00ED6DF0">
      <w:pPr>
        <w:pStyle w:val="Heading1"/>
      </w:pPr>
      <w:bookmarkStart w:id="33" w:name="_Toc219199505"/>
      <w:r w:rsidRPr="007237AE">
        <w:t>3.2 Research Philosophy</w:t>
      </w:r>
      <w:bookmarkEnd w:id="33"/>
      <w:r w:rsidRPr="007237AE">
        <w:t xml:space="preserve"> </w:t>
      </w:r>
    </w:p>
    <w:p w14:paraId="7981D962" w14:textId="77777777" w:rsidR="00ED6DF0" w:rsidRPr="007237AE" w:rsidRDefault="00ED6DF0" w:rsidP="00ED6DF0">
      <w:pPr>
        <w:spacing w:line="360" w:lineRule="auto"/>
        <w:jc w:val="both"/>
        <w:rPr>
          <w:rFonts w:ascii="Arial" w:hAnsi="Arial" w:cs="Arial"/>
        </w:rPr>
      </w:pPr>
      <w:r w:rsidRPr="007237AE">
        <w:rPr>
          <w:rFonts w:ascii="Arial" w:hAnsi="Arial" w:cs="Arial"/>
        </w:rPr>
        <w:t>This study is underpinned by a positivist research philosophy, which assumes that knowledge regarding developmental delays and their risk factors can be derived from systematically collected and analysed empirical evidence</w:t>
      </w:r>
      <w:r>
        <w:rPr>
          <w:rFonts w:ascii="Arial" w:hAnsi="Arial" w:cs="Arial"/>
        </w:rPr>
        <w:t xml:space="preserve"> (</w:t>
      </w:r>
      <w:r w:rsidRPr="003A43EF">
        <w:rPr>
          <w:rFonts w:ascii="Arial" w:hAnsi="Arial" w:cs="Arial"/>
        </w:rPr>
        <w:t>Maretha</w:t>
      </w:r>
      <w:r>
        <w:rPr>
          <w:rFonts w:ascii="Arial" w:hAnsi="Arial" w:cs="Arial"/>
        </w:rPr>
        <w:t>, 2023)</w:t>
      </w:r>
      <w:r w:rsidRPr="007237AE">
        <w:rPr>
          <w:rFonts w:ascii="Arial" w:hAnsi="Arial" w:cs="Arial"/>
        </w:rPr>
        <w:t>. Positivism is appropriate for this review as it emphasises objectivity, replicability, and the use of observable data to identify patterns and relationships across studies (Salmond and Manchester, 2021). The review relies on published quantitative, qualitative, and mixed-methods research, treating existing evidence as a valid source for understanding developmental outcomes within defined populations</w:t>
      </w:r>
      <w:r>
        <w:rPr>
          <w:rFonts w:ascii="Arial" w:hAnsi="Arial" w:cs="Arial"/>
        </w:rPr>
        <w:t xml:space="preserve"> (</w:t>
      </w:r>
      <w:r w:rsidRPr="006F068B">
        <w:rPr>
          <w:rFonts w:ascii="Arial" w:hAnsi="Arial" w:cs="Arial"/>
        </w:rPr>
        <w:t>Bergmann</w:t>
      </w:r>
      <w:r>
        <w:rPr>
          <w:rFonts w:ascii="Arial" w:hAnsi="Arial" w:cs="Arial"/>
        </w:rPr>
        <w:t>, 2022)</w:t>
      </w:r>
      <w:r w:rsidRPr="007237AE">
        <w:rPr>
          <w:rFonts w:ascii="Arial" w:hAnsi="Arial" w:cs="Arial"/>
        </w:rPr>
        <w:t>.</w:t>
      </w:r>
    </w:p>
    <w:p w14:paraId="057D7EF7" w14:textId="77777777" w:rsidR="00ED6DF0" w:rsidRPr="007237AE" w:rsidRDefault="00ED6DF0" w:rsidP="00ED6DF0">
      <w:pPr>
        <w:spacing w:line="360" w:lineRule="auto"/>
        <w:jc w:val="both"/>
        <w:rPr>
          <w:rFonts w:ascii="Arial" w:hAnsi="Arial" w:cs="Arial"/>
        </w:rPr>
      </w:pPr>
      <w:r w:rsidRPr="007237AE">
        <w:rPr>
          <w:rFonts w:ascii="Arial" w:hAnsi="Arial" w:cs="Arial"/>
        </w:rPr>
        <w:t>At the same time, the review acknowledges elements of critical realism, particularly in recognising that developmental delays are influenced by complex, interacting biological, environmental, and socio-economic factors</w:t>
      </w:r>
      <w:r>
        <w:rPr>
          <w:rFonts w:ascii="Arial" w:hAnsi="Arial" w:cs="Arial"/>
        </w:rPr>
        <w:t xml:space="preserve"> (</w:t>
      </w:r>
      <w:r w:rsidRPr="003A43EF">
        <w:rPr>
          <w:rFonts w:ascii="Arial" w:hAnsi="Arial" w:cs="Arial"/>
        </w:rPr>
        <w:t>Maretha</w:t>
      </w:r>
      <w:r>
        <w:rPr>
          <w:rFonts w:ascii="Arial" w:hAnsi="Arial" w:cs="Arial"/>
        </w:rPr>
        <w:t>, 2023)</w:t>
      </w:r>
      <w:r w:rsidRPr="007237AE">
        <w:rPr>
          <w:rFonts w:ascii="Arial" w:hAnsi="Arial" w:cs="Arial"/>
        </w:rPr>
        <w:t>. While the included studies may report measurable outcomes, these outcomes are shaped by broader social structures such as deprivation, educational access, and public health systems (Innocenti et al., 2022). Adopting this philosophical stance allows the review to move beyond simple cause-and-effect explanations and consider how contextual factors in England influence children’s developmental trajectories. This combination strengthens the interpretive depth of the synthesis while maintaining methodological objectivity</w:t>
      </w:r>
      <w:r>
        <w:rPr>
          <w:rFonts w:ascii="Arial" w:hAnsi="Arial" w:cs="Arial"/>
        </w:rPr>
        <w:t xml:space="preserve"> (</w:t>
      </w:r>
      <w:r w:rsidRPr="006F068B">
        <w:rPr>
          <w:rFonts w:ascii="Arial" w:hAnsi="Arial" w:cs="Arial"/>
        </w:rPr>
        <w:t>Bergmann</w:t>
      </w:r>
      <w:r>
        <w:rPr>
          <w:rFonts w:ascii="Arial" w:hAnsi="Arial" w:cs="Arial"/>
        </w:rPr>
        <w:t>, 2022)</w:t>
      </w:r>
      <w:r w:rsidRPr="007237AE">
        <w:rPr>
          <w:rFonts w:ascii="Arial" w:hAnsi="Arial" w:cs="Arial"/>
        </w:rPr>
        <w:t>.</w:t>
      </w:r>
    </w:p>
    <w:p w14:paraId="3A7C6EAC" w14:textId="77777777" w:rsidR="00ED6DF0" w:rsidRPr="007237AE" w:rsidRDefault="00ED6DF0" w:rsidP="00ED6DF0">
      <w:pPr>
        <w:pStyle w:val="Heading1"/>
      </w:pPr>
      <w:bookmarkStart w:id="34" w:name="_Toc219199506"/>
      <w:r w:rsidRPr="007237AE">
        <w:lastRenderedPageBreak/>
        <w:t>3.3 Research Approach</w:t>
      </w:r>
      <w:bookmarkEnd w:id="34"/>
    </w:p>
    <w:p w14:paraId="52AE8504" w14:textId="77777777" w:rsidR="00ED6DF0" w:rsidRPr="007237AE" w:rsidRDefault="00ED6DF0" w:rsidP="00ED6DF0">
      <w:pPr>
        <w:spacing w:line="360" w:lineRule="auto"/>
        <w:jc w:val="both"/>
        <w:rPr>
          <w:rFonts w:ascii="Arial" w:hAnsi="Arial" w:cs="Arial"/>
        </w:rPr>
      </w:pPr>
      <w:r w:rsidRPr="007237AE">
        <w:rPr>
          <w:rFonts w:ascii="Arial" w:hAnsi="Arial" w:cs="Arial"/>
        </w:rPr>
        <w:t>A deductive research approach is adopted in this systematic review, drawing on established theoretical frameworks and empirical evidence relating to developmental delays in children</w:t>
      </w:r>
      <w:r>
        <w:rPr>
          <w:rFonts w:ascii="Arial" w:hAnsi="Arial" w:cs="Arial"/>
        </w:rPr>
        <w:t xml:space="preserve"> (</w:t>
      </w:r>
      <w:r w:rsidRPr="00811C41">
        <w:rPr>
          <w:rFonts w:ascii="Arial" w:hAnsi="Arial" w:cs="Arial"/>
        </w:rPr>
        <w:t>Proudfoot</w:t>
      </w:r>
      <w:r>
        <w:rPr>
          <w:rFonts w:ascii="Arial" w:hAnsi="Arial" w:cs="Arial"/>
        </w:rPr>
        <w:t>, 2023)</w:t>
      </w:r>
      <w:r w:rsidRPr="007237AE">
        <w:rPr>
          <w:rFonts w:ascii="Arial" w:hAnsi="Arial" w:cs="Arial"/>
        </w:rPr>
        <w:t>. The review begins with pre-existing knowledge regarding recognised biological, environmental, and socio-economic risk factors and applies this framework to examine studies focusing on children aged 5–12 years in England. A deductive approach is appropriate as the review seeks to assess the consistency and strength of previously identified risk factors within a specific population and national context, rather than generating new theory (Sharadgah and Sa'di, 2022). By testing existing assumptions against systematically collected evidence, the review aims to refine understanding of how these risk factors manifest in contemporary research</w:t>
      </w:r>
      <w:r>
        <w:rPr>
          <w:rFonts w:ascii="Arial" w:hAnsi="Arial" w:cs="Arial"/>
        </w:rPr>
        <w:t xml:space="preserve"> (</w:t>
      </w:r>
      <w:r w:rsidRPr="00811C41">
        <w:rPr>
          <w:rFonts w:ascii="Arial" w:hAnsi="Arial" w:cs="Arial"/>
        </w:rPr>
        <w:t>Proudfoot</w:t>
      </w:r>
      <w:r>
        <w:rPr>
          <w:rFonts w:ascii="Arial" w:hAnsi="Arial" w:cs="Arial"/>
        </w:rPr>
        <w:t>, 2023)</w:t>
      </w:r>
      <w:r w:rsidRPr="007237AE">
        <w:rPr>
          <w:rFonts w:ascii="Arial" w:hAnsi="Arial" w:cs="Arial"/>
        </w:rPr>
        <w:t>.</w:t>
      </w:r>
    </w:p>
    <w:p w14:paraId="0C31BDB4" w14:textId="77777777" w:rsidR="00ED6DF0" w:rsidRPr="007237AE" w:rsidRDefault="00ED6DF0" w:rsidP="00ED6DF0">
      <w:pPr>
        <w:spacing w:line="360" w:lineRule="auto"/>
        <w:jc w:val="both"/>
        <w:rPr>
          <w:rFonts w:ascii="Arial" w:hAnsi="Arial" w:cs="Arial"/>
        </w:rPr>
      </w:pPr>
      <w:r w:rsidRPr="007237AE">
        <w:rPr>
          <w:rFonts w:ascii="Arial" w:hAnsi="Arial" w:cs="Arial"/>
        </w:rPr>
        <w:t>In addition, the deductive approach supports the development of evidence-based public health recommendations. Through structured synthesis of findings, the review evaluates whether established risk factors continue to influence developmental outcomes and identifies those that are most prevalent or modifiable</w:t>
      </w:r>
      <w:r>
        <w:rPr>
          <w:rFonts w:ascii="Arial" w:hAnsi="Arial" w:cs="Arial"/>
        </w:rPr>
        <w:t xml:space="preserve"> (</w:t>
      </w:r>
      <w:r w:rsidRPr="00811C41">
        <w:rPr>
          <w:rFonts w:ascii="Arial" w:hAnsi="Arial" w:cs="Arial"/>
        </w:rPr>
        <w:t>Proudfoot</w:t>
      </w:r>
      <w:r>
        <w:rPr>
          <w:rFonts w:ascii="Arial" w:hAnsi="Arial" w:cs="Arial"/>
        </w:rPr>
        <w:t>, 2023)</w:t>
      </w:r>
      <w:r w:rsidRPr="007237AE">
        <w:rPr>
          <w:rFonts w:ascii="Arial" w:hAnsi="Arial" w:cs="Arial"/>
        </w:rPr>
        <w:t>. This approach ensures alignment between the research question, objectives, and analytical process, enabling conclusions to be directly linked to implications for policy and practice</w:t>
      </w:r>
      <w:r>
        <w:rPr>
          <w:rFonts w:ascii="Arial" w:hAnsi="Arial" w:cs="Arial"/>
        </w:rPr>
        <w:t xml:space="preserve"> (</w:t>
      </w:r>
      <w:r w:rsidRPr="00811C41">
        <w:rPr>
          <w:rFonts w:ascii="Arial" w:hAnsi="Arial" w:cs="Arial"/>
        </w:rPr>
        <w:t>Proudfoot</w:t>
      </w:r>
      <w:r>
        <w:rPr>
          <w:rFonts w:ascii="Arial" w:hAnsi="Arial" w:cs="Arial"/>
        </w:rPr>
        <w:t>, 2023)</w:t>
      </w:r>
      <w:r w:rsidRPr="007237AE">
        <w:rPr>
          <w:rFonts w:ascii="Arial" w:hAnsi="Arial" w:cs="Arial"/>
        </w:rPr>
        <w:t>. By grounding recommendations in existing research rather than primary data collection, the study provides a coherent and reliable evidence base to inform public health strategies and child development services in England, while maintaining methodological consistency and analytical clarity</w:t>
      </w:r>
      <w:r>
        <w:rPr>
          <w:rFonts w:ascii="Arial" w:hAnsi="Arial" w:cs="Arial"/>
        </w:rPr>
        <w:t xml:space="preserve"> </w:t>
      </w:r>
      <w:r w:rsidRPr="007237AE">
        <w:rPr>
          <w:rFonts w:ascii="Arial" w:hAnsi="Arial" w:cs="Arial"/>
        </w:rPr>
        <w:t>(Sharadgah and Sa'di, 2022).</w:t>
      </w:r>
      <w:r w:rsidRPr="007237AE">
        <w:rPr>
          <w:rFonts w:ascii="Arial" w:hAnsi="Arial" w:cs="Arial"/>
          <w:vanish/>
        </w:rPr>
        <w:t>Top of Form</w:t>
      </w:r>
    </w:p>
    <w:p w14:paraId="6B474E4C" w14:textId="77777777" w:rsidR="00ED6DF0" w:rsidRPr="007237AE" w:rsidRDefault="00ED6DF0" w:rsidP="00ED6DF0">
      <w:pPr>
        <w:pStyle w:val="Heading1"/>
      </w:pPr>
      <w:bookmarkStart w:id="35" w:name="_Toc219199507"/>
      <w:r w:rsidRPr="007237AE">
        <w:t>3.4 Research Design</w:t>
      </w:r>
      <w:bookmarkEnd w:id="35"/>
    </w:p>
    <w:p w14:paraId="2993A462" w14:textId="77777777" w:rsidR="00ED6DF0" w:rsidRPr="007237AE" w:rsidRDefault="00ED6DF0" w:rsidP="00ED6DF0">
      <w:pPr>
        <w:spacing w:line="360" w:lineRule="auto"/>
        <w:jc w:val="both"/>
        <w:rPr>
          <w:rFonts w:ascii="Arial" w:hAnsi="Arial" w:cs="Arial"/>
        </w:rPr>
      </w:pPr>
      <w:r w:rsidRPr="007237AE">
        <w:rPr>
          <w:rFonts w:ascii="Arial" w:hAnsi="Arial" w:cs="Arial"/>
        </w:rPr>
        <w:t>This study adopts a systematic review research design, guided by the Preferred Reporting Items for Systematic Reviews and Meta-Analyses (PRISMA) framework (Innocenti et al., 2022). The use of this design enables the structured identification, critical appraisal, and synthesis of relevant literature through transparent and reproducible procedures</w:t>
      </w:r>
      <w:r>
        <w:rPr>
          <w:rFonts w:ascii="Arial" w:hAnsi="Arial" w:cs="Arial"/>
        </w:rPr>
        <w:t xml:space="preserve"> (</w:t>
      </w:r>
      <w:r w:rsidRPr="00E42AE5">
        <w:rPr>
          <w:rFonts w:ascii="Arial" w:hAnsi="Arial" w:cs="Arial"/>
        </w:rPr>
        <w:t>Arifin</w:t>
      </w:r>
      <w:r>
        <w:rPr>
          <w:rFonts w:ascii="Arial" w:hAnsi="Arial" w:cs="Arial"/>
        </w:rPr>
        <w:t xml:space="preserve"> et al, 2022)</w:t>
      </w:r>
      <w:r w:rsidRPr="007237AE">
        <w:rPr>
          <w:rFonts w:ascii="Arial" w:hAnsi="Arial" w:cs="Arial"/>
        </w:rPr>
        <w:t>. A systematic review is particularly appropriate for this research as it facilitates the integration of evidence from quantitative, qualitative, and mixed-methods studies, allowing for a comprehensive examination of risk factors associated with developmental delays</w:t>
      </w:r>
      <w:r>
        <w:rPr>
          <w:rFonts w:ascii="Arial" w:hAnsi="Arial" w:cs="Arial"/>
        </w:rPr>
        <w:t xml:space="preserve"> (</w:t>
      </w:r>
      <w:r w:rsidRPr="00C20727">
        <w:rPr>
          <w:rFonts w:ascii="Arial" w:hAnsi="Arial" w:cs="Arial"/>
        </w:rPr>
        <w:t>Saharan</w:t>
      </w:r>
      <w:r>
        <w:rPr>
          <w:rFonts w:ascii="Arial" w:hAnsi="Arial" w:cs="Arial"/>
        </w:rPr>
        <w:t xml:space="preserve"> et al, </w:t>
      </w:r>
      <w:r>
        <w:rPr>
          <w:rFonts w:ascii="Arial" w:hAnsi="Arial" w:cs="Arial"/>
        </w:rPr>
        <w:lastRenderedPageBreak/>
        <w:t>2024)</w:t>
      </w:r>
      <w:r w:rsidRPr="007237AE">
        <w:rPr>
          <w:rFonts w:ascii="Arial" w:hAnsi="Arial" w:cs="Arial"/>
        </w:rPr>
        <w:t>. Given the anticipated heterogeneity in study designs, populations, and outcome measures, a narrative synthesis is prioritised over statistical meta-analysis</w:t>
      </w:r>
      <w:r>
        <w:rPr>
          <w:rFonts w:ascii="Arial" w:hAnsi="Arial" w:cs="Arial"/>
        </w:rPr>
        <w:t xml:space="preserve"> (</w:t>
      </w:r>
      <w:r w:rsidRPr="00E42AE5">
        <w:rPr>
          <w:rFonts w:ascii="Arial" w:hAnsi="Arial" w:cs="Arial"/>
        </w:rPr>
        <w:t>Arifin</w:t>
      </w:r>
      <w:r>
        <w:rPr>
          <w:rFonts w:ascii="Arial" w:hAnsi="Arial" w:cs="Arial"/>
        </w:rPr>
        <w:t xml:space="preserve"> et al, 2022)</w:t>
      </w:r>
      <w:r w:rsidRPr="007237AE">
        <w:rPr>
          <w:rFonts w:ascii="Arial" w:hAnsi="Arial" w:cs="Arial"/>
        </w:rPr>
        <w:t>. This approach maintains methodological rigour while providing the necessary flexibility to interpret complex and multidimensional evidence related to child development within the England context.</w:t>
      </w:r>
    </w:p>
    <w:p w14:paraId="2016174C" w14:textId="77777777" w:rsidR="00ED6DF0" w:rsidRPr="007237AE" w:rsidRDefault="00ED6DF0" w:rsidP="00ED6DF0">
      <w:pPr>
        <w:pStyle w:val="Heading1"/>
      </w:pPr>
      <w:bookmarkStart w:id="36" w:name="_Toc219199508"/>
      <w:r w:rsidRPr="007237AE">
        <w:t>3.5 Inclusion and Exclusion Criteria</w:t>
      </w:r>
      <w:bookmarkEnd w:id="36"/>
    </w:p>
    <w:p w14:paraId="0A889455" w14:textId="77777777" w:rsidR="00ED6DF0" w:rsidRPr="007237AE" w:rsidRDefault="00ED6DF0" w:rsidP="00ED6DF0">
      <w:pPr>
        <w:spacing w:line="360" w:lineRule="auto"/>
        <w:jc w:val="both"/>
        <w:rPr>
          <w:rFonts w:ascii="Arial" w:hAnsi="Arial" w:cs="Arial"/>
        </w:rPr>
      </w:pPr>
      <w:r w:rsidRPr="007237AE">
        <w:rPr>
          <w:rFonts w:ascii="Arial" w:hAnsi="Arial" w:cs="Arial"/>
        </w:rPr>
        <w:t>Clear inclusion and exclusion criteria were established to ensure relevance, consistency, and methodological rigour throughout the study selection process. Studies were included if they focused on children aged 5–12 years residing in England, reflecting the defined population of interest and ensuring contextual relevance to national public health and education systems. Eligible studies examined biological, environmental, and/or socio-economic risk factors associated with developmental delays, recognising the multidimensional nature of child development. Peer-reviewed quantitative, qualitative, and mixed-methods studies published in English from 2015 onwards were included to ensure the use of contemporary and methodologically robust evidence. In addition, studies reporting on the prevalence, identification, or outcomes of interventions related to developmental delays were considered eligible, enabling the review to capture both risk exposure and response strategies within the target age group (Sharadgah and Sa'di, 2022).</w:t>
      </w:r>
    </w:p>
    <w:p w14:paraId="34AF2C90" w14:textId="77777777" w:rsidR="00ED6DF0" w:rsidRPr="00A64361" w:rsidRDefault="00ED6DF0" w:rsidP="00ED6DF0">
      <w:pPr>
        <w:spacing w:line="360" w:lineRule="auto"/>
        <w:jc w:val="both"/>
        <w:rPr>
          <w:rFonts w:ascii="Arial" w:hAnsi="Arial" w:cs="Arial"/>
        </w:rPr>
      </w:pPr>
      <w:r w:rsidRPr="007237AE">
        <w:rPr>
          <w:rFonts w:ascii="Arial" w:hAnsi="Arial" w:cs="Arial"/>
        </w:rPr>
        <w:t>Exclusion criteria were applied to maintain specificity and analytical quality. Studies focusing exclusively on children under five years or over twelve years were excluded, as developmental risk profiles and intervention frameworks differ significantly across age groups. Research conducted outside the England context was also excluded to ensure policy and service relevance. Non-peer-reviewed sources, including conference abstracts, editorials, and opinion pieces, were omitted due to limited methodological transparency. Furthermore, studies addressing only single developmental disorders, such as autism alone, were excluded unless they explicitly examined broader, multi-domain developmental delays. Articles lacking sufficient methodological detail to support quality appraisal or data extraction were also excluded. Collectively, these criteria ensured that the final body of evidence was directly aligned with the research</w:t>
      </w:r>
    </w:p>
    <w:p w14:paraId="3F4D662E" w14:textId="77777777" w:rsidR="00ED6DF0" w:rsidRPr="007237AE" w:rsidRDefault="00ED6DF0" w:rsidP="00ED6DF0">
      <w:pPr>
        <w:pStyle w:val="Heading1"/>
      </w:pPr>
      <w:bookmarkStart w:id="37" w:name="_Toc219199509"/>
      <w:r w:rsidRPr="007237AE">
        <w:lastRenderedPageBreak/>
        <w:t>3.6 Literature Search and Data Collection Procedure</w:t>
      </w:r>
      <w:bookmarkEnd w:id="37"/>
    </w:p>
    <w:p w14:paraId="1755D2B2" w14:textId="77777777" w:rsidR="00ED6DF0" w:rsidRPr="007237AE" w:rsidRDefault="00ED6DF0" w:rsidP="00ED6DF0">
      <w:pPr>
        <w:spacing w:line="360" w:lineRule="auto"/>
        <w:jc w:val="both"/>
        <w:rPr>
          <w:rFonts w:ascii="Arial" w:hAnsi="Arial" w:cs="Arial"/>
        </w:rPr>
      </w:pPr>
      <w:r w:rsidRPr="007237AE">
        <w:rPr>
          <w:rFonts w:ascii="Arial" w:hAnsi="Arial" w:cs="Arial"/>
        </w:rPr>
        <w:t>A comprehensive and systematic literature search was undertaken across multiple electronic databases, including PubMed, PsycINFO, Google Scholar, and Web of Science, to capture a broad range of interdisciplinary research relevant to developmental delays in school-aged children. The search strategy incorporated a combination of keywords and Medical Subject Headings (MeSH), including terms such as developmental delays, risk factors, school-aged children, and England</w:t>
      </w:r>
      <w:r>
        <w:rPr>
          <w:rFonts w:ascii="Arial" w:hAnsi="Arial" w:cs="Arial"/>
        </w:rPr>
        <w:t xml:space="preserve"> (</w:t>
      </w:r>
      <w:r w:rsidRPr="002448CA">
        <w:rPr>
          <w:rFonts w:ascii="Arial" w:hAnsi="Arial" w:cs="Arial"/>
        </w:rPr>
        <w:t>Leblanc</w:t>
      </w:r>
      <w:r>
        <w:rPr>
          <w:rFonts w:ascii="Arial" w:hAnsi="Arial" w:cs="Arial"/>
        </w:rPr>
        <w:t xml:space="preserve"> et al, 2024)</w:t>
      </w:r>
      <w:r w:rsidRPr="007237AE">
        <w:rPr>
          <w:rFonts w:ascii="Arial" w:hAnsi="Arial" w:cs="Arial"/>
        </w:rPr>
        <w:t>. Boolean operators (AND/OR), truncation, and database-specific filters were applied to refine the search and ensure retrieval of peer-reviewed, English-language studies published from 2015 onwards</w:t>
      </w:r>
      <w:r>
        <w:rPr>
          <w:rFonts w:ascii="Arial" w:hAnsi="Arial" w:cs="Arial"/>
        </w:rPr>
        <w:t xml:space="preserve"> (</w:t>
      </w:r>
      <w:r w:rsidRPr="002448CA">
        <w:rPr>
          <w:rFonts w:ascii="Arial" w:hAnsi="Arial" w:cs="Arial"/>
        </w:rPr>
        <w:t>Leblanc</w:t>
      </w:r>
      <w:r>
        <w:rPr>
          <w:rFonts w:ascii="Arial" w:hAnsi="Arial" w:cs="Arial"/>
        </w:rPr>
        <w:t xml:space="preserve"> et al, 2024)</w:t>
      </w:r>
      <w:r w:rsidRPr="007237AE">
        <w:rPr>
          <w:rFonts w:ascii="Arial" w:hAnsi="Arial" w:cs="Arial"/>
        </w:rPr>
        <w:t>. This approach enhanced the sensitivity and specificity of the search while maintaining methodological consistency (Dekkers et al., 2019).</w:t>
      </w:r>
    </w:p>
    <w:p w14:paraId="5280C44A" w14:textId="77777777" w:rsidR="00ED6DF0" w:rsidRPr="007237AE" w:rsidRDefault="00ED6DF0" w:rsidP="00ED6DF0">
      <w:pPr>
        <w:spacing w:line="360" w:lineRule="auto"/>
        <w:jc w:val="both"/>
        <w:rPr>
          <w:rFonts w:ascii="Arial" w:hAnsi="Arial" w:cs="Arial"/>
        </w:rPr>
      </w:pPr>
      <w:r w:rsidRPr="007237AE">
        <w:rPr>
          <w:rFonts w:ascii="Arial" w:hAnsi="Arial" w:cs="Arial"/>
        </w:rPr>
        <w:t>Following retrieval, all identified records were imported into a reference management software package, such as EndNote or Mendeley, to organise citations and remove duplicate entries</w:t>
      </w:r>
      <w:r>
        <w:rPr>
          <w:rFonts w:ascii="Arial" w:hAnsi="Arial" w:cs="Arial"/>
        </w:rPr>
        <w:t xml:space="preserve"> </w:t>
      </w:r>
      <w:r w:rsidRPr="007237AE">
        <w:rPr>
          <w:rFonts w:ascii="Arial" w:hAnsi="Arial" w:cs="Arial"/>
        </w:rPr>
        <w:t>(Dekkers et al., 2019). Titles and abstracts were initially screened against the predefined inclusion and exclusion criteria to exclude irrelevant studies</w:t>
      </w:r>
      <w:r>
        <w:rPr>
          <w:rFonts w:ascii="Arial" w:hAnsi="Arial" w:cs="Arial"/>
        </w:rPr>
        <w:t xml:space="preserve"> (</w:t>
      </w:r>
      <w:r w:rsidRPr="002448CA">
        <w:rPr>
          <w:rFonts w:ascii="Arial" w:hAnsi="Arial" w:cs="Arial"/>
        </w:rPr>
        <w:t>Leblanc</w:t>
      </w:r>
      <w:r>
        <w:rPr>
          <w:rFonts w:ascii="Arial" w:hAnsi="Arial" w:cs="Arial"/>
        </w:rPr>
        <w:t xml:space="preserve"> et al, 2024)</w:t>
      </w:r>
      <w:r w:rsidRPr="007237AE">
        <w:rPr>
          <w:rFonts w:ascii="Arial" w:hAnsi="Arial" w:cs="Arial"/>
        </w:rPr>
        <w:t>. Full-text articles that met the initial screening criteria were then reviewed in detail to confirm eligibility</w:t>
      </w:r>
      <w:r>
        <w:rPr>
          <w:rFonts w:ascii="Arial" w:hAnsi="Arial" w:cs="Arial"/>
        </w:rPr>
        <w:t xml:space="preserve"> (</w:t>
      </w:r>
      <w:r w:rsidRPr="002448CA">
        <w:rPr>
          <w:rFonts w:ascii="Arial" w:hAnsi="Arial" w:cs="Arial"/>
        </w:rPr>
        <w:t>Leblanc</w:t>
      </w:r>
      <w:r>
        <w:rPr>
          <w:rFonts w:ascii="Arial" w:hAnsi="Arial" w:cs="Arial"/>
        </w:rPr>
        <w:t xml:space="preserve"> et al, 2024)</w:t>
      </w:r>
      <w:r w:rsidRPr="007237AE">
        <w:rPr>
          <w:rFonts w:ascii="Arial" w:hAnsi="Arial" w:cs="Arial"/>
        </w:rPr>
        <w:t>. In addition, reference lists of included studies and relevant organisational reports were examined to identify any additional studies and reduce the risk of publication bias</w:t>
      </w:r>
      <w:r>
        <w:rPr>
          <w:rFonts w:ascii="Arial" w:hAnsi="Arial" w:cs="Arial"/>
        </w:rPr>
        <w:t xml:space="preserve"> </w:t>
      </w:r>
      <w:r w:rsidRPr="007237AE">
        <w:rPr>
          <w:rFonts w:ascii="Arial" w:hAnsi="Arial" w:cs="Arial"/>
        </w:rPr>
        <w:t>(Dekkers et al., 2019). This structured and transparent process ensured consistency, reproducibility, and rigour throughout the data collection phase (Dekkers et al., 2019).</w:t>
      </w:r>
    </w:p>
    <w:p w14:paraId="30F72B9E" w14:textId="77777777" w:rsidR="00ED6DF0" w:rsidRPr="007237AE" w:rsidRDefault="00ED6DF0" w:rsidP="00ED6DF0">
      <w:pPr>
        <w:pStyle w:val="Heading1"/>
      </w:pPr>
      <w:bookmarkStart w:id="38" w:name="_Toc219199510"/>
      <w:r w:rsidRPr="007237AE">
        <w:t>3.7 Data Extraction</w:t>
      </w:r>
      <w:bookmarkEnd w:id="38"/>
    </w:p>
    <w:p w14:paraId="155112FC" w14:textId="77777777" w:rsidR="00ED6DF0" w:rsidRPr="007237AE" w:rsidRDefault="00ED6DF0" w:rsidP="00ED6DF0">
      <w:pPr>
        <w:spacing w:line="360" w:lineRule="auto"/>
        <w:jc w:val="both"/>
        <w:rPr>
          <w:rFonts w:ascii="Arial" w:hAnsi="Arial" w:cs="Arial"/>
        </w:rPr>
      </w:pPr>
      <w:r w:rsidRPr="007237AE">
        <w:rPr>
          <w:rFonts w:ascii="Arial" w:hAnsi="Arial" w:cs="Arial"/>
        </w:rPr>
        <w:t>Data extraction was carried out using a structured Excel spreadsheet developed in advance to promote consistency, transparency, and accuracy across all included studies (Bernard et al., 2016). The extraction process captured key bibliographic information, including author, year of publication, and journal, alongside methodological details such as study design and sample characteristics</w:t>
      </w:r>
      <w:r>
        <w:rPr>
          <w:rFonts w:ascii="Arial" w:hAnsi="Arial" w:cs="Arial"/>
        </w:rPr>
        <w:t xml:space="preserve"> </w:t>
      </w:r>
      <w:r w:rsidRPr="007237AE">
        <w:rPr>
          <w:rFonts w:ascii="Arial" w:hAnsi="Arial" w:cs="Arial"/>
        </w:rPr>
        <w:t xml:space="preserve">(Paré and Kitsiou, 2017). Information relating to developmental domains assessed, including cognitive, language, motor, and socio-emotional development, was recorded, as well as the specific biological, environmental, and socio-economic risk factors examined. Where applicable, details of measurement tools, diagnostic criteria, and reported </w:t>
      </w:r>
      <w:r w:rsidRPr="007237AE">
        <w:rPr>
          <w:rFonts w:ascii="Arial" w:hAnsi="Arial" w:cs="Arial"/>
        </w:rPr>
        <w:lastRenderedPageBreak/>
        <w:t>intervention outcomes were also extracted to support comprehensive analysis (Chen, 2017). Each study was reviewed thoroughly, and extracted data were cross-checked against the original text to minimise errors and omissions (Paré and Kitsiou, 2017). This structured and systematic approach facilitated meaningful comparison across studies and provided a reliable foundation for robust narrative synthesis</w:t>
      </w:r>
      <w:r>
        <w:rPr>
          <w:rFonts w:ascii="Arial" w:hAnsi="Arial" w:cs="Arial"/>
        </w:rPr>
        <w:t xml:space="preserve"> </w:t>
      </w:r>
      <w:r w:rsidRPr="007237AE">
        <w:rPr>
          <w:rFonts w:ascii="Arial" w:hAnsi="Arial" w:cs="Arial"/>
        </w:rPr>
        <w:t>(Bernard et al., 2016).</w:t>
      </w:r>
    </w:p>
    <w:p w14:paraId="62520511" w14:textId="77777777" w:rsidR="00ED6DF0" w:rsidRPr="007237AE" w:rsidRDefault="00ED6DF0" w:rsidP="00ED6DF0">
      <w:pPr>
        <w:pStyle w:val="Heading1"/>
      </w:pPr>
      <w:bookmarkStart w:id="39" w:name="_Toc219199511"/>
      <w:r w:rsidRPr="007237AE">
        <w:t>3.8 Quality Assessment</w:t>
      </w:r>
      <w:bookmarkEnd w:id="39"/>
    </w:p>
    <w:p w14:paraId="71B57FFC" w14:textId="5BCE6306" w:rsidR="00741B02" w:rsidRPr="00741B02" w:rsidRDefault="00EA0F51" w:rsidP="00741B02">
      <w:pPr>
        <w:spacing w:line="360" w:lineRule="auto"/>
        <w:jc w:val="both"/>
        <w:rPr>
          <w:rFonts w:ascii="Arial" w:hAnsi="Arial" w:cs="Arial"/>
        </w:rPr>
      </w:pPr>
      <w:r w:rsidRPr="00EA0F51">
        <w:rPr>
          <w:rFonts w:ascii="Arial" w:hAnsi="Arial" w:cs="Arial"/>
        </w:rPr>
        <w:t>Using proven critical evaluation instruments chosen based on research design, the methodological quality of the included studies was evaluated (Munn et al., 2020). To assess important facets of research rigour, credibility, and relevance, such as sampling strategies, data collection techniques, and the clarity of findings, the Joanna Briggs Institute (JBI) critical appraisal checklists were applied to qualitative, quantitative, and mixed-methods studies (Harrison et al., 2017). The Critical Appraisal Skills Programme (CASP) checklists were used to evaluate possible sources of bias, confounding variable management, and the validity and reliability of outcome measures for studies using observational or interventional designs (Tran et al., 2021).</w:t>
      </w:r>
      <w:r w:rsidR="00741B02">
        <w:rPr>
          <w:rFonts w:ascii="Arial" w:hAnsi="Arial" w:cs="Arial"/>
        </w:rPr>
        <w:t xml:space="preserve"> </w:t>
      </w:r>
      <w:r w:rsidR="00741B02" w:rsidRPr="00741B02">
        <w:rPr>
          <w:rFonts w:ascii="Arial" w:hAnsi="Arial" w:cs="Arial"/>
        </w:rPr>
        <w:t>In order to ensure that conclusions were based on the relative strength of the available evidence, the quality appraisal served to inform the interpretation and weighting of findings within the narrative synthesis rather than excluding studies based only on methodological limitations (Munn et al., 2020).</w:t>
      </w:r>
    </w:p>
    <w:p w14:paraId="374D1EAE" w14:textId="77777777" w:rsidR="00ED6DF0" w:rsidRPr="000B1DBA" w:rsidRDefault="00ED6DF0" w:rsidP="00ED6DF0">
      <w:pPr>
        <w:pStyle w:val="Heading1"/>
      </w:pPr>
      <w:bookmarkStart w:id="40" w:name="_Toc219199512"/>
      <w:r w:rsidRPr="000B1DBA">
        <w:t>3.9 Data Analysis Technique</w:t>
      </w:r>
      <w:bookmarkEnd w:id="40"/>
    </w:p>
    <w:p w14:paraId="249EDBBE" w14:textId="77777777" w:rsidR="00ED6DF0" w:rsidRPr="000B1DBA" w:rsidRDefault="00ED6DF0" w:rsidP="00ED6DF0">
      <w:pPr>
        <w:spacing w:line="360" w:lineRule="auto"/>
        <w:jc w:val="both"/>
        <w:rPr>
          <w:rFonts w:ascii="Arial" w:hAnsi="Arial" w:cs="Arial"/>
        </w:rPr>
      </w:pPr>
      <w:r w:rsidRPr="000B1DBA">
        <w:rPr>
          <w:rFonts w:ascii="Arial" w:hAnsi="Arial" w:cs="Arial"/>
        </w:rPr>
        <w:t>A narrative synthesis approach was adopted due to the heterogeneity observed across included studies in terms of research design, sample characteristics, and outcome measures</w:t>
      </w:r>
      <w:r>
        <w:rPr>
          <w:rFonts w:ascii="Arial" w:hAnsi="Arial" w:cs="Arial"/>
        </w:rPr>
        <w:t xml:space="preserve"> </w:t>
      </w:r>
      <w:r w:rsidRPr="000B1DBA">
        <w:rPr>
          <w:rFonts w:ascii="Arial" w:hAnsi="Arial" w:cs="Arial"/>
        </w:rPr>
        <w:t>(King and Brooks, 2018). Statistical meta-analysis was not considered appropriate because of variations in developmental assessment tools, definitions of developmental delay, and methods used to measure risk factors</w:t>
      </w:r>
      <w:r>
        <w:rPr>
          <w:rFonts w:ascii="Arial" w:hAnsi="Arial" w:cs="Arial"/>
        </w:rPr>
        <w:t xml:space="preserve"> (</w:t>
      </w:r>
      <w:r w:rsidRPr="00AF1DDC">
        <w:rPr>
          <w:rFonts w:ascii="Arial" w:hAnsi="Arial" w:cs="Arial"/>
        </w:rPr>
        <w:t>Ali</w:t>
      </w:r>
      <w:r>
        <w:rPr>
          <w:rFonts w:ascii="Arial" w:hAnsi="Arial" w:cs="Arial"/>
        </w:rPr>
        <w:t xml:space="preserve"> et al, 2022)</w:t>
      </w:r>
      <w:r w:rsidRPr="000B1DBA">
        <w:rPr>
          <w:rFonts w:ascii="Arial" w:hAnsi="Arial" w:cs="Arial"/>
        </w:rPr>
        <w:t>. Following data extraction, study findings were systematically organised into three overarching thematic categories: biological, environmental, and socio-economic risk factors</w:t>
      </w:r>
      <w:r>
        <w:rPr>
          <w:rFonts w:ascii="Arial" w:hAnsi="Arial" w:cs="Arial"/>
        </w:rPr>
        <w:t xml:space="preserve"> </w:t>
      </w:r>
      <w:r w:rsidRPr="000B1DBA">
        <w:rPr>
          <w:rFonts w:ascii="Arial" w:hAnsi="Arial" w:cs="Arial"/>
        </w:rPr>
        <w:t>(Braun and Clarke, 2019). Within each category, subthemes were identified to structure the synthesis, including factors such as prematurity and low birth weight, exposure to adverse physical or social environments, parental education, and household income</w:t>
      </w:r>
      <w:r>
        <w:rPr>
          <w:rFonts w:ascii="Arial" w:hAnsi="Arial" w:cs="Arial"/>
        </w:rPr>
        <w:t xml:space="preserve"> </w:t>
      </w:r>
      <w:r w:rsidRPr="000B1DBA">
        <w:rPr>
          <w:rFonts w:ascii="Arial" w:hAnsi="Arial" w:cs="Arial"/>
        </w:rPr>
        <w:t xml:space="preserve">(King and Brooks, 2018). This thematic organisation followed </w:t>
      </w:r>
      <w:r w:rsidRPr="000B1DBA">
        <w:rPr>
          <w:rFonts w:ascii="Arial" w:hAnsi="Arial" w:cs="Arial"/>
        </w:rPr>
        <w:lastRenderedPageBreak/>
        <w:t>established principles of qualitative thematic analysis, enabling structured interpretation while remaining grounded in the extracted data (Braun and Clarke, 2019).</w:t>
      </w:r>
    </w:p>
    <w:p w14:paraId="7D60DC64" w14:textId="77777777" w:rsidR="00ED6DF0" w:rsidRPr="000B1DBA" w:rsidRDefault="00ED6DF0" w:rsidP="00ED6DF0">
      <w:pPr>
        <w:spacing w:line="360" w:lineRule="auto"/>
        <w:jc w:val="both"/>
        <w:rPr>
          <w:rFonts w:ascii="Arial" w:hAnsi="Arial" w:cs="Arial"/>
        </w:rPr>
      </w:pPr>
      <w:r w:rsidRPr="000B1DBA">
        <w:rPr>
          <w:rFonts w:ascii="Arial" w:hAnsi="Arial" w:cs="Arial"/>
        </w:rPr>
        <w:t>The narrative synthesis extended beyond identifying the frequency of reported risk factors to explore their interactions and cumulative effects on developmental outcomes</w:t>
      </w:r>
      <w:r>
        <w:rPr>
          <w:rFonts w:ascii="Arial" w:hAnsi="Arial" w:cs="Arial"/>
        </w:rPr>
        <w:t xml:space="preserve"> (</w:t>
      </w:r>
      <w:r w:rsidRPr="00AF1DDC">
        <w:rPr>
          <w:rFonts w:ascii="Arial" w:hAnsi="Arial" w:cs="Arial"/>
        </w:rPr>
        <w:t>Ali</w:t>
      </w:r>
      <w:r>
        <w:rPr>
          <w:rFonts w:ascii="Arial" w:hAnsi="Arial" w:cs="Arial"/>
        </w:rPr>
        <w:t xml:space="preserve"> et al, 2022)</w:t>
      </w:r>
      <w:r w:rsidRPr="000B1DBA">
        <w:rPr>
          <w:rFonts w:ascii="Arial" w:hAnsi="Arial" w:cs="Arial"/>
        </w:rPr>
        <w:t>. Attention was given to how socio-economic disadvantage may exacerbate biological vulnerabilities, such as prematurity or early health complications, contributing to more severe or persistent developmental delays</w:t>
      </w:r>
      <w:r>
        <w:rPr>
          <w:rFonts w:ascii="Arial" w:hAnsi="Arial" w:cs="Arial"/>
        </w:rPr>
        <w:t xml:space="preserve"> </w:t>
      </w:r>
      <w:r w:rsidRPr="000B1DBA">
        <w:rPr>
          <w:rFonts w:ascii="Arial" w:hAnsi="Arial" w:cs="Arial"/>
        </w:rPr>
        <w:t>(Braun and Clarke, 2019). This approach reflects evidence suggesting that developmental outcomes are shaped by layered and interconnected influences rather than isolated risk exposures (King and Brooks, 2018). To enhance transparency and comparability, tables were developed to summarise study characteristics, populations, assessed developmental domains, and key findings, allowing patterns and divergences across studies to be clearly identified</w:t>
      </w:r>
      <w:r>
        <w:rPr>
          <w:rFonts w:ascii="Arial" w:hAnsi="Arial" w:cs="Arial"/>
        </w:rPr>
        <w:t xml:space="preserve"> (</w:t>
      </w:r>
      <w:r w:rsidRPr="00AF1DDC">
        <w:rPr>
          <w:rFonts w:ascii="Arial" w:hAnsi="Arial" w:cs="Arial"/>
        </w:rPr>
        <w:t>Ali</w:t>
      </w:r>
      <w:r>
        <w:rPr>
          <w:rFonts w:ascii="Arial" w:hAnsi="Arial" w:cs="Arial"/>
        </w:rPr>
        <w:t xml:space="preserve"> et al, 2022)</w:t>
      </w:r>
      <w:r w:rsidRPr="000B1DBA">
        <w:rPr>
          <w:rFonts w:ascii="Arial" w:hAnsi="Arial" w:cs="Arial"/>
        </w:rPr>
        <w:t>.</w:t>
      </w:r>
    </w:p>
    <w:p w14:paraId="07F3D667" w14:textId="77777777" w:rsidR="00ED6DF0" w:rsidRPr="000B1DBA" w:rsidRDefault="00ED6DF0" w:rsidP="00ED6DF0">
      <w:pPr>
        <w:spacing w:line="360" w:lineRule="auto"/>
        <w:jc w:val="both"/>
        <w:rPr>
          <w:rFonts w:ascii="Arial" w:hAnsi="Arial" w:cs="Arial"/>
        </w:rPr>
      </w:pPr>
      <w:r w:rsidRPr="000B1DBA">
        <w:rPr>
          <w:rFonts w:ascii="Arial" w:hAnsi="Arial" w:cs="Arial"/>
        </w:rPr>
        <w:t>In addition, findings related to intervention and early identification strategies were examined to evaluate their effectiveness in mitigating developmental risk</w:t>
      </w:r>
      <w:r>
        <w:rPr>
          <w:rFonts w:ascii="Arial" w:hAnsi="Arial" w:cs="Arial"/>
        </w:rPr>
        <w:t xml:space="preserve"> </w:t>
      </w:r>
      <w:r w:rsidRPr="000B1DBA">
        <w:rPr>
          <w:rFonts w:ascii="Arial" w:hAnsi="Arial" w:cs="Arial"/>
        </w:rPr>
        <w:t>(Braun and Clarke, 2019). This included consideration of school-based screening, community health initiatives, and targeted support for socio-economically disadvantaged families</w:t>
      </w:r>
      <w:r>
        <w:rPr>
          <w:rFonts w:ascii="Arial" w:hAnsi="Arial" w:cs="Arial"/>
        </w:rPr>
        <w:t xml:space="preserve"> (</w:t>
      </w:r>
      <w:r w:rsidRPr="00AF1DDC">
        <w:rPr>
          <w:rFonts w:ascii="Arial" w:hAnsi="Arial" w:cs="Arial"/>
        </w:rPr>
        <w:t>Ali</w:t>
      </w:r>
      <w:r>
        <w:rPr>
          <w:rFonts w:ascii="Arial" w:hAnsi="Arial" w:cs="Arial"/>
        </w:rPr>
        <w:t xml:space="preserve"> et al, 2022)</w:t>
      </w:r>
      <w:r w:rsidRPr="000B1DBA">
        <w:rPr>
          <w:rFonts w:ascii="Arial" w:hAnsi="Arial" w:cs="Arial"/>
        </w:rPr>
        <w:t>. The synthesis focused on identifying modifiable risk factors that could be addressed through public health or policy interventions, as well as highlighting gaps in the existing evidence base</w:t>
      </w:r>
      <w:r>
        <w:rPr>
          <w:rFonts w:ascii="Arial" w:hAnsi="Arial" w:cs="Arial"/>
        </w:rPr>
        <w:t xml:space="preserve"> </w:t>
      </w:r>
      <w:r w:rsidRPr="000B1DBA">
        <w:rPr>
          <w:rFonts w:ascii="Arial" w:hAnsi="Arial" w:cs="Arial"/>
        </w:rPr>
        <w:t>(King and Brooks, 2018). By integrating thematic organisation with critical interpretation, this layered analytical approach supports the development of evidence-based recommendations for policy and practice while maintaining methodological rigour and analytical clarity (Braun and Clarke, 2019).</w:t>
      </w:r>
    </w:p>
    <w:p w14:paraId="3074DA73" w14:textId="77777777" w:rsidR="00ED6DF0" w:rsidRPr="00A64361" w:rsidRDefault="00ED6DF0" w:rsidP="00ED6DF0">
      <w:pPr>
        <w:pStyle w:val="Heading1"/>
      </w:pPr>
      <w:bookmarkStart w:id="41" w:name="_Toc219199513"/>
      <w:r w:rsidRPr="007237AE">
        <w:t>3.10 Ethical Considerations</w:t>
      </w:r>
      <w:bookmarkEnd w:id="41"/>
      <w:r w:rsidRPr="007237AE">
        <w:t xml:space="preserve"> </w:t>
      </w:r>
    </w:p>
    <w:p w14:paraId="0DED4DFD" w14:textId="77777777" w:rsidR="00ED6DF0" w:rsidRPr="007237AE" w:rsidRDefault="00ED6DF0" w:rsidP="00ED6DF0">
      <w:pPr>
        <w:spacing w:line="360" w:lineRule="auto"/>
        <w:jc w:val="both"/>
        <w:rPr>
          <w:rFonts w:ascii="Arial" w:hAnsi="Arial" w:cs="Arial"/>
        </w:rPr>
      </w:pPr>
      <w:r w:rsidRPr="007237AE">
        <w:rPr>
          <w:rFonts w:ascii="Arial" w:hAnsi="Arial" w:cs="Arial"/>
        </w:rPr>
        <w:t>As this research adopts a systematic review methodology based exclusively on previously published literature, formal ethical approval was not required, as there was no direct involvement of human participants or access to identifiable personal data (Laothavorn et al., 2019). Despite this, ethical considerations remained central to the conduct of the review to ensure academic integrity, transparency, and responsible scholarship throughout all stages of the research process</w:t>
      </w:r>
      <w:r>
        <w:rPr>
          <w:rFonts w:ascii="Arial" w:hAnsi="Arial" w:cs="Arial"/>
        </w:rPr>
        <w:t xml:space="preserve"> </w:t>
      </w:r>
      <w:r w:rsidRPr="007237AE">
        <w:rPr>
          <w:rFonts w:ascii="Arial" w:hAnsi="Arial" w:cs="Arial"/>
        </w:rPr>
        <w:t xml:space="preserve">(Konttila et al., 2019). The </w:t>
      </w:r>
      <w:r w:rsidRPr="007237AE">
        <w:rPr>
          <w:rFonts w:ascii="Arial" w:hAnsi="Arial" w:cs="Arial"/>
        </w:rPr>
        <w:lastRenderedPageBreak/>
        <w:t>review adhered to recognised standards of good research practice by relying solely on credible, peer-reviewed sources, thereby ensuring that the evidence base was robust, reliable, and appropriate for informing public health understanding and policy</w:t>
      </w:r>
      <w:r>
        <w:rPr>
          <w:rFonts w:ascii="Arial" w:hAnsi="Arial" w:cs="Arial"/>
        </w:rPr>
        <w:t xml:space="preserve"> </w:t>
      </w:r>
      <w:r w:rsidRPr="007237AE">
        <w:rPr>
          <w:rFonts w:ascii="Arial" w:hAnsi="Arial" w:cs="Arial"/>
        </w:rPr>
        <w:t>(Konttila et al., 2019).</w:t>
      </w:r>
    </w:p>
    <w:p w14:paraId="63D59F13" w14:textId="77777777" w:rsidR="00ED6DF0" w:rsidRPr="007237AE" w:rsidRDefault="00ED6DF0" w:rsidP="00ED6DF0">
      <w:pPr>
        <w:spacing w:line="360" w:lineRule="auto"/>
        <w:jc w:val="both"/>
        <w:rPr>
          <w:rFonts w:ascii="Arial" w:hAnsi="Arial" w:cs="Arial"/>
        </w:rPr>
      </w:pPr>
      <w:r w:rsidRPr="007237AE">
        <w:rPr>
          <w:rFonts w:ascii="Arial" w:hAnsi="Arial" w:cs="Arial"/>
        </w:rPr>
        <w:t>All original authors were appropriately acknowledged through accurate and consistent citation to prevent plagiarism and to respect intellectual property. Care was taken to represent study findings faithfully, avoiding selective reporting or misinterpretation of results</w:t>
      </w:r>
      <w:r>
        <w:rPr>
          <w:rFonts w:ascii="Arial" w:hAnsi="Arial" w:cs="Arial"/>
        </w:rPr>
        <w:t xml:space="preserve"> </w:t>
      </w:r>
      <w:r w:rsidRPr="007237AE">
        <w:rPr>
          <w:rFonts w:ascii="Arial" w:hAnsi="Arial" w:cs="Arial"/>
        </w:rPr>
        <w:t>(Laothavorn et al., 2019). Where limitations were identified within individual studies, these were clearly acknowledged to provide a balanced and critical synthesis of the evidence rather than overstating conclusions (Konttila et al., 2019). Transparency was further supported through detailed documentation of the search strategy, inclusion and exclusion criteria, data extraction procedures, and quality appraisal processes, enabling the review to be reproducible and open to scrutiny</w:t>
      </w:r>
      <w:r>
        <w:rPr>
          <w:rFonts w:ascii="Arial" w:hAnsi="Arial" w:cs="Arial"/>
        </w:rPr>
        <w:t xml:space="preserve"> </w:t>
      </w:r>
      <w:r w:rsidRPr="007237AE">
        <w:rPr>
          <w:rFonts w:ascii="Arial" w:hAnsi="Arial" w:cs="Arial"/>
        </w:rPr>
        <w:t>(Konttila et al., 2019).</w:t>
      </w:r>
    </w:p>
    <w:p w14:paraId="154496A3" w14:textId="77777777" w:rsidR="00ED6DF0" w:rsidRDefault="00ED6DF0" w:rsidP="00ED6DF0">
      <w:pPr>
        <w:spacing w:line="360" w:lineRule="auto"/>
        <w:jc w:val="both"/>
        <w:rPr>
          <w:rFonts w:ascii="Arial" w:hAnsi="Arial" w:cs="Arial"/>
        </w:rPr>
      </w:pPr>
      <w:r w:rsidRPr="007237AE">
        <w:rPr>
          <w:rFonts w:ascii="Arial" w:hAnsi="Arial" w:cs="Arial"/>
        </w:rPr>
        <w:t>Ethical sensitivity was exercised when discussing issues related to child development and socio-economic disadvantage</w:t>
      </w:r>
      <w:r>
        <w:rPr>
          <w:rFonts w:ascii="Arial" w:hAnsi="Arial" w:cs="Arial"/>
        </w:rPr>
        <w:t xml:space="preserve"> </w:t>
      </w:r>
      <w:r w:rsidRPr="007237AE">
        <w:rPr>
          <w:rFonts w:ascii="Arial" w:hAnsi="Arial" w:cs="Arial"/>
        </w:rPr>
        <w:t>(Konttila et al., 2019). Language was carefully chosen to avoid stigmatisation of children, families, or communities, recognising the structural and contextual factors that influence developmental outcomes</w:t>
      </w:r>
      <w:r>
        <w:rPr>
          <w:rFonts w:ascii="Arial" w:hAnsi="Arial" w:cs="Arial"/>
        </w:rPr>
        <w:t xml:space="preserve"> </w:t>
      </w:r>
      <w:r w:rsidRPr="007237AE">
        <w:rPr>
          <w:rFonts w:ascii="Arial" w:hAnsi="Arial" w:cs="Arial"/>
        </w:rPr>
        <w:t>(Laothavorn et al., 2019). By maintaining objectivity, clarity, and respect throughout the review process, the study upholds ethical research standards while contributing meaningful and socially responsible insights to the evidence base informing public health and child development practice (Laothavorn et al., 2019).</w:t>
      </w:r>
    </w:p>
    <w:p w14:paraId="571E1112" w14:textId="1625777E" w:rsidR="00793875" w:rsidRPr="00793875" w:rsidRDefault="00793875" w:rsidP="00793875">
      <w:pPr>
        <w:pStyle w:val="Heading1"/>
      </w:pPr>
      <w:bookmarkStart w:id="42" w:name="_Toc219199514"/>
      <w:r>
        <w:t xml:space="preserve">3.11 </w:t>
      </w:r>
      <w:r w:rsidRPr="00793875">
        <w:t>Chapter Summary</w:t>
      </w:r>
      <w:bookmarkEnd w:id="42"/>
    </w:p>
    <w:p w14:paraId="3781CDE9" w14:textId="77777777" w:rsidR="00793875" w:rsidRPr="00793875" w:rsidRDefault="00793875" w:rsidP="00793875">
      <w:pPr>
        <w:spacing w:line="360" w:lineRule="auto"/>
        <w:jc w:val="both"/>
        <w:rPr>
          <w:rFonts w:ascii="Arial" w:hAnsi="Arial" w:cs="Arial"/>
        </w:rPr>
      </w:pPr>
      <w:r w:rsidRPr="00793875">
        <w:rPr>
          <w:rFonts w:ascii="Arial" w:hAnsi="Arial" w:cs="Arial"/>
        </w:rPr>
        <w:t xml:space="preserve">This chapter detailed the methodological framework guiding the systematic review of risk factors associated with developmental delays among children aged 5–12 years in England. Grounded primarily in a positivist philosophy with elements of critical realism, the study adopted a deductive approach and a PRISMA-informed systematic review design. Clear inclusion and exclusion criteria ensured relevance and rigour, while a comprehensive search strategy across multiple databases supported transparent evidence identification. Structured data extraction, validated quality appraisal tools, and narrative synthesis were employed to manage methodological heterogeneity and </w:t>
      </w:r>
      <w:r w:rsidRPr="00793875">
        <w:rPr>
          <w:rFonts w:ascii="Arial" w:hAnsi="Arial" w:cs="Arial"/>
        </w:rPr>
        <w:lastRenderedPageBreak/>
        <w:t>support robust interpretation. Ethical considerations, including transparency, accurate reporting, and sensitivity to child and socio-economic contexts, underpinned the review, ensuring academic integrity and responsible research practice throughout.</w:t>
      </w:r>
    </w:p>
    <w:p w14:paraId="0353B2ED" w14:textId="77777777" w:rsidR="00ED6DF0" w:rsidRDefault="00ED6DF0" w:rsidP="00ED6DF0">
      <w:pPr>
        <w:spacing w:line="360" w:lineRule="auto"/>
        <w:jc w:val="both"/>
        <w:rPr>
          <w:rFonts w:ascii="Arial" w:hAnsi="Arial" w:cs="Arial"/>
        </w:rPr>
      </w:pPr>
    </w:p>
    <w:p w14:paraId="3D03DB0E" w14:textId="77777777" w:rsidR="00ED6DF0" w:rsidRDefault="00ED6DF0" w:rsidP="00ED6DF0">
      <w:pPr>
        <w:spacing w:line="360" w:lineRule="auto"/>
        <w:jc w:val="both"/>
        <w:rPr>
          <w:rFonts w:ascii="Arial" w:hAnsi="Arial" w:cs="Arial"/>
        </w:rPr>
      </w:pPr>
    </w:p>
    <w:p w14:paraId="57F78154" w14:textId="77777777" w:rsidR="00ED6DF0" w:rsidRDefault="00ED6DF0" w:rsidP="00ED6DF0">
      <w:pPr>
        <w:spacing w:line="360" w:lineRule="auto"/>
        <w:jc w:val="both"/>
        <w:rPr>
          <w:rFonts w:ascii="Arial" w:hAnsi="Arial" w:cs="Arial"/>
        </w:rPr>
      </w:pPr>
    </w:p>
    <w:p w14:paraId="4D294ACE" w14:textId="77777777" w:rsidR="00ED6DF0" w:rsidRDefault="00ED6DF0" w:rsidP="00ED6DF0">
      <w:pPr>
        <w:spacing w:line="360" w:lineRule="auto"/>
        <w:jc w:val="both"/>
        <w:rPr>
          <w:rFonts w:ascii="Arial" w:hAnsi="Arial" w:cs="Arial"/>
        </w:rPr>
      </w:pPr>
    </w:p>
    <w:p w14:paraId="4427B221" w14:textId="77777777" w:rsidR="00ED6DF0" w:rsidRDefault="00ED6DF0" w:rsidP="00ED6DF0">
      <w:pPr>
        <w:spacing w:line="360" w:lineRule="auto"/>
        <w:jc w:val="both"/>
        <w:rPr>
          <w:rFonts w:ascii="Arial" w:hAnsi="Arial" w:cs="Arial"/>
        </w:rPr>
      </w:pPr>
    </w:p>
    <w:p w14:paraId="41E9680A" w14:textId="77777777" w:rsidR="00ED6DF0" w:rsidRDefault="00ED6DF0" w:rsidP="00ED6DF0">
      <w:pPr>
        <w:spacing w:line="360" w:lineRule="auto"/>
        <w:jc w:val="both"/>
        <w:rPr>
          <w:rFonts w:ascii="Arial" w:hAnsi="Arial" w:cs="Arial"/>
        </w:rPr>
      </w:pPr>
    </w:p>
    <w:p w14:paraId="32AC836F" w14:textId="77777777" w:rsidR="00ED6DF0" w:rsidRDefault="00ED6DF0" w:rsidP="00ED6DF0">
      <w:pPr>
        <w:spacing w:line="360" w:lineRule="auto"/>
        <w:jc w:val="both"/>
        <w:rPr>
          <w:rFonts w:ascii="Arial" w:hAnsi="Arial" w:cs="Arial"/>
        </w:rPr>
      </w:pPr>
    </w:p>
    <w:p w14:paraId="66F30BD8" w14:textId="77777777" w:rsidR="0073518C" w:rsidRDefault="0073518C" w:rsidP="00ED6DF0">
      <w:pPr>
        <w:spacing w:line="360" w:lineRule="auto"/>
        <w:jc w:val="both"/>
        <w:rPr>
          <w:rFonts w:ascii="Arial" w:hAnsi="Arial" w:cs="Arial"/>
        </w:rPr>
      </w:pPr>
    </w:p>
    <w:p w14:paraId="2AA039AC" w14:textId="77777777" w:rsidR="0073518C" w:rsidRDefault="0073518C" w:rsidP="00ED6DF0">
      <w:pPr>
        <w:spacing w:line="360" w:lineRule="auto"/>
        <w:jc w:val="both"/>
        <w:rPr>
          <w:rFonts w:ascii="Arial" w:hAnsi="Arial" w:cs="Arial"/>
        </w:rPr>
      </w:pPr>
    </w:p>
    <w:p w14:paraId="0E0DD4A6" w14:textId="77777777" w:rsidR="0073518C" w:rsidRDefault="0073518C" w:rsidP="00ED6DF0">
      <w:pPr>
        <w:spacing w:line="360" w:lineRule="auto"/>
        <w:jc w:val="both"/>
        <w:rPr>
          <w:rFonts w:ascii="Arial" w:hAnsi="Arial" w:cs="Arial"/>
        </w:rPr>
      </w:pPr>
    </w:p>
    <w:p w14:paraId="5D41D345" w14:textId="77777777" w:rsidR="0073518C" w:rsidRDefault="0073518C" w:rsidP="00ED6DF0">
      <w:pPr>
        <w:spacing w:line="360" w:lineRule="auto"/>
        <w:jc w:val="both"/>
        <w:rPr>
          <w:rFonts w:ascii="Arial" w:hAnsi="Arial" w:cs="Arial"/>
        </w:rPr>
      </w:pPr>
    </w:p>
    <w:p w14:paraId="3B8BE723" w14:textId="77777777" w:rsidR="0073518C" w:rsidRDefault="0073518C" w:rsidP="00ED6DF0">
      <w:pPr>
        <w:spacing w:line="360" w:lineRule="auto"/>
        <w:jc w:val="both"/>
        <w:rPr>
          <w:rFonts w:ascii="Arial" w:hAnsi="Arial" w:cs="Arial"/>
        </w:rPr>
      </w:pPr>
    </w:p>
    <w:p w14:paraId="34C5BEC8" w14:textId="77777777" w:rsidR="0073518C" w:rsidRDefault="0073518C" w:rsidP="00ED6DF0">
      <w:pPr>
        <w:spacing w:line="360" w:lineRule="auto"/>
        <w:jc w:val="both"/>
        <w:rPr>
          <w:rFonts w:ascii="Arial" w:hAnsi="Arial" w:cs="Arial"/>
        </w:rPr>
      </w:pPr>
    </w:p>
    <w:p w14:paraId="7D513BE6" w14:textId="77777777" w:rsidR="0073518C" w:rsidRDefault="0073518C" w:rsidP="00ED6DF0">
      <w:pPr>
        <w:spacing w:line="360" w:lineRule="auto"/>
        <w:jc w:val="both"/>
        <w:rPr>
          <w:rFonts w:ascii="Arial" w:hAnsi="Arial" w:cs="Arial"/>
        </w:rPr>
      </w:pPr>
    </w:p>
    <w:p w14:paraId="17348AB4" w14:textId="77777777" w:rsidR="0073518C" w:rsidRDefault="0073518C" w:rsidP="00ED6DF0">
      <w:pPr>
        <w:spacing w:line="360" w:lineRule="auto"/>
        <w:jc w:val="both"/>
        <w:rPr>
          <w:rFonts w:ascii="Arial" w:hAnsi="Arial" w:cs="Arial"/>
        </w:rPr>
      </w:pPr>
    </w:p>
    <w:p w14:paraId="1BDB3702" w14:textId="77777777" w:rsidR="0073518C" w:rsidRDefault="0073518C" w:rsidP="00ED6DF0">
      <w:pPr>
        <w:spacing w:line="360" w:lineRule="auto"/>
        <w:jc w:val="both"/>
        <w:rPr>
          <w:rFonts w:ascii="Arial" w:hAnsi="Arial" w:cs="Arial"/>
        </w:rPr>
      </w:pPr>
    </w:p>
    <w:p w14:paraId="5333F177" w14:textId="77777777" w:rsidR="0073518C" w:rsidRDefault="0073518C" w:rsidP="00ED6DF0">
      <w:pPr>
        <w:spacing w:line="360" w:lineRule="auto"/>
        <w:jc w:val="both"/>
        <w:rPr>
          <w:rFonts w:ascii="Arial" w:hAnsi="Arial" w:cs="Arial"/>
        </w:rPr>
      </w:pPr>
    </w:p>
    <w:p w14:paraId="17B40DE9" w14:textId="77777777" w:rsidR="0073518C" w:rsidRDefault="0073518C" w:rsidP="00ED6DF0">
      <w:pPr>
        <w:spacing w:line="360" w:lineRule="auto"/>
        <w:jc w:val="both"/>
        <w:rPr>
          <w:rFonts w:ascii="Arial" w:hAnsi="Arial" w:cs="Arial"/>
        </w:rPr>
      </w:pPr>
    </w:p>
    <w:p w14:paraId="331BAF19" w14:textId="77777777" w:rsidR="0073518C" w:rsidRDefault="0073518C" w:rsidP="00ED6DF0">
      <w:pPr>
        <w:spacing w:line="360" w:lineRule="auto"/>
        <w:jc w:val="both"/>
        <w:rPr>
          <w:rFonts w:ascii="Arial" w:hAnsi="Arial" w:cs="Arial"/>
        </w:rPr>
      </w:pPr>
    </w:p>
    <w:p w14:paraId="2A88329B" w14:textId="77777777" w:rsidR="0073518C" w:rsidRDefault="0073518C" w:rsidP="00ED6DF0">
      <w:pPr>
        <w:spacing w:line="360" w:lineRule="auto"/>
        <w:jc w:val="both"/>
        <w:rPr>
          <w:rFonts w:ascii="Arial" w:hAnsi="Arial" w:cs="Arial"/>
        </w:rPr>
      </w:pPr>
    </w:p>
    <w:p w14:paraId="1F3B00E2" w14:textId="77777777" w:rsidR="00ED6DF0" w:rsidRPr="00EF0D66" w:rsidRDefault="00ED6DF0" w:rsidP="00ED6DF0">
      <w:pPr>
        <w:pStyle w:val="Heading1"/>
      </w:pPr>
      <w:bookmarkStart w:id="43" w:name="_Toc219199515"/>
      <w:r w:rsidRPr="00EF0D66">
        <w:lastRenderedPageBreak/>
        <w:t>Chapter 4: Results</w:t>
      </w:r>
      <w:bookmarkEnd w:id="43"/>
    </w:p>
    <w:p w14:paraId="359DA37C" w14:textId="77777777" w:rsidR="00ED6DF0" w:rsidRPr="00EF0D66" w:rsidRDefault="00ED6DF0" w:rsidP="00ED6DF0">
      <w:pPr>
        <w:pStyle w:val="Heading1"/>
      </w:pPr>
      <w:bookmarkStart w:id="44" w:name="_Toc219199516"/>
      <w:r w:rsidRPr="00EF0D66">
        <w:t>4.1 Introduction</w:t>
      </w:r>
      <w:bookmarkEnd w:id="44"/>
      <w:r w:rsidRPr="00EF0D66">
        <w:t xml:space="preserve"> </w:t>
      </w:r>
    </w:p>
    <w:p w14:paraId="7B95AD86" w14:textId="77777777" w:rsidR="00ED6DF0" w:rsidRPr="00EF0D66" w:rsidRDefault="00ED6DF0" w:rsidP="00ED6DF0">
      <w:pPr>
        <w:spacing w:line="360" w:lineRule="auto"/>
        <w:jc w:val="both"/>
        <w:rPr>
          <w:rFonts w:ascii="Arial" w:hAnsi="Arial" w:cs="Arial"/>
        </w:rPr>
      </w:pPr>
      <w:r w:rsidRPr="00EF0D66">
        <w:rPr>
          <w:rFonts w:ascii="Arial" w:hAnsi="Arial" w:cs="Arial"/>
        </w:rPr>
        <w:t>This chapter presents the findings of the systematic review exploring risk factors associated with developmental delays among children aged 5–12 years in England. The results are structured to reflect the systematic selection and synthesis of evidence in line with the review objectives. An overview of the study selection process is first provided using the PRISMA framework, followed by a summary of the characteristics of the included studies. The chapter then synthesises key findings relating to biological, environmental, and socio-economic risk factors, as well as reported intervention outcomes. This structured presentation ensures transparency and provides a clear foundation for the discussion of implications for public health policy and practice in the subsequent chapter.</w:t>
      </w:r>
    </w:p>
    <w:p w14:paraId="382EF9F2" w14:textId="77777777" w:rsidR="00ED6DF0" w:rsidRPr="00EF0D66" w:rsidRDefault="00ED6DF0" w:rsidP="00ED6DF0">
      <w:pPr>
        <w:pStyle w:val="Heading1"/>
      </w:pPr>
      <w:bookmarkStart w:id="45" w:name="_Toc219199517"/>
      <w:r w:rsidRPr="00EF0D66">
        <w:t>4.2 Study Selection Process Using PRISMA Guidelines</w:t>
      </w:r>
      <w:bookmarkEnd w:id="45"/>
      <w:r w:rsidRPr="00EF0D66">
        <w:t xml:space="preserve"> </w:t>
      </w:r>
    </w:p>
    <w:p w14:paraId="7D3793F3" w14:textId="77777777" w:rsidR="00ED6DF0" w:rsidRPr="00EF0D66" w:rsidRDefault="00ED6DF0" w:rsidP="00ED6DF0">
      <w:pPr>
        <w:spacing w:line="360" w:lineRule="auto"/>
        <w:jc w:val="both"/>
        <w:rPr>
          <w:rFonts w:ascii="Arial" w:hAnsi="Arial" w:cs="Arial"/>
        </w:rPr>
      </w:pPr>
      <w:r w:rsidRPr="00EF0D66">
        <w:rPr>
          <w:rFonts w:ascii="Arial" w:hAnsi="Arial" w:cs="Arial"/>
        </w:rPr>
        <w:t>The study selection process followed the Preferred Reporting Items for Systematic Reviews and Meta-Analyses (PRISMA) guidelines to ensure transparency and methodological rigour. The initial database searches across PubMed, PsycINFO, Google Scholar, and Web of Science yielded a substantial number of records. After the removal of duplicate entries using reference management software, titles and abstracts were screened against the predefined inclusion and exclusion criteria</w:t>
      </w:r>
      <w:r>
        <w:rPr>
          <w:rFonts w:ascii="Arial" w:hAnsi="Arial" w:cs="Arial"/>
        </w:rPr>
        <w:t xml:space="preserve"> </w:t>
      </w:r>
      <w:r w:rsidRPr="007237AE">
        <w:rPr>
          <w:rFonts w:ascii="Arial" w:hAnsi="Arial" w:cs="Arial"/>
        </w:rPr>
        <w:t>(Innocenti et al., 2022)</w:t>
      </w:r>
      <w:r w:rsidRPr="00EF0D66">
        <w:rPr>
          <w:rFonts w:ascii="Arial" w:hAnsi="Arial" w:cs="Arial"/>
        </w:rPr>
        <w:t>. Studies that clearly did not focus on children aged 5–12 years, were not conducted in England, or did not examine developmental delays or associated risk factors were excluded at this stage.</w:t>
      </w:r>
    </w:p>
    <w:p w14:paraId="5833C5B7" w14:textId="77777777" w:rsidR="00ED6DF0" w:rsidRDefault="00ED6DF0" w:rsidP="00ED6DF0">
      <w:pPr>
        <w:spacing w:line="360" w:lineRule="auto"/>
        <w:jc w:val="both"/>
        <w:rPr>
          <w:rFonts w:ascii="Arial" w:hAnsi="Arial" w:cs="Arial"/>
        </w:rPr>
      </w:pPr>
      <w:r w:rsidRPr="00EF0D66">
        <w:rPr>
          <w:rFonts w:ascii="Arial" w:hAnsi="Arial" w:cs="Arial"/>
        </w:rPr>
        <w:t xml:space="preserve">Full-text screening was subsequently conducted for articles that met the initial eligibility criteria. Following this detailed assessment, a total of 10 peer-reviewed studies were selected for inclusion in the final synthesis. These studies met all inclusion criteria, provided sufficient methodological detail for quality appraisal, and addressed biological, environmental, and/or socio-economic risk factors relevant to developmental delays. The final sample of studies represented a range of research designs, including quantitative, qualitative, and mixed-methods approaches. The PRISMA-guided process ensured that the evidence base used for analysis was </w:t>
      </w:r>
      <w:r w:rsidRPr="00EF0D66">
        <w:rPr>
          <w:rFonts w:ascii="Arial" w:hAnsi="Arial" w:cs="Arial"/>
        </w:rPr>
        <w:lastRenderedPageBreak/>
        <w:t>comprehensive, relevant, and systematically derived, thereby strengthening the credibility of the review’s findings</w:t>
      </w:r>
      <w:r>
        <w:rPr>
          <w:rFonts w:ascii="Arial" w:hAnsi="Arial" w:cs="Arial"/>
        </w:rPr>
        <w:t xml:space="preserve"> </w:t>
      </w:r>
      <w:r w:rsidRPr="007237AE">
        <w:rPr>
          <w:rFonts w:ascii="Arial" w:hAnsi="Arial" w:cs="Arial"/>
        </w:rPr>
        <w:t>(Innocenti et al., 2022)</w:t>
      </w:r>
      <w:r w:rsidRPr="00EF0D66">
        <w:rPr>
          <w:rFonts w:ascii="Arial" w:hAnsi="Arial" w:cs="Arial"/>
        </w:rPr>
        <w:t>.</w:t>
      </w:r>
    </w:p>
    <w:p w14:paraId="5534E1CF"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44BC19AF" wp14:editId="7F321574">
                <wp:simplePos x="0" y="0"/>
                <wp:positionH relativeFrom="column">
                  <wp:posOffset>7620</wp:posOffset>
                </wp:positionH>
                <wp:positionV relativeFrom="paragraph">
                  <wp:posOffset>7620</wp:posOffset>
                </wp:positionV>
                <wp:extent cx="381000" cy="998220"/>
                <wp:effectExtent l="0" t="0" r="38100" b="49530"/>
                <wp:wrapNone/>
                <wp:docPr id="34868098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99822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29C71A45" w14:textId="77777777" w:rsidR="00ED6DF0" w:rsidRPr="001F45B5" w:rsidRDefault="00ED6DF0" w:rsidP="00ED6DF0">
                            <w:r w:rsidRPr="001F45B5">
                              <w:t>Identificatio</w:t>
                            </w:r>
                            <w:r>
                              <w:t>n</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BC19AF" id="_x0000_t202" coordsize="21600,21600" o:spt="202" path="m,l,21600r21600,l21600,xe">
                <v:stroke joinstyle="miter"/>
                <v:path gradientshapeok="t" o:connecttype="rect"/>
              </v:shapetype>
              <v:shape id="Text Box 30" o:spid="_x0000_s1026" type="#_x0000_t202" style="position:absolute;left:0;text-align:left;margin-left:.6pt;margin-top:.6pt;width:30pt;height:7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" fillcolor="#8dd873 [1945]" strokecolor="#8dd873 [1945]" strokeweight="1pt">
                <v:fill color2="#d9f2d0 [665]" angle="135" focus="50%" type="gradient"/>
                <v:shadow on="t" color="#265317 [1609]" opacity=".5" offset="1pt"/>
                <v:textbox style="layout-flow:vertical;mso-layout-flow-alt:bottom-to-top">
                  <w:txbxContent>
                    <w:p w14:paraId="29C71A45" w14:textId="77777777" w:rsidR="00ED6DF0" w:rsidRPr="001F45B5" w:rsidRDefault="00ED6DF0" w:rsidP="00ED6DF0">
                      <w:r w:rsidRPr="001F45B5">
                        <w:t>Identificatio</w:t>
                      </w:r>
                      <w:r>
                        <w:t>n</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3F6DFCE6" wp14:editId="798BE3D6">
                <wp:simplePos x="0" y="0"/>
                <wp:positionH relativeFrom="column">
                  <wp:posOffset>784860</wp:posOffset>
                </wp:positionH>
                <wp:positionV relativeFrom="paragraph">
                  <wp:posOffset>-1</wp:posOffset>
                </wp:positionV>
                <wp:extent cx="3436620" cy="1143635"/>
                <wp:effectExtent l="0" t="0" r="30480" b="56515"/>
                <wp:wrapNone/>
                <wp:docPr id="94351533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1143635"/>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12B7CD2F" w14:textId="77777777" w:rsidR="00ED6DF0" w:rsidRPr="00842995" w:rsidRDefault="00ED6DF0" w:rsidP="00ED6DF0">
                            <w:pPr>
                              <w:spacing w:line="240" w:lineRule="auto"/>
                              <w:jc w:val="center"/>
                              <w:rPr>
                                <w:rFonts w:eastAsia="Aptos" w:hAnsi="Aptos" w:cs="Aptos"/>
                                <w:color w:val="000000" w:themeColor="text1"/>
                                <w:kern w:val="0"/>
                                <w:sz w:val="22"/>
                                <w:szCs w:val="22"/>
                                <w:lang w:val="en-US"/>
                                <w14:ligatures w14:val="none"/>
                              </w:rPr>
                            </w:pPr>
                            <w:r w:rsidRPr="00842995">
                              <w:rPr>
                                <w:rFonts w:eastAsia="Aptos" w:hAnsi="Aptos" w:cs="Aptos"/>
                                <w:color w:val="000000" w:themeColor="text1"/>
                                <w:sz w:val="22"/>
                                <w:szCs w:val="22"/>
                                <w:lang w:val="en-US"/>
                              </w:rPr>
                              <w:t>Systematic search findings:</w:t>
                            </w:r>
                            <w:r w:rsidRPr="00842995">
                              <w:rPr>
                                <w:rFonts w:ascii="Aptos" w:hAnsi="Aptos"/>
                                <w:color w:val="000000" w:themeColor="text1"/>
                                <w:sz w:val="22"/>
                                <w:szCs w:val="22"/>
                                <w:lang w:val="en-US"/>
                              </w:rPr>
                              <w:t xml:space="preserve"> (n=12</w:t>
                            </w:r>
                            <w:r>
                              <w:rPr>
                                <w:rFonts w:ascii="Aptos" w:hAnsi="Aptos"/>
                                <w:color w:val="000000" w:themeColor="text1"/>
                                <w:sz w:val="22"/>
                                <w:szCs w:val="22"/>
                                <w:lang w:val="en-US"/>
                              </w:rPr>
                              <w:t>0</w:t>
                            </w:r>
                            <w:r w:rsidRPr="00842995">
                              <w:rPr>
                                <w:rFonts w:ascii="Aptos" w:hAnsi="Aptos"/>
                                <w:color w:val="000000" w:themeColor="text1"/>
                                <w:sz w:val="22"/>
                                <w:szCs w:val="22"/>
                                <w:lang w:val="en-US"/>
                              </w:rPr>
                              <w:t>)</w:t>
                            </w:r>
                          </w:p>
                          <w:p w14:paraId="304741BE" w14:textId="77777777" w:rsidR="00ED6DF0" w:rsidRPr="00842995" w:rsidRDefault="00ED6DF0" w:rsidP="00ED6DF0">
                            <w:pPr>
                              <w:spacing w:line="240" w:lineRule="auto"/>
                              <w:jc w:val="center"/>
                              <w:rPr>
                                <w:rFonts w:eastAsia="Aptos" w:hAnsi="Aptos" w:cs="Aptos"/>
                                <w:color w:val="000000" w:themeColor="text1"/>
                                <w:sz w:val="22"/>
                                <w:szCs w:val="22"/>
                                <w:lang w:val="en-US"/>
                              </w:rPr>
                            </w:pPr>
                            <w:r w:rsidRPr="00842995">
                              <w:rPr>
                                <w:rFonts w:eastAsia="Aptos" w:hAnsi="Aptos" w:cs="Aptos"/>
                                <w:color w:val="000000" w:themeColor="text1"/>
                                <w:sz w:val="22"/>
                                <w:szCs w:val="22"/>
                                <w:lang w:val="en-US"/>
                              </w:rPr>
                              <w:t>PubMed (n=6</w:t>
                            </w:r>
                            <w:r>
                              <w:rPr>
                                <w:rFonts w:eastAsia="Aptos" w:hAnsi="Aptos" w:cs="Aptos"/>
                                <w:color w:val="000000" w:themeColor="text1"/>
                                <w:sz w:val="22"/>
                                <w:szCs w:val="22"/>
                                <w:lang w:val="en-US"/>
                              </w:rPr>
                              <w:t>3</w:t>
                            </w:r>
                            <w:r w:rsidRPr="00842995">
                              <w:rPr>
                                <w:rFonts w:eastAsia="Aptos" w:hAnsi="Aptos" w:cs="Aptos"/>
                                <w:color w:val="000000" w:themeColor="text1"/>
                                <w:sz w:val="22"/>
                                <w:szCs w:val="22"/>
                                <w:lang w:val="en-US"/>
                              </w:rPr>
                              <w:t>)</w:t>
                            </w:r>
                          </w:p>
                          <w:p w14:paraId="38B1DC4F" w14:textId="77777777" w:rsidR="00ED6DF0" w:rsidRPr="00842995" w:rsidRDefault="00ED6DF0" w:rsidP="00ED6DF0">
                            <w:pPr>
                              <w:spacing w:line="240" w:lineRule="auto"/>
                              <w:jc w:val="center"/>
                              <w:rPr>
                                <w:rFonts w:eastAsia="Aptos" w:hAnsi="Aptos" w:cs="Aptos"/>
                                <w:color w:val="000000" w:themeColor="text1"/>
                                <w:sz w:val="22"/>
                                <w:szCs w:val="22"/>
                                <w:lang w:val="en-US"/>
                              </w:rPr>
                            </w:pPr>
                            <w:r w:rsidRPr="00EF0D66">
                              <w:rPr>
                                <w:rFonts w:ascii="Arial" w:hAnsi="Arial" w:cs="Arial"/>
                                <w:sz w:val="20"/>
                                <w:szCs w:val="20"/>
                              </w:rPr>
                              <w:t xml:space="preserve">Web of Science </w:t>
                            </w:r>
                            <w:r w:rsidRPr="007C4046">
                              <w:rPr>
                                <w:rFonts w:eastAsia="Aptos" w:hAnsi="Aptos" w:cs="Aptos"/>
                                <w:color w:val="000000" w:themeColor="text1"/>
                                <w:sz w:val="18"/>
                                <w:szCs w:val="18"/>
                                <w:lang w:val="en-US"/>
                              </w:rPr>
                              <w:t>(</w:t>
                            </w:r>
                            <w:r w:rsidRPr="00842995">
                              <w:rPr>
                                <w:rFonts w:eastAsia="Aptos" w:hAnsi="Aptos" w:cs="Aptos"/>
                                <w:color w:val="000000" w:themeColor="text1"/>
                                <w:sz w:val="22"/>
                                <w:szCs w:val="22"/>
                                <w:lang w:val="en-US"/>
                              </w:rPr>
                              <w:t>n =</w:t>
                            </w:r>
                            <w:r>
                              <w:rPr>
                                <w:rFonts w:eastAsia="Aptos" w:hAnsi="Aptos" w:cs="Aptos"/>
                                <w:color w:val="000000" w:themeColor="text1"/>
                                <w:sz w:val="22"/>
                                <w:szCs w:val="22"/>
                                <w:lang w:val="en-US"/>
                              </w:rPr>
                              <w:t>38</w:t>
                            </w:r>
                            <w:r w:rsidRPr="00842995">
                              <w:rPr>
                                <w:rFonts w:eastAsia="Aptos" w:hAnsi="Aptos" w:cs="Aptos"/>
                                <w:color w:val="000000" w:themeColor="text1"/>
                                <w:sz w:val="22"/>
                                <w:szCs w:val="22"/>
                                <w:lang w:val="en-US"/>
                              </w:rPr>
                              <w:t>)</w:t>
                            </w:r>
                          </w:p>
                          <w:p w14:paraId="1A5D84B7" w14:textId="77777777" w:rsidR="00ED6DF0" w:rsidRPr="00842995" w:rsidRDefault="00ED6DF0" w:rsidP="00ED6DF0">
                            <w:pPr>
                              <w:spacing w:line="240" w:lineRule="auto"/>
                              <w:jc w:val="center"/>
                              <w:rPr>
                                <w:rFonts w:eastAsia="Aptos" w:hAnsi="Aptos" w:cs="Aptos"/>
                                <w:color w:val="000000" w:themeColor="text1"/>
                                <w:sz w:val="22"/>
                                <w:szCs w:val="22"/>
                                <w:lang w:val="en-US"/>
                              </w:rPr>
                            </w:pPr>
                            <w:r w:rsidRPr="00842995">
                              <w:rPr>
                                <w:rFonts w:eastAsia="Aptos" w:hAnsi="Aptos" w:cs="Aptos"/>
                                <w:color w:val="000000" w:themeColor="text1"/>
                                <w:sz w:val="22"/>
                                <w:szCs w:val="22"/>
                                <w:lang w:val="en-US"/>
                              </w:rPr>
                              <w:t xml:space="preserve">Google Scholar (n= </w:t>
                            </w:r>
                            <w:r>
                              <w:rPr>
                                <w:rFonts w:eastAsia="Aptos" w:hAnsi="Aptos" w:cs="Aptos"/>
                                <w:color w:val="000000" w:themeColor="text1"/>
                                <w:sz w:val="22"/>
                                <w:szCs w:val="22"/>
                                <w:lang w:val="en-US"/>
                              </w:rPr>
                              <w:t>19</w:t>
                            </w:r>
                            <w:r w:rsidRPr="00842995">
                              <w:rPr>
                                <w:rFonts w:eastAsia="Aptos" w:hAnsi="Aptos" w:cs="Aptos"/>
                                <w:color w:val="000000" w:themeColor="text1"/>
                                <w:sz w:val="22"/>
                                <w:szCs w:val="22"/>
                                <w:lang w:val="en-US"/>
                              </w:rPr>
                              <w:t xml:space="preserve">) </w:t>
                            </w:r>
                          </w:p>
                          <w:p w14:paraId="10B914EF" w14:textId="77777777" w:rsidR="00ED6DF0" w:rsidRPr="00842995" w:rsidRDefault="00ED6DF0" w:rsidP="00ED6DF0">
                            <w:pPr>
                              <w:spacing w:line="240" w:lineRule="auto"/>
                              <w:jc w:val="center"/>
                              <w:rPr>
                                <w:color w:val="000000" w:themeColor="text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DFCE6" id="Text Box 29" o:spid="_x0000_s1027" type="#_x0000_t202" style="position:absolute;left:0;text-align:left;margin-left:61.8pt;margin-top:0;width:270.6pt;height:9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" fillcolor="white [3201]" strokecolor="#d86dcb [1944]" strokeweight="1pt">
                <v:fill color2="#e59edc [1304]" focus="100%" type="gradient"/>
                <v:shadow on="t" color="#4f1548 [1608]" opacity=".5" offset="1pt"/>
                <v:textbox>
                  <w:txbxContent>
                    <w:p w14:paraId="12B7CD2F" w14:textId="77777777" w:rsidR="00ED6DF0" w:rsidRPr="00842995" w:rsidRDefault="00ED6DF0" w:rsidP="00ED6DF0">
                      <w:pPr>
                        <w:spacing w:line="240" w:lineRule="auto"/>
                        <w:jc w:val="center"/>
                        <w:rPr>
                          <w:rFonts w:eastAsia="Aptos" w:hAnsi="Aptos" w:cs="Aptos"/>
                          <w:color w:val="000000" w:themeColor="text1"/>
                          <w:kern w:val="0"/>
                          <w:sz w:val="22"/>
                          <w:szCs w:val="22"/>
                          <w:lang w:val="en-US"/>
                          <w14:ligatures w14:val="none"/>
                        </w:rPr>
                      </w:pPr>
                      <w:r w:rsidRPr="00842995">
                        <w:rPr>
                          <w:rFonts w:eastAsia="Aptos" w:hAnsi="Aptos" w:cs="Aptos"/>
                          <w:color w:val="000000" w:themeColor="text1"/>
                          <w:sz w:val="22"/>
                          <w:szCs w:val="22"/>
                          <w:lang w:val="en-US"/>
                        </w:rPr>
                        <w:t>Systematic search findings:</w:t>
                      </w:r>
                      <w:r w:rsidRPr="00842995">
                        <w:rPr>
                          <w:rFonts w:ascii="Aptos" w:hAnsi="Aptos"/>
                          <w:color w:val="000000" w:themeColor="text1"/>
                          <w:sz w:val="22"/>
                          <w:szCs w:val="22"/>
                          <w:lang w:val="en-US"/>
                        </w:rPr>
                        <w:t xml:space="preserve"> (n=12</w:t>
                      </w:r>
                      <w:r>
                        <w:rPr>
                          <w:rFonts w:ascii="Aptos" w:hAnsi="Aptos"/>
                          <w:color w:val="000000" w:themeColor="text1"/>
                          <w:sz w:val="22"/>
                          <w:szCs w:val="22"/>
                          <w:lang w:val="en-US"/>
                        </w:rPr>
                        <w:t>0</w:t>
                      </w:r>
                      <w:r w:rsidRPr="00842995">
                        <w:rPr>
                          <w:rFonts w:ascii="Aptos" w:hAnsi="Aptos"/>
                          <w:color w:val="000000" w:themeColor="text1"/>
                          <w:sz w:val="22"/>
                          <w:szCs w:val="22"/>
                          <w:lang w:val="en-US"/>
                        </w:rPr>
                        <w:t>)</w:t>
                      </w:r>
                    </w:p>
                    <w:p w14:paraId="304741BE" w14:textId="77777777" w:rsidR="00ED6DF0" w:rsidRPr="00842995" w:rsidRDefault="00ED6DF0" w:rsidP="00ED6DF0">
                      <w:pPr>
                        <w:spacing w:line="240" w:lineRule="auto"/>
                        <w:jc w:val="center"/>
                        <w:rPr>
                          <w:rFonts w:eastAsia="Aptos" w:hAnsi="Aptos" w:cs="Aptos"/>
                          <w:color w:val="000000" w:themeColor="text1"/>
                          <w:sz w:val="22"/>
                          <w:szCs w:val="22"/>
                          <w:lang w:val="en-US"/>
                        </w:rPr>
                      </w:pPr>
                      <w:r w:rsidRPr="00842995">
                        <w:rPr>
                          <w:rFonts w:eastAsia="Aptos" w:hAnsi="Aptos" w:cs="Aptos"/>
                          <w:color w:val="000000" w:themeColor="text1"/>
                          <w:sz w:val="22"/>
                          <w:szCs w:val="22"/>
                          <w:lang w:val="en-US"/>
                        </w:rPr>
                        <w:t>PubMed (n=6</w:t>
                      </w:r>
                      <w:r>
                        <w:rPr>
                          <w:rFonts w:eastAsia="Aptos" w:hAnsi="Aptos" w:cs="Aptos"/>
                          <w:color w:val="000000" w:themeColor="text1"/>
                          <w:sz w:val="22"/>
                          <w:szCs w:val="22"/>
                          <w:lang w:val="en-US"/>
                        </w:rPr>
                        <w:t>3</w:t>
                      </w:r>
                      <w:r w:rsidRPr="00842995">
                        <w:rPr>
                          <w:rFonts w:eastAsia="Aptos" w:hAnsi="Aptos" w:cs="Aptos"/>
                          <w:color w:val="000000" w:themeColor="text1"/>
                          <w:sz w:val="22"/>
                          <w:szCs w:val="22"/>
                          <w:lang w:val="en-US"/>
                        </w:rPr>
                        <w:t>)</w:t>
                      </w:r>
                    </w:p>
                    <w:p w14:paraId="38B1DC4F" w14:textId="77777777" w:rsidR="00ED6DF0" w:rsidRPr="00842995" w:rsidRDefault="00ED6DF0" w:rsidP="00ED6DF0">
                      <w:pPr>
                        <w:spacing w:line="240" w:lineRule="auto"/>
                        <w:jc w:val="center"/>
                        <w:rPr>
                          <w:rFonts w:eastAsia="Aptos" w:hAnsi="Aptos" w:cs="Aptos"/>
                          <w:color w:val="000000" w:themeColor="text1"/>
                          <w:sz w:val="22"/>
                          <w:szCs w:val="22"/>
                          <w:lang w:val="en-US"/>
                        </w:rPr>
                      </w:pPr>
                      <w:r w:rsidRPr="00EF0D66">
                        <w:rPr>
                          <w:rFonts w:ascii="Arial" w:hAnsi="Arial" w:cs="Arial"/>
                          <w:sz w:val="20"/>
                          <w:szCs w:val="20"/>
                        </w:rPr>
                        <w:t xml:space="preserve">Web of Science </w:t>
                      </w:r>
                      <w:r w:rsidRPr="007C4046">
                        <w:rPr>
                          <w:rFonts w:eastAsia="Aptos" w:hAnsi="Aptos" w:cs="Aptos"/>
                          <w:color w:val="000000" w:themeColor="text1"/>
                          <w:sz w:val="18"/>
                          <w:szCs w:val="18"/>
                          <w:lang w:val="en-US"/>
                        </w:rPr>
                        <w:t>(</w:t>
                      </w:r>
                      <w:r w:rsidRPr="00842995">
                        <w:rPr>
                          <w:rFonts w:eastAsia="Aptos" w:hAnsi="Aptos" w:cs="Aptos"/>
                          <w:color w:val="000000" w:themeColor="text1"/>
                          <w:sz w:val="22"/>
                          <w:szCs w:val="22"/>
                          <w:lang w:val="en-US"/>
                        </w:rPr>
                        <w:t>n =</w:t>
                      </w:r>
                      <w:r>
                        <w:rPr>
                          <w:rFonts w:eastAsia="Aptos" w:hAnsi="Aptos" w:cs="Aptos"/>
                          <w:color w:val="000000" w:themeColor="text1"/>
                          <w:sz w:val="22"/>
                          <w:szCs w:val="22"/>
                          <w:lang w:val="en-US"/>
                        </w:rPr>
                        <w:t>38</w:t>
                      </w:r>
                      <w:r w:rsidRPr="00842995">
                        <w:rPr>
                          <w:rFonts w:eastAsia="Aptos" w:hAnsi="Aptos" w:cs="Aptos"/>
                          <w:color w:val="000000" w:themeColor="text1"/>
                          <w:sz w:val="22"/>
                          <w:szCs w:val="22"/>
                          <w:lang w:val="en-US"/>
                        </w:rPr>
                        <w:t>)</w:t>
                      </w:r>
                    </w:p>
                    <w:p w14:paraId="1A5D84B7" w14:textId="77777777" w:rsidR="00ED6DF0" w:rsidRPr="00842995" w:rsidRDefault="00ED6DF0" w:rsidP="00ED6DF0">
                      <w:pPr>
                        <w:spacing w:line="240" w:lineRule="auto"/>
                        <w:jc w:val="center"/>
                        <w:rPr>
                          <w:rFonts w:eastAsia="Aptos" w:hAnsi="Aptos" w:cs="Aptos"/>
                          <w:color w:val="000000" w:themeColor="text1"/>
                          <w:sz w:val="22"/>
                          <w:szCs w:val="22"/>
                          <w:lang w:val="en-US"/>
                        </w:rPr>
                      </w:pPr>
                      <w:r w:rsidRPr="00842995">
                        <w:rPr>
                          <w:rFonts w:eastAsia="Aptos" w:hAnsi="Aptos" w:cs="Aptos"/>
                          <w:color w:val="000000" w:themeColor="text1"/>
                          <w:sz w:val="22"/>
                          <w:szCs w:val="22"/>
                          <w:lang w:val="en-US"/>
                        </w:rPr>
                        <w:t xml:space="preserve">Google Scholar (n= </w:t>
                      </w:r>
                      <w:r>
                        <w:rPr>
                          <w:rFonts w:eastAsia="Aptos" w:hAnsi="Aptos" w:cs="Aptos"/>
                          <w:color w:val="000000" w:themeColor="text1"/>
                          <w:sz w:val="22"/>
                          <w:szCs w:val="22"/>
                          <w:lang w:val="en-US"/>
                        </w:rPr>
                        <w:t>19</w:t>
                      </w:r>
                      <w:r w:rsidRPr="00842995">
                        <w:rPr>
                          <w:rFonts w:eastAsia="Aptos" w:hAnsi="Aptos" w:cs="Aptos"/>
                          <w:color w:val="000000" w:themeColor="text1"/>
                          <w:sz w:val="22"/>
                          <w:szCs w:val="22"/>
                          <w:lang w:val="en-US"/>
                        </w:rPr>
                        <w:t xml:space="preserve">) </w:t>
                      </w:r>
                    </w:p>
                    <w:p w14:paraId="10B914EF" w14:textId="77777777" w:rsidR="00ED6DF0" w:rsidRPr="00842995" w:rsidRDefault="00ED6DF0" w:rsidP="00ED6DF0">
                      <w:pPr>
                        <w:spacing w:line="240" w:lineRule="auto"/>
                        <w:jc w:val="center"/>
                        <w:rPr>
                          <w:color w:val="000000" w:themeColor="text1"/>
                        </w:rPr>
                      </w:pPr>
                    </w:p>
                  </w:txbxContent>
                </v:textbox>
              </v:shape>
            </w:pict>
          </mc:Fallback>
        </mc:AlternateContent>
      </w:r>
    </w:p>
    <w:p w14:paraId="68C7A45A" w14:textId="77777777" w:rsidR="00ED6DF0" w:rsidRPr="001F45B5" w:rsidRDefault="00ED6DF0" w:rsidP="00ED6DF0">
      <w:pPr>
        <w:spacing w:line="360" w:lineRule="auto"/>
        <w:jc w:val="both"/>
        <w:rPr>
          <w:rFonts w:ascii="Arial" w:hAnsi="Arial" w:cs="Arial"/>
          <w:color w:val="000000" w:themeColor="text1"/>
        </w:rPr>
      </w:pPr>
    </w:p>
    <w:p w14:paraId="4DF90EF3" w14:textId="77777777" w:rsidR="00ED6DF0" w:rsidRPr="001F45B5" w:rsidRDefault="00ED6DF0" w:rsidP="00ED6DF0">
      <w:pPr>
        <w:spacing w:line="360" w:lineRule="auto"/>
        <w:jc w:val="both"/>
        <w:rPr>
          <w:rFonts w:ascii="Arial" w:hAnsi="Arial" w:cs="Arial"/>
          <w:color w:val="000000" w:themeColor="text1"/>
        </w:rPr>
      </w:pPr>
    </w:p>
    <w:p w14:paraId="66BF5C96"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0288" behindDoc="0" locked="0" layoutInCell="1" allowOverlap="1" wp14:anchorId="06B0723F" wp14:editId="3A1B84C6">
                <wp:simplePos x="0" y="0"/>
                <wp:positionH relativeFrom="column">
                  <wp:posOffset>762000</wp:posOffset>
                </wp:positionH>
                <wp:positionV relativeFrom="paragraph">
                  <wp:posOffset>357505</wp:posOffset>
                </wp:positionV>
                <wp:extent cx="3436620" cy="502920"/>
                <wp:effectExtent l="0" t="0" r="30480" b="49530"/>
                <wp:wrapNone/>
                <wp:docPr id="80902161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502920"/>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613F79D0" w14:textId="72ED54A4" w:rsidR="00ED6DF0" w:rsidRPr="00741B02" w:rsidRDefault="00741B02" w:rsidP="00741B02">
                            <w:pPr>
                              <w:jc w:val="center"/>
                              <w:rPr>
                                <w:rFonts w:eastAsia="Aptos" w:hAnsi="Aptos" w:cs="Aptos"/>
                                <w:color w:val="000000" w:themeColor="text1"/>
                                <w:sz w:val="22"/>
                                <w:szCs w:val="22"/>
                              </w:rPr>
                            </w:pPr>
                            <w:r w:rsidRPr="00741B02">
                              <w:rPr>
                                <w:rFonts w:eastAsia="Aptos" w:hAnsi="Aptos" w:cs="Aptos"/>
                                <w:color w:val="000000" w:themeColor="text1"/>
                                <w:sz w:val="22"/>
                                <w:szCs w:val="22"/>
                              </w:rPr>
                              <w:t>After deduplication, the number of articles included</w:t>
                            </w:r>
                            <w:r>
                              <w:rPr>
                                <w:rFonts w:eastAsia="Aptos" w:hAnsi="Aptos" w:cs="Aptos"/>
                                <w:color w:val="000000" w:themeColor="text1"/>
                                <w:sz w:val="22"/>
                                <w:szCs w:val="22"/>
                              </w:rPr>
                              <w:t xml:space="preserve"> </w:t>
                            </w:r>
                            <w:r w:rsidR="00ED6DF0" w:rsidRPr="00842995">
                              <w:rPr>
                                <w:rFonts w:eastAsia="Aptos" w:hAnsi="Aptos" w:cs="Aptos"/>
                                <w:color w:val="000000" w:themeColor="text1"/>
                                <w:sz w:val="22"/>
                                <w:szCs w:val="22"/>
                                <w:lang w:val="en-US"/>
                              </w:rPr>
                              <w:t>(n=1</w:t>
                            </w:r>
                            <w:r w:rsidR="00ED6DF0">
                              <w:rPr>
                                <w:rFonts w:eastAsia="Aptos" w:hAnsi="Aptos" w:cs="Aptos"/>
                                <w:color w:val="000000" w:themeColor="text1"/>
                                <w:sz w:val="22"/>
                                <w:szCs w:val="22"/>
                                <w:lang w:val="en-US"/>
                              </w:rPr>
                              <w:t>16</w:t>
                            </w:r>
                            <w:r w:rsidR="00ED6DF0" w:rsidRPr="00842995">
                              <w:rPr>
                                <w:rFonts w:eastAsia="Aptos" w:hAnsi="Aptos" w:cs="Aptos"/>
                                <w:color w:val="000000" w:themeColor="text1"/>
                                <w:sz w:val="22"/>
                                <w:szCs w:val="22"/>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0723F" id="Text Box 26" o:spid="_x0000_s1028" type="#_x0000_t202" style="position:absolute;left:0;text-align:left;margin-left:60pt;margin-top:28.15pt;width:270.6pt;height:3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" fillcolor="white [3201]" strokecolor="#47d459 [1942]" strokeweight="1pt">
                <v:fill color2="#84e290 [1302]" focus="100%" type="gradient"/>
                <v:shadow on="t" color="#0c3511 [1606]" opacity=".5" offset="1pt"/>
                <v:textbox>
                  <w:txbxContent>
                    <w:p w14:paraId="613F79D0" w14:textId="72ED54A4" w:rsidR="00ED6DF0" w:rsidRPr="00741B02" w:rsidRDefault="00741B02" w:rsidP="00741B02">
                      <w:pPr>
                        <w:jc w:val="center"/>
                        <w:rPr>
                          <w:rFonts w:eastAsia="Aptos" w:hAnsi="Aptos" w:cs="Aptos"/>
                          <w:color w:val="000000" w:themeColor="text1"/>
                          <w:sz w:val="22"/>
                          <w:szCs w:val="22"/>
                        </w:rPr>
                      </w:pPr>
                      <w:r w:rsidRPr="00741B02">
                        <w:rPr>
                          <w:rFonts w:eastAsia="Aptos" w:hAnsi="Aptos" w:cs="Aptos"/>
                          <w:color w:val="000000" w:themeColor="text1"/>
                          <w:sz w:val="22"/>
                          <w:szCs w:val="22"/>
                        </w:rPr>
                        <w:t>After deduplication, the number of articles included</w:t>
                      </w:r>
                      <w:r>
                        <w:rPr>
                          <w:rFonts w:eastAsia="Aptos" w:hAnsi="Aptos" w:cs="Aptos"/>
                          <w:color w:val="000000" w:themeColor="text1"/>
                          <w:sz w:val="22"/>
                          <w:szCs w:val="22"/>
                        </w:rPr>
                        <w:t xml:space="preserve"> </w:t>
                      </w:r>
                      <w:r w:rsidR="00ED6DF0" w:rsidRPr="00842995">
                        <w:rPr>
                          <w:rFonts w:eastAsia="Aptos" w:hAnsi="Aptos" w:cs="Aptos"/>
                          <w:color w:val="000000" w:themeColor="text1"/>
                          <w:sz w:val="22"/>
                          <w:szCs w:val="22"/>
                          <w:lang w:val="en-US"/>
                        </w:rPr>
                        <w:t>(n=1</w:t>
                      </w:r>
                      <w:r w:rsidR="00ED6DF0">
                        <w:rPr>
                          <w:rFonts w:eastAsia="Aptos" w:hAnsi="Aptos" w:cs="Aptos"/>
                          <w:color w:val="000000" w:themeColor="text1"/>
                          <w:sz w:val="22"/>
                          <w:szCs w:val="22"/>
                          <w:lang w:val="en-US"/>
                        </w:rPr>
                        <w:t>16</w:t>
                      </w:r>
                      <w:r w:rsidR="00ED6DF0" w:rsidRPr="00842995">
                        <w:rPr>
                          <w:rFonts w:eastAsia="Aptos" w:hAnsi="Aptos" w:cs="Aptos"/>
                          <w:color w:val="000000" w:themeColor="text1"/>
                          <w:sz w:val="22"/>
                          <w:szCs w:val="22"/>
                          <w:lang w:val="en-US"/>
                        </w:rPr>
                        <w:t xml:space="preserve">) </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4CC16803" wp14:editId="32C00AE4">
                <wp:simplePos x="0" y="0"/>
                <wp:positionH relativeFrom="column">
                  <wp:posOffset>7620</wp:posOffset>
                </wp:positionH>
                <wp:positionV relativeFrom="paragraph">
                  <wp:posOffset>257810</wp:posOffset>
                </wp:positionV>
                <wp:extent cx="381000" cy="838200"/>
                <wp:effectExtent l="0" t="0" r="38100" b="57150"/>
                <wp:wrapNone/>
                <wp:docPr id="163042609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83820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05C01C85" w14:textId="77777777" w:rsidR="00ED6DF0" w:rsidRPr="001F45B5" w:rsidRDefault="00ED6DF0" w:rsidP="00ED6DF0">
                            <w:pPr>
                              <w:jc w:val="center"/>
                            </w:pPr>
                            <w:r w:rsidRPr="001F45B5">
                              <w:t>Screening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16803" id="Text Box 27" o:spid="_x0000_s1029" type="#_x0000_t202" style="position:absolute;left:0;text-align:left;margin-left:.6pt;margin-top:20.3pt;width:30pt;height: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" fillcolor="#8dd873 [1945]" strokecolor="#8dd873 [1945]" strokeweight="1pt">
                <v:fill color2="#d9f2d0 [665]" angle="135" focus="50%" type="gradient"/>
                <v:shadow on="t" color="#265317 [1609]" opacity=".5" offset="1pt"/>
                <v:textbox style="layout-flow:vertical;mso-layout-flow-alt:bottom-to-top">
                  <w:txbxContent>
                    <w:p w14:paraId="05C01C85" w14:textId="77777777" w:rsidR="00ED6DF0" w:rsidRPr="001F45B5" w:rsidRDefault="00ED6DF0" w:rsidP="00ED6DF0">
                      <w:pPr>
                        <w:jc w:val="center"/>
                      </w:pPr>
                      <w:r w:rsidRPr="001F45B5">
                        <w:t>Screening</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64384" behindDoc="0" locked="0" layoutInCell="1" allowOverlap="1" wp14:anchorId="0C6E9177" wp14:editId="08CF4465">
                <wp:simplePos x="0" y="0"/>
                <wp:positionH relativeFrom="column">
                  <wp:posOffset>2202180</wp:posOffset>
                </wp:positionH>
                <wp:positionV relativeFrom="paragraph">
                  <wp:posOffset>49530</wp:posOffset>
                </wp:positionV>
                <wp:extent cx="266700" cy="251460"/>
                <wp:effectExtent l="1905" t="8255" r="17145" b="26035"/>
                <wp:wrapNone/>
                <wp:docPr id="1986334449" name="Arrow: Down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gradFill rotWithShape="0">
                          <a:gsLst>
                            <a:gs pos="0">
                              <a:schemeClr val="lt1">
                                <a:lumMod val="74000"/>
                                <a:lumOff val="0"/>
                              </a:schemeClr>
                            </a:gs>
                            <a:gs pos="100000">
                              <a:schemeClr val="dk1">
                                <a:lumMod val="100000"/>
                                <a:lumOff val="0"/>
                              </a:schemeClr>
                            </a:gs>
                          </a:gsLst>
                          <a:path path="rect">
                            <a:fillToRect l="50000" t="50000" r="50000" b="50000"/>
                          </a:path>
                        </a:gradFill>
                        <a:ln>
                          <a:noFill/>
                        </a:ln>
                        <a:effectLst>
                          <a:outerShdw dist="28398" dir="3806097" algn="ctr" rotWithShape="0">
                            <a:schemeClr val="lt1">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E7325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8" o:spid="_x0000_s1026" type="#_x0000_t67" style="position:absolute;margin-left:173.4pt;margin-top:3.9pt;width:21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" fillcolor="#bcbcbc [2369]" stroked="f" strokeweight="0">
                <v:fill color2="black [3200]" focusposition=".5,.5" focussize="" focus="100%" type="gradientRadial">
                  <o:fill v:ext="view" type="gradientCenter"/>
                </v:fill>
                <v:shadow on="t" color="#7f7f7f [1601]" offset="1pt"/>
                <v:textbox style="layout-flow:vertical-ideographic"/>
              </v:shape>
            </w:pict>
          </mc:Fallback>
        </mc:AlternateContent>
      </w:r>
    </w:p>
    <w:p w14:paraId="564FDE4D" w14:textId="77777777" w:rsidR="00ED6DF0" w:rsidRPr="001F45B5" w:rsidRDefault="00ED6DF0" w:rsidP="00ED6DF0">
      <w:pPr>
        <w:spacing w:line="360" w:lineRule="auto"/>
        <w:jc w:val="both"/>
        <w:rPr>
          <w:rFonts w:ascii="Arial" w:hAnsi="Arial" w:cs="Arial"/>
          <w:color w:val="000000" w:themeColor="text1"/>
        </w:rPr>
      </w:pPr>
    </w:p>
    <w:p w14:paraId="51101AD2"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127F9915" wp14:editId="44206B8F">
                <wp:simplePos x="0" y="0"/>
                <wp:positionH relativeFrom="column">
                  <wp:posOffset>2204085</wp:posOffset>
                </wp:positionH>
                <wp:positionV relativeFrom="paragraph">
                  <wp:posOffset>171450</wp:posOffset>
                </wp:positionV>
                <wp:extent cx="266700" cy="251460"/>
                <wp:effectExtent l="7620" t="2540" r="20955" b="31750"/>
                <wp:wrapNone/>
                <wp:docPr id="167192555" name="Arrow: Down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gradFill rotWithShape="0">
                          <a:gsLst>
                            <a:gs pos="0">
                              <a:schemeClr val="lt1">
                                <a:lumMod val="74000"/>
                                <a:lumOff val="0"/>
                              </a:schemeClr>
                            </a:gs>
                            <a:gs pos="100000">
                              <a:schemeClr val="dk1">
                                <a:lumMod val="100000"/>
                                <a:lumOff val="0"/>
                              </a:schemeClr>
                            </a:gs>
                          </a:gsLst>
                          <a:path path="rect">
                            <a:fillToRect l="50000" t="50000" r="50000" b="50000"/>
                          </a:path>
                        </a:gradFill>
                        <a:ln>
                          <a:noFill/>
                        </a:ln>
                        <a:effectLst>
                          <a:outerShdw dist="28398" dir="3806097" algn="ctr" rotWithShape="0">
                            <a:schemeClr val="lt1">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A705D" id="Arrow: Down 25" o:spid="_x0000_s1026" type="#_x0000_t67" style="position:absolute;margin-left:173.55pt;margin-top:13.5pt;width:21pt;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" fillcolor="#bcbcbc [2369]" stroked="f" strokeweight="0">
                <v:fill color2="black [3200]" focusposition=".5,.5" focussize="" focus="100%" type="gradientRadial">
                  <o:fill v:ext="view" type="gradientCenter"/>
                </v:fill>
                <v:shadow on="t" color="#7f7f7f [1601]" offset="1pt"/>
                <v:textbox style="layout-flow:vertical-ideographic"/>
              </v:shape>
            </w:pict>
          </mc:Fallback>
        </mc:AlternateContent>
      </w:r>
    </w:p>
    <w:p w14:paraId="71E1C4E0"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2ACB17E1" wp14:editId="4C5FDECA">
                <wp:simplePos x="0" y="0"/>
                <wp:positionH relativeFrom="column">
                  <wp:posOffset>3916680</wp:posOffset>
                </wp:positionH>
                <wp:positionV relativeFrom="paragraph">
                  <wp:posOffset>350520</wp:posOffset>
                </wp:positionV>
                <wp:extent cx="1882140" cy="365760"/>
                <wp:effectExtent l="0" t="0" r="41910" b="53340"/>
                <wp:wrapNone/>
                <wp:docPr id="79067051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140" cy="36576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7A54556C" w14:textId="77777777" w:rsidR="00B169B2" w:rsidRPr="00B169B2" w:rsidRDefault="00B169B2" w:rsidP="00B169B2">
                            <w:r w:rsidRPr="00B169B2">
                              <w:t>Articles excluded (n = 66)</w:t>
                            </w:r>
                          </w:p>
                          <w:p w14:paraId="5D933381" w14:textId="77777777" w:rsidR="00ED6DF0" w:rsidRPr="001F45B5" w:rsidRDefault="00ED6DF0" w:rsidP="00ED6D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B17E1" id="Text Box 24" o:spid="_x0000_s1030" type="#_x0000_t202" style="position:absolute;left:0;text-align:left;margin-left:308.4pt;margin-top:27.6pt;width:148.2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" fillcolor="white [3201]" strokecolor="#f1a983 [1941]" strokeweight="1pt">
                <v:fill color2="#f6c5ac [1301]" focus="100%" type="gradient"/>
                <v:shadow on="t" color="#7f340d [1605]" opacity=".5" offset="1pt"/>
                <v:textbox>
                  <w:txbxContent>
                    <w:p w14:paraId="7A54556C" w14:textId="77777777" w:rsidR="00B169B2" w:rsidRPr="00B169B2" w:rsidRDefault="00B169B2" w:rsidP="00B169B2">
                      <w:r w:rsidRPr="00B169B2">
                        <w:t>Articles excluded (n = 66)</w:t>
                      </w:r>
                    </w:p>
                    <w:p w14:paraId="5D933381" w14:textId="77777777" w:rsidR="00ED6DF0" w:rsidRPr="001F45B5" w:rsidRDefault="00ED6DF0" w:rsidP="00ED6DF0"/>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61312" behindDoc="0" locked="0" layoutInCell="1" allowOverlap="1" wp14:anchorId="14F2D33D" wp14:editId="429E7532">
                <wp:simplePos x="0" y="0"/>
                <wp:positionH relativeFrom="column">
                  <wp:posOffset>769620</wp:posOffset>
                </wp:positionH>
                <wp:positionV relativeFrom="paragraph">
                  <wp:posOffset>121920</wp:posOffset>
                </wp:positionV>
                <wp:extent cx="2468880" cy="548640"/>
                <wp:effectExtent l="0" t="0" r="45720" b="60960"/>
                <wp:wrapNone/>
                <wp:docPr id="86127081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48640"/>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1BF24E42" w14:textId="680988AE" w:rsidR="00B169B2" w:rsidRPr="00B169B2" w:rsidRDefault="00B169B2" w:rsidP="00B169B2">
                            <w:pPr>
                              <w:jc w:val="center"/>
                              <w:rPr>
                                <w:rFonts w:ascii="Aptos" w:hAnsi="Aptos"/>
                                <w:color w:val="000000" w:themeColor="text1"/>
                                <w:sz w:val="22"/>
                                <w:szCs w:val="22"/>
                              </w:rPr>
                            </w:pPr>
                            <w:r>
                              <w:rPr>
                                <w:rFonts w:ascii="Aptos" w:hAnsi="Aptos"/>
                                <w:color w:val="000000" w:themeColor="text1"/>
                                <w:sz w:val="22"/>
                                <w:szCs w:val="22"/>
                              </w:rPr>
                              <w:t>I</w:t>
                            </w:r>
                            <w:r w:rsidRPr="00B169B2">
                              <w:rPr>
                                <w:rFonts w:ascii="Aptos" w:hAnsi="Aptos"/>
                                <w:color w:val="000000" w:themeColor="text1"/>
                                <w:sz w:val="22"/>
                                <w:szCs w:val="22"/>
                              </w:rPr>
                              <w:t>ncluded following an assessment of the abstract and title (n = 50)</w:t>
                            </w:r>
                          </w:p>
                          <w:p w14:paraId="6EC6ED7C" w14:textId="606EF678" w:rsidR="00ED6DF0" w:rsidRPr="00842995" w:rsidRDefault="00ED6DF0" w:rsidP="00ED6DF0">
                            <w:pPr>
                              <w:jc w:val="center"/>
                              <w:rPr>
                                <w:rFonts w:ascii="Aptos" w:hAnsi="Aptos"/>
                                <w:color w:val="000000" w:themeColor="text1"/>
                                <w:kern w:val="0"/>
                                <w:sz w:val="22"/>
                                <w:szCs w:val="22"/>
                                <w:lang w:val="en-US"/>
                                <w14:ligatures w14:val="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2D33D" id="Text Box 23" o:spid="_x0000_s1031" type="#_x0000_t202" style="position:absolute;left:0;text-align:left;margin-left:60.6pt;margin-top:9.6pt;width:194.4pt;height:4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" fillcolor="white [3201]" strokecolor="#d86dcb [1944]" strokeweight="1pt">
                <v:fill color2="#e59edc [1304]" focus="100%" type="gradient"/>
                <v:shadow on="t" color="#4f1548 [1608]" opacity=".5" offset="1pt"/>
                <v:textbox>
                  <w:txbxContent>
                    <w:p w14:paraId="1BF24E42" w14:textId="680988AE" w:rsidR="00B169B2" w:rsidRPr="00B169B2" w:rsidRDefault="00B169B2" w:rsidP="00B169B2">
                      <w:pPr>
                        <w:jc w:val="center"/>
                        <w:rPr>
                          <w:rFonts w:ascii="Aptos" w:hAnsi="Aptos"/>
                          <w:color w:val="000000" w:themeColor="text1"/>
                          <w:sz w:val="22"/>
                          <w:szCs w:val="22"/>
                        </w:rPr>
                      </w:pPr>
                      <w:r>
                        <w:rPr>
                          <w:rFonts w:ascii="Aptos" w:hAnsi="Aptos"/>
                          <w:color w:val="000000" w:themeColor="text1"/>
                          <w:sz w:val="22"/>
                          <w:szCs w:val="22"/>
                        </w:rPr>
                        <w:t>I</w:t>
                      </w:r>
                      <w:r w:rsidRPr="00B169B2">
                        <w:rPr>
                          <w:rFonts w:ascii="Aptos" w:hAnsi="Aptos"/>
                          <w:color w:val="000000" w:themeColor="text1"/>
                          <w:sz w:val="22"/>
                          <w:szCs w:val="22"/>
                        </w:rPr>
                        <w:t>ncluded following an assessment of the abstract and title (n = 50)</w:t>
                      </w:r>
                    </w:p>
                    <w:p w14:paraId="6EC6ED7C" w14:textId="606EF678" w:rsidR="00ED6DF0" w:rsidRPr="00842995" w:rsidRDefault="00ED6DF0" w:rsidP="00ED6DF0">
                      <w:pPr>
                        <w:jc w:val="center"/>
                        <w:rPr>
                          <w:rFonts w:ascii="Aptos" w:hAnsi="Aptos"/>
                          <w:color w:val="000000" w:themeColor="text1"/>
                          <w:kern w:val="0"/>
                          <w:sz w:val="22"/>
                          <w:szCs w:val="22"/>
                          <w:lang w:val="en-US"/>
                          <w14:ligatures w14:val="none"/>
                        </w:rPr>
                      </w:pPr>
                    </w:p>
                  </w:txbxContent>
                </v:textbox>
              </v:shape>
            </w:pict>
          </mc:Fallback>
        </mc:AlternateContent>
      </w:r>
    </w:p>
    <w:p w14:paraId="7D4AB65D"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5402D52E" wp14:editId="0BB933A2">
                <wp:simplePos x="0" y="0"/>
                <wp:positionH relativeFrom="column">
                  <wp:posOffset>7620</wp:posOffset>
                </wp:positionH>
                <wp:positionV relativeFrom="paragraph">
                  <wp:posOffset>173355</wp:posOffset>
                </wp:positionV>
                <wp:extent cx="388620" cy="838200"/>
                <wp:effectExtent l="0" t="0" r="30480" b="57150"/>
                <wp:wrapNone/>
                <wp:docPr id="3043059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 cy="83820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4B13D5D5" w14:textId="77777777" w:rsidR="00ED6DF0" w:rsidRPr="001F45B5" w:rsidRDefault="00ED6DF0" w:rsidP="00ED6DF0">
                            <w:pPr>
                              <w:jc w:val="center"/>
                            </w:pPr>
                            <w:r w:rsidRPr="001F45B5">
                              <w:t>Eligibility</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2D52E" id="Text Box 22" o:spid="_x0000_s1032" type="#_x0000_t202" style="position:absolute;left:0;text-align:left;margin-left:.6pt;margin-top:13.65pt;width:30.6pt;height: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" fillcolor="#8dd873 [1945]" strokecolor="#8dd873 [1945]" strokeweight="1pt">
                <v:fill color2="#d9f2d0 [665]" angle="135" focus="50%" type="gradient"/>
                <v:shadow on="t" color="#265317 [1609]" opacity=".5" offset="1pt"/>
                <v:textbox style="layout-flow:vertical;mso-layout-flow-alt:bottom-to-top">
                  <w:txbxContent>
                    <w:p w14:paraId="4B13D5D5" w14:textId="77777777" w:rsidR="00ED6DF0" w:rsidRPr="001F45B5" w:rsidRDefault="00ED6DF0" w:rsidP="00ED6DF0">
                      <w:pPr>
                        <w:jc w:val="center"/>
                      </w:pPr>
                      <w:r w:rsidRPr="001F45B5">
                        <w:t>Eligibility</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5AFE933C" wp14:editId="73634647">
                <wp:simplePos x="0" y="0"/>
                <wp:positionH relativeFrom="column">
                  <wp:posOffset>3314700</wp:posOffset>
                </wp:positionH>
                <wp:positionV relativeFrom="paragraph">
                  <wp:posOffset>59690</wp:posOffset>
                </wp:positionV>
                <wp:extent cx="541020" cy="152400"/>
                <wp:effectExtent l="0" t="4445" r="20955" b="33655"/>
                <wp:wrapNone/>
                <wp:docPr id="1843823415" name="Arrow: Right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52400"/>
                        </a:xfrm>
                        <a:prstGeom prst="rightArrow">
                          <a:avLst>
                            <a:gd name="adj1" fmla="val 50000"/>
                            <a:gd name="adj2" fmla="val 88750"/>
                          </a:avLst>
                        </a:prstGeom>
                        <a:gradFill rotWithShape="0">
                          <a:gsLst>
                            <a:gs pos="0">
                              <a:schemeClr val="lt1">
                                <a:lumMod val="74000"/>
                                <a:lumOff val="0"/>
                              </a:schemeClr>
                            </a:gs>
                            <a:gs pos="100000">
                              <a:schemeClr val="dk1">
                                <a:lumMod val="100000"/>
                                <a:lumOff val="0"/>
                              </a:schemeClr>
                            </a:gs>
                          </a:gsLst>
                          <a:path path="rect">
                            <a:fillToRect l="50000" t="50000" r="50000" b="50000"/>
                          </a:path>
                        </a:gradFill>
                        <a:ln>
                          <a:noFill/>
                        </a:ln>
                        <a:effectLst>
                          <a:outerShdw dist="28398" dir="3806097" algn="ctr" rotWithShape="0">
                            <a:schemeClr val="lt1">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9603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 o:spid="_x0000_s1026" type="#_x0000_t13" style="position:absolute;margin-left:261pt;margin-top:4.7pt;width:42.6pt;height: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" fillcolor="#bcbcbc [2369]" stroked="f" strokeweight="0">
                <v:fill color2="black [3200]" focusposition=".5,.5" focussize="" focus="100%" type="gradientRadial">
                  <o:fill v:ext="view" type="gradientCenter"/>
                </v:fill>
                <v:shadow on="t" color="#7f7f7f [1601]" offset="1pt"/>
              </v:shape>
            </w:pict>
          </mc:Fallback>
        </mc:AlternateContent>
      </w:r>
    </w:p>
    <w:p w14:paraId="36430AB1"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5408" behindDoc="0" locked="0" layoutInCell="1" allowOverlap="1" wp14:anchorId="428BF7B2" wp14:editId="0EAA42B5">
                <wp:simplePos x="0" y="0"/>
                <wp:positionH relativeFrom="column">
                  <wp:posOffset>2217420</wp:posOffset>
                </wp:positionH>
                <wp:positionV relativeFrom="paragraph">
                  <wp:posOffset>86360</wp:posOffset>
                </wp:positionV>
                <wp:extent cx="266700" cy="251460"/>
                <wp:effectExtent l="3810" t="635" r="15240" b="33655"/>
                <wp:wrapNone/>
                <wp:docPr id="1330610711" name="Arrow: Down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gradFill rotWithShape="0">
                          <a:gsLst>
                            <a:gs pos="0">
                              <a:schemeClr val="lt1">
                                <a:lumMod val="74000"/>
                                <a:lumOff val="0"/>
                              </a:schemeClr>
                            </a:gs>
                            <a:gs pos="100000">
                              <a:schemeClr val="dk1">
                                <a:lumMod val="100000"/>
                                <a:lumOff val="0"/>
                              </a:schemeClr>
                            </a:gs>
                          </a:gsLst>
                          <a:path path="rect">
                            <a:fillToRect l="50000" t="50000" r="50000" b="50000"/>
                          </a:path>
                        </a:gradFill>
                        <a:ln>
                          <a:noFill/>
                        </a:ln>
                        <a:effectLst>
                          <a:outerShdw dist="28398" dir="3806097" algn="ctr" rotWithShape="0">
                            <a:schemeClr val="lt1">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71876" id="Arrow: Down 20" o:spid="_x0000_s1026" type="#_x0000_t67" style="position:absolute;margin-left:174.6pt;margin-top:6.8pt;width:21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" fillcolor="#bcbcbc [2369]" stroked="f" strokeweight="0">
                <v:fill color2="black [3200]" focusposition=".5,.5" focussize="" focus="100%" type="gradientRadial">
                  <o:fill v:ext="view" type="gradientCenter"/>
                </v:fill>
                <v:shadow on="t" color="#7f7f7f [1601]" offset="1pt"/>
                <v:textbox style="layout-flow:vertical-ideographic"/>
              </v:shape>
            </w:pict>
          </mc:Fallback>
        </mc:AlternateContent>
      </w:r>
    </w:p>
    <w:p w14:paraId="44FDFA59"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1552" behindDoc="0" locked="0" layoutInCell="1" allowOverlap="1" wp14:anchorId="34CDC178" wp14:editId="5483D669">
                <wp:simplePos x="0" y="0"/>
                <wp:positionH relativeFrom="column">
                  <wp:posOffset>3939540</wp:posOffset>
                </wp:positionH>
                <wp:positionV relativeFrom="paragraph">
                  <wp:posOffset>118110</wp:posOffset>
                </wp:positionV>
                <wp:extent cx="2004060" cy="518160"/>
                <wp:effectExtent l="0" t="0" r="34290" b="53340"/>
                <wp:wrapNone/>
                <wp:docPr id="193323913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51816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14:paraId="1FC936C5" w14:textId="77777777" w:rsidR="00ED6DF0" w:rsidRPr="001F45B5" w:rsidRDefault="00ED6DF0" w:rsidP="00ED6DF0">
                            <w:r w:rsidRPr="001F45B5">
                              <w:t>Full-text articles excluded</w:t>
                            </w:r>
                            <w:r>
                              <w:t xml:space="preserve"> </w:t>
                            </w:r>
                            <w:r w:rsidRPr="001F45B5">
                              <w:t>(</w:t>
                            </w:r>
                            <w:r>
                              <w:t>n</w:t>
                            </w:r>
                            <w:r w:rsidRPr="001F45B5">
                              <w:t xml:space="preserve">= </w:t>
                            </w:r>
                            <w:r>
                              <w:t>08</w:t>
                            </w:r>
                            <w:r w:rsidRPr="001F45B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DC178" id="Text Box 19" o:spid="_x0000_s1033" type="#_x0000_t202" style="position:absolute;left:0;text-align:left;margin-left:310.2pt;margin-top:9.3pt;width:157.8pt;height:40.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" fillcolor="white [3201]" strokecolor="#f1a983 [1941]" strokeweight="1pt">
                <v:fill color2="#f6c5ac [1301]" focus="100%" type="gradient"/>
                <v:shadow on="t" color="#7f340d [1605]" opacity=".5" offset="1pt"/>
                <v:textbox>
                  <w:txbxContent>
                    <w:p w14:paraId="1FC936C5" w14:textId="77777777" w:rsidR="00ED6DF0" w:rsidRPr="001F45B5" w:rsidRDefault="00ED6DF0" w:rsidP="00ED6DF0">
                      <w:r w:rsidRPr="001F45B5">
                        <w:t>Full-text articles excluded</w:t>
                      </w:r>
                      <w:r>
                        <w:t xml:space="preserve"> </w:t>
                      </w:r>
                      <w:r w:rsidRPr="001F45B5">
                        <w:t>(</w:t>
                      </w:r>
                      <w:r>
                        <w:t>n</w:t>
                      </w:r>
                      <w:r w:rsidRPr="001F45B5">
                        <w:t xml:space="preserve">= </w:t>
                      </w:r>
                      <w:r>
                        <w:t>08</w:t>
                      </w:r>
                      <w:r w:rsidRPr="001F45B5">
                        <w:t>)</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69504" behindDoc="0" locked="0" layoutInCell="1" allowOverlap="1" wp14:anchorId="60C54E5D" wp14:editId="0C5C25EC">
                <wp:simplePos x="0" y="0"/>
                <wp:positionH relativeFrom="column">
                  <wp:posOffset>3322320</wp:posOffset>
                </wp:positionH>
                <wp:positionV relativeFrom="paragraph">
                  <wp:posOffset>253365</wp:posOffset>
                </wp:positionV>
                <wp:extent cx="541020" cy="152400"/>
                <wp:effectExtent l="0" t="1270" r="20955" b="27305"/>
                <wp:wrapNone/>
                <wp:docPr id="427397016" name="Arrow: Right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52400"/>
                        </a:xfrm>
                        <a:prstGeom prst="rightArrow">
                          <a:avLst>
                            <a:gd name="adj1" fmla="val 50000"/>
                            <a:gd name="adj2" fmla="val 88750"/>
                          </a:avLst>
                        </a:prstGeom>
                        <a:gradFill rotWithShape="0">
                          <a:gsLst>
                            <a:gs pos="0">
                              <a:schemeClr val="lt1">
                                <a:lumMod val="74000"/>
                                <a:lumOff val="0"/>
                              </a:schemeClr>
                            </a:gs>
                            <a:gs pos="100000">
                              <a:schemeClr val="dk1">
                                <a:lumMod val="100000"/>
                                <a:lumOff val="0"/>
                              </a:schemeClr>
                            </a:gs>
                          </a:gsLst>
                          <a:path path="rect">
                            <a:fillToRect l="50000" t="50000" r="50000" b="50000"/>
                          </a:path>
                        </a:gradFill>
                        <a:ln>
                          <a:noFill/>
                        </a:ln>
                        <a:effectLst>
                          <a:outerShdw dist="28398" dir="3806097" algn="ctr" rotWithShape="0">
                            <a:schemeClr val="lt1">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29F4D5" id="Arrow: Right 17" o:spid="_x0000_s1026" type="#_x0000_t13" style="position:absolute;margin-left:261.6pt;margin-top:19.95pt;width:42.6pt;height: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" fillcolor="#bcbcbc [2369]" stroked="f" strokeweight="0">
                <v:fill color2="black [3200]" focusposition=".5,.5" focussize="" focus="100%" type="gradientRadial">
                  <o:fill v:ext="view" type="gradientCenter"/>
                </v:fill>
                <v:shadow on="t" color="#7f7f7f [1601]" offset="1pt"/>
              </v:shape>
            </w:pict>
          </mc:Fallback>
        </mc:AlternateContent>
      </w:r>
      <w:r>
        <w:rPr>
          <w:rFonts w:ascii="Arial" w:hAnsi="Arial" w:cs="Arial"/>
          <w:noProof/>
          <w:color w:val="000000" w:themeColor="text1"/>
        </w:rPr>
        <mc:AlternateContent>
          <mc:Choice Requires="wps">
            <w:drawing>
              <wp:anchor distT="0" distB="0" distL="114300" distR="114300" simplePos="0" relativeHeight="251662336" behindDoc="0" locked="0" layoutInCell="1" allowOverlap="1" wp14:anchorId="462783EF" wp14:editId="74FD4050">
                <wp:simplePos x="0" y="0"/>
                <wp:positionH relativeFrom="column">
                  <wp:posOffset>807720</wp:posOffset>
                </wp:positionH>
                <wp:positionV relativeFrom="paragraph">
                  <wp:posOffset>41910</wp:posOffset>
                </wp:positionV>
                <wp:extent cx="2468880" cy="586740"/>
                <wp:effectExtent l="0" t="0" r="45720" b="60960"/>
                <wp:wrapNone/>
                <wp:docPr id="4941714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6740"/>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9F74AA3" w14:textId="77777777" w:rsidR="00B169B2" w:rsidRPr="00B169B2" w:rsidRDefault="00B169B2" w:rsidP="00B169B2">
                            <w:pPr>
                              <w:jc w:val="center"/>
                            </w:pPr>
                            <w:r w:rsidRPr="00B169B2">
                              <w:t>Full-text evaluation of publications</w:t>
                            </w:r>
                          </w:p>
                          <w:p w14:paraId="6CE90DE9" w14:textId="77777777" w:rsidR="00ED6DF0" w:rsidRPr="001F45B5" w:rsidRDefault="00ED6DF0" w:rsidP="00ED6DF0">
                            <w:pPr>
                              <w:jc w:val="center"/>
                            </w:pPr>
                            <w:r w:rsidRPr="001F45B5">
                              <w:t>(</w:t>
                            </w:r>
                            <w:r>
                              <w:t>n</w:t>
                            </w:r>
                            <w:r w:rsidRPr="001F45B5">
                              <w:t xml:space="preserve">= </w:t>
                            </w:r>
                            <w:r>
                              <w:t>18</w:t>
                            </w:r>
                            <w:r w:rsidRPr="001F45B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783EF" id="Text Box 18" o:spid="_x0000_s1034" type="#_x0000_t202" style="position:absolute;left:0;text-align:left;margin-left:63.6pt;margin-top:3.3pt;width:194.4pt;height:4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" fillcolor="white [3201]" strokecolor="#47d459 [1942]" strokeweight="1pt">
                <v:fill color2="#84e290 [1302]" focus="100%" type="gradient"/>
                <v:shadow on="t" color="#0c3511 [1606]" opacity=".5" offset="1pt"/>
                <v:textbox>
                  <w:txbxContent>
                    <w:p w14:paraId="09F74AA3" w14:textId="77777777" w:rsidR="00B169B2" w:rsidRPr="00B169B2" w:rsidRDefault="00B169B2" w:rsidP="00B169B2">
                      <w:pPr>
                        <w:jc w:val="center"/>
                      </w:pPr>
                      <w:r w:rsidRPr="00B169B2">
                        <w:t>Full-text evaluation of publications</w:t>
                      </w:r>
                    </w:p>
                    <w:p w14:paraId="6CE90DE9" w14:textId="77777777" w:rsidR="00ED6DF0" w:rsidRPr="001F45B5" w:rsidRDefault="00ED6DF0" w:rsidP="00ED6DF0">
                      <w:pPr>
                        <w:jc w:val="center"/>
                      </w:pPr>
                      <w:r w:rsidRPr="001F45B5">
                        <w:t>(</w:t>
                      </w:r>
                      <w:r>
                        <w:t>n</w:t>
                      </w:r>
                      <w:r w:rsidRPr="001F45B5">
                        <w:t xml:space="preserve">= </w:t>
                      </w:r>
                      <w:r>
                        <w:t>18</w:t>
                      </w:r>
                      <w:r w:rsidRPr="001F45B5">
                        <w:t>)</w:t>
                      </w:r>
                    </w:p>
                  </w:txbxContent>
                </v:textbox>
              </v:shape>
            </w:pict>
          </mc:Fallback>
        </mc:AlternateContent>
      </w:r>
    </w:p>
    <w:p w14:paraId="5E79FE33" w14:textId="77777777" w:rsidR="00ED6DF0" w:rsidRPr="001F45B5" w:rsidRDefault="00ED6DF0" w:rsidP="00ED6DF0">
      <w:pPr>
        <w:spacing w:line="360" w:lineRule="auto"/>
        <w:jc w:val="both"/>
        <w:rPr>
          <w:rFonts w:ascii="Arial" w:hAnsi="Arial" w:cs="Arial"/>
          <w:color w:val="000000" w:themeColor="text1"/>
        </w:rPr>
      </w:pPr>
    </w:p>
    <w:p w14:paraId="0919CA84"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32992AC2" wp14:editId="390A2B52">
                <wp:simplePos x="0" y="0"/>
                <wp:positionH relativeFrom="column">
                  <wp:posOffset>20954</wp:posOffset>
                </wp:positionH>
                <wp:positionV relativeFrom="paragraph">
                  <wp:posOffset>76200</wp:posOffset>
                </wp:positionV>
                <wp:extent cx="390525" cy="838200"/>
                <wp:effectExtent l="0" t="0" r="47625" b="57150"/>
                <wp:wrapNone/>
                <wp:docPr id="2839269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83820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5A226D64" w14:textId="77777777" w:rsidR="00ED6DF0" w:rsidRPr="001F45B5" w:rsidRDefault="00ED6DF0" w:rsidP="00ED6DF0">
                            <w:pPr>
                              <w:jc w:val="center"/>
                            </w:pPr>
                            <w:r w:rsidRPr="001F45B5">
                              <w:t>Included</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92AC2" id="Text Box 16" o:spid="_x0000_s1035" type="#_x0000_t202" style="position:absolute;left:0;text-align:left;margin-left:1.65pt;margin-top:6pt;width:30.75pt;height: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" fillcolor="#8dd873 [1945]" strokecolor="#8dd873 [1945]" strokeweight="1pt">
                <v:fill color2="#d9f2d0 [665]" angle="135" focus="50%" type="gradient"/>
                <v:shadow on="t" color="#265317 [1609]" opacity=".5" offset="1pt"/>
                <v:textbox style="layout-flow:vertical;mso-layout-flow-alt:bottom-to-top">
                  <w:txbxContent>
                    <w:p w14:paraId="5A226D64" w14:textId="77777777" w:rsidR="00ED6DF0" w:rsidRPr="001F45B5" w:rsidRDefault="00ED6DF0" w:rsidP="00ED6DF0">
                      <w:pPr>
                        <w:jc w:val="center"/>
                      </w:pPr>
                      <w:r w:rsidRPr="001F45B5">
                        <w:t>Included</w:t>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667456" behindDoc="0" locked="0" layoutInCell="1" allowOverlap="1" wp14:anchorId="562CB045" wp14:editId="0B732BD9">
                <wp:simplePos x="0" y="0"/>
                <wp:positionH relativeFrom="column">
                  <wp:posOffset>2293620</wp:posOffset>
                </wp:positionH>
                <wp:positionV relativeFrom="paragraph">
                  <wp:posOffset>37465</wp:posOffset>
                </wp:positionV>
                <wp:extent cx="266700" cy="251460"/>
                <wp:effectExtent l="3810" t="6985" r="15240" b="27305"/>
                <wp:wrapNone/>
                <wp:docPr id="988888684" name="Arrow: Down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1460"/>
                        </a:xfrm>
                        <a:prstGeom prst="downArrow">
                          <a:avLst>
                            <a:gd name="adj1" fmla="val 50000"/>
                            <a:gd name="adj2" fmla="val 25000"/>
                          </a:avLst>
                        </a:prstGeom>
                        <a:gradFill rotWithShape="0">
                          <a:gsLst>
                            <a:gs pos="0">
                              <a:schemeClr val="lt1">
                                <a:lumMod val="74000"/>
                                <a:lumOff val="0"/>
                              </a:schemeClr>
                            </a:gs>
                            <a:gs pos="100000">
                              <a:schemeClr val="dk1">
                                <a:lumMod val="100000"/>
                                <a:lumOff val="0"/>
                              </a:schemeClr>
                            </a:gs>
                          </a:gsLst>
                          <a:path path="rect">
                            <a:fillToRect l="50000" t="50000" r="50000" b="50000"/>
                          </a:path>
                        </a:gradFill>
                        <a:ln>
                          <a:noFill/>
                        </a:ln>
                        <a:effectLst>
                          <a:outerShdw dist="28398" dir="3806097" algn="ctr" rotWithShape="0">
                            <a:schemeClr val="lt1">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65810" id="Arrow: Down 15" o:spid="_x0000_s1026" type="#_x0000_t67" style="position:absolute;margin-left:180.6pt;margin-top:2.95pt;width:21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" fillcolor="#bcbcbc [2369]" stroked="f" strokeweight="0">
                <v:fill color2="black [3200]" focusposition=".5,.5" focussize="" focus="100%" type="gradientRadial">
                  <o:fill v:ext="view" type="gradientCenter"/>
                </v:fill>
                <v:shadow on="t" color="#7f7f7f [1601]" offset="1pt"/>
                <v:textbox style="layout-flow:vertical-ideographic"/>
              </v:shape>
            </w:pict>
          </mc:Fallback>
        </mc:AlternateContent>
      </w:r>
    </w:p>
    <w:p w14:paraId="3D7AD137" w14:textId="77777777" w:rsidR="00ED6DF0" w:rsidRPr="001F45B5" w:rsidRDefault="00ED6DF0" w:rsidP="00ED6DF0">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3360" behindDoc="0" locked="0" layoutInCell="1" allowOverlap="1" wp14:anchorId="5C65E312" wp14:editId="4BC50F11">
                <wp:simplePos x="0" y="0"/>
                <wp:positionH relativeFrom="column">
                  <wp:posOffset>731520</wp:posOffset>
                </wp:positionH>
                <wp:positionV relativeFrom="paragraph">
                  <wp:posOffset>7620</wp:posOffset>
                </wp:positionV>
                <wp:extent cx="3314700" cy="548640"/>
                <wp:effectExtent l="0" t="0" r="38100" b="60960"/>
                <wp:wrapNone/>
                <wp:docPr id="287474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48640"/>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0196A54B" w14:textId="77777777" w:rsidR="00B169B2" w:rsidRPr="00B169B2" w:rsidRDefault="00B169B2" w:rsidP="00B169B2">
                            <w:pPr>
                              <w:jc w:val="center"/>
                            </w:pPr>
                            <w:r w:rsidRPr="00B169B2">
                              <w:t>Articles that fit the inclusion criteria or were chosen (n = 10)</w:t>
                            </w:r>
                          </w:p>
                          <w:p w14:paraId="1BE14EDA" w14:textId="4CDE274D" w:rsidR="00ED6DF0" w:rsidRPr="001F45B5" w:rsidRDefault="00ED6DF0" w:rsidP="00ED6DF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5E312" id="Text Box 14" o:spid="_x0000_s1036" type="#_x0000_t202" style="position:absolute;left:0;text-align:left;margin-left:57.6pt;margin-top:.6pt;width:261pt;height:4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" fillcolor="white [3201]" strokecolor="#47d459 [1942]" strokeweight="1pt">
                <v:fill color2="#84e290 [1302]" focus="100%" type="gradient"/>
                <v:shadow on="t" color="#0c3511 [1606]" opacity=".5" offset="1pt"/>
                <v:textbox>
                  <w:txbxContent>
                    <w:p w14:paraId="0196A54B" w14:textId="77777777" w:rsidR="00B169B2" w:rsidRPr="00B169B2" w:rsidRDefault="00B169B2" w:rsidP="00B169B2">
                      <w:pPr>
                        <w:jc w:val="center"/>
                      </w:pPr>
                      <w:r w:rsidRPr="00B169B2">
                        <w:t>Articles that fit the inclusion criteria or were chosen (n = 10)</w:t>
                      </w:r>
                    </w:p>
                    <w:p w14:paraId="1BE14EDA" w14:textId="4CDE274D" w:rsidR="00ED6DF0" w:rsidRPr="001F45B5" w:rsidRDefault="00ED6DF0" w:rsidP="00ED6DF0">
                      <w:pPr>
                        <w:jc w:val="center"/>
                      </w:pPr>
                    </w:p>
                  </w:txbxContent>
                </v:textbox>
              </v:shape>
            </w:pict>
          </mc:Fallback>
        </mc:AlternateContent>
      </w:r>
    </w:p>
    <w:p w14:paraId="2BB90BB7" w14:textId="77777777" w:rsidR="00ED6DF0" w:rsidRDefault="00ED6DF0" w:rsidP="00ED6DF0">
      <w:pPr>
        <w:spacing w:line="360" w:lineRule="auto"/>
        <w:jc w:val="center"/>
        <w:rPr>
          <w:rFonts w:ascii="Arial" w:hAnsi="Arial" w:cs="Arial"/>
          <w:b/>
          <w:bCs/>
        </w:rPr>
      </w:pPr>
    </w:p>
    <w:p w14:paraId="7503320F" w14:textId="77777777" w:rsidR="00ED6DF0" w:rsidRDefault="00ED6DF0" w:rsidP="00ED6DF0">
      <w:pPr>
        <w:spacing w:line="360" w:lineRule="auto"/>
        <w:jc w:val="center"/>
        <w:rPr>
          <w:rFonts w:ascii="Arial" w:hAnsi="Arial" w:cs="Arial"/>
          <w:b/>
          <w:bCs/>
        </w:rPr>
      </w:pPr>
      <w:r>
        <w:rPr>
          <w:rFonts w:ascii="Arial" w:hAnsi="Arial" w:cs="Arial"/>
          <w:b/>
          <w:bCs/>
        </w:rPr>
        <w:t>Figure 4.1: PRISMA Flow Chart</w:t>
      </w:r>
    </w:p>
    <w:p w14:paraId="16A46DB3" w14:textId="77777777" w:rsidR="00ED6DF0" w:rsidRDefault="00ED6DF0" w:rsidP="00ED6DF0">
      <w:pPr>
        <w:spacing w:line="360" w:lineRule="auto"/>
        <w:jc w:val="both"/>
        <w:rPr>
          <w:rFonts w:ascii="Arial" w:hAnsi="Arial" w:cs="Arial"/>
        </w:rPr>
      </w:pPr>
      <w:r w:rsidRPr="0021105B">
        <w:rPr>
          <w:rFonts w:ascii="Arial" w:hAnsi="Arial" w:cs="Arial"/>
        </w:rPr>
        <w:t xml:space="preserve">Figure 4.1 illustrates the PRISMA flow chart outlining the systematic search and study selection process undertaken for this review. The initial database search identified a total of 120 records, comprising 63 articles from PubMed, 38 from Web of Science, and 19 from Google Scholar. Following the removal of duplicates, 116 articles remained for screening. Title and abstract review led to the exclusion of 66 articles that did not meet the predefined inclusion criteria, resulting in 50 studies being retained for further consideration. Full-text assessment was then conducted on 18 articles, of which 8 were excluded due to reasons such as population age mismatch, lack of England-specific data, or insufficient methodological detail. Ultimately, 10 articles met </w:t>
      </w:r>
      <w:r w:rsidRPr="0021105B">
        <w:rPr>
          <w:rFonts w:ascii="Arial" w:hAnsi="Arial" w:cs="Arial"/>
        </w:rPr>
        <w:lastRenderedPageBreak/>
        <w:t>all eligibility criteria and were included in the final systematic review. This structured selection process demonstrates adherence to PRISMA guidelines and ensures transparency, rigour, and reproducibility in the identification of relevant evidence.</w:t>
      </w:r>
    </w:p>
    <w:p w14:paraId="3D11366F" w14:textId="77777777" w:rsidR="00ED6DF0" w:rsidRDefault="00ED6DF0" w:rsidP="00ED6DF0">
      <w:pPr>
        <w:pStyle w:val="Heading1"/>
      </w:pPr>
      <w:bookmarkStart w:id="46" w:name="_Toc210563214"/>
      <w:bookmarkStart w:id="47" w:name="_Toc219199518"/>
      <w:r>
        <w:t xml:space="preserve">Table 4.1: </w:t>
      </w:r>
      <w:r w:rsidRPr="00C73D23">
        <w:t>Data Extraction</w:t>
      </w:r>
      <w:bookmarkEnd w:id="46"/>
      <w:bookmarkEnd w:id="47"/>
      <w:r>
        <w:t xml:space="preserve"> </w:t>
      </w:r>
    </w:p>
    <w:p w14:paraId="586201F6" w14:textId="77777777" w:rsidR="00ED6DF0" w:rsidRPr="000B26B9" w:rsidRDefault="00ED6DF0" w:rsidP="00ED6DF0">
      <w:pPr>
        <w:spacing w:line="360" w:lineRule="auto"/>
        <w:jc w:val="both"/>
        <w:rPr>
          <w:rFonts w:ascii="Arial" w:hAnsi="Arial" w:cs="Arial"/>
        </w:rPr>
      </w:pPr>
    </w:p>
    <w:tbl>
      <w:tblPr>
        <w:tblStyle w:val="TableGrid"/>
        <w:tblW w:w="10774" w:type="dxa"/>
        <w:tblInd w:w="-856" w:type="dxa"/>
        <w:tblLayout w:type="fixed"/>
        <w:tblLook w:val="04A0" w:firstRow="1" w:lastRow="0" w:firstColumn="1" w:lastColumn="0" w:noHBand="0" w:noVBand="1"/>
      </w:tblPr>
      <w:tblGrid>
        <w:gridCol w:w="993"/>
        <w:gridCol w:w="1418"/>
        <w:gridCol w:w="1134"/>
        <w:gridCol w:w="1559"/>
        <w:gridCol w:w="1134"/>
        <w:gridCol w:w="1276"/>
        <w:gridCol w:w="1701"/>
        <w:gridCol w:w="1559"/>
      </w:tblGrid>
      <w:tr w:rsidR="00ED6DF0" w:rsidRPr="000B26B9" w14:paraId="71822CC9" w14:textId="77777777" w:rsidTr="003A26A0">
        <w:trPr>
          <w:trHeight w:val="961"/>
        </w:trPr>
        <w:tc>
          <w:tcPr>
            <w:tcW w:w="993" w:type="dxa"/>
          </w:tcPr>
          <w:p w14:paraId="42F218B4"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Study</w:t>
            </w:r>
          </w:p>
          <w:p w14:paraId="5CAA7F2A"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Author’s</w:t>
            </w:r>
          </w:p>
          <w:p w14:paraId="13DD5CEE"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name/ year</w:t>
            </w:r>
          </w:p>
        </w:tc>
        <w:tc>
          <w:tcPr>
            <w:tcW w:w="1418" w:type="dxa"/>
          </w:tcPr>
          <w:p w14:paraId="2E42D4CD"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Objective/purpose</w:t>
            </w:r>
          </w:p>
        </w:tc>
        <w:tc>
          <w:tcPr>
            <w:tcW w:w="1134" w:type="dxa"/>
          </w:tcPr>
          <w:p w14:paraId="54EA9B1B" w14:textId="77777777" w:rsidR="00ED6DF0"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Setting/</w:t>
            </w:r>
          </w:p>
          <w:p w14:paraId="474D4475"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Sample</w:t>
            </w:r>
          </w:p>
        </w:tc>
        <w:tc>
          <w:tcPr>
            <w:tcW w:w="1559" w:type="dxa"/>
          </w:tcPr>
          <w:p w14:paraId="7A481AAF"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Study design</w:t>
            </w:r>
          </w:p>
        </w:tc>
        <w:tc>
          <w:tcPr>
            <w:tcW w:w="1134" w:type="dxa"/>
          </w:tcPr>
          <w:p w14:paraId="3B34B824"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Strength</w:t>
            </w:r>
          </w:p>
        </w:tc>
        <w:tc>
          <w:tcPr>
            <w:tcW w:w="1276" w:type="dxa"/>
          </w:tcPr>
          <w:p w14:paraId="70890DA0"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Weakness</w:t>
            </w:r>
          </w:p>
        </w:tc>
        <w:tc>
          <w:tcPr>
            <w:tcW w:w="1701" w:type="dxa"/>
          </w:tcPr>
          <w:p w14:paraId="54DC9714"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Results /outcomes</w:t>
            </w:r>
          </w:p>
        </w:tc>
        <w:tc>
          <w:tcPr>
            <w:tcW w:w="1559" w:type="dxa"/>
          </w:tcPr>
          <w:p w14:paraId="2D9CC018" w14:textId="77777777" w:rsidR="00ED6DF0" w:rsidRPr="000B26B9" w:rsidRDefault="00ED6DF0" w:rsidP="003A26A0">
            <w:pPr>
              <w:spacing w:line="360" w:lineRule="auto"/>
              <w:jc w:val="both"/>
              <w:rPr>
                <w:rFonts w:ascii="Arial" w:hAnsi="Arial" w:cs="Arial"/>
                <w:b/>
                <w:bCs/>
                <w:sz w:val="18"/>
                <w:szCs w:val="18"/>
              </w:rPr>
            </w:pPr>
            <w:r w:rsidRPr="000B26B9">
              <w:rPr>
                <w:rFonts w:ascii="Arial" w:hAnsi="Arial" w:cs="Arial"/>
                <w:b/>
                <w:bCs/>
                <w:sz w:val="18"/>
                <w:szCs w:val="18"/>
              </w:rPr>
              <w:t>Conclusion</w:t>
            </w:r>
          </w:p>
        </w:tc>
      </w:tr>
      <w:tr w:rsidR="00ED6DF0" w:rsidRPr="000B26B9" w14:paraId="475482B5" w14:textId="77777777" w:rsidTr="003A26A0">
        <w:trPr>
          <w:trHeight w:val="324"/>
        </w:trPr>
        <w:tc>
          <w:tcPr>
            <w:tcW w:w="993" w:type="dxa"/>
          </w:tcPr>
          <w:p w14:paraId="29FD1395" w14:textId="77777777" w:rsidR="00ED6DF0" w:rsidRPr="000B26B9" w:rsidRDefault="00ED6DF0" w:rsidP="003A26A0">
            <w:pPr>
              <w:rPr>
                <w:rFonts w:ascii="Arial" w:hAnsi="Arial" w:cs="Arial"/>
                <w:sz w:val="18"/>
                <w:szCs w:val="18"/>
              </w:rPr>
            </w:pPr>
            <w:r w:rsidRPr="00C2508D">
              <w:rPr>
                <w:rFonts w:ascii="Arial" w:hAnsi="Arial" w:cs="Arial"/>
                <w:sz w:val="18"/>
                <w:szCs w:val="18"/>
              </w:rPr>
              <w:t>Calder</w:t>
            </w:r>
            <w:r>
              <w:rPr>
                <w:rFonts w:ascii="Arial" w:hAnsi="Arial" w:cs="Arial"/>
                <w:sz w:val="18"/>
                <w:szCs w:val="18"/>
              </w:rPr>
              <w:t xml:space="preserve"> et al, 2022</w:t>
            </w:r>
          </w:p>
        </w:tc>
        <w:tc>
          <w:tcPr>
            <w:tcW w:w="1418" w:type="dxa"/>
          </w:tcPr>
          <w:p w14:paraId="6CE4F8A5" w14:textId="77777777" w:rsidR="00ED6DF0" w:rsidRPr="000B26B9" w:rsidRDefault="00ED6DF0" w:rsidP="003A26A0">
            <w:pPr>
              <w:spacing w:line="360" w:lineRule="auto"/>
              <w:jc w:val="both"/>
              <w:rPr>
                <w:rFonts w:ascii="Arial" w:hAnsi="Arial" w:cs="Arial"/>
                <w:sz w:val="18"/>
                <w:szCs w:val="18"/>
              </w:rPr>
            </w:pPr>
            <w:r w:rsidRPr="00C2508D">
              <w:rPr>
                <w:rFonts w:ascii="Arial" w:hAnsi="Arial" w:cs="Arial"/>
                <w:sz w:val="18"/>
                <w:szCs w:val="18"/>
              </w:rPr>
              <w:t>To determine the prevalence of Developmental Language Disorder (DLD) in school-aged children and identify associated prenatal and environmental risk factors at age 10 years.</w:t>
            </w:r>
          </w:p>
        </w:tc>
        <w:tc>
          <w:tcPr>
            <w:tcW w:w="1134" w:type="dxa"/>
          </w:tcPr>
          <w:p w14:paraId="2723B0A7" w14:textId="77777777" w:rsidR="00ED6DF0" w:rsidRPr="000B26B9" w:rsidRDefault="00ED6DF0" w:rsidP="003A26A0">
            <w:pPr>
              <w:spacing w:line="360" w:lineRule="auto"/>
              <w:jc w:val="both"/>
              <w:rPr>
                <w:rFonts w:ascii="Arial" w:hAnsi="Arial" w:cs="Arial"/>
                <w:sz w:val="18"/>
                <w:szCs w:val="18"/>
              </w:rPr>
            </w:pPr>
            <w:r w:rsidRPr="00C2508D">
              <w:rPr>
                <w:rFonts w:ascii="Arial" w:hAnsi="Arial" w:cs="Arial"/>
                <w:sz w:val="18"/>
                <w:szCs w:val="18"/>
              </w:rPr>
              <w:t>1,626 children aged 10 years from Generation 2 of the prospective Raine Study with available language assessment data.</w:t>
            </w:r>
          </w:p>
        </w:tc>
        <w:tc>
          <w:tcPr>
            <w:tcW w:w="1559" w:type="dxa"/>
          </w:tcPr>
          <w:p w14:paraId="1F3CC0ED" w14:textId="77777777" w:rsidR="00ED6DF0" w:rsidRPr="002C5E87" w:rsidRDefault="00ED6DF0" w:rsidP="003A26A0">
            <w:pPr>
              <w:jc w:val="center"/>
              <w:rPr>
                <w:rFonts w:ascii="Arial" w:hAnsi="Arial" w:cs="Arial"/>
                <w:sz w:val="18"/>
                <w:szCs w:val="18"/>
              </w:rPr>
            </w:pPr>
            <w:r w:rsidRPr="00C2508D">
              <w:rPr>
                <w:rFonts w:ascii="Arial" w:hAnsi="Arial" w:cs="Arial"/>
                <w:sz w:val="18"/>
                <w:szCs w:val="18"/>
              </w:rPr>
              <w:t>Cross-sectional analysis within a prospective cohort study.</w:t>
            </w:r>
          </w:p>
        </w:tc>
        <w:tc>
          <w:tcPr>
            <w:tcW w:w="1134" w:type="dxa"/>
          </w:tcPr>
          <w:p w14:paraId="78C1F7CC" w14:textId="77777777" w:rsidR="00ED6DF0" w:rsidRPr="000B26B9" w:rsidRDefault="00ED6DF0" w:rsidP="003A26A0">
            <w:pPr>
              <w:spacing w:line="360" w:lineRule="auto"/>
              <w:jc w:val="both"/>
              <w:rPr>
                <w:rFonts w:ascii="Arial" w:hAnsi="Arial" w:cs="Arial"/>
                <w:sz w:val="18"/>
                <w:szCs w:val="18"/>
              </w:rPr>
            </w:pPr>
            <w:r w:rsidRPr="00C2508D">
              <w:rPr>
                <w:rFonts w:ascii="Arial" w:hAnsi="Arial" w:cs="Arial"/>
                <w:sz w:val="18"/>
                <w:szCs w:val="18"/>
              </w:rPr>
              <w:t>Large population-based sample; use of established diagnostic criteria for DLD; examination of prenatal and environmental risk factors.</w:t>
            </w:r>
          </w:p>
        </w:tc>
        <w:tc>
          <w:tcPr>
            <w:tcW w:w="1276" w:type="dxa"/>
          </w:tcPr>
          <w:p w14:paraId="444C33B0" w14:textId="77777777" w:rsidR="00ED6DF0" w:rsidRPr="000B26B9" w:rsidRDefault="00ED6DF0" w:rsidP="003A26A0">
            <w:pPr>
              <w:spacing w:line="360" w:lineRule="auto"/>
              <w:jc w:val="both"/>
              <w:rPr>
                <w:rFonts w:ascii="Arial" w:hAnsi="Arial" w:cs="Arial"/>
                <w:sz w:val="18"/>
                <w:szCs w:val="18"/>
              </w:rPr>
            </w:pPr>
            <w:r w:rsidRPr="00C2508D">
              <w:rPr>
                <w:rFonts w:ascii="Arial" w:hAnsi="Arial" w:cs="Arial"/>
                <w:sz w:val="18"/>
                <w:szCs w:val="18"/>
              </w:rPr>
              <w:t>Cross-sectional design limits causal inference; findings limited to an Australian population; reliance on available language data may exclude some cases.</w:t>
            </w:r>
          </w:p>
        </w:tc>
        <w:tc>
          <w:tcPr>
            <w:tcW w:w="1701" w:type="dxa"/>
          </w:tcPr>
          <w:p w14:paraId="3A67B40A" w14:textId="77777777" w:rsidR="00ED6DF0" w:rsidRPr="000B26B9" w:rsidRDefault="00ED6DF0" w:rsidP="003A26A0">
            <w:pPr>
              <w:spacing w:line="360" w:lineRule="auto"/>
              <w:jc w:val="both"/>
              <w:rPr>
                <w:rFonts w:ascii="Arial" w:hAnsi="Arial" w:cs="Arial"/>
                <w:sz w:val="18"/>
                <w:szCs w:val="18"/>
              </w:rPr>
            </w:pPr>
            <w:r w:rsidRPr="00C2508D">
              <w:rPr>
                <w:rFonts w:ascii="Arial" w:hAnsi="Arial" w:cs="Arial"/>
                <w:sz w:val="18"/>
                <w:szCs w:val="18"/>
              </w:rPr>
              <w:t>Prevalence of DLD was 6.4% (n = 104). Of affected children, 33.7% had expressive deficits, 20.2% receptive deficits, and 46.2% receptive-expressive deficits. No significant sex difference observed. In utero exposure to smoke at 18 weeks gestation was associated with increased risk of DLD (OR = 2.56, CI = 1.23–5.35).</w:t>
            </w:r>
          </w:p>
        </w:tc>
        <w:tc>
          <w:tcPr>
            <w:tcW w:w="1559" w:type="dxa"/>
          </w:tcPr>
          <w:p w14:paraId="3772B9F3" w14:textId="77777777" w:rsidR="00ED6DF0" w:rsidRPr="000B26B9" w:rsidRDefault="00ED6DF0" w:rsidP="003A26A0">
            <w:pPr>
              <w:spacing w:line="360" w:lineRule="auto"/>
              <w:jc w:val="both"/>
              <w:rPr>
                <w:rFonts w:ascii="Arial" w:hAnsi="Arial" w:cs="Arial"/>
                <w:sz w:val="18"/>
                <w:szCs w:val="18"/>
              </w:rPr>
            </w:pPr>
            <w:r w:rsidRPr="00C2508D">
              <w:rPr>
                <w:rFonts w:ascii="Arial" w:hAnsi="Arial" w:cs="Arial"/>
                <w:sz w:val="18"/>
                <w:szCs w:val="18"/>
              </w:rPr>
              <w:t>Developmental Language Disorder is a relatively common condition in middle childhood. Prenatal exposure to smoking is a significant risk factor, highlighting the importance of early prevention strategies to inform public health and educational policy.</w:t>
            </w:r>
          </w:p>
        </w:tc>
      </w:tr>
      <w:tr w:rsidR="00ED6DF0" w:rsidRPr="000B26B9" w14:paraId="50F7852D" w14:textId="77777777" w:rsidTr="003A26A0">
        <w:trPr>
          <w:trHeight w:val="324"/>
        </w:trPr>
        <w:tc>
          <w:tcPr>
            <w:tcW w:w="993" w:type="dxa"/>
          </w:tcPr>
          <w:p w14:paraId="10273505" w14:textId="77777777" w:rsidR="00ED6DF0" w:rsidRPr="000B26B9" w:rsidRDefault="00ED6DF0" w:rsidP="003A26A0">
            <w:pPr>
              <w:spacing w:line="360" w:lineRule="auto"/>
              <w:jc w:val="both"/>
              <w:rPr>
                <w:rFonts w:ascii="Arial" w:hAnsi="Arial" w:cs="Arial"/>
                <w:sz w:val="18"/>
                <w:szCs w:val="18"/>
              </w:rPr>
            </w:pPr>
            <w:r w:rsidRPr="00610165">
              <w:rPr>
                <w:rFonts w:ascii="Arial" w:hAnsi="Arial" w:cs="Arial"/>
                <w:sz w:val="18"/>
                <w:szCs w:val="18"/>
              </w:rPr>
              <w:t>Cheung</w:t>
            </w:r>
            <w:r>
              <w:rPr>
                <w:rFonts w:ascii="Arial" w:hAnsi="Arial" w:cs="Arial"/>
                <w:sz w:val="18"/>
                <w:szCs w:val="18"/>
              </w:rPr>
              <w:t xml:space="preserve"> et al, 2023</w:t>
            </w:r>
          </w:p>
        </w:tc>
        <w:tc>
          <w:tcPr>
            <w:tcW w:w="1418" w:type="dxa"/>
          </w:tcPr>
          <w:p w14:paraId="4B29BD6F" w14:textId="77777777" w:rsidR="00ED6DF0" w:rsidRPr="000B26B9" w:rsidRDefault="00ED6DF0" w:rsidP="003A26A0">
            <w:pPr>
              <w:spacing w:line="360" w:lineRule="auto"/>
              <w:jc w:val="both"/>
              <w:rPr>
                <w:rFonts w:ascii="Arial" w:hAnsi="Arial" w:cs="Arial"/>
                <w:sz w:val="18"/>
                <w:szCs w:val="18"/>
              </w:rPr>
            </w:pPr>
            <w:r w:rsidRPr="00B648D2">
              <w:rPr>
                <w:rFonts w:ascii="Arial" w:hAnsi="Arial" w:cs="Arial"/>
                <w:sz w:val="18"/>
                <w:szCs w:val="18"/>
              </w:rPr>
              <w:t xml:space="preserve">To examine the prevalence of late talking (preschool language delay) and identify demographic, maternal, and </w:t>
            </w:r>
            <w:r w:rsidRPr="00B648D2">
              <w:rPr>
                <w:rFonts w:ascii="Arial" w:hAnsi="Arial" w:cs="Arial"/>
                <w:sz w:val="18"/>
                <w:szCs w:val="18"/>
              </w:rPr>
              <w:lastRenderedPageBreak/>
              <w:t>child-related risk factors in an ethnically diverse, bilingual, and socio-economically deprived UK population.</w:t>
            </w:r>
          </w:p>
        </w:tc>
        <w:tc>
          <w:tcPr>
            <w:tcW w:w="1134" w:type="dxa"/>
          </w:tcPr>
          <w:p w14:paraId="1B552325" w14:textId="77777777" w:rsidR="00ED6DF0" w:rsidRPr="000B26B9" w:rsidRDefault="00ED6DF0" w:rsidP="003A26A0">
            <w:pPr>
              <w:spacing w:line="360" w:lineRule="auto"/>
              <w:jc w:val="both"/>
              <w:rPr>
                <w:rFonts w:ascii="Arial" w:hAnsi="Arial" w:cs="Arial"/>
                <w:sz w:val="18"/>
                <w:szCs w:val="18"/>
              </w:rPr>
            </w:pPr>
            <w:r w:rsidRPr="00B648D2">
              <w:rPr>
                <w:rFonts w:ascii="Arial" w:hAnsi="Arial" w:cs="Arial"/>
                <w:sz w:val="18"/>
                <w:szCs w:val="18"/>
              </w:rPr>
              <w:lastRenderedPageBreak/>
              <w:t xml:space="preserve">United Kingdom; Born in Bradford’s Better Start birth cohort; 712 children aged 2 </w:t>
            </w:r>
            <w:r w:rsidRPr="00B648D2">
              <w:rPr>
                <w:rFonts w:ascii="Arial" w:hAnsi="Arial" w:cs="Arial"/>
                <w:sz w:val="18"/>
                <w:szCs w:val="18"/>
              </w:rPr>
              <w:lastRenderedPageBreak/>
              <w:t>years living in an ethnically diverse, predominantly bilingual, deprived area.</w:t>
            </w:r>
          </w:p>
        </w:tc>
        <w:tc>
          <w:tcPr>
            <w:tcW w:w="1559" w:type="dxa"/>
          </w:tcPr>
          <w:p w14:paraId="2C31F16C" w14:textId="77777777" w:rsidR="00ED6DF0" w:rsidRPr="00AF158C" w:rsidRDefault="00ED6DF0" w:rsidP="003A26A0">
            <w:pPr>
              <w:rPr>
                <w:rFonts w:ascii="Arial" w:hAnsi="Arial" w:cs="Arial"/>
                <w:sz w:val="18"/>
                <w:szCs w:val="18"/>
              </w:rPr>
            </w:pPr>
            <w:r w:rsidRPr="00B648D2">
              <w:rPr>
                <w:rFonts w:ascii="Arial" w:hAnsi="Arial" w:cs="Arial"/>
                <w:sz w:val="18"/>
                <w:szCs w:val="18"/>
              </w:rPr>
              <w:lastRenderedPageBreak/>
              <w:t>Observational cohort study using secondary data analysis with hierarchical linear and logistic regression models.</w:t>
            </w:r>
          </w:p>
        </w:tc>
        <w:tc>
          <w:tcPr>
            <w:tcW w:w="1134" w:type="dxa"/>
          </w:tcPr>
          <w:p w14:paraId="130791CE" w14:textId="77777777" w:rsidR="00ED6DF0" w:rsidRPr="00AF158C" w:rsidRDefault="00ED6DF0" w:rsidP="003A26A0">
            <w:pPr>
              <w:rPr>
                <w:rFonts w:ascii="Arial" w:hAnsi="Arial" w:cs="Arial"/>
                <w:sz w:val="18"/>
                <w:szCs w:val="18"/>
              </w:rPr>
            </w:pPr>
            <w:r w:rsidRPr="00B648D2">
              <w:rPr>
                <w:rFonts w:ascii="Arial" w:hAnsi="Arial" w:cs="Arial"/>
                <w:sz w:val="18"/>
                <w:szCs w:val="18"/>
              </w:rPr>
              <w:t xml:space="preserve">Large community-based cohort; UK setting; inclusion of multiple risk domains (demographic, maternal, distal and proximal </w:t>
            </w:r>
            <w:r w:rsidRPr="00B648D2">
              <w:rPr>
                <w:rFonts w:ascii="Arial" w:hAnsi="Arial" w:cs="Arial"/>
                <w:sz w:val="18"/>
                <w:szCs w:val="18"/>
              </w:rPr>
              <w:lastRenderedPageBreak/>
              <w:t>child factors); use of validated language assessment tool (Oxford-CDI Short).</w:t>
            </w:r>
          </w:p>
        </w:tc>
        <w:tc>
          <w:tcPr>
            <w:tcW w:w="1276" w:type="dxa"/>
          </w:tcPr>
          <w:p w14:paraId="24714FF3" w14:textId="77777777" w:rsidR="00ED6DF0" w:rsidRPr="000B26B9" w:rsidRDefault="00ED6DF0" w:rsidP="003A26A0">
            <w:pPr>
              <w:spacing w:line="360" w:lineRule="auto"/>
              <w:jc w:val="both"/>
              <w:rPr>
                <w:rFonts w:ascii="Arial" w:hAnsi="Arial" w:cs="Arial"/>
                <w:sz w:val="18"/>
                <w:szCs w:val="18"/>
              </w:rPr>
            </w:pPr>
            <w:r w:rsidRPr="00B648D2">
              <w:rPr>
                <w:rFonts w:ascii="Arial" w:hAnsi="Arial" w:cs="Arial"/>
                <w:sz w:val="18"/>
                <w:szCs w:val="18"/>
              </w:rPr>
              <w:lastRenderedPageBreak/>
              <w:t>Focus on children aged 2 years limits direct applicability to older age groups; reliance on parent-</w:t>
            </w:r>
            <w:r w:rsidRPr="00B648D2">
              <w:rPr>
                <w:rFonts w:ascii="Arial" w:hAnsi="Arial" w:cs="Arial"/>
                <w:sz w:val="18"/>
                <w:szCs w:val="18"/>
              </w:rPr>
              <w:lastRenderedPageBreak/>
              <w:t>reported measures for some variables; findings may not generalise beyond deprived urban settings.</w:t>
            </w:r>
          </w:p>
        </w:tc>
        <w:tc>
          <w:tcPr>
            <w:tcW w:w="1701" w:type="dxa"/>
          </w:tcPr>
          <w:p w14:paraId="2A14D507" w14:textId="77777777" w:rsidR="00ED6DF0" w:rsidRPr="000B26B9" w:rsidRDefault="00ED6DF0" w:rsidP="003A26A0">
            <w:pPr>
              <w:spacing w:line="360" w:lineRule="auto"/>
              <w:jc w:val="both"/>
              <w:rPr>
                <w:rFonts w:ascii="Arial" w:hAnsi="Arial" w:cs="Arial"/>
                <w:sz w:val="18"/>
                <w:szCs w:val="18"/>
              </w:rPr>
            </w:pPr>
            <w:r w:rsidRPr="00B648D2">
              <w:rPr>
                <w:rFonts w:ascii="Arial" w:hAnsi="Arial" w:cs="Arial"/>
                <w:sz w:val="18"/>
                <w:szCs w:val="18"/>
              </w:rPr>
              <w:lastRenderedPageBreak/>
              <w:t xml:space="preserve">Prevalence of late talking was 24.86%. Significant risk factors included male sex (OR 2.07), receptive vocabulary delay (OR 8.40), and </w:t>
            </w:r>
            <w:r w:rsidRPr="00B648D2">
              <w:rPr>
                <w:rFonts w:ascii="Arial" w:hAnsi="Arial" w:cs="Arial"/>
                <w:sz w:val="18"/>
                <w:szCs w:val="18"/>
              </w:rPr>
              <w:lastRenderedPageBreak/>
              <w:t>parent-reported hearing concerns (OR 7.85). Protective factors included increased household size (OR 0.85) and older age (OR 0.82). Proximal child factors explained the greatest variance in expressive vocabulary (49.51%).</w:t>
            </w:r>
          </w:p>
        </w:tc>
        <w:tc>
          <w:tcPr>
            <w:tcW w:w="1559" w:type="dxa"/>
          </w:tcPr>
          <w:p w14:paraId="7C3D2669" w14:textId="77777777" w:rsidR="00ED6DF0" w:rsidRPr="000B26B9" w:rsidRDefault="00ED6DF0" w:rsidP="003A26A0">
            <w:pPr>
              <w:spacing w:line="360" w:lineRule="auto"/>
              <w:jc w:val="both"/>
              <w:rPr>
                <w:rFonts w:ascii="Arial" w:hAnsi="Arial" w:cs="Arial"/>
                <w:sz w:val="18"/>
                <w:szCs w:val="18"/>
              </w:rPr>
            </w:pPr>
            <w:r w:rsidRPr="00B648D2">
              <w:rPr>
                <w:rFonts w:ascii="Arial" w:hAnsi="Arial" w:cs="Arial"/>
                <w:sz w:val="18"/>
                <w:szCs w:val="18"/>
              </w:rPr>
              <w:lastRenderedPageBreak/>
              <w:t xml:space="preserve">Early language delay is common in ethnically diverse and deprived UK populations. Proximal child factors are stronger </w:t>
            </w:r>
            <w:r w:rsidRPr="00B648D2">
              <w:rPr>
                <w:rFonts w:ascii="Arial" w:hAnsi="Arial" w:cs="Arial"/>
                <w:sz w:val="18"/>
                <w:szCs w:val="18"/>
              </w:rPr>
              <w:lastRenderedPageBreak/>
              <w:t>predictors of language delay than demographic variables, highlighting the importance of early identification and targeted support for vulnerable groups.</w:t>
            </w:r>
          </w:p>
        </w:tc>
      </w:tr>
      <w:tr w:rsidR="00ED6DF0" w:rsidRPr="000B26B9" w14:paraId="3D3068ED" w14:textId="77777777" w:rsidTr="003A26A0">
        <w:trPr>
          <w:trHeight w:val="324"/>
        </w:trPr>
        <w:tc>
          <w:tcPr>
            <w:tcW w:w="993" w:type="dxa"/>
          </w:tcPr>
          <w:p w14:paraId="42BCF314" w14:textId="77777777" w:rsidR="00ED6DF0" w:rsidRPr="000B26B9" w:rsidRDefault="00ED6DF0" w:rsidP="003A26A0">
            <w:pPr>
              <w:spacing w:line="360" w:lineRule="auto"/>
              <w:jc w:val="both"/>
              <w:rPr>
                <w:rFonts w:ascii="Arial" w:hAnsi="Arial" w:cs="Arial"/>
                <w:sz w:val="18"/>
                <w:szCs w:val="18"/>
              </w:rPr>
            </w:pPr>
            <w:r w:rsidRPr="00841114">
              <w:rPr>
                <w:rFonts w:ascii="Arial" w:hAnsi="Arial" w:cs="Arial"/>
                <w:sz w:val="18"/>
                <w:szCs w:val="18"/>
              </w:rPr>
              <w:lastRenderedPageBreak/>
              <w:t>Ogundele</w:t>
            </w:r>
            <w:r>
              <w:rPr>
                <w:rFonts w:ascii="Arial" w:hAnsi="Arial" w:cs="Arial"/>
                <w:sz w:val="18"/>
                <w:szCs w:val="18"/>
              </w:rPr>
              <w:t>, 2016</w:t>
            </w:r>
          </w:p>
        </w:tc>
        <w:tc>
          <w:tcPr>
            <w:tcW w:w="1418" w:type="dxa"/>
          </w:tcPr>
          <w:p w14:paraId="65C61709" w14:textId="77777777" w:rsidR="00ED6DF0" w:rsidRPr="000B26B9" w:rsidRDefault="00ED6DF0" w:rsidP="003A26A0">
            <w:pPr>
              <w:spacing w:line="360" w:lineRule="auto"/>
              <w:jc w:val="both"/>
              <w:rPr>
                <w:rFonts w:ascii="Arial" w:hAnsi="Arial" w:cs="Arial"/>
                <w:sz w:val="18"/>
                <w:szCs w:val="18"/>
              </w:rPr>
            </w:pPr>
            <w:r w:rsidRPr="00D465B3">
              <w:rPr>
                <w:rFonts w:ascii="Arial" w:hAnsi="Arial" w:cs="Arial"/>
                <w:sz w:val="18"/>
                <w:szCs w:val="18"/>
              </w:rPr>
              <w:t>To evaluate the influence of socio-economic status on the distribution and types of behavioural disorders, including ADHD, among school-age children.</w:t>
            </w:r>
          </w:p>
        </w:tc>
        <w:tc>
          <w:tcPr>
            <w:tcW w:w="1134" w:type="dxa"/>
          </w:tcPr>
          <w:p w14:paraId="7B6EAD20" w14:textId="77777777" w:rsidR="00ED6DF0" w:rsidRPr="00F765F5" w:rsidRDefault="00ED6DF0" w:rsidP="003A26A0">
            <w:pPr>
              <w:rPr>
                <w:rFonts w:ascii="Arial" w:hAnsi="Arial" w:cs="Arial"/>
                <w:sz w:val="18"/>
                <w:szCs w:val="18"/>
              </w:rPr>
            </w:pPr>
            <w:r w:rsidRPr="00D465B3">
              <w:rPr>
                <w:rFonts w:ascii="Arial" w:hAnsi="Arial" w:cs="Arial"/>
                <w:sz w:val="18"/>
                <w:szCs w:val="18"/>
              </w:rPr>
              <w:t xml:space="preserve">North West of England; Community Paediatric Unit within a large NHS Foundation Trust; 201 school-age children referred over </w:t>
            </w:r>
            <w:r>
              <w:rPr>
                <w:rFonts w:ascii="Arial" w:hAnsi="Arial" w:cs="Arial"/>
                <w:sz w:val="18"/>
                <w:szCs w:val="18"/>
              </w:rPr>
              <w:t>22 months</w:t>
            </w:r>
            <w:r w:rsidRPr="00D465B3">
              <w:rPr>
                <w:rFonts w:ascii="Arial" w:hAnsi="Arial" w:cs="Arial"/>
                <w:sz w:val="18"/>
                <w:szCs w:val="18"/>
              </w:rPr>
              <w:t xml:space="preserve"> (Jan 2014–Oct 2015).</w:t>
            </w:r>
          </w:p>
        </w:tc>
        <w:tc>
          <w:tcPr>
            <w:tcW w:w="1559" w:type="dxa"/>
          </w:tcPr>
          <w:p w14:paraId="5FF4A44D" w14:textId="77777777" w:rsidR="00ED6DF0" w:rsidRPr="000B26B9" w:rsidRDefault="00ED6DF0" w:rsidP="003A26A0">
            <w:pPr>
              <w:spacing w:line="360" w:lineRule="auto"/>
              <w:jc w:val="both"/>
              <w:rPr>
                <w:rFonts w:ascii="Arial" w:hAnsi="Arial" w:cs="Arial"/>
                <w:sz w:val="18"/>
                <w:szCs w:val="18"/>
              </w:rPr>
            </w:pPr>
            <w:r w:rsidRPr="00D465B3">
              <w:rPr>
                <w:rFonts w:ascii="Arial" w:hAnsi="Arial" w:cs="Arial"/>
                <w:sz w:val="18"/>
                <w:szCs w:val="18"/>
              </w:rPr>
              <w:t>Retrospective observational study using clinical record review and Index of Multiple Deprivation (IMD) 2015.</w:t>
            </w:r>
          </w:p>
        </w:tc>
        <w:tc>
          <w:tcPr>
            <w:tcW w:w="1134" w:type="dxa"/>
          </w:tcPr>
          <w:p w14:paraId="47500B98" w14:textId="77777777" w:rsidR="00ED6DF0" w:rsidRPr="000B26B9" w:rsidRDefault="00ED6DF0" w:rsidP="003A26A0">
            <w:pPr>
              <w:spacing w:line="360" w:lineRule="auto"/>
              <w:jc w:val="both"/>
              <w:rPr>
                <w:rFonts w:ascii="Arial" w:hAnsi="Arial" w:cs="Arial"/>
                <w:sz w:val="18"/>
                <w:szCs w:val="18"/>
              </w:rPr>
            </w:pPr>
            <w:r w:rsidRPr="00D465B3">
              <w:rPr>
                <w:rFonts w:ascii="Arial" w:hAnsi="Arial" w:cs="Arial"/>
                <w:sz w:val="18"/>
                <w:szCs w:val="18"/>
              </w:rPr>
              <w:t>England-specific NHS setting; use of a validated deprivation measure (IMD); focus on real-world clinical caseload; inclusion of family and social adversity data.</w:t>
            </w:r>
          </w:p>
        </w:tc>
        <w:tc>
          <w:tcPr>
            <w:tcW w:w="1276" w:type="dxa"/>
          </w:tcPr>
          <w:p w14:paraId="64D99617" w14:textId="77777777" w:rsidR="00ED6DF0" w:rsidRPr="00F765F5" w:rsidRDefault="00ED6DF0" w:rsidP="003A26A0">
            <w:pPr>
              <w:rPr>
                <w:rFonts w:ascii="Arial" w:hAnsi="Arial" w:cs="Arial"/>
                <w:sz w:val="18"/>
                <w:szCs w:val="18"/>
              </w:rPr>
            </w:pPr>
            <w:r w:rsidRPr="00D465B3">
              <w:rPr>
                <w:rFonts w:ascii="Arial" w:hAnsi="Arial" w:cs="Arial"/>
                <w:sz w:val="18"/>
                <w:szCs w:val="18"/>
              </w:rPr>
              <w:t>Retrospective design; single-district sample limits generalisability; reliance on clinical records may result in incomplete data; no control group.</w:t>
            </w:r>
          </w:p>
        </w:tc>
        <w:tc>
          <w:tcPr>
            <w:tcW w:w="1701" w:type="dxa"/>
          </w:tcPr>
          <w:p w14:paraId="0A5FE253" w14:textId="77777777" w:rsidR="00ED6DF0" w:rsidRPr="000B26B9" w:rsidRDefault="00ED6DF0" w:rsidP="003A26A0">
            <w:pPr>
              <w:spacing w:line="360" w:lineRule="auto"/>
              <w:jc w:val="both"/>
              <w:rPr>
                <w:rFonts w:ascii="Arial" w:hAnsi="Arial" w:cs="Arial"/>
                <w:sz w:val="18"/>
                <w:szCs w:val="18"/>
              </w:rPr>
            </w:pPr>
            <w:r w:rsidRPr="00D465B3">
              <w:rPr>
                <w:rFonts w:ascii="Arial" w:hAnsi="Arial" w:cs="Arial"/>
                <w:sz w:val="18"/>
                <w:szCs w:val="18"/>
              </w:rPr>
              <w:t>Children from the most deprived deciles accounted for 39% of referrals, and 70% were from the most deprived quintiles. Prevalence in the most deprived decile (11.6/1000) was substantially higher than in affluent areas. High levels of family adversity were reported, including parental separation (24%), foster/adoption history (11%), and exposure to abuse or domestic violence (9%).</w:t>
            </w:r>
          </w:p>
        </w:tc>
        <w:tc>
          <w:tcPr>
            <w:tcW w:w="1559" w:type="dxa"/>
          </w:tcPr>
          <w:p w14:paraId="1B7A4832" w14:textId="77777777" w:rsidR="00ED6DF0" w:rsidRPr="000B26B9" w:rsidRDefault="00ED6DF0" w:rsidP="003A26A0">
            <w:pPr>
              <w:spacing w:line="360" w:lineRule="auto"/>
              <w:jc w:val="both"/>
              <w:rPr>
                <w:rFonts w:ascii="Arial" w:hAnsi="Arial" w:cs="Arial"/>
                <w:sz w:val="18"/>
                <w:szCs w:val="18"/>
              </w:rPr>
            </w:pPr>
            <w:r w:rsidRPr="00D465B3">
              <w:rPr>
                <w:rFonts w:ascii="Arial" w:hAnsi="Arial" w:cs="Arial"/>
                <w:sz w:val="18"/>
                <w:szCs w:val="18"/>
              </w:rPr>
              <w:t>Socio-economic deprivation is strongly associated with behavioural disorders in school-age children in the North West of England. Poverty-related chronic stressors appear to contribute significantly to behavioural and mental health difficulties, highlighting the need for integrated, multi-agency interventions.</w:t>
            </w:r>
          </w:p>
        </w:tc>
      </w:tr>
      <w:tr w:rsidR="00ED6DF0" w:rsidRPr="000B26B9" w14:paraId="68C259C2" w14:textId="77777777" w:rsidTr="003A26A0">
        <w:trPr>
          <w:trHeight w:val="311"/>
        </w:trPr>
        <w:tc>
          <w:tcPr>
            <w:tcW w:w="993" w:type="dxa"/>
          </w:tcPr>
          <w:p w14:paraId="05361FDF"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t>Guhn</w:t>
            </w:r>
            <w:r>
              <w:rPr>
                <w:rFonts w:ascii="Arial" w:hAnsi="Arial" w:cs="Arial"/>
                <w:sz w:val="18"/>
                <w:szCs w:val="18"/>
              </w:rPr>
              <w:t xml:space="preserve"> et al, 2020</w:t>
            </w:r>
          </w:p>
        </w:tc>
        <w:tc>
          <w:tcPr>
            <w:tcW w:w="1418" w:type="dxa"/>
          </w:tcPr>
          <w:p w14:paraId="08716457"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t>To examine how biological, socio-</w:t>
            </w:r>
            <w:r w:rsidRPr="004054C8">
              <w:rPr>
                <w:rFonts w:ascii="Arial" w:hAnsi="Arial" w:cs="Arial"/>
                <w:sz w:val="18"/>
                <w:szCs w:val="18"/>
              </w:rPr>
              <w:lastRenderedPageBreak/>
              <w:t>demographic, and socio-economic status (SES) factors at birth are associated with children’s emotional development and mental health outcomes during childhood.</w:t>
            </w:r>
          </w:p>
        </w:tc>
        <w:tc>
          <w:tcPr>
            <w:tcW w:w="1134" w:type="dxa"/>
          </w:tcPr>
          <w:p w14:paraId="0123052C" w14:textId="77777777" w:rsidR="00ED6DF0" w:rsidRPr="00CF54B4" w:rsidRDefault="00ED6DF0" w:rsidP="003A26A0">
            <w:pPr>
              <w:rPr>
                <w:rFonts w:ascii="Arial" w:hAnsi="Arial" w:cs="Arial"/>
                <w:sz w:val="18"/>
                <w:szCs w:val="18"/>
              </w:rPr>
            </w:pPr>
            <w:r w:rsidRPr="004054C8">
              <w:rPr>
                <w:rFonts w:ascii="Arial" w:hAnsi="Arial" w:cs="Arial"/>
                <w:sz w:val="18"/>
                <w:szCs w:val="18"/>
              </w:rPr>
              <w:lastRenderedPageBreak/>
              <w:t xml:space="preserve">British Columbia, Canada; population-based </w:t>
            </w:r>
            <w:r w:rsidRPr="004054C8">
              <w:rPr>
                <w:rFonts w:ascii="Arial" w:hAnsi="Arial" w:cs="Arial"/>
                <w:sz w:val="18"/>
                <w:szCs w:val="18"/>
              </w:rPr>
              <w:lastRenderedPageBreak/>
              <w:t>linked datasets including healthcare, socio-economic, and survey data. Kindergarten cohort: 134,094 children (mean age 5.7 years). Administrative health records cohort: 89,404 children followed from ages 5–15 years.</w:t>
            </w:r>
          </w:p>
        </w:tc>
        <w:tc>
          <w:tcPr>
            <w:tcW w:w="1559" w:type="dxa"/>
          </w:tcPr>
          <w:p w14:paraId="378A18DD"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lastRenderedPageBreak/>
              <w:t xml:space="preserve">Population-based observational </w:t>
            </w:r>
            <w:r w:rsidRPr="004054C8">
              <w:rPr>
                <w:rFonts w:ascii="Arial" w:hAnsi="Arial" w:cs="Arial"/>
                <w:sz w:val="18"/>
                <w:szCs w:val="18"/>
              </w:rPr>
              <w:lastRenderedPageBreak/>
              <w:t>study using linked administrative and survey data analyses.</w:t>
            </w:r>
          </w:p>
        </w:tc>
        <w:tc>
          <w:tcPr>
            <w:tcW w:w="1134" w:type="dxa"/>
          </w:tcPr>
          <w:p w14:paraId="47E8B2BF"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lastRenderedPageBreak/>
              <w:t xml:space="preserve">Very large population-based </w:t>
            </w:r>
            <w:r w:rsidRPr="004054C8">
              <w:rPr>
                <w:rFonts w:ascii="Arial" w:hAnsi="Arial" w:cs="Arial"/>
                <w:sz w:val="18"/>
                <w:szCs w:val="18"/>
              </w:rPr>
              <w:lastRenderedPageBreak/>
              <w:t>sample; longitudinal follow-up across childhood; linkage of multiple high-quality datasets; examination of both behavioural ratings and clinically diagnosed mental health conditions.</w:t>
            </w:r>
          </w:p>
        </w:tc>
        <w:tc>
          <w:tcPr>
            <w:tcW w:w="1276" w:type="dxa"/>
          </w:tcPr>
          <w:p w14:paraId="451E343C"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lastRenderedPageBreak/>
              <w:t xml:space="preserve">Conducted outside England </w:t>
            </w:r>
            <w:r w:rsidRPr="004054C8">
              <w:rPr>
                <w:rFonts w:ascii="Arial" w:hAnsi="Arial" w:cs="Arial"/>
                <w:sz w:val="18"/>
                <w:szCs w:val="18"/>
              </w:rPr>
              <w:lastRenderedPageBreak/>
              <w:t>context; observational design limits causal inference; reliance on administrative diagnostic codes may underrepresent undiagnosed conditions.</w:t>
            </w:r>
          </w:p>
        </w:tc>
        <w:tc>
          <w:tcPr>
            <w:tcW w:w="1701" w:type="dxa"/>
          </w:tcPr>
          <w:p w14:paraId="32C6BC63"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lastRenderedPageBreak/>
              <w:t xml:space="preserve">Biological factors at birth (gestational age, </w:t>
            </w:r>
            <w:r w:rsidRPr="004054C8">
              <w:rPr>
                <w:rFonts w:ascii="Arial" w:hAnsi="Arial" w:cs="Arial"/>
                <w:sz w:val="18"/>
                <w:szCs w:val="18"/>
              </w:rPr>
              <w:lastRenderedPageBreak/>
              <w:t>birthweight) and maternal demographics were associated with emotional and mental health outcomes. Low SES was consistently linked to poorer outcomes, with adjusted odds of mental health conditions 25–39% higher among children from low-income families.</w:t>
            </w:r>
          </w:p>
        </w:tc>
        <w:tc>
          <w:tcPr>
            <w:tcW w:w="1559" w:type="dxa"/>
          </w:tcPr>
          <w:p w14:paraId="0D35EC99" w14:textId="77777777" w:rsidR="00ED6DF0" w:rsidRPr="000B26B9" w:rsidRDefault="00ED6DF0" w:rsidP="003A26A0">
            <w:pPr>
              <w:spacing w:line="360" w:lineRule="auto"/>
              <w:jc w:val="both"/>
              <w:rPr>
                <w:rFonts w:ascii="Arial" w:hAnsi="Arial" w:cs="Arial"/>
                <w:sz w:val="18"/>
                <w:szCs w:val="18"/>
              </w:rPr>
            </w:pPr>
            <w:r w:rsidRPr="004054C8">
              <w:rPr>
                <w:rFonts w:ascii="Arial" w:hAnsi="Arial" w:cs="Arial"/>
                <w:sz w:val="18"/>
                <w:szCs w:val="18"/>
              </w:rPr>
              <w:lastRenderedPageBreak/>
              <w:t xml:space="preserve">Low socio-economic status is strongly </w:t>
            </w:r>
            <w:r w:rsidRPr="004054C8">
              <w:rPr>
                <w:rFonts w:ascii="Arial" w:hAnsi="Arial" w:cs="Arial"/>
                <w:sz w:val="18"/>
                <w:szCs w:val="18"/>
              </w:rPr>
              <w:lastRenderedPageBreak/>
              <w:t>associated with adverse emotional development and mental health outcomes in childhood. The findings reinforce poverty reduction as a critical public health priority for improving child mental health and developmental outcomes.</w:t>
            </w:r>
          </w:p>
        </w:tc>
      </w:tr>
      <w:tr w:rsidR="00ED6DF0" w:rsidRPr="000B26B9" w14:paraId="0706C45D" w14:textId="77777777" w:rsidTr="003A26A0">
        <w:trPr>
          <w:trHeight w:val="324"/>
        </w:trPr>
        <w:tc>
          <w:tcPr>
            <w:tcW w:w="993" w:type="dxa"/>
          </w:tcPr>
          <w:p w14:paraId="02FA5FD1" w14:textId="77777777" w:rsidR="00ED6DF0" w:rsidRPr="000B26B9" w:rsidRDefault="00ED6DF0" w:rsidP="003A26A0">
            <w:pPr>
              <w:spacing w:line="360" w:lineRule="auto"/>
              <w:jc w:val="both"/>
              <w:rPr>
                <w:rFonts w:ascii="Arial" w:hAnsi="Arial" w:cs="Arial"/>
                <w:sz w:val="18"/>
                <w:szCs w:val="18"/>
              </w:rPr>
            </w:pPr>
            <w:r w:rsidRPr="00BE3B21">
              <w:rPr>
                <w:rFonts w:ascii="Arial" w:hAnsi="Arial" w:cs="Arial"/>
                <w:sz w:val="18"/>
                <w:szCs w:val="18"/>
              </w:rPr>
              <w:lastRenderedPageBreak/>
              <w:t>Wright</w:t>
            </w:r>
            <w:r>
              <w:rPr>
                <w:rFonts w:ascii="Arial" w:hAnsi="Arial" w:cs="Arial"/>
                <w:sz w:val="18"/>
                <w:szCs w:val="18"/>
              </w:rPr>
              <w:t xml:space="preserve"> et al, 2023</w:t>
            </w:r>
          </w:p>
        </w:tc>
        <w:tc>
          <w:tcPr>
            <w:tcW w:w="1418" w:type="dxa"/>
          </w:tcPr>
          <w:p w14:paraId="5A3A7D76" w14:textId="77777777" w:rsidR="00ED6DF0" w:rsidRPr="000B26B9" w:rsidRDefault="00ED6DF0" w:rsidP="003A26A0">
            <w:pPr>
              <w:spacing w:line="360" w:lineRule="auto"/>
              <w:jc w:val="both"/>
              <w:rPr>
                <w:rFonts w:ascii="Arial" w:hAnsi="Arial" w:cs="Arial"/>
                <w:sz w:val="18"/>
                <w:szCs w:val="18"/>
              </w:rPr>
            </w:pPr>
            <w:r>
              <w:rPr>
                <w:rFonts w:ascii="Arial" w:hAnsi="Arial" w:cs="Arial"/>
                <w:sz w:val="18"/>
                <w:szCs w:val="18"/>
              </w:rPr>
              <w:t>T</w:t>
            </w:r>
            <w:r w:rsidRPr="00CD1F0F">
              <w:rPr>
                <w:rFonts w:ascii="Arial" w:hAnsi="Arial" w:cs="Arial"/>
                <w:sz w:val="18"/>
                <w:szCs w:val="18"/>
              </w:rPr>
              <w:t>o identify molecular diagnoses and examine factors influencing diagnostic yield in children with severe, likely monogenic, difficult-to-diagnose developmental disorders using genomewide sequencing approaches.</w:t>
            </w:r>
          </w:p>
        </w:tc>
        <w:tc>
          <w:tcPr>
            <w:tcW w:w="1134" w:type="dxa"/>
          </w:tcPr>
          <w:p w14:paraId="10EBFBFA" w14:textId="77777777" w:rsidR="00ED6DF0" w:rsidRPr="000B29BA" w:rsidRDefault="00ED6DF0" w:rsidP="003A26A0">
            <w:pPr>
              <w:rPr>
                <w:rFonts w:ascii="Arial" w:hAnsi="Arial" w:cs="Arial"/>
                <w:sz w:val="18"/>
                <w:szCs w:val="18"/>
              </w:rPr>
            </w:pPr>
            <w:r w:rsidRPr="00CD1F0F">
              <w:rPr>
                <w:rFonts w:ascii="Arial" w:hAnsi="Arial" w:cs="Arial"/>
                <w:sz w:val="18"/>
                <w:szCs w:val="18"/>
              </w:rPr>
              <w:t>United Kingdom and Ireland; 13,449 probands from more than 13,500 families referred through 24 regional genetics services.</w:t>
            </w:r>
          </w:p>
        </w:tc>
        <w:tc>
          <w:tcPr>
            <w:tcW w:w="1559" w:type="dxa"/>
          </w:tcPr>
          <w:p w14:paraId="482E63B6" w14:textId="77777777" w:rsidR="00ED6DF0" w:rsidRPr="000B26B9" w:rsidRDefault="00ED6DF0" w:rsidP="003A26A0">
            <w:pPr>
              <w:spacing w:line="360" w:lineRule="auto"/>
              <w:jc w:val="both"/>
              <w:rPr>
                <w:rFonts w:ascii="Arial" w:hAnsi="Arial" w:cs="Arial"/>
                <w:sz w:val="18"/>
                <w:szCs w:val="18"/>
              </w:rPr>
            </w:pPr>
            <w:r w:rsidRPr="00CD1F0F">
              <w:rPr>
                <w:rFonts w:ascii="Arial" w:hAnsi="Arial" w:cs="Arial"/>
                <w:sz w:val="18"/>
                <w:szCs w:val="18"/>
              </w:rPr>
              <w:t>Large-scale genomic observational study using exome sequencing, microarray analysis, and multivariable regression.</w:t>
            </w:r>
          </w:p>
        </w:tc>
        <w:tc>
          <w:tcPr>
            <w:tcW w:w="1134" w:type="dxa"/>
          </w:tcPr>
          <w:p w14:paraId="36B4184E" w14:textId="77777777" w:rsidR="00ED6DF0" w:rsidRPr="000B29BA" w:rsidRDefault="00ED6DF0" w:rsidP="003A26A0">
            <w:pPr>
              <w:rPr>
                <w:rFonts w:ascii="Arial" w:hAnsi="Arial" w:cs="Arial"/>
                <w:sz w:val="18"/>
                <w:szCs w:val="18"/>
              </w:rPr>
            </w:pPr>
            <w:r w:rsidRPr="00CD1F0F">
              <w:rPr>
                <w:rFonts w:ascii="Arial" w:hAnsi="Arial" w:cs="Arial"/>
                <w:sz w:val="18"/>
                <w:szCs w:val="18"/>
              </w:rPr>
              <w:t>Very large, clinically representative sample; use of advanced genomewide diagnostic techniques; standardised phenotypic data collection; robust statistical analysis of diagnostic predictors.</w:t>
            </w:r>
          </w:p>
        </w:tc>
        <w:tc>
          <w:tcPr>
            <w:tcW w:w="1276" w:type="dxa"/>
          </w:tcPr>
          <w:p w14:paraId="36154459" w14:textId="77777777" w:rsidR="00ED6DF0" w:rsidRPr="000B26B9" w:rsidRDefault="00ED6DF0" w:rsidP="003A26A0">
            <w:pPr>
              <w:spacing w:line="360" w:lineRule="auto"/>
              <w:jc w:val="both"/>
              <w:rPr>
                <w:rFonts w:ascii="Arial" w:hAnsi="Arial" w:cs="Arial"/>
                <w:sz w:val="18"/>
                <w:szCs w:val="18"/>
              </w:rPr>
            </w:pPr>
            <w:r w:rsidRPr="00CD1F0F">
              <w:rPr>
                <w:rFonts w:ascii="Arial" w:hAnsi="Arial" w:cs="Arial"/>
                <w:sz w:val="18"/>
                <w:szCs w:val="18"/>
              </w:rPr>
              <w:t>Focused on severe monogenic disorders limits generalisability to broader developmental delays; resource-intensive methods; underrepresentation of some ethnic groups may affect equity of diagnostic yield.</w:t>
            </w:r>
          </w:p>
        </w:tc>
        <w:tc>
          <w:tcPr>
            <w:tcW w:w="1701" w:type="dxa"/>
          </w:tcPr>
          <w:p w14:paraId="68EBE644" w14:textId="77777777" w:rsidR="00ED6DF0" w:rsidRPr="000B26B9" w:rsidRDefault="00ED6DF0" w:rsidP="003A26A0">
            <w:pPr>
              <w:spacing w:line="360" w:lineRule="auto"/>
              <w:jc w:val="both"/>
              <w:rPr>
                <w:rFonts w:ascii="Arial" w:hAnsi="Arial" w:cs="Arial"/>
                <w:sz w:val="18"/>
                <w:szCs w:val="18"/>
              </w:rPr>
            </w:pPr>
            <w:r w:rsidRPr="00CD1F0F">
              <w:rPr>
                <w:rFonts w:ascii="Arial" w:hAnsi="Arial" w:cs="Arial"/>
                <w:sz w:val="18"/>
                <w:szCs w:val="18"/>
              </w:rPr>
              <w:t xml:space="preserve">A molecular diagnosis was achieved in approximately 41% of probands. Pathogenic de novo variants accounted for 76% of diagnoses in parent–offspring trios. Diagnostic probability was lower in children born extremely prematurely, with in utero exposure to antiepileptic medication, maternal diabetes, or African ancestry. Recruitment as a parent–offspring </w:t>
            </w:r>
            <w:r w:rsidRPr="00CD1F0F">
              <w:rPr>
                <w:rFonts w:ascii="Arial" w:hAnsi="Arial" w:cs="Arial"/>
                <w:sz w:val="18"/>
                <w:szCs w:val="18"/>
              </w:rPr>
              <w:lastRenderedPageBreak/>
              <w:t>trio significantly increased diagnostic likelihood (OR 4.70).</w:t>
            </w:r>
          </w:p>
        </w:tc>
        <w:tc>
          <w:tcPr>
            <w:tcW w:w="1559" w:type="dxa"/>
          </w:tcPr>
          <w:p w14:paraId="3CEDBA09" w14:textId="77777777" w:rsidR="00ED6DF0" w:rsidRPr="000B26B9" w:rsidRDefault="00ED6DF0" w:rsidP="003A26A0">
            <w:pPr>
              <w:spacing w:line="360" w:lineRule="auto"/>
              <w:jc w:val="both"/>
              <w:rPr>
                <w:rFonts w:ascii="Arial" w:hAnsi="Arial" w:cs="Arial"/>
                <w:sz w:val="18"/>
                <w:szCs w:val="18"/>
              </w:rPr>
            </w:pPr>
            <w:r w:rsidRPr="00CD1F0F">
              <w:rPr>
                <w:rFonts w:ascii="Arial" w:hAnsi="Arial" w:cs="Arial"/>
                <w:sz w:val="18"/>
                <w:szCs w:val="18"/>
              </w:rPr>
              <w:lastRenderedPageBreak/>
              <w:t>Genomewide sequencing has substantial diagnostic utility for severe developmental disorders. Biological and perinatal factors influence diagnostic success, highlighting the need for equitable access to genomic services and consideration of early-life risk factors in diagnostic pathways.</w:t>
            </w:r>
          </w:p>
        </w:tc>
      </w:tr>
      <w:tr w:rsidR="00ED6DF0" w:rsidRPr="000B26B9" w14:paraId="44133698" w14:textId="77777777" w:rsidTr="003A26A0">
        <w:trPr>
          <w:trHeight w:val="324"/>
        </w:trPr>
        <w:tc>
          <w:tcPr>
            <w:tcW w:w="993" w:type="dxa"/>
          </w:tcPr>
          <w:p w14:paraId="29A7D623" w14:textId="77777777" w:rsidR="00ED6DF0" w:rsidRPr="000B26B9" w:rsidRDefault="00ED6DF0" w:rsidP="003A26A0">
            <w:pPr>
              <w:spacing w:line="360" w:lineRule="auto"/>
              <w:jc w:val="both"/>
              <w:rPr>
                <w:rFonts w:ascii="Arial" w:hAnsi="Arial" w:cs="Arial"/>
                <w:sz w:val="18"/>
                <w:szCs w:val="18"/>
              </w:rPr>
            </w:pPr>
            <w:r w:rsidRPr="003476EB">
              <w:rPr>
                <w:rFonts w:ascii="Arial" w:hAnsi="Arial" w:cs="Arial"/>
              </w:rPr>
              <w:t>Masefield</w:t>
            </w:r>
            <w:r>
              <w:rPr>
                <w:rFonts w:ascii="Arial" w:hAnsi="Arial" w:cs="Arial"/>
              </w:rPr>
              <w:t xml:space="preserve"> et al, 2021</w:t>
            </w:r>
          </w:p>
        </w:tc>
        <w:tc>
          <w:tcPr>
            <w:tcW w:w="1418" w:type="dxa"/>
          </w:tcPr>
          <w:p w14:paraId="26CED8F4" w14:textId="77777777" w:rsidR="00ED6DF0" w:rsidRPr="00205331" w:rsidRDefault="00ED6DF0" w:rsidP="003A26A0">
            <w:pPr>
              <w:rPr>
                <w:rFonts w:ascii="Arial" w:hAnsi="Arial" w:cs="Arial"/>
                <w:sz w:val="18"/>
                <w:szCs w:val="18"/>
              </w:rPr>
            </w:pPr>
            <w:r w:rsidRPr="00205331">
              <w:rPr>
                <w:rFonts w:ascii="Arial" w:hAnsi="Arial" w:cs="Arial"/>
                <w:sz w:val="18"/>
                <w:szCs w:val="18"/>
              </w:rPr>
              <w:t>To develop and apply a strategy for identifying children with probable and potential developmental disabilities under the age of five using UK primary care records, and to examine how reliance on definitive diagnoses affects prevalence estimates.</w:t>
            </w:r>
          </w:p>
        </w:tc>
        <w:tc>
          <w:tcPr>
            <w:tcW w:w="1134" w:type="dxa"/>
          </w:tcPr>
          <w:p w14:paraId="6865D31E" w14:textId="77777777" w:rsidR="00ED6DF0" w:rsidRPr="000B26B9" w:rsidRDefault="00ED6DF0" w:rsidP="003A26A0">
            <w:pPr>
              <w:spacing w:line="360" w:lineRule="auto"/>
              <w:jc w:val="both"/>
              <w:rPr>
                <w:rFonts w:ascii="Arial" w:hAnsi="Arial" w:cs="Arial"/>
                <w:sz w:val="18"/>
                <w:szCs w:val="18"/>
              </w:rPr>
            </w:pPr>
            <w:r w:rsidRPr="00205331">
              <w:rPr>
                <w:rFonts w:ascii="Arial" w:hAnsi="Arial" w:cs="Arial"/>
                <w:sz w:val="18"/>
                <w:szCs w:val="18"/>
              </w:rPr>
              <w:t>UK-based birth cohort (Born in Bradford); preschool-aged children (&lt;5 years) with linked maternal and child sociodemographic and primary care data.</w:t>
            </w:r>
          </w:p>
        </w:tc>
        <w:tc>
          <w:tcPr>
            <w:tcW w:w="1559" w:type="dxa"/>
          </w:tcPr>
          <w:p w14:paraId="256114DF" w14:textId="77777777" w:rsidR="00ED6DF0" w:rsidRPr="000B26B9" w:rsidRDefault="00ED6DF0" w:rsidP="003A26A0">
            <w:pPr>
              <w:spacing w:line="360" w:lineRule="auto"/>
              <w:jc w:val="both"/>
              <w:rPr>
                <w:rFonts w:ascii="Arial" w:hAnsi="Arial" w:cs="Arial"/>
                <w:sz w:val="18"/>
                <w:szCs w:val="18"/>
              </w:rPr>
            </w:pPr>
            <w:r w:rsidRPr="00205331">
              <w:rPr>
                <w:rFonts w:ascii="Arial" w:hAnsi="Arial" w:cs="Arial"/>
                <w:sz w:val="18"/>
                <w:szCs w:val="18"/>
              </w:rPr>
              <w:t>Population-based cohort study using routinely collected primary care electronic health records (Read codes).</w:t>
            </w:r>
          </w:p>
        </w:tc>
        <w:tc>
          <w:tcPr>
            <w:tcW w:w="1134" w:type="dxa"/>
          </w:tcPr>
          <w:p w14:paraId="186A62DD" w14:textId="77777777" w:rsidR="00ED6DF0" w:rsidRPr="00050E28" w:rsidRDefault="00ED6DF0" w:rsidP="003A26A0">
            <w:pPr>
              <w:rPr>
                <w:rFonts w:ascii="Arial" w:hAnsi="Arial" w:cs="Arial"/>
                <w:sz w:val="18"/>
                <w:szCs w:val="18"/>
              </w:rPr>
            </w:pPr>
            <w:r w:rsidRPr="00205331">
              <w:rPr>
                <w:rFonts w:ascii="Arial" w:hAnsi="Arial" w:cs="Arial"/>
                <w:sz w:val="18"/>
                <w:szCs w:val="18"/>
              </w:rPr>
              <w:t>Innovative two-part identification strategy capturing both probable and potential developmental disabilities; use of real-world primary care data; comparison with national and regional prevalence estimates; addresses under-ascertainment in early childhood.</w:t>
            </w:r>
          </w:p>
        </w:tc>
        <w:tc>
          <w:tcPr>
            <w:tcW w:w="1276" w:type="dxa"/>
          </w:tcPr>
          <w:p w14:paraId="445F866F" w14:textId="77777777" w:rsidR="00ED6DF0" w:rsidRPr="000B26B9" w:rsidRDefault="00ED6DF0" w:rsidP="003A26A0">
            <w:pPr>
              <w:spacing w:line="360" w:lineRule="auto"/>
              <w:jc w:val="both"/>
              <w:rPr>
                <w:rFonts w:ascii="Arial" w:hAnsi="Arial" w:cs="Arial"/>
                <w:sz w:val="18"/>
                <w:szCs w:val="18"/>
              </w:rPr>
            </w:pPr>
            <w:r w:rsidRPr="00205331">
              <w:rPr>
                <w:rFonts w:ascii="Arial" w:hAnsi="Arial" w:cs="Arial"/>
                <w:sz w:val="18"/>
                <w:szCs w:val="18"/>
              </w:rPr>
              <w:t>Reliance on diagnostic coding accuracy in primary care records; potential misclassification of developmental conditions; findings may not be fully generalisable beyond similar UK urban, deprived populations.</w:t>
            </w:r>
          </w:p>
        </w:tc>
        <w:tc>
          <w:tcPr>
            <w:tcW w:w="1701" w:type="dxa"/>
          </w:tcPr>
          <w:p w14:paraId="1FB53B79" w14:textId="77777777" w:rsidR="00ED6DF0" w:rsidRPr="000B26B9" w:rsidRDefault="00ED6DF0" w:rsidP="003A26A0">
            <w:pPr>
              <w:spacing w:line="360" w:lineRule="auto"/>
              <w:jc w:val="both"/>
              <w:rPr>
                <w:rFonts w:ascii="Arial" w:hAnsi="Arial" w:cs="Arial"/>
                <w:sz w:val="18"/>
                <w:szCs w:val="18"/>
              </w:rPr>
            </w:pPr>
            <w:r w:rsidRPr="00205331">
              <w:rPr>
                <w:rFonts w:ascii="Arial" w:hAnsi="Arial" w:cs="Arial"/>
                <w:sz w:val="18"/>
                <w:szCs w:val="18"/>
              </w:rPr>
              <w:t>Identified 83 children with diagnosed disability conditions and 394 with potential disability indicators, with overlap in 44 cases. Combined prevalence was 490 per 10,000 children, exceeding the UK estimate for under-fives (468 per 10,000) and aligning with Bradford estimates. Results indicate substantial underestimation when only definitive diagnoses are used.</w:t>
            </w:r>
          </w:p>
        </w:tc>
        <w:tc>
          <w:tcPr>
            <w:tcW w:w="1559" w:type="dxa"/>
          </w:tcPr>
          <w:p w14:paraId="06B7610F" w14:textId="77777777" w:rsidR="00ED6DF0" w:rsidRPr="000B26B9" w:rsidRDefault="00ED6DF0" w:rsidP="003A26A0">
            <w:pPr>
              <w:spacing w:line="360" w:lineRule="auto"/>
              <w:jc w:val="both"/>
              <w:rPr>
                <w:rFonts w:ascii="Arial" w:hAnsi="Arial" w:cs="Arial"/>
                <w:sz w:val="18"/>
                <w:szCs w:val="18"/>
              </w:rPr>
            </w:pPr>
            <w:r w:rsidRPr="00205331">
              <w:rPr>
                <w:rFonts w:ascii="Arial" w:hAnsi="Arial" w:cs="Arial"/>
                <w:sz w:val="18"/>
                <w:szCs w:val="18"/>
              </w:rPr>
              <w:t>Estimating developmental disability prevalence based solely on definitive diagnoses underestimates true need among preschool children. Including probable and potential disability indicators enables earlier identification, more accurate prevalence estimates, and improved planning for family support and services.</w:t>
            </w:r>
          </w:p>
        </w:tc>
      </w:tr>
      <w:tr w:rsidR="00ED6DF0" w:rsidRPr="000B26B9" w14:paraId="0D4D6996" w14:textId="77777777" w:rsidTr="003A26A0">
        <w:trPr>
          <w:trHeight w:val="324"/>
        </w:trPr>
        <w:tc>
          <w:tcPr>
            <w:tcW w:w="993" w:type="dxa"/>
          </w:tcPr>
          <w:p w14:paraId="30223D43" w14:textId="77777777" w:rsidR="00ED6DF0" w:rsidRPr="000B26B9" w:rsidRDefault="00ED6DF0" w:rsidP="003A26A0">
            <w:pPr>
              <w:spacing w:line="360" w:lineRule="auto"/>
              <w:jc w:val="both"/>
              <w:rPr>
                <w:rFonts w:ascii="Arial" w:hAnsi="Arial" w:cs="Arial"/>
                <w:sz w:val="18"/>
                <w:szCs w:val="18"/>
              </w:rPr>
            </w:pPr>
            <w:r w:rsidRPr="004E2B39">
              <w:rPr>
                <w:rFonts w:ascii="Arial" w:hAnsi="Arial" w:cs="Arial"/>
                <w:sz w:val="18"/>
                <w:szCs w:val="18"/>
              </w:rPr>
              <w:t>Williams</w:t>
            </w:r>
            <w:r>
              <w:rPr>
                <w:rFonts w:ascii="Arial" w:hAnsi="Arial" w:cs="Arial"/>
                <w:sz w:val="18"/>
                <w:szCs w:val="18"/>
              </w:rPr>
              <w:t xml:space="preserve"> et al, 2018</w:t>
            </w:r>
          </w:p>
        </w:tc>
        <w:tc>
          <w:tcPr>
            <w:tcW w:w="1418" w:type="dxa"/>
          </w:tcPr>
          <w:p w14:paraId="2C94F73A" w14:textId="77777777" w:rsidR="00ED6DF0" w:rsidRPr="000B26B9" w:rsidRDefault="00ED6DF0" w:rsidP="003A26A0">
            <w:pPr>
              <w:spacing w:line="360" w:lineRule="auto"/>
              <w:rPr>
                <w:rFonts w:ascii="Arial" w:hAnsi="Arial" w:cs="Arial"/>
                <w:sz w:val="18"/>
                <w:szCs w:val="18"/>
              </w:rPr>
            </w:pPr>
            <w:r w:rsidRPr="005271CB">
              <w:rPr>
                <w:rFonts w:ascii="Arial" w:hAnsi="Arial" w:cs="Arial"/>
                <w:sz w:val="18"/>
                <w:szCs w:val="18"/>
              </w:rPr>
              <w:t xml:space="preserve">To examine 40 years of Child Development Centre (CDC) activity, referral patterns, and assessment outcomes at Northampton General </w:t>
            </w:r>
            <w:r w:rsidRPr="005271CB">
              <w:rPr>
                <w:rFonts w:ascii="Arial" w:hAnsi="Arial" w:cs="Arial"/>
                <w:sz w:val="18"/>
                <w:szCs w:val="18"/>
              </w:rPr>
              <w:lastRenderedPageBreak/>
              <w:t>Hospital from 1974 to 2014.</w:t>
            </w:r>
          </w:p>
        </w:tc>
        <w:tc>
          <w:tcPr>
            <w:tcW w:w="1134" w:type="dxa"/>
          </w:tcPr>
          <w:p w14:paraId="69DD3546" w14:textId="77777777" w:rsidR="00ED6DF0" w:rsidRPr="000B26B9" w:rsidRDefault="00ED6DF0" w:rsidP="003A26A0">
            <w:pPr>
              <w:spacing w:line="360" w:lineRule="auto"/>
              <w:jc w:val="both"/>
              <w:rPr>
                <w:rFonts w:ascii="Arial" w:hAnsi="Arial" w:cs="Arial"/>
                <w:sz w:val="18"/>
                <w:szCs w:val="18"/>
              </w:rPr>
            </w:pPr>
            <w:r w:rsidRPr="005271CB">
              <w:rPr>
                <w:rFonts w:ascii="Arial" w:hAnsi="Arial" w:cs="Arial"/>
                <w:sz w:val="18"/>
                <w:szCs w:val="18"/>
              </w:rPr>
              <w:lastRenderedPageBreak/>
              <w:t xml:space="preserve">UK hospital-based Child Development Centre, Northampton General Hospital; 3,786 children </w:t>
            </w:r>
            <w:r w:rsidRPr="005271CB">
              <w:rPr>
                <w:rFonts w:ascii="Arial" w:hAnsi="Arial" w:cs="Arial"/>
                <w:sz w:val="18"/>
                <w:szCs w:val="18"/>
              </w:rPr>
              <w:lastRenderedPageBreak/>
              <w:t>assessed between 1974 and 2014, with detailed review of preschool referrals, particularly 2005–2014.</w:t>
            </w:r>
          </w:p>
        </w:tc>
        <w:tc>
          <w:tcPr>
            <w:tcW w:w="1559" w:type="dxa"/>
          </w:tcPr>
          <w:p w14:paraId="6651AA06" w14:textId="77777777" w:rsidR="00ED6DF0" w:rsidRPr="000B26B9" w:rsidRDefault="00ED6DF0" w:rsidP="003A26A0">
            <w:pPr>
              <w:spacing w:line="360" w:lineRule="auto"/>
              <w:jc w:val="both"/>
              <w:rPr>
                <w:rFonts w:ascii="Arial" w:hAnsi="Arial" w:cs="Arial"/>
                <w:sz w:val="18"/>
                <w:szCs w:val="18"/>
              </w:rPr>
            </w:pPr>
            <w:r w:rsidRPr="005271CB">
              <w:rPr>
                <w:rFonts w:ascii="Arial" w:hAnsi="Arial" w:cs="Arial"/>
                <w:sz w:val="18"/>
                <w:szCs w:val="18"/>
              </w:rPr>
              <w:lastRenderedPageBreak/>
              <w:t>Retrospective longitudinal service evaluation using multiple datasets (published report, internal audit, and medical record review).</w:t>
            </w:r>
          </w:p>
        </w:tc>
        <w:tc>
          <w:tcPr>
            <w:tcW w:w="1134" w:type="dxa"/>
          </w:tcPr>
          <w:p w14:paraId="65F4A216" w14:textId="77777777" w:rsidR="00ED6DF0" w:rsidRPr="000B26B9" w:rsidRDefault="00ED6DF0" w:rsidP="003A26A0">
            <w:pPr>
              <w:rPr>
                <w:rFonts w:ascii="Arial" w:hAnsi="Arial" w:cs="Arial"/>
                <w:sz w:val="18"/>
                <w:szCs w:val="18"/>
              </w:rPr>
            </w:pPr>
            <w:r w:rsidRPr="005271CB">
              <w:rPr>
                <w:rFonts w:ascii="Arial" w:hAnsi="Arial" w:cs="Arial"/>
                <w:sz w:val="18"/>
                <w:szCs w:val="18"/>
              </w:rPr>
              <w:t xml:space="preserve">Long-term dataset spanning four decades; rare and comprehensive UK CDC database; captures changes in referral trends and diagnostic focus over time; </w:t>
            </w:r>
            <w:r w:rsidRPr="005271CB">
              <w:rPr>
                <w:rFonts w:ascii="Arial" w:hAnsi="Arial" w:cs="Arial"/>
                <w:sz w:val="18"/>
                <w:szCs w:val="18"/>
              </w:rPr>
              <w:lastRenderedPageBreak/>
              <w:t>relevant for service planning and policy.</w:t>
            </w:r>
          </w:p>
        </w:tc>
        <w:tc>
          <w:tcPr>
            <w:tcW w:w="1276" w:type="dxa"/>
          </w:tcPr>
          <w:p w14:paraId="74FB1422" w14:textId="77777777" w:rsidR="00ED6DF0" w:rsidRPr="000B26B9" w:rsidRDefault="00ED6DF0" w:rsidP="003A26A0">
            <w:pPr>
              <w:spacing w:line="360" w:lineRule="auto"/>
              <w:jc w:val="both"/>
              <w:rPr>
                <w:rFonts w:ascii="Arial" w:hAnsi="Arial" w:cs="Arial"/>
                <w:sz w:val="18"/>
                <w:szCs w:val="18"/>
              </w:rPr>
            </w:pPr>
            <w:r w:rsidRPr="005271CB">
              <w:rPr>
                <w:rFonts w:ascii="Arial" w:hAnsi="Arial" w:cs="Arial"/>
                <w:sz w:val="18"/>
                <w:szCs w:val="18"/>
              </w:rPr>
              <w:lastRenderedPageBreak/>
              <w:t xml:space="preserve">Single-centre study limits generalisability; reliance on historical records with potential inconsistency in diagnostic </w:t>
            </w:r>
            <w:r w:rsidRPr="005271CB">
              <w:rPr>
                <w:rFonts w:ascii="Arial" w:hAnsi="Arial" w:cs="Arial"/>
                <w:sz w:val="18"/>
                <w:szCs w:val="18"/>
              </w:rPr>
              <w:lastRenderedPageBreak/>
              <w:t>categories; observational design limits causal inference.</w:t>
            </w:r>
          </w:p>
        </w:tc>
        <w:tc>
          <w:tcPr>
            <w:tcW w:w="1701" w:type="dxa"/>
          </w:tcPr>
          <w:p w14:paraId="5F405D00" w14:textId="77777777" w:rsidR="00ED6DF0" w:rsidRPr="000B26B9" w:rsidRDefault="00ED6DF0" w:rsidP="003A26A0">
            <w:pPr>
              <w:spacing w:line="360" w:lineRule="auto"/>
              <w:jc w:val="both"/>
              <w:rPr>
                <w:rFonts w:ascii="Arial" w:hAnsi="Arial" w:cs="Arial"/>
                <w:sz w:val="18"/>
                <w:szCs w:val="18"/>
              </w:rPr>
            </w:pPr>
            <w:r w:rsidRPr="005271CB">
              <w:rPr>
                <w:rFonts w:ascii="Arial" w:hAnsi="Arial" w:cs="Arial"/>
                <w:sz w:val="18"/>
                <w:szCs w:val="18"/>
              </w:rPr>
              <w:lastRenderedPageBreak/>
              <w:t xml:space="preserve">Male-to-female ratio was 2.8:1 (2005–2014). Referrals for behavioural difficulties increased from 10% to 17.8%, and referrals for social/communication problems rose </w:t>
            </w:r>
            <w:r w:rsidRPr="005271CB">
              <w:rPr>
                <w:rFonts w:ascii="Arial" w:hAnsi="Arial" w:cs="Arial"/>
                <w:sz w:val="18"/>
                <w:szCs w:val="18"/>
              </w:rPr>
              <w:lastRenderedPageBreak/>
              <w:t>from 10% to 26.7%. Referrals for developmental delay decreased from 22.2% to 12% between 2004 and 2014. Recommended referral rate was 6.5 per 1,000 preschool children.</w:t>
            </w:r>
          </w:p>
        </w:tc>
        <w:tc>
          <w:tcPr>
            <w:tcW w:w="1559" w:type="dxa"/>
          </w:tcPr>
          <w:p w14:paraId="433CC48F" w14:textId="77777777" w:rsidR="00ED6DF0" w:rsidRPr="000B26B9" w:rsidRDefault="00ED6DF0" w:rsidP="003A26A0">
            <w:pPr>
              <w:spacing w:line="360" w:lineRule="auto"/>
              <w:jc w:val="both"/>
              <w:rPr>
                <w:rFonts w:ascii="Arial" w:hAnsi="Arial" w:cs="Arial"/>
                <w:sz w:val="18"/>
                <w:szCs w:val="18"/>
              </w:rPr>
            </w:pPr>
            <w:r w:rsidRPr="005271CB">
              <w:rPr>
                <w:rFonts w:ascii="Arial" w:hAnsi="Arial" w:cs="Arial"/>
                <w:sz w:val="18"/>
                <w:szCs w:val="18"/>
              </w:rPr>
              <w:lastRenderedPageBreak/>
              <w:t xml:space="preserve">CDC referral patterns and assessment outcomes have changed substantially over time, reflecting a shift toward preschool assessment and </w:t>
            </w:r>
            <w:r w:rsidRPr="005271CB">
              <w:rPr>
                <w:rFonts w:ascii="Arial" w:hAnsi="Arial" w:cs="Arial"/>
                <w:sz w:val="18"/>
                <w:szCs w:val="18"/>
              </w:rPr>
              <w:lastRenderedPageBreak/>
              <w:t>increased recognition of behavioural and social communication difficulties. Services must adapt to evolving diagnostic profiles and increasing demand.</w:t>
            </w:r>
          </w:p>
        </w:tc>
      </w:tr>
      <w:tr w:rsidR="00ED6DF0" w:rsidRPr="000B26B9" w14:paraId="4B69CDD5" w14:textId="77777777" w:rsidTr="003A26A0">
        <w:trPr>
          <w:trHeight w:val="324"/>
        </w:trPr>
        <w:tc>
          <w:tcPr>
            <w:tcW w:w="993" w:type="dxa"/>
          </w:tcPr>
          <w:p w14:paraId="6DD8457A" w14:textId="77777777" w:rsidR="00ED6DF0" w:rsidRPr="000B26B9" w:rsidRDefault="00ED6DF0" w:rsidP="003A26A0">
            <w:pPr>
              <w:spacing w:line="360" w:lineRule="auto"/>
              <w:jc w:val="both"/>
              <w:rPr>
                <w:rFonts w:ascii="Arial" w:hAnsi="Arial" w:cs="Arial"/>
                <w:sz w:val="18"/>
                <w:szCs w:val="18"/>
              </w:rPr>
            </w:pPr>
            <w:r w:rsidRPr="0052068C">
              <w:rPr>
                <w:rFonts w:ascii="Arial" w:hAnsi="Arial" w:cs="Arial"/>
                <w:sz w:val="18"/>
                <w:szCs w:val="18"/>
              </w:rPr>
              <w:lastRenderedPageBreak/>
              <w:t>Gibbard</w:t>
            </w:r>
            <w:r>
              <w:rPr>
                <w:rFonts w:ascii="Arial" w:hAnsi="Arial" w:cs="Arial"/>
                <w:sz w:val="18"/>
                <w:szCs w:val="18"/>
              </w:rPr>
              <w:t xml:space="preserve"> et al, 2024</w:t>
            </w:r>
          </w:p>
        </w:tc>
        <w:tc>
          <w:tcPr>
            <w:tcW w:w="1418" w:type="dxa"/>
          </w:tcPr>
          <w:p w14:paraId="1CEE5D0C" w14:textId="77777777" w:rsidR="00ED6DF0" w:rsidRPr="000B26B9" w:rsidRDefault="00ED6DF0" w:rsidP="003A26A0">
            <w:pPr>
              <w:spacing w:line="360" w:lineRule="auto"/>
              <w:rPr>
                <w:rFonts w:ascii="Arial" w:hAnsi="Arial" w:cs="Arial"/>
                <w:sz w:val="18"/>
                <w:szCs w:val="18"/>
              </w:rPr>
            </w:pPr>
            <w:r w:rsidRPr="0052068C">
              <w:rPr>
                <w:rFonts w:ascii="Arial" w:hAnsi="Arial" w:cs="Arial"/>
                <w:sz w:val="18"/>
                <w:szCs w:val="18"/>
              </w:rPr>
              <w:t>To compare the effectiveness of standard parent-based intervention and enhanced parent-based intervention on language outcomes and parental activation among young children with speech, language and communication needs from socially disadvantaged populations.</w:t>
            </w:r>
          </w:p>
        </w:tc>
        <w:tc>
          <w:tcPr>
            <w:tcW w:w="1134" w:type="dxa"/>
          </w:tcPr>
          <w:p w14:paraId="7F74556B" w14:textId="77777777" w:rsidR="00ED6DF0" w:rsidRPr="000B26B9" w:rsidRDefault="00ED6DF0" w:rsidP="003A26A0">
            <w:pPr>
              <w:spacing w:line="360" w:lineRule="auto"/>
              <w:jc w:val="both"/>
              <w:rPr>
                <w:rFonts w:ascii="Arial" w:hAnsi="Arial" w:cs="Arial"/>
                <w:sz w:val="18"/>
                <w:szCs w:val="18"/>
              </w:rPr>
            </w:pPr>
            <w:r w:rsidRPr="0052068C">
              <w:rPr>
                <w:rFonts w:ascii="Arial" w:hAnsi="Arial" w:cs="Arial"/>
                <w:sz w:val="18"/>
                <w:szCs w:val="18"/>
              </w:rPr>
              <w:t>Multicentre community and healthcare settings; 155 children (mean age 27.5 months) with expressive vocabulary ≤40 words and their parents, living in socially disadvantaged areas.</w:t>
            </w:r>
          </w:p>
        </w:tc>
        <w:tc>
          <w:tcPr>
            <w:tcW w:w="1559" w:type="dxa"/>
          </w:tcPr>
          <w:p w14:paraId="2CFDF5B0" w14:textId="77777777" w:rsidR="00ED6DF0" w:rsidRPr="000B26B9" w:rsidRDefault="00ED6DF0" w:rsidP="003A26A0">
            <w:pPr>
              <w:spacing w:line="360" w:lineRule="auto"/>
              <w:jc w:val="both"/>
              <w:rPr>
                <w:rFonts w:ascii="Arial" w:hAnsi="Arial" w:cs="Arial"/>
                <w:sz w:val="18"/>
                <w:szCs w:val="18"/>
              </w:rPr>
            </w:pPr>
            <w:r w:rsidRPr="0052068C">
              <w:rPr>
                <w:rFonts w:ascii="Arial" w:hAnsi="Arial" w:cs="Arial"/>
                <w:sz w:val="18"/>
                <w:szCs w:val="18"/>
              </w:rPr>
              <w:t>Clustered, blinded randomised controlled trial.</w:t>
            </w:r>
          </w:p>
        </w:tc>
        <w:tc>
          <w:tcPr>
            <w:tcW w:w="1134" w:type="dxa"/>
          </w:tcPr>
          <w:p w14:paraId="25C738AE" w14:textId="77777777" w:rsidR="00ED6DF0" w:rsidRPr="000B26B9" w:rsidRDefault="00ED6DF0" w:rsidP="003A26A0">
            <w:pPr>
              <w:rPr>
                <w:rFonts w:ascii="Arial" w:hAnsi="Arial" w:cs="Arial"/>
                <w:sz w:val="18"/>
                <w:szCs w:val="18"/>
              </w:rPr>
            </w:pPr>
            <w:r w:rsidRPr="0052068C">
              <w:rPr>
                <w:rFonts w:ascii="Arial" w:hAnsi="Arial" w:cs="Arial"/>
                <w:sz w:val="18"/>
                <w:szCs w:val="18"/>
              </w:rPr>
              <w:t>Robust experimental design; focus on socially disadvantaged populations; inclusion of parent activation as an outcome; use of validated language assessment tools; follow-up at post-intervention and 6 months.</w:t>
            </w:r>
          </w:p>
        </w:tc>
        <w:tc>
          <w:tcPr>
            <w:tcW w:w="1276" w:type="dxa"/>
          </w:tcPr>
          <w:p w14:paraId="66D63995" w14:textId="77777777" w:rsidR="00ED6DF0" w:rsidRPr="000B26B9" w:rsidRDefault="00ED6DF0" w:rsidP="003A26A0">
            <w:pPr>
              <w:spacing w:line="360" w:lineRule="auto"/>
              <w:jc w:val="both"/>
              <w:rPr>
                <w:rFonts w:ascii="Arial" w:hAnsi="Arial" w:cs="Arial"/>
                <w:sz w:val="18"/>
                <w:szCs w:val="18"/>
              </w:rPr>
            </w:pPr>
            <w:r w:rsidRPr="0052068C">
              <w:rPr>
                <w:rFonts w:ascii="Arial" w:hAnsi="Arial" w:cs="Arial"/>
                <w:sz w:val="18"/>
                <w:szCs w:val="18"/>
              </w:rPr>
              <w:t>Variability in intervention attendance; wide confidence intervals for some language outcomes; limited generalisability beyond early childhood and disadvantaged settings; indirect intervention may dilute intensity of effects.</w:t>
            </w:r>
          </w:p>
        </w:tc>
        <w:tc>
          <w:tcPr>
            <w:tcW w:w="1701" w:type="dxa"/>
          </w:tcPr>
          <w:p w14:paraId="436C092E" w14:textId="77777777" w:rsidR="00ED6DF0" w:rsidRPr="000B26B9" w:rsidRDefault="00ED6DF0" w:rsidP="003A26A0">
            <w:pPr>
              <w:spacing w:line="360" w:lineRule="auto"/>
              <w:jc w:val="both"/>
              <w:rPr>
                <w:rFonts w:ascii="Arial" w:hAnsi="Arial" w:cs="Arial"/>
                <w:sz w:val="18"/>
                <w:szCs w:val="18"/>
              </w:rPr>
            </w:pPr>
            <w:r w:rsidRPr="0052068C">
              <w:rPr>
                <w:rFonts w:ascii="Arial" w:hAnsi="Arial" w:cs="Arial"/>
                <w:sz w:val="18"/>
                <w:szCs w:val="18"/>
              </w:rPr>
              <w:t>Both groups showed significant improvements in sentence length over time (p &lt; 0.05). Vocabulary and expressive language outcomes were variable. Enhanced PBI showed more favourable effect sizes where parents attended sessions. Parental activation increased significantly in both groups, with a moderate effect favouring enhanced PBI (Hedges’ G 0.37).</w:t>
            </w:r>
          </w:p>
        </w:tc>
        <w:tc>
          <w:tcPr>
            <w:tcW w:w="1559" w:type="dxa"/>
          </w:tcPr>
          <w:p w14:paraId="22A913D0" w14:textId="77777777" w:rsidR="00ED6DF0" w:rsidRPr="000B26B9" w:rsidRDefault="00ED6DF0" w:rsidP="003A26A0">
            <w:pPr>
              <w:spacing w:line="360" w:lineRule="auto"/>
              <w:jc w:val="both"/>
              <w:rPr>
                <w:rFonts w:ascii="Arial" w:hAnsi="Arial" w:cs="Arial"/>
                <w:sz w:val="18"/>
                <w:szCs w:val="18"/>
              </w:rPr>
            </w:pPr>
            <w:r w:rsidRPr="0052068C">
              <w:rPr>
                <w:rFonts w:ascii="Arial" w:hAnsi="Arial" w:cs="Arial"/>
                <w:sz w:val="18"/>
                <w:szCs w:val="18"/>
              </w:rPr>
              <w:t>Supporting caregivers through enhanced parent-based interventions may facilitate early language development in socially disadvantaged populations. Parental engagement appears central to intervention effectiveness, highlighting the importance of empowerment-focused public health strategies.</w:t>
            </w:r>
          </w:p>
        </w:tc>
      </w:tr>
      <w:tr w:rsidR="00ED6DF0" w:rsidRPr="000B26B9" w14:paraId="2A33E05F" w14:textId="77777777" w:rsidTr="003A26A0">
        <w:trPr>
          <w:trHeight w:val="324"/>
        </w:trPr>
        <w:tc>
          <w:tcPr>
            <w:tcW w:w="993" w:type="dxa"/>
          </w:tcPr>
          <w:p w14:paraId="350A31DB" w14:textId="77777777" w:rsidR="00ED6DF0" w:rsidRPr="000B26B9" w:rsidRDefault="00ED6DF0" w:rsidP="003A26A0">
            <w:pPr>
              <w:spacing w:line="360" w:lineRule="auto"/>
              <w:jc w:val="both"/>
              <w:rPr>
                <w:rFonts w:ascii="Arial" w:hAnsi="Arial" w:cs="Arial"/>
                <w:sz w:val="18"/>
                <w:szCs w:val="18"/>
              </w:rPr>
            </w:pPr>
            <w:r w:rsidRPr="00603547">
              <w:rPr>
                <w:rFonts w:ascii="Arial" w:hAnsi="Arial" w:cs="Arial"/>
                <w:sz w:val="18"/>
                <w:szCs w:val="18"/>
              </w:rPr>
              <w:t>Hernández-Alava</w:t>
            </w:r>
            <w:r>
              <w:rPr>
                <w:rFonts w:ascii="Arial" w:hAnsi="Arial" w:cs="Arial"/>
                <w:sz w:val="18"/>
                <w:szCs w:val="18"/>
              </w:rPr>
              <w:t xml:space="preserve"> </w:t>
            </w:r>
            <w:r w:rsidRPr="00603547">
              <w:rPr>
                <w:rFonts w:ascii="Arial" w:hAnsi="Arial" w:cs="Arial"/>
                <w:sz w:val="18"/>
                <w:szCs w:val="18"/>
              </w:rPr>
              <w:t>and Popli, 2017</w:t>
            </w:r>
          </w:p>
        </w:tc>
        <w:tc>
          <w:tcPr>
            <w:tcW w:w="1418" w:type="dxa"/>
          </w:tcPr>
          <w:p w14:paraId="6327715A" w14:textId="77777777" w:rsidR="00ED6DF0" w:rsidRPr="000B26B9" w:rsidRDefault="00ED6DF0" w:rsidP="003A26A0">
            <w:pPr>
              <w:spacing w:line="360" w:lineRule="auto"/>
              <w:jc w:val="both"/>
              <w:rPr>
                <w:rFonts w:ascii="Arial" w:hAnsi="Arial" w:cs="Arial"/>
                <w:sz w:val="18"/>
                <w:szCs w:val="18"/>
              </w:rPr>
            </w:pPr>
            <w:r w:rsidRPr="00E91448">
              <w:rPr>
                <w:rFonts w:ascii="Arial" w:hAnsi="Arial" w:cs="Arial"/>
                <w:sz w:val="18"/>
                <w:szCs w:val="18"/>
              </w:rPr>
              <w:t xml:space="preserve">To estimate a dynamic model of child development examining cognitive and noncognitive </w:t>
            </w:r>
            <w:r w:rsidRPr="00E91448">
              <w:rPr>
                <w:rFonts w:ascii="Arial" w:hAnsi="Arial" w:cs="Arial"/>
                <w:sz w:val="18"/>
                <w:szCs w:val="18"/>
              </w:rPr>
              <w:lastRenderedPageBreak/>
              <w:t>abilities and the role of parental investment from birth to age seven.</w:t>
            </w:r>
          </w:p>
        </w:tc>
        <w:tc>
          <w:tcPr>
            <w:tcW w:w="1134" w:type="dxa"/>
          </w:tcPr>
          <w:p w14:paraId="7B347EE1" w14:textId="77777777" w:rsidR="00ED6DF0" w:rsidRPr="000B26B9" w:rsidRDefault="00ED6DF0" w:rsidP="003A26A0">
            <w:pPr>
              <w:spacing w:line="360" w:lineRule="auto"/>
              <w:jc w:val="both"/>
              <w:rPr>
                <w:rFonts w:ascii="Arial" w:hAnsi="Arial" w:cs="Arial"/>
                <w:sz w:val="18"/>
                <w:szCs w:val="18"/>
              </w:rPr>
            </w:pPr>
            <w:r w:rsidRPr="00E91448">
              <w:rPr>
                <w:rFonts w:ascii="Arial" w:hAnsi="Arial" w:cs="Arial"/>
                <w:sz w:val="18"/>
                <w:szCs w:val="18"/>
              </w:rPr>
              <w:lastRenderedPageBreak/>
              <w:t xml:space="preserve">UK-wide nationally representative Millennium Cohort Study; </w:t>
            </w:r>
            <w:r w:rsidRPr="00E91448">
              <w:rPr>
                <w:rFonts w:ascii="Arial" w:hAnsi="Arial" w:cs="Arial"/>
                <w:sz w:val="18"/>
                <w:szCs w:val="18"/>
              </w:rPr>
              <w:lastRenderedPageBreak/>
              <w:t>children followed longitudinally from birth to 7 years of age.</w:t>
            </w:r>
          </w:p>
        </w:tc>
        <w:tc>
          <w:tcPr>
            <w:tcW w:w="1559" w:type="dxa"/>
          </w:tcPr>
          <w:p w14:paraId="27F4813D" w14:textId="77777777" w:rsidR="00ED6DF0" w:rsidRPr="000B26B9" w:rsidRDefault="00ED6DF0" w:rsidP="003A26A0">
            <w:pPr>
              <w:spacing w:line="360" w:lineRule="auto"/>
              <w:jc w:val="both"/>
              <w:rPr>
                <w:rFonts w:ascii="Arial" w:hAnsi="Arial" w:cs="Arial"/>
                <w:sz w:val="18"/>
                <w:szCs w:val="18"/>
              </w:rPr>
            </w:pPr>
            <w:r w:rsidRPr="00E91448">
              <w:rPr>
                <w:rFonts w:ascii="Arial" w:hAnsi="Arial" w:cs="Arial"/>
                <w:sz w:val="18"/>
                <w:szCs w:val="18"/>
              </w:rPr>
              <w:lastRenderedPageBreak/>
              <w:t>Longitudinal cohort study using dynamic factor modelling.</w:t>
            </w:r>
          </w:p>
        </w:tc>
        <w:tc>
          <w:tcPr>
            <w:tcW w:w="1134" w:type="dxa"/>
          </w:tcPr>
          <w:p w14:paraId="6A0ED29B" w14:textId="77777777" w:rsidR="00ED6DF0" w:rsidRPr="009F761D" w:rsidRDefault="00ED6DF0" w:rsidP="003A26A0">
            <w:pPr>
              <w:rPr>
                <w:rFonts w:ascii="Arial" w:hAnsi="Arial" w:cs="Arial"/>
                <w:sz w:val="18"/>
                <w:szCs w:val="18"/>
              </w:rPr>
            </w:pPr>
            <w:r w:rsidRPr="00E91448">
              <w:rPr>
                <w:rFonts w:ascii="Arial" w:hAnsi="Arial" w:cs="Arial"/>
                <w:sz w:val="18"/>
                <w:szCs w:val="18"/>
              </w:rPr>
              <w:t>Large, nationally representative dataset; longitudinal design captures developmental trajectories</w:t>
            </w:r>
            <w:r w:rsidRPr="00E91448">
              <w:rPr>
                <w:rFonts w:ascii="Arial" w:hAnsi="Arial" w:cs="Arial"/>
                <w:sz w:val="18"/>
                <w:szCs w:val="18"/>
              </w:rPr>
              <w:lastRenderedPageBreak/>
              <w:t>; simultaneous modelling of cognitive and noncognitive abilities; advanced statistical modelling of parental investment effects.</w:t>
            </w:r>
          </w:p>
        </w:tc>
        <w:tc>
          <w:tcPr>
            <w:tcW w:w="1276" w:type="dxa"/>
          </w:tcPr>
          <w:p w14:paraId="55B26F28" w14:textId="77777777" w:rsidR="00ED6DF0" w:rsidRPr="009F761D" w:rsidRDefault="00ED6DF0" w:rsidP="003A26A0">
            <w:pPr>
              <w:rPr>
                <w:rFonts w:ascii="Arial" w:hAnsi="Arial" w:cs="Arial"/>
                <w:sz w:val="18"/>
                <w:szCs w:val="18"/>
              </w:rPr>
            </w:pPr>
            <w:r w:rsidRPr="00E91448">
              <w:rPr>
                <w:rFonts w:ascii="Arial" w:hAnsi="Arial" w:cs="Arial"/>
                <w:sz w:val="18"/>
                <w:szCs w:val="18"/>
              </w:rPr>
              <w:lastRenderedPageBreak/>
              <w:t xml:space="preserve">Reliance on secondary data limits control over measures; potential measurement error in parental investment indicators; </w:t>
            </w:r>
            <w:r w:rsidRPr="00E91448">
              <w:rPr>
                <w:rFonts w:ascii="Arial" w:hAnsi="Arial" w:cs="Arial"/>
                <w:sz w:val="18"/>
                <w:szCs w:val="18"/>
              </w:rPr>
              <w:lastRenderedPageBreak/>
              <w:t>observational design limits causal inference.</w:t>
            </w:r>
          </w:p>
        </w:tc>
        <w:tc>
          <w:tcPr>
            <w:tcW w:w="1701" w:type="dxa"/>
          </w:tcPr>
          <w:p w14:paraId="395F2C1F" w14:textId="77777777" w:rsidR="00ED6DF0" w:rsidRPr="000B26B9" w:rsidRDefault="00ED6DF0" w:rsidP="003A26A0">
            <w:pPr>
              <w:spacing w:line="360" w:lineRule="auto"/>
              <w:jc w:val="both"/>
              <w:rPr>
                <w:rFonts w:ascii="Arial" w:hAnsi="Arial" w:cs="Arial"/>
                <w:sz w:val="18"/>
                <w:szCs w:val="18"/>
              </w:rPr>
            </w:pPr>
            <w:r w:rsidRPr="00E91448">
              <w:rPr>
                <w:rFonts w:ascii="Arial" w:hAnsi="Arial" w:cs="Arial"/>
                <w:sz w:val="18"/>
                <w:szCs w:val="18"/>
              </w:rPr>
              <w:lastRenderedPageBreak/>
              <w:t xml:space="preserve">Significant self-productivity effects were observed in both cognitive and noncognitive development, indicating that </w:t>
            </w:r>
            <w:r w:rsidRPr="00E91448">
              <w:rPr>
                <w:rFonts w:ascii="Arial" w:hAnsi="Arial" w:cs="Arial"/>
                <w:sz w:val="18"/>
                <w:szCs w:val="18"/>
              </w:rPr>
              <w:lastRenderedPageBreak/>
              <w:t>earlier abilities predict later outcomes. Parental investment activities at home had a significant positive effect, with two distinct latent investment factors showing differential impacts on cognitive and noncognitive abilities.</w:t>
            </w:r>
          </w:p>
        </w:tc>
        <w:tc>
          <w:tcPr>
            <w:tcW w:w="1559" w:type="dxa"/>
          </w:tcPr>
          <w:p w14:paraId="132C6BE5" w14:textId="77777777" w:rsidR="00ED6DF0" w:rsidRPr="000B26B9" w:rsidRDefault="00ED6DF0" w:rsidP="003A26A0">
            <w:pPr>
              <w:spacing w:line="360" w:lineRule="auto"/>
              <w:jc w:val="both"/>
              <w:rPr>
                <w:rFonts w:ascii="Arial" w:hAnsi="Arial" w:cs="Arial"/>
                <w:sz w:val="18"/>
                <w:szCs w:val="18"/>
              </w:rPr>
            </w:pPr>
            <w:r w:rsidRPr="00E91448">
              <w:rPr>
                <w:rFonts w:ascii="Arial" w:hAnsi="Arial" w:cs="Arial"/>
                <w:sz w:val="18"/>
                <w:szCs w:val="18"/>
              </w:rPr>
              <w:lastRenderedPageBreak/>
              <w:t xml:space="preserve">Child development is shaped by dynamic, cumulative processes in which early </w:t>
            </w:r>
            <w:r w:rsidRPr="00E91448">
              <w:rPr>
                <w:rFonts w:ascii="Arial" w:hAnsi="Arial" w:cs="Arial"/>
                <w:sz w:val="18"/>
                <w:szCs w:val="18"/>
              </w:rPr>
              <w:lastRenderedPageBreak/>
              <w:t>abilities and parental investment play a critical role. Findings underscore the importance of early family-based support as a modifiable factor influencing developmental trajectories.</w:t>
            </w:r>
          </w:p>
        </w:tc>
      </w:tr>
      <w:tr w:rsidR="00ED6DF0" w:rsidRPr="000B26B9" w14:paraId="0A73E242" w14:textId="77777777" w:rsidTr="003A26A0">
        <w:trPr>
          <w:trHeight w:val="311"/>
        </w:trPr>
        <w:tc>
          <w:tcPr>
            <w:tcW w:w="993" w:type="dxa"/>
          </w:tcPr>
          <w:p w14:paraId="23336E7C" w14:textId="77777777" w:rsidR="00ED6DF0" w:rsidRPr="000B26B9" w:rsidRDefault="00ED6DF0" w:rsidP="003A26A0">
            <w:pPr>
              <w:spacing w:line="360" w:lineRule="auto"/>
              <w:jc w:val="both"/>
              <w:rPr>
                <w:rFonts w:ascii="Arial" w:hAnsi="Arial" w:cs="Arial"/>
                <w:sz w:val="18"/>
                <w:szCs w:val="18"/>
              </w:rPr>
            </w:pPr>
            <w:r w:rsidRPr="0015786E">
              <w:rPr>
                <w:rFonts w:ascii="Arial" w:hAnsi="Arial" w:cs="Arial"/>
                <w:sz w:val="18"/>
                <w:szCs w:val="18"/>
              </w:rPr>
              <w:lastRenderedPageBreak/>
              <w:t>Dockrell</w:t>
            </w:r>
            <w:r>
              <w:rPr>
                <w:rFonts w:ascii="Arial" w:hAnsi="Arial" w:cs="Arial"/>
                <w:sz w:val="18"/>
                <w:szCs w:val="18"/>
              </w:rPr>
              <w:t xml:space="preserve"> et al, 2017</w:t>
            </w:r>
          </w:p>
        </w:tc>
        <w:tc>
          <w:tcPr>
            <w:tcW w:w="1418" w:type="dxa"/>
          </w:tcPr>
          <w:p w14:paraId="072259F3" w14:textId="77777777" w:rsidR="00ED6DF0" w:rsidRPr="000B26B9" w:rsidRDefault="00ED6DF0" w:rsidP="003A26A0">
            <w:pPr>
              <w:spacing w:line="360" w:lineRule="auto"/>
              <w:jc w:val="both"/>
              <w:rPr>
                <w:rFonts w:ascii="Arial" w:hAnsi="Arial" w:cs="Arial"/>
                <w:sz w:val="18"/>
                <w:szCs w:val="18"/>
              </w:rPr>
            </w:pPr>
            <w:r w:rsidRPr="009251CA">
              <w:rPr>
                <w:rFonts w:ascii="Arial" w:hAnsi="Arial" w:cs="Arial"/>
                <w:sz w:val="18"/>
                <w:szCs w:val="18"/>
              </w:rPr>
              <w:t>To compare the views of teachers and speech and language therapists regarding speech, language and communication needs (SLCN) and associated difficulties in school-age children.</w:t>
            </w:r>
          </w:p>
        </w:tc>
        <w:tc>
          <w:tcPr>
            <w:tcW w:w="1134" w:type="dxa"/>
          </w:tcPr>
          <w:p w14:paraId="4BE17D05" w14:textId="77777777" w:rsidR="00ED6DF0" w:rsidRPr="007E7ED3" w:rsidRDefault="00ED6DF0" w:rsidP="003A26A0">
            <w:pPr>
              <w:rPr>
                <w:rFonts w:ascii="Arial" w:hAnsi="Arial" w:cs="Arial"/>
                <w:sz w:val="18"/>
                <w:szCs w:val="18"/>
              </w:rPr>
            </w:pPr>
            <w:r w:rsidRPr="009251CA">
              <w:rPr>
                <w:rFonts w:ascii="Arial" w:hAnsi="Arial" w:cs="Arial"/>
                <w:sz w:val="18"/>
                <w:szCs w:val="18"/>
              </w:rPr>
              <w:t>England; 170 participants comprising education professionals (teachers) and speech and language therapists working in school and clinical settings.</w:t>
            </w:r>
          </w:p>
        </w:tc>
        <w:tc>
          <w:tcPr>
            <w:tcW w:w="1559" w:type="dxa"/>
          </w:tcPr>
          <w:p w14:paraId="2485F612" w14:textId="77777777" w:rsidR="00ED6DF0" w:rsidRPr="007E7ED3" w:rsidRDefault="00ED6DF0" w:rsidP="003A26A0">
            <w:pPr>
              <w:rPr>
                <w:rFonts w:ascii="Arial" w:hAnsi="Arial" w:cs="Arial"/>
                <w:sz w:val="18"/>
                <w:szCs w:val="18"/>
              </w:rPr>
            </w:pPr>
            <w:r w:rsidRPr="009251CA">
              <w:rPr>
                <w:rFonts w:ascii="Arial" w:hAnsi="Arial" w:cs="Arial"/>
                <w:sz w:val="18"/>
                <w:szCs w:val="18"/>
              </w:rPr>
              <w:t>Cross-sectional survey using categorical responses and Likert-scale measures.</w:t>
            </w:r>
          </w:p>
        </w:tc>
        <w:tc>
          <w:tcPr>
            <w:tcW w:w="1134" w:type="dxa"/>
          </w:tcPr>
          <w:p w14:paraId="423DCE6E" w14:textId="77777777" w:rsidR="00ED6DF0" w:rsidRPr="000B26B9" w:rsidRDefault="00ED6DF0" w:rsidP="003A26A0">
            <w:pPr>
              <w:spacing w:line="360" w:lineRule="auto"/>
              <w:jc w:val="both"/>
              <w:rPr>
                <w:rFonts w:ascii="Arial" w:hAnsi="Arial" w:cs="Arial"/>
                <w:sz w:val="18"/>
                <w:szCs w:val="18"/>
              </w:rPr>
            </w:pPr>
            <w:r w:rsidRPr="009251CA">
              <w:rPr>
                <w:rFonts w:ascii="Arial" w:hAnsi="Arial" w:cs="Arial"/>
                <w:sz w:val="18"/>
                <w:szCs w:val="18"/>
              </w:rPr>
              <w:t>Inclusion of multiple professional perspectives; national sample; comparison between SLTs in different work settings; addresses practical challenges in identification and support of SLCN in schools.</w:t>
            </w:r>
          </w:p>
        </w:tc>
        <w:tc>
          <w:tcPr>
            <w:tcW w:w="1276" w:type="dxa"/>
          </w:tcPr>
          <w:p w14:paraId="58252D26" w14:textId="77777777" w:rsidR="00ED6DF0" w:rsidRPr="000B26B9" w:rsidRDefault="00ED6DF0" w:rsidP="003A26A0">
            <w:pPr>
              <w:spacing w:line="360" w:lineRule="auto"/>
              <w:jc w:val="both"/>
              <w:rPr>
                <w:rFonts w:ascii="Arial" w:hAnsi="Arial" w:cs="Arial"/>
                <w:sz w:val="18"/>
                <w:szCs w:val="18"/>
              </w:rPr>
            </w:pPr>
            <w:r w:rsidRPr="009251CA">
              <w:rPr>
                <w:rFonts w:ascii="Arial" w:hAnsi="Arial" w:cs="Arial"/>
                <w:sz w:val="18"/>
                <w:szCs w:val="18"/>
              </w:rPr>
              <w:t>Self-reported data may be subject to response bias; cross-sectional design limits causal interpretation; findings dependent on participants’ self-assessed knowledge and experience.</w:t>
            </w:r>
          </w:p>
        </w:tc>
        <w:tc>
          <w:tcPr>
            <w:tcW w:w="1701" w:type="dxa"/>
          </w:tcPr>
          <w:p w14:paraId="2541E6D2" w14:textId="77777777" w:rsidR="00ED6DF0" w:rsidRPr="000B26B9" w:rsidRDefault="00ED6DF0" w:rsidP="003A26A0">
            <w:pPr>
              <w:spacing w:line="360" w:lineRule="auto"/>
              <w:jc w:val="both"/>
              <w:rPr>
                <w:rFonts w:ascii="Arial" w:hAnsi="Arial" w:cs="Arial"/>
                <w:sz w:val="18"/>
                <w:szCs w:val="18"/>
              </w:rPr>
            </w:pPr>
            <w:r w:rsidRPr="009251CA">
              <w:rPr>
                <w:rFonts w:ascii="Arial" w:hAnsi="Arial" w:cs="Arial"/>
                <w:sz w:val="18"/>
                <w:szCs w:val="18"/>
              </w:rPr>
              <w:t xml:space="preserve">Few differences were found between SLTs working in schools and clinics. However, substantial differences were observed between teachers and SLTs. Teachers were less familiar with SLCN terminology and less able to differentiate speech from language difficulties, but demonstrated awareness of associated academic and behavioural difficulties, particularly in reading and writing. Over 50% </w:t>
            </w:r>
            <w:r w:rsidRPr="009251CA">
              <w:rPr>
                <w:rFonts w:ascii="Arial" w:hAnsi="Arial" w:cs="Arial"/>
                <w:sz w:val="18"/>
                <w:szCs w:val="18"/>
              </w:rPr>
              <w:lastRenderedPageBreak/>
              <w:t>of education professionals reported receiving no formal training in SLCN.</w:t>
            </w:r>
          </w:p>
        </w:tc>
        <w:tc>
          <w:tcPr>
            <w:tcW w:w="1559" w:type="dxa"/>
          </w:tcPr>
          <w:p w14:paraId="6C40BBDC" w14:textId="77777777" w:rsidR="00ED6DF0" w:rsidRPr="000B26B9" w:rsidRDefault="00ED6DF0" w:rsidP="003A26A0">
            <w:pPr>
              <w:spacing w:line="360" w:lineRule="auto"/>
              <w:jc w:val="both"/>
              <w:rPr>
                <w:rFonts w:ascii="Arial" w:hAnsi="Arial" w:cs="Arial"/>
                <w:sz w:val="18"/>
                <w:szCs w:val="18"/>
              </w:rPr>
            </w:pPr>
            <w:r w:rsidRPr="009251CA">
              <w:rPr>
                <w:rFonts w:ascii="Arial" w:hAnsi="Arial" w:cs="Arial"/>
                <w:sz w:val="18"/>
                <w:szCs w:val="18"/>
              </w:rPr>
              <w:lastRenderedPageBreak/>
              <w:t>Differences in professional knowledge and terminology may hinder early identification of SLCN in school-age children. Improved training, shared frameworks, and practical identification tools are needed to support collaborative approaches and better address children’s language-related learning needs.</w:t>
            </w:r>
          </w:p>
        </w:tc>
      </w:tr>
    </w:tbl>
    <w:p w14:paraId="1ABBB0DB" w14:textId="77777777" w:rsidR="00ED6DF0" w:rsidRDefault="00ED6DF0" w:rsidP="00ED6DF0">
      <w:pPr>
        <w:spacing w:line="360" w:lineRule="auto"/>
        <w:jc w:val="both"/>
        <w:rPr>
          <w:rFonts w:ascii="Arial" w:hAnsi="Arial" w:cs="Arial"/>
        </w:rPr>
      </w:pPr>
    </w:p>
    <w:p w14:paraId="2D7C81D9" w14:textId="4E563860" w:rsidR="00ED6DF0" w:rsidRPr="00A82B00" w:rsidRDefault="008C1F25" w:rsidP="00ED6DF0">
      <w:pPr>
        <w:pStyle w:val="Heading1"/>
        <w:rPr>
          <w:rFonts w:cs="Arial"/>
          <w:szCs w:val="28"/>
        </w:rPr>
      </w:pPr>
      <w:bookmarkStart w:id="48" w:name="_Toc219199519"/>
      <w:r>
        <w:t xml:space="preserve">4.3 </w:t>
      </w:r>
      <w:r w:rsidR="00ED6DF0" w:rsidRPr="00822FF7">
        <w:t>Thematic Analysis</w:t>
      </w:r>
      <w:bookmarkEnd w:id="48"/>
    </w:p>
    <w:p w14:paraId="1C8E35D4" w14:textId="0BF54B62" w:rsidR="00ED6DF0" w:rsidRPr="00822FF7" w:rsidRDefault="008C1F25" w:rsidP="00ED6DF0">
      <w:pPr>
        <w:pStyle w:val="Heading2"/>
        <w:rPr>
          <w:lang w:eastAsia="en-GB"/>
        </w:rPr>
      </w:pPr>
      <w:bookmarkStart w:id="49" w:name="_Toc219199520"/>
      <w:r>
        <w:rPr>
          <w:lang w:eastAsia="en-GB"/>
        </w:rPr>
        <w:t xml:space="preserve">4.3.1 </w:t>
      </w:r>
      <w:r w:rsidR="00ED6DF0" w:rsidRPr="00822FF7">
        <w:rPr>
          <w:lang w:eastAsia="en-GB"/>
        </w:rPr>
        <w:t>Theme 1: Biological and Perinatal Risk Factors Influencing Developmental Delays</w:t>
      </w:r>
      <w:bookmarkEnd w:id="49"/>
    </w:p>
    <w:p w14:paraId="16B3D13F"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Biological and perinatal factors emerged as significant contributors to developmental delays across the reviewed literature, particularly in relation to language, cognitive, and behavioural outcomes. Prenatal exposures and early-life biological vulnerabilities were consistently associated with increased developmental risk. Calder et al. (2022) demonstrated that in utero exposure to maternal smoking significantly increased the likelihood of Developmental Language Disorder (DLD) at age 10, highlighting the long-term consequences of prenatal health behaviours. Similarly, Wright et al. (2023) identified prematurity, maternal diabetes, and prenatal exposure to antiepileptic medication as factors associated with reduced diagnostic yield and poorer developmental outcomes in children with severe developmental disorders. These findings reinforce the importance of early biological environments in shaping developmental trajectories.</w:t>
      </w:r>
    </w:p>
    <w:p w14:paraId="0B6F1F74"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 xml:space="preserve">Beyond prenatal exposures, child-specific biological characteristics also played a critical role. Cheung et al. (2023) identified male sex, receptive language delay, and hearing concerns as strong predictors of early language delay in a UK cohort, with proximal child factors explaining the largest proportion of variance in expressive vocabulary. Comparable findings were reported by Guhn et al. (2020), where low birth weight and gestational age were associated with poorer emotional and mental health outcomes across childhood. Hernández-Alava and Popli (2017) further demonstrated that early cognitive and noncognitive abilities exhibit strong self-productivity effects, meaning early biological disadvantages can compound over time. Collectively, these studies </w:t>
      </w:r>
      <w:r>
        <w:rPr>
          <w:rFonts w:ascii="Arial" w:hAnsi="Arial" w:cs="Arial"/>
          <w:lang w:eastAsia="en-GB"/>
        </w:rPr>
        <w:t>suggest that biological risk factors rarely operate in isolation but interact dynamically with subsequent experiences, underscoring the importance of</w:t>
      </w:r>
      <w:r w:rsidRPr="00822FF7">
        <w:rPr>
          <w:rFonts w:ascii="Arial" w:hAnsi="Arial" w:cs="Arial"/>
          <w:lang w:eastAsia="en-GB"/>
        </w:rPr>
        <w:t xml:space="preserve"> early </w:t>
      </w:r>
      <w:r w:rsidRPr="00822FF7">
        <w:rPr>
          <w:rFonts w:ascii="Arial" w:hAnsi="Arial" w:cs="Arial"/>
          <w:lang w:eastAsia="en-GB"/>
        </w:rPr>
        <w:lastRenderedPageBreak/>
        <w:t>identification, antenatal prevention strategies, and postnatal monitoring within public health systems.</w:t>
      </w:r>
    </w:p>
    <w:p w14:paraId="41165625" w14:textId="6F248981" w:rsidR="00ED6DF0" w:rsidRPr="00822FF7" w:rsidRDefault="008C1F25" w:rsidP="00ED6DF0">
      <w:pPr>
        <w:pStyle w:val="Heading2"/>
        <w:rPr>
          <w:lang w:eastAsia="en-GB"/>
        </w:rPr>
      </w:pPr>
      <w:bookmarkStart w:id="50" w:name="_Toc219199521"/>
      <w:r>
        <w:rPr>
          <w:lang w:eastAsia="en-GB"/>
        </w:rPr>
        <w:t xml:space="preserve">4.3.2 </w:t>
      </w:r>
      <w:r w:rsidR="00ED6DF0" w:rsidRPr="00822FF7">
        <w:rPr>
          <w:lang w:eastAsia="en-GB"/>
        </w:rPr>
        <w:t>Theme 2: Socio-Economic Disadvantage and Environmental Influences on Development</w:t>
      </w:r>
      <w:bookmarkEnd w:id="50"/>
    </w:p>
    <w:p w14:paraId="10F39B57"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Socio-economic disadvantage was one of the most consistently reported risk factors for developmental delays, affecting language, behavioural, and emotional outcomes across childhood. Ogundele (2016) found a disproportionate burden of behavioural disorders among children from the most deprived communities in the North West of England, with prevalence rates dramatically higher than in affluent areas. Chronic poverty-related stressors, including family instability and exposure to adversity, were frequently observed, reinforcing the link between deprivation and developmental vulnerability. Guhn et al. (2020) similarly demonstrated that low household income was associated with 25–39% higher odds of childhood mental health conditions, positioning poverty as a central public health determinant.</w:t>
      </w:r>
    </w:p>
    <w:p w14:paraId="6C9B2089"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Environmental influences within the home further shaped developmental outcomes. Hernández-Alava and Popli (2017) showed that parental investment activities, such as engagement in learning and interaction, had a significant positive effect on both cognitive and noncognitive development, partially buffering socio-economic risk. Cheung et al. (2023) reported that increased household size acted as a protective factor against early language delay, suggesting that social interaction opportunities within families may mitigate disadvantage. However, Dockrell et al. (2017) highlighted systemic environmental barriers within educational settings, including limited teacher training in speech and language needs, which may exacerbate developmental difficulties in disadvantaged populations. Together, the evidence indicates that socio-economic disadvantage operates through both material deprivation and reduced access to supportive environments, emphasising the importance of multi-level public health interventions addressing poverty, housing, education, and family support.</w:t>
      </w:r>
    </w:p>
    <w:p w14:paraId="163C0FFF" w14:textId="52BCE1F9" w:rsidR="00ED6DF0" w:rsidRPr="00822FF7" w:rsidRDefault="008C1F25" w:rsidP="00ED6DF0">
      <w:pPr>
        <w:pStyle w:val="Heading2"/>
        <w:rPr>
          <w:lang w:eastAsia="en-GB"/>
        </w:rPr>
      </w:pPr>
      <w:bookmarkStart w:id="51" w:name="_Toc219199522"/>
      <w:r>
        <w:rPr>
          <w:lang w:eastAsia="en-GB"/>
        </w:rPr>
        <w:t xml:space="preserve">4.3.3 </w:t>
      </w:r>
      <w:r w:rsidR="00ED6DF0" w:rsidRPr="00822FF7">
        <w:rPr>
          <w:lang w:eastAsia="en-GB"/>
        </w:rPr>
        <w:t>Theme 3: Patterns and Types of Developmental Delays in School-Aged Children</w:t>
      </w:r>
      <w:bookmarkEnd w:id="51"/>
    </w:p>
    <w:p w14:paraId="193E7697"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 xml:space="preserve">The reviewed studies highlighted distinct patterns in the types of developmental delays most frequently identified in childhood, particularly language, behavioural, and social communication difficulties. Calder et al. (2022) reported that DLD affected 6.4% of </w:t>
      </w:r>
      <w:r w:rsidRPr="00822FF7">
        <w:rPr>
          <w:rFonts w:ascii="Arial" w:hAnsi="Arial" w:cs="Arial"/>
          <w:lang w:eastAsia="en-GB"/>
        </w:rPr>
        <w:lastRenderedPageBreak/>
        <w:t>school-aged children, with mixed receptive-expressive language difficulties being the most prevalent subtype. This aligns with findings from Williams et al. (2018), which showed a marked increase over time in referrals for behavioural and social communication problems within UK Child Development Centres, alongside a decline in referrals labelled solely as “developmental delay.” These trends suggest increasing diagnostic specificity and greater recognition of complex developmental profiles.</w:t>
      </w:r>
    </w:p>
    <w:p w14:paraId="0C58473D"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Behavioural and emotional difficulties were also prominent. Ogundele (2016) identified high rates of ADHD and disruptive behaviours among children from deprived backgrounds, often co-occurring with social adversity. Guhn et al. (2020) similarly found strong associations between early disadvantage and later anxiety, hyperactivity, and aggression. Importantly, Dockrell et al. (2017) emphasised that language difficulties frequently co-occur with literacy and behavioural challenges in school-aged children, complicating identification and support. These findings highlight the multidimensional nature of developmental delays, where language, cognition, and behaviour intersect. A reliance on single diagnostic categories may therefore underestimate complexity, reinforcing the need for holistic assessment approaches within education and healthcare systems.</w:t>
      </w:r>
    </w:p>
    <w:p w14:paraId="31B1B478" w14:textId="23A0C5A3" w:rsidR="00ED6DF0" w:rsidRPr="00822FF7" w:rsidRDefault="008C1F25" w:rsidP="00ED6DF0">
      <w:pPr>
        <w:pStyle w:val="Heading2"/>
        <w:rPr>
          <w:lang w:eastAsia="en-GB"/>
        </w:rPr>
      </w:pPr>
      <w:bookmarkStart w:id="52" w:name="_Toc219199523"/>
      <w:r>
        <w:rPr>
          <w:lang w:eastAsia="en-GB"/>
        </w:rPr>
        <w:t xml:space="preserve">4.3.4 </w:t>
      </w:r>
      <w:r w:rsidR="00ED6DF0" w:rsidRPr="00822FF7">
        <w:rPr>
          <w:lang w:eastAsia="en-GB"/>
        </w:rPr>
        <w:t>Theme 4: Early Identification, Intervention, and Public Health Approaches</w:t>
      </w:r>
      <w:bookmarkEnd w:id="52"/>
    </w:p>
    <w:p w14:paraId="09653A1C" w14:textId="77777777" w:rsidR="00ED6DF0" w:rsidRPr="00822FF7" w:rsidRDefault="00ED6DF0" w:rsidP="00ED6DF0">
      <w:pPr>
        <w:spacing w:line="360" w:lineRule="auto"/>
        <w:jc w:val="both"/>
        <w:rPr>
          <w:rFonts w:ascii="Arial" w:hAnsi="Arial" w:cs="Arial"/>
          <w:lang w:eastAsia="en-GB"/>
        </w:rPr>
      </w:pPr>
      <w:r w:rsidRPr="00822FF7">
        <w:rPr>
          <w:rFonts w:ascii="Arial" w:hAnsi="Arial" w:cs="Arial"/>
          <w:lang w:eastAsia="en-GB"/>
        </w:rPr>
        <w:t>Early identification and intervention emerged as central mechanisms for improving developmental outcomes, particularly for vulnerable populations. Masefield et al. (2021) demonstrated that relying solely on definitive diagnoses substantially underestimates the prevalence of developmental disabilities in early childhood. By incorporating indicators of potential disability within primary care records, more children at risk were identified, enabling earlier support. This has direct implications for public health planning, as delayed recognition may limit access to timely interventions.</w:t>
      </w:r>
    </w:p>
    <w:p w14:paraId="0B7307D6" w14:textId="77777777" w:rsidR="00ED6DF0" w:rsidRDefault="00ED6DF0" w:rsidP="00ED6DF0">
      <w:pPr>
        <w:spacing w:line="360" w:lineRule="auto"/>
        <w:jc w:val="both"/>
        <w:rPr>
          <w:rFonts w:ascii="Arial" w:hAnsi="Arial" w:cs="Arial"/>
          <w:lang w:eastAsia="en-GB"/>
        </w:rPr>
      </w:pPr>
      <w:r w:rsidRPr="00822FF7">
        <w:rPr>
          <w:rFonts w:ascii="Arial" w:hAnsi="Arial" w:cs="Arial"/>
          <w:lang w:eastAsia="en-GB"/>
        </w:rPr>
        <w:t xml:space="preserve">Intervention-focused evidence further supports early action. Gibbard et al. (2024) showed that parent-based interventions, particularly enhanced models that increase caregiver activation, can improve language outcomes among children from socially disadvantaged backgrounds. Although outcome variability was noted, parental engagement consistently emerged as a key mechanism of change. Hernández-Alava </w:t>
      </w:r>
      <w:r w:rsidRPr="00822FF7">
        <w:rPr>
          <w:rFonts w:ascii="Arial" w:hAnsi="Arial" w:cs="Arial"/>
          <w:lang w:eastAsia="en-GB"/>
        </w:rPr>
        <w:lastRenderedPageBreak/>
        <w:t>and Popli (2017) similarly demonstrated that early parental investment has cumulative benefits across childhood. However, Dockrell et al. (2017) identified workforce-level gaps, with many teachers lacking training in speech and language needs, potentially limiting early identification within schools. Together, these findings support a public health approach that integrates early surveillance, family-centred interventions, workforce training, and equitable access to services. Addressing developmental delay</w:t>
      </w:r>
      <w:r>
        <w:rPr>
          <w:rFonts w:ascii="Arial" w:hAnsi="Arial" w:cs="Arial"/>
          <w:lang w:eastAsia="en-GB"/>
        </w:rPr>
        <w:t>,</w:t>
      </w:r>
      <w:r w:rsidRPr="00822FF7">
        <w:rPr>
          <w:rFonts w:ascii="Arial" w:hAnsi="Arial" w:cs="Arial"/>
          <w:lang w:eastAsia="en-GB"/>
        </w:rPr>
        <w:t xml:space="preserve"> therefore</w:t>
      </w:r>
      <w:r>
        <w:rPr>
          <w:rFonts w:ascii="Arial" w:hAnsi="Arial" w:cs="Arial"/>
          <w:lang w:eastAsia="en-GB"/>
        </w:rPr>
        <w:t>,</w:t>
      </w:r>
      <w:r w:rsidRPr="00822FF7">
        <w:rPr>
          <w:rFonts w:ascii="Arial" w:hAnsi="Arial" w:cs="Arial"/>
          <w:lang w:eastAsia="en-GB"/>
        </w:rPr>
        <w:t xml:space="preserve"> requires coordinated action across health, education, and social care to reduce inequalities and optimise developmental trajectories for children aged 5–12 years.</w:t>
      </w:r>
    </w:p>
    <w:p w14:paraId="695003C5" w14:textId="698643CA" w:rsidR="00793875" w:rsidRPr="00793875" w:rsidRDefault="00793875" w:rsidP="00793875">
      <w:pPr>
        <w:pStyle w:val="Heading1"/>
      </w:pPr>
      <w:bookmarkStart w:id="53" w:name="_Toc219199524"/>
      <w:r>
        <w:t xml:space="preserve">4.4 </w:t>
      </w:r>
      <w:r w:rsidRPr="00793875">
        <w:t>Chapter Summary</w:t>
      </w:r>
      <w:bookmarkEnd w:id="53"/>
    </w:p>
    <w:p w14:paraId="3DAD908E" w14:textId="77777777" w:rsidR="00793875" w:rsidRPr="00793875" w:rsidRDefault="00793875" w:rsidP="00793875">
      <w:pPr>
        <w:spacing w:line="360" w:lineRule="auto"/>
        <w:jc w:val="both"/>
        <w:rPr>
          <w:rFonts w:ascii="Arial" w:hAnsi="Arial" w:cs="Arial"/>
          <w:lang w:eastAsia="en-GB"/>
        </w:rPr>
      </w:pPr>
      <w:r w:rsidRPr="00793875">
        <w:rPr>
          <w:rFonts w:ascii="Arial" w:hAnsi="Arial" w:cs="Arial"/>
          <w:lang w:eastAsia="en-GB"/>
        </w:rPr>
        <w:t>This chapter presented the results of the systematic review examining risk factors associated with developmental delays among children aged 5–12 years in England. Using a PRISMA-guided selection process, ten peer-reviewed studies were included, representing diverse methodologies and settings. The findings were synthesised thematically, identifying biological and perinatal factors, socio-economic disadvantage, and environmental influences as key contributors to developmental vulnerability. Language, behavioural, and social communication difficulties emerged as the most prevalent developmental patterns, often co-occurring and shaped by cumulative risk exposure. Evidence also highlighted the importance of early identification, parental engagement, and targeted interventions, particularly for disadvantaged populations. Overall, the results underscore the multidimensional nature of developmental delays and the need for integrated, equity-focused public health and educational strategies.</w:t>
      </w:r>
    </w:p>
    <w:p w14:paraId="57C41847" w14:textId="77777777" w:rsidR="00F95B93" w:rsidRDefault="00F95B93" w:rsidP="00ED6DF0">
      <w:pPr>
        <w:spacing w:line="360" w:lineRule="auto"/>
        <w:jc w:val="both"/>
        <w:rPr>
          <w:rFonts w:ascii="Arial" w:hAnsi="Arial" w:cs="Arial"/>
          <w:lang w:eastAsia="en-GB"/>
        </w:rPr>
      </w:pPr>
    </w:p>
    <w:p w14:paraId="4DBDB898" w14:textId="77777777" w:rsidR="00F95B93" w:rsidRDefault="00F95B93" w:rsidP="00ED6DF0">
      <w:pPr>
        <w:spacing w:line="360" w:lineRule="auto"/>
        <w:jc w:val="both"/>
        <w:rPr>
          <w:rFonts w:ascii="Arial" w:hAnsi="Arial" w:cs="Arial"/>
          <w:lang w:eastAsia="en-GB"/>
        </w:rPr>
      </w:pPr>
    </w:p>
    <w:p w14:paraId="26EFE0E1" w14:textId="77777777" w:rsidR="00F95B93" w:rsidRDefault="00F95B93" w:rsidP="00ED6DF0">
      <w:pPr>
        <w:spacing w:line="360" w:lineRule="auto"/>
        <w:jc w:val="both"/>
        <w:rPr>
          <w:rFonts w:ascii="Arial" w:hAnsi="Arial" w:cs="Arial"/>
          <w:lang w:eastAsia="en-GB"/>
        </w:rPr>
      </w:pPr>
    </w:p>
    <w:p w14:paraId="29D5A24B" w14:textId="77777777" w:rsidR="00F95B93" w:rsidRDefault="00F95B93" w:rsidP="00ED6DF0">
      <w:pPr>
        <w:spacing w:line="360" w:lineRule="auto"/>
        <w:jc w:val="both"/>
        <w:rPr>
          <w:rFonts w:ascii="Arial" w:hAnsi="Arial" w:cs="Arial"/>
          <w:lang w:eastAsia="en-GB"/>
        </w:rPr>
      </w:pPr>
    </w:p>
    <w:p w14:paraId="75544D60" w14:textId="77777777" w:rsidR="00F95B93" w:rsidRDefault="00F95B93" w:rsidP="00ED6DF0">
      <w:pPr>
        <w:spacing w:line="360" w:lineRule="auto"/>
        <w:jc w:val="both"/>
        <w:rPr>
          <w:rFonts w:ascii="Arial" w:hAnsi="Arial" w:cs="Arial"/>
          <w:lang w:eastAsia="en-GB"/>
        </w:rPr>
      </w:pPr>
    </w:p>
    <w:p w14:paraId="2BB6FBA5" w14:textId="77777777" w:rsidR="00F95B93" w:rsidRDefault="00F95B93" w:rsidP="00ED6DF0">
      <w:pPr>
        <w:spacing w:line="360" w:lineRule="auto"/>
        <w:jc w:val="both"/>
        <w:rPr>
          <w:rFonts w:ascii="Arial" w:hAnsi="Arial" w:cs="Arial"/>
          <w:lang w:eastAsia="en-GB"/>
        </w:rPr>
      </w:pPr>
    </w:p>
    <w:p w14:paraId="5700510B" w14:textId="77777777" w:rsidR="00ED6DF0" w:rsidRPr="00A82B00" w:rsidRDefault="00ED6DF0" w:rsidP="00436809">
      <w:pPr>
        <w:pStyle w:val="Heading1"/>
      </w:pPr>
      <w:bookmarkStart w:id="54" w:name="_Toc219199525"/>
      <w:r w:rsidRPr="00A82B00">
        <w:lastRenderedPageBreak/>
        <w:t>Chapter 5: Discussion</w:t>
      </w:r>
      <w:bookmarkEnd w:id="54"/>
      <w:r w:rsidRPr="00A82B00">
        <w:t xml:space="preserve"> </w:t>
      </w:r>
    </w:p>
    <w:p w14:paraId="47F04F42" w14:textId="569351DC" w:rsidR="00793875" w:rsidRDefault="00793875" w:rsidP="00793875">
      <w:pPr>
        <w:pStyle w:val="Heading1"/>
      </w:pPr>
      <w:bookmarkStart w:id="55" w:name="_Toc219199526"/>
      <w:r>
        <w:t>5.1 Introduction</w:t>
      </w:r>
      <w:bookmarkEnd w:id="55"/>
    </w:p>
    <w:p w14:paraId="4231E498" w14:textId="565CFA04" w:rsidR="00ED6DF0" w:rsidRDefault="00ED6DF0" w:rsidP="00ED6DF0">
      <w:pPr>
        <w:spacing w:line="360" w:lineRule="auto"/>
        <w:jc w:val="both"/>
        <w:rPr>
          <w:rFonts w:ascii="Arial" w:hAnsi="Arial" w:cs="Arial"/>
          <w:lang w:eastAsia="en-GB"/>
        </w:rPr>
      </w:pPr>
      <w:r w:rsidRPr="00A82B00">
        <w:rPr>
          <w:rFonts w:ascii="Arial" w:hAnsi="Arial" w:cs="Arial"/>
          <w:lang w:eastAsia="en-GB"/>
        </w:rPr>
        <w:t xml:space="preserve">This chapter </w:t>
      </w:r>
      <w:r>
        <w:rPr>
          <w:rFonts w:ascii="Arial" w:hAnsi="Arial" w:cs="Arial"/>
          <w:lang w:eastAsia="en-GB"/>
        </w:rPr>
        <w:t>presents the findings of the systematic review in relation to the research question, aims, and objectives, with a focus on the primary risk factors associated with developmental delays among children aged 5 to 12 years in England,</w:t>
      </w:r>
      <w:r w:rsidRPr="00A82B00">
        <w:rPr>
          <w:rFonts w:ascii="Arial" w:hAnsi="Arial" w:cs="Arial"/>
          <w:lang w:eastAsia="en-GB"/>
        </w:rPr>
        <w:t xml:space="preserve"> and the role of a public health approach in improving outcomes. The discussion integrates evidence from the reviewed studies to interpret key themes, including biological and perinatal influences, socio-economic and environmental determinants, patterns of developmental delay, and the impact of early identification and intervention strategies. By situating the findings within the wider literature and current public health frameworks, this chapter highlights how developmental delays arise from complex, interacting risk factors rather than single causes. Attention is given to inequalities affecting vulnerable children and how early, coordinated, and preventive interventions across health, education, and social care can mitigate long-term adverse outcomes. The chapter also considers implications for policy, practice, and future research to strengthen early support systems and reduce developmental inequalities in England.</w:t>
      </w:r>
    </w:p>
    <w:p w14:paraId="0F1B6DA5" w14:textId="0BA865FB" w:rsidR="00ED6DF0" w:rsidRDefault="008143F0" w:rsidP="00ED6DF0">
      <w:pPr>
        <w:pStyle w:val="Heading1"/>
      </w:pPr>
      <w:bookmarkStart w:id="56" w:name="_Toc219199527"/>
      <w:r>
        <w:t>5.</w:t>
      </w:r>
      <w:r w:rsidR="00793875">
        <w:t>2</w:t>
      </w:r>
      <w:r>
        <w:t xml:space="preserve"> </w:t>
      </w:r>
      <w:r w:rsidR="00ED6DF0">
        <w:t>Discussion of Themes</w:t>
      </w:r>
      <w:bookmarkEnd w:id="56"/>
    </w:p>
    <w:p w14:paraId="2A49FEED" w14:textId="77777777" w:rsidR="00ED6DF0" w:rsidRPr="000E29A2" w:rsidRDefault="00ED6DF0" w:rsidP="00ED6DF0">
      <w:pPr>
        <w:pStyle w:val="Heading2"/>
        <w:rPr>
          <w:lang w:eastAsia="en-GB"/>
        </w:rPr>
      </w:pPr>
      <w:bookmarkStart w:id="57" w:name="_Toc219199528"/>
      <w:r>
        <w:rPr>
          <w:lang w:eastAsia="en-GB"/>
        </w:rPr>
        <w:t xml:space="preserve">Theme 1: </w:t>
      </w:r>
      <w:r w:rsidRPr="00822FF7">
        <w:rPr>
          <w:lang w:eastAsia="en-GB"/>
        </w:rPr>
        <w:t>Biological and Perinatal Risk Factors Influencing Developmental Delays</w:t>
      </w:r>
      <w:bookmarkEnd w:id="57"/>
    </w:p>
    <w:p w14:paraId="73C59579" w14:textId="77777777" w:rsidR="00ED6DF0" w:rsidRPr="002643CE" w:rsidRDefault="00ED6DF0" w:rsidP="00ED6DF0">
      <w:pPr>
        <w:spacing w:line="360" w:lineRule="auto"/>
        <w:jc w:val="both"/>
        <w:rPr>
          <w:rFonts w:ascii="Arial" w:hAnsi="Arial" w:cs="Arial"/>
          <w:lang w:eastAsia="en-GB"/>
        </w:rPr>
      </w:pPr>
      <w:r w:rsidRPr="002643CE">
        <w:rPr>
          <w:rFonts w:ascii="Arial" w:hAnsi="Arial" w:cs="Arial"/>
          <w:lang w:eastAsia="en-GB"/>
        </w:rPr>
        <w:t>Biological and prenatal risk factors identified across this body of literature show strong consistency, with convergence rather than contradiction across high-quality studies. Jia et al. (2023) demonstrated that prenatal lead exposure significantly increased the risk of cognitive developmental delay by age two, particularly among children with heightened genetic susceptibility. This finding closely aligns with Calder et al. (2022), who identified prenatal maternal smoking as a significant risk factor for Developmental Language Disorder, and Wright et al. (2023), who reported poorer developmental outcomes following prenatal exposure to antiepileptic medication and maternal metabolic conditions. Collectively, these studies suggest a shared biological pathway whereby prenatal environmental insults disrupt early neurodevelopment, with genetic vulnerability amplifying both severity and persistence of outcomes. This pattern supports the self-productivity framework proposed by Hernández-Alava and Popli (2017), emphasising that early biological disadvantage compounds over time.</w:t>
      </w:r>
    </w:p>
    <w:p w14:paraId="7E0438D1" w14:textId="77777777" w:rsidR="00ED6DF0" w:rsidRPr="002643CE" w:rsidRDefault="00ED6DF0" w:rsidP="00ED6DF0">
      <w:pPr>
        <w:spacing w:line="360" w:lineRule="auto"/>
        <w:jc w:val="both"/>
        <w:rPr>
          <w:rFonts w:ascii="Arial" w:hAnsi="Arial" w:cs="Arial"/>
          <w:lang w:eastAsia="en-GB"/>
        </w:rPr>
      </w:pPr>
      <w:r w:rsidRPr="002643CE">
        <w:rPr>
          <w:rFonts w:ascii="Arial" w:hAnsi="Arial" w:cs="Arial"/>
          <w:lang w:eastAsia="en-GB"/>
        </w:rPr>
        <w:lastRenderedPageBreak/>
        <w:t>Evidence relating to perinatal and neonatal characteristics further reinforces this integrated interpretation of developmental risk. Yang et al. (2023) identified male sex, advanced maternal age, multiple births, neonatal injury, abnormal body mass index, and microcephaly as significant predictors of early developmental delay. These findings closely parallel those of Cheung et al. (2023), who reported male sex and proximal child factors as strong predictors of early language delay in a UK cohort. Similarly, Guhn et al. (2020) demonstrated that low birth weight and shorter gestational age were associated with poorer emotional and mental health outcomes throughout childhood. Together, these studies highlight the central role of biological vulnerability at birth in shaping developmental trajectories. Importantly, both Yang et al. (2023) and Guhn et al. (2020) identified socio-economic status as a key modifying factor, capable of exacerbating or partially buffering biological risk.</w:t>
      </w:r>
    </w:p>
    <w:p w14:paraId="03049F7E" w14:textId="77777777" w:rsidR="00ED6DF0" w:rsidRDefault="00ED6DF0" w:rsidP="00ED6DF0">
      <w:pPr>
        <w:spacing w:line="360" w:lineRule="auto"/>
        <w:jc w:val="both"/>
        <w:rPr>
          <w:rFonts w:ascii="Arial" w:hAnsi="Arial" w:cs="Arial"/>
          <w:lang w:eastAsia="en-GB"/>
        </w:rPr>
      </w:pPr>
      <w:r w:rsidRPr="002643CE">
        <w:rPr>
          <w:rFonts w:ascii="Arial" w:hAnsi="Arial" w:cs="Arial"/>
          <w:lang w:eastAsia="en-GB"/>
        </w:rPr>
        <w:t>Longitudinal evidence from Zhang et al. (2025) integrates seamlessly with these findings, demonstrating that children born small for gestational age experience significantly elevated risks of neurodevelopmental and socioemotional difficulties. These risks were particularly pronounced in the presence of maternal undernutrition, inappropriate gestational weight gain, prematurity, and neonatal respiratory distress. Such findings closely mirror perinatal risk patterns reported by Wright et al. (2023) and Guhn et al. (2020), confirming that early growth restriction and neonatal complications initiate vulnerabilities that persist into early childhood. Taken together, the evidence demonstrates that biological and perinatal risks interact cumulatively with genetic and socio-economic factors. This underscores the importance of antenatal care, maternal nutrition, environmental protection, and early developmental surveillance within effective public health strategies.</w:t>
      </w:r>
    </w:p>
    <w:p w14:paraId="6C95B519" w14:textId="46517F29" w:rsidR="00DA0032" w:rsidRPr="00822FF7" w:rsidRDefault="00DA0032" w:rsidP="00DA0032">
      <w:pPr>
        <w:pStyle w:val="Heading2"/>
        <w:rPr>
          <w:lang w:eastAsia="en-GB"/>
        </w:rPr>
      </w:pPr>
      <w:bookmarkStart w:id="58" w:name="_Toc219199529"/>
      <w:r w:rsidRPr="00822FF7">
        <w:rPr>
          <w:lang w:eastAsia="en-GB"/>
        </w:rPr>
        <w:t>Theme 2: Socio-Economic Disadvantage and Environmental Influences on Development</w:t>
      </w:r>
      <w:bookmarkEnd w:id="58"/>
    </w:p>
    <w:p w14:paraId="1B338F1B" w14:textId="601784EC" w:rsidR="00040C22" w:rsidRPr="00040C22" w:rsidRDefault="00040C22" w:rsidP="00040C22">
      <w:pPr>
        <w:spacing w:line="360" w:lineRule="auto"/>
        <w:jc w:val="both"/>
        <w:rPr>
          <w:rFonts w:ascii="Arial" w:hAnsi="Arial" w:cs="Arial"/>
          <w:lang w:eastAsia="en-GB"/>
        </w:rPr>
      </w:pPr>
      <w:r w:rsidRPr="00040C22">
        <w:rPr>
          <w:rFonts w:ascii="Arial" w:hAnsi="Arial" w:cs="Arial"/>
          <w:lang w:eastAsia="en-GB"/>
        </w:rPr>
        <w:t>Socio-economic disadvantage consistently emerges as a powerful determinant of developmental outcomes, and the additional evidence further reinforces the multi-layered mechanisms outlined in this theme. Playford et al. (2017) extend earlier findings by demonstrating that while fetal environment partially mediates the relationship between low parental education and developmental difficulties</w:t>
      </w:r>
      <w:r>
        <w:rPr>
          <w:rFonts w:ascii="Arial" w:hAnsi="Arial" w:cs="Arial"/>
          <w:lang w:eastAsia="en-GB"/>
        </w:rPr>
        <w:t xml:space="preserve">, </w:t>
      </w:r>
      <w:r w:rsidRPr="00040C22">
        <w:rPr>
          <w:rFonts w:ascii="Arial" w:hAnsi="Arial" w:cs="Arial"/>
          <w:lang w:eastAsia="en-GB"/>
        </w:rPr>
        <w:t>particularly in hearing, language, fine motor, and social development</w:t>
      </w:r>
      <w:r>
        <w:rPr>
          <w:rFonts w:ascii="Arial" w:hAnsi="Arial" w:cs="Arial"/>
          <w:lang w:eastAsia="en-GB"/>
        </w:rPr>
        <w:t xml:space="preserve">, </w:t>
      </w:r>
      <w:r w:rsidRPr="00040C22">
        <w:rPr>
          <w:rFonts w:ascii="Arial" w:hAnsi="Arial" w:cs="Arial"/>
          <w:lang w:eastAsia="en-GB"/>
        </w:rPr>
        <w:t xml:space="preserve">the postnatal </w:t>
      </w:r>
      <w:r w:rsidRPr="00040C22">
        <w:rPr>
          <w:rFonts w:ascii="Arial" w:hAnsi="Arial" w:cs="Arial"/>
          <w:lang w:eastAsia="en-GB"/>
        </w:rPr>
        <w:lastRenderedPageBreak/>
        <w:t>environment explains most socio-economic gradients. This aligns closely with Ogundele’s (2016) observation that children in deprived Northwest England communities experience substantially higher behavioural disorder prevalence, suggesting that environmental stressors persist beyond birth. Similarly, Doulabi et al. (2017) confirm a statistically significant association between low SES and developmental delay in Iranian preschool children, even after controlling for risk factors, highlighting the cross-cultural consistency of this relationship. Together, these studies corroborate Guhn et al.’s (2020) findings that poverty elevates the odds of childhood mental health conditions, positioning socio-economic disadvantage as both a biological and social risk operating across early life stages.</w:t>
      </w:r>
    </w:p>
    <w:p w14:paraId="63675819" w14:textId="60C8FEE3" w:rsidR="00ED6DF0" w:rsidRDefault="00040C22" w:rsidP="00ED6DF0">
      <w:pPr>
        <w:spacing w:line="360" w:lineRule="auto"/>
        <w:jc w:val="both"/>
        <w:rPr>
          <w:rFonts w:ascii="Arial" w:hAnsi="Arial" w:cs="Arial"/>
          <w:lang w:eastAsia="en-GB"/>
        </w:rPr>
      </w:pPr>
      <w:r w:rsidRPr="00040C22">
        <w:rPr>
          <w:rFonts w:ascii="Arial" w:hAnsi="Arial" w:cs="Arial"/>
          <w:lang w:eastAsia="en-GB"/>
        </w:rPr>
        <w:t xml:space="preserve">Comparatively, the literature also underscores the moderating role of environmental supports within families and communities. Hernández-Alava and Popli (2017) demonstrated that parental investment can buffer socio-economic risk, a finding echoed by Playford et al. (2017), who showed that postnatal environments remain pivotal even when fetal factors are considered. Cheung et al.’s (2023) identification of larger household size as protective against language delay resonates with Paat et al. (2024), who, using a socio-ecological framework, found that parent–child closeness, food security, and parental knowledge of community resources positively influenced adolescents’ self-regulation. However, Paat et al. (2024) also revealed subgroup differences, indicating that disadvantage interacts with disability type, echoing Dockrell et </w:t>
      </w:r>
      <w:r>
        <w:rPr>
          <w:rFonts w:ascii="Arial" w:hAnsi="Arial" w:cs="Arial"/>
          <w:lang w:eastAsia="en-GB"/>
        </w:rPr>
        <w:t>al.'s</w:t>
      </w:r>
      <w:r w:rsidRPr="00040C22">
        <w:rPr>
          <w:rFonts w:ascii="Arial" w:hAnsi="Arial" w:cs="Arial"/>
          <w:lang w:eastAsia="en-GB"/>
        </w:rPr>
        <w:t xml:space="preserve"> (2017) concerns about systemic educational barriers. </w:t>
      </w:r>
    </w:p>
    <w:p w14:paraId="7F534DAD" w14:textId="77777777" w:rsidR="008433F6" w:rsidRPr="00822FF7" w:rsidRDefault="008433F6" w:rsidP="008433F6">
      <w:pPr>
        <w:pStyle w:val="Heading2"/>
        <w:rPr>
          <w:lang w:eastAsia="en-GB"/>
        </w:rPr>
      </w:pPr>
      <w:bookmarkStart w:id="59" w:name="_Toc219199530"/>
      <w:r w:rsidRPr="00822FF7">
        <w:rPr>
          <w:lang w:eastAsia="en-GB"/>
        </w:rPr>
        <w:t>Theme 3: Patterns and Types of Developmental Delays in School-Aged Children</w:t>
      </w:r>
      <w:bookmarkEnd w:id="59"/>
    </w:p>
    <w:p w14:paraId="1F18A094" w14:textId="77777777" w:rsidR="008433F6" w:rsidRPr="008433F6" w:rsidRDefault="008433F6" w:rsidP="008433F6">
      <w:pPr>
        <w:spacing w:line="360" w:lineRule="auto"/>
        <w:jc w:val="both"/>
        <w:rPr>
          <w:rFonts w:ascii="Arial" w:hAnsi="Arial" w:cs="Arial"/>
          <w:lang w:eastAsia="en-GB"/>
        </w:rPr>
      </w:pPr>
      <w:r w:rsidRPr="008433F6">
        <w:rPr>
          <w:rFonts w:ascii="Arial" w:hAnsi="Arial" w:cs="Arial"/>
          <w:lang w:eastAsia="en-GB"/>
        </w:rPr>
        <w:t xml:space="preserve">The evidence reviewed under Theme 3 demonstrates clear patterns in the types of developmental delays identified in school-aged children, particularly a shift away from broad classifications toward more specific diagnostic categories. Calder et al. (2022) identified developmental language disorder (DLD), especially mixed receptive–expressive profiles, as one of the most prevalent developmental difficulties, a finding that aligns with Zablotsky et al.’s (2019) national data showing rising prevalence of autism spectrum disorder, ADHD, and intellectual disability alongside a decline in diagnoses labelled as “other developmental delay.” This parallel trend supports Williams et al.’s (2018) observation that referrals are increasingly focused on </w:t>
      </w:r>
      <w:r w:rsidRPr="008433F6">
        <w:rPr>
          <w:rFonts w:ascii="Arial" w:hAnsi="Arial" w:cs="Arial"/>
          <w:lang w:eastAsia="en-GB"/>
        </w:rPr>
        <w:lastRenderedPageBreak/>
        <w:t>behavioural and social communication difficulties rather than non-specific developmental delay. Collectively, these findings suggest that improved diagnostic frameworks and awareness have enhanced recognition of complex developmental presentations, rather than reflecting a true reduction in developmental vulnerability.</w:t>
      </w:r>
    </w:p>
    <w:p w14:paraId="0ED51540" w14:textId="77777777" w:rsidR="008433F6" w:rsidRPr="008433F6" w:rsidRDefault="008433F6" w:rsidP="008433F6">
      <w:pPr>
        <w:spacing w:line="360" w:lineRule="auto"/>
        <w:jc w:val="both"/>
        <w:rPr>
          <w:rFonts w:ascii="Arial" w:hAnsi="Arial" w:cs="Arial"/>
          <w:lang w:eastAsia="en-GB"/>
        </w:rPr>
      </w:pPr>
      <w:r w:rsidRPr="008433F6">
        <w:rPr>
          <w:rFonts w:ascii="Arial" w:hAnsi="Arial" w:cs="Arial"/>
          <w:lang w:eastAsia="en-GB"/>
        </w:rPr>
        <w:t>Comparatively, service access and diagnostic timing emerge as critical factors influencing developmental trajectories. Twardzik et al. (2018) demonstrated that children whose primary diagnosis shifted from developmental delay to a more specific disability after age five were significantly more likely to require school-based special education, particularly when service gaps occurred during transition from early intervention. This finding complements Dockrell et al.’s (2017) assertion that language difficulties often co-occur with behavioural and literacy challenges, increasing support needs if early identification is disrupted. Furthermore, Ogundele (2016) and Guhn et al. (2020) highlighted how behavioural and emotional difficulties, such as ADHD and anxiety, frequently co-exist with language and social communication problems, especially among disadvantaged children. In comparison, Zablotsky et al. (2019) reported demographic variations in prevalence, indicating that socio-economic and healthcare access factors shape identification patterns. Overall, these studies collectively emphasise that developmental delays are multidimensional and dynamic, reinforcing the importance of timely, continuous, and holistic assessment systems to prevent escalation of difficulties across the school years.</w:t>
      </w:r>
    </w:p>
    <w:p w14:paraId="0499FAAE" w14:textId="77777777" w:rsidR="00D64ABB" w:rsidRPr="00822FF7" w:rsidRDefault="00D64ABB" w:rsidP="00D64ABB">
      <w:pPr>
        <w:pStyle w:val="Heading2"/>
        <w:rPr>
          <w:lang w:eastAsia="en-GB"/>
        </w:rPr>
      </w:pPr>
      <w:bookmarkStart w:id="60" w:name="_Toc219199531"/>
      <w:r w:rsidRPr="00822FF7">
        <w:rPr>
          <w:lang w:eastAsia="en-GB"/>
        </w:rPr>
        <w:t>Theme 4: Early Identification, Intervention, and Public Health Approaches</w:t>
      </w:r>
      <w:bookmarkEnd w:id="60"/>
    </w:p>
    <w:p w14:paraId="54A2BA3C" w14:textId="62C1593D" w:rsidR="00D64ABB" w:rsidRPr="00D64ABB" w:rsidRDefault="00D64ABB" w:rsidP="00D64ABB">
      <w:pPr>
        <w:spacing w:line="360" w:lineRule="auto"/>
        <w:jc w:val="both"/>
        <w:rPr>
          <w:rFonts w:ascii="Arial" w:hAnsi="Arial" w:cs="Arial"/>
          <w:lang w:eastAsia="en-GB"/>
        </w:rPr>
      </w:pPr>
      <w:r w:rsidRPr="00D64ABB">
        <w:rPr>
          <w:rFonts w:ascii="Arial" w:hAnsi="Arial" w:cs="Arial"/>
          <w:lang w:eastAsia="en-GB"/>
        </w:rPr>
        <w:t xml:space="preserve">Early identification is consistently shown to be a cornerstone of effective public health responses to developmental delay, and the additional literature strengthens the arguments outlined in </w:t>
      </w:r>
      <w:r>
        <w:rPr>
          <w:rFonts w:ascii="Arial" w:hAnsi="Arial" w:cs="Arial"/>
          <w:lang w:eastAsia="en-GB"/>
        </w:rPr>
        <w:t>this t</w:t>
      </w:r>
      <w:r w:rsidRPr="00D64ABB">
        <w:rPr>
          <w:rFonts w:ascii="Arial" w:hAnsi="Arial" w:cs="Arial"/>
          <w:lang w:eastAsia="en-GB"/>
        </w:rPr>
        <w:t xml:space="preserve">heme. Masefield et al. (2021) demonstrated that surveillance approaches incorporating early indicators capture a wider at-risk population than diagnosis-based systems alone. This aligns closely with Raspa et al. (2015), who found that parents are often the first to recognise developmental concerns, yet their ability to act is strongly shaped by professional responses. Parents encountered either proactive providers who used tools and made referrals or passive “wait and see” approaches that delayed access to services (Raspa et al., 2015). Similarly, Lipkin et al. (2020) advocate for universal developmental surveillance at every health supervision visit, combined with standardised screening at key ages, </w:t>
      </w:r>
      <w:r w:rsidRPr="00D64ABB">
        <w:rPr>
          <w:rFonts w:ascii="Arial" w:hAnsi="Arial" w:cs="Arial"/>
          <w:lang w:eastAsia="en-GB"/>
        </w:rPr>
        <w:lastRenderedPageBreak/>
        <w:t>reinforcing the idea that early identification should be systematic rather than reactive. Together, these studies highlight a shared concern: inconsistent surveillance practices risk delayed recognition, particularly among vulnerable children, undermining the benefits of early intervention.</w:t>
      </w:r>
    </w:p>
    <w:p w14:paraId="01CF76FA" w14:textId="77777777" w:rsidR="00D64ABB" w:rsidRPr="00D64ABB" w:rsidRDefault="00D64ABB" w:rsidP="00D64ABB">
      <w:pPr>
        <w:spacing w:line="360" w:lineRule="auto"/>
        <w:jc w:val="both"/>
        <w:rPr>
          <w:rFonts w:ascii="Arial" w:hAnsi="Arial" w:cs="Arial"/>
          <w:lang w:eastAsia="en-GB"/>
        </w:rPr>
      </w:pPr>
      <w:r w:rsidRPr="00D64ABB">
        <w:rPr>
          <w:rFonts w:ascii="Arial" w:hAnsi="Arial" w:cs="Arial"/>
          <w:lang w:eastAsia="en-GB"/>
        </w:rPr>
        <w:t>Comparative evidence further supports integrated, multi-level intervention strategies. Barger et al. (2018) showed that children who received both developmental monitoring and developmental screening were significantly more likely to access early intervention services than those receiving either approach alone, directly supporting Lipkin et al.’s (2020) universal surveillance model. These findings complement Gibbard et al.’s (2024) evidence that parent-based interventions, particularly those enhancing caregiver engagement, can improve language outcomes in disadvantaged populations. However, Raspa et al. (2015) noted that parents often lacked clarity about how and why to act early, suggesting gaps in public health messaging. This mirrors Dockrell et al.’s (2017) identification of workforce training deficits that limit early recognition within schools. Overall, the literature converges on the need for coordinated public health approaches that integrate parental awareness, professional training, routine surveillance, and equitable access to early intervention services to optimise developmental trajectories and reduce long-term inequalities.</w:t>
      </w:r>
    </w:p>
    <w:p w14:paraId="690AB2AF" w14:textId="21679B69" w:rsidR="00793875" w:rsidRPr="00793875" w:rsidRDefault="00793875" w:rsidP="00793875">
      <w:pPr>
        <w:pStyle w:val="Heading1"/>
      </w:pPr>
      <w:bookmarkStart w:id="61" w:name="_Toc219199532"/>
      <w:r>
        <w:t xml:space="preserve">5.3 </w:t>
      </w:r>
      <w:r w:rsidR="00D64ABB" w:rsidRPr="00D64ABB">
        <w:rPr>
          <w:vanish/>
        </w:rPr>
        <w:t>Top of Form</w:t>
      </w:r>
      <w:r w:rsidRPr="00793875">
        <w:rPr>
          <w:bCs/>
        </w:rPr>
        <w:t>Chapter Summary</w:t>
      </w:r>
      <w:bookmarkEnd w:id="61"/>
    </w:p>
    <w:p w14:paraId="6C3961F7" w14:textId="00A26D38" w:rsidR="001A69C1" w:rsidRDefault="00793875" w:rsidP="00D64ABB">
      <w:pPr>
        <w:spacing w:line="360" w:lineRule="auto"/>
        <w:jc w:val="both"/>
        <w:rPr>
          <w:rFonts w:ascii="Arial" w:hAnsi="Arial" w:cs="Arial"/>
          <w:lang w:eastAsia="en-GB"/>
        </w:rPr>
      </w:pPr>
      <w:r w:rsidRPr="00793875">
        <w:rPr>
          <w:rFonts w:ascii="Arial" w:hAnsi="Arial" w:cs="Arial"/>
          <w:lang w:eastAsia="en-GB"/>
        </w:rPr>
        <w:t>This chapter critically discussed the findings of the systematic review in relation to the research aims, highlighting how developmental delays among children aged 5–12 years in England arise from complex and interacting risk factors. Biological and perinatal vulnerabilities, including prenatal exposures and early birth characteristics, were shown to interact with socio-economic disadvantage and environmental conditions, compounding developmental risk over time. The discussion emphasised that developmental delays are multidimensional, commonly involving overlapping language, behavioural, and socio-emotional difficulties rather than isolated conditions. Evidence consistently supported the value of early identification, parental engagement, and timely intervention in mitigating adverse outcomes, particularly for disadvantaged children. Overall, the chapter underscored the importance of integrated, equity-focused public health approaches across health, education, and social care to reduce developmental inequalities and improve long-term outcomes.</w:t>
      </w:r>
    </w:p>
    <w:p w14:paraId="63741FFD" w14:textId="77777777" w:rsidR="001A69C1" w:rsidRPr="001A69C1" w:rsidRDefault="001A69C1" w:rsidP="001A69C1">
      <w:pPr>
        <w:pStyle w:val="Heading1"/>
      </w:pPr>
      <w:bookmarkStart w:id="62" w:name="_Toc219199533"/>
      <w:r w:rsidRPr="001A69C1">
        <w:lastRenderedPageBreak/>
        <w:t>Chapter 6: Conclusion</w:t>
      </w:r>
      <w:bookmarkEnd w:id="62"/>
    </w:p>
    <w:p w14:paraId="78FC1D39" w14:textId="77777777" w:rsidR="001A69C1" w:rsidRPr="001A69C1" w:rsidRDefault="001A69C1" w:rsidP="001A69C1">
      <w:pPr>
        <w:pStyle w:val="Heading1"/>
      </w:pPr>
      <w:bookmarkStart w:id="63" w:name="_Toc219199534"/>
      <w:r w:rsidRPr="001A69C1">
        <w:t>6.1 Introduction</w:t>
      </w:r>
      <w:bookmarkEnd w:id="63"/>
    </w:p>
    <w:p w14:paraId="7AFA1E9F"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This dissertation set out to assess the primary risk factors associated with developmental delays among children aged 5 to 12 years in England, with a particular focus on how a public health approach can improve outcomes for vulnerable children. Using a systematic review methodology, the study synthesised evidence relating to biological, environmental, and socio-economic determinants of developmental delay, patterns of developmental vulnerability in middle childhood, and the effectiveness of early identification and intervention strategies. This concluding chapter draws together the key findings, reflects on the effectiveness of the research approach, highlights the contribution of the study to existing knowledge, and offers evidence-informed recommendations for policy, practice, and future research.</w:t>
      </w:r>
    </w:p>
    <w:p w14:paraId="6875B0F8" w14:textId="77777777" w:rsidR="001A69C1" w:rsidRPr="001A69C1" w:rsidRDefault="001A69C1" w:rsidP="001A69C1">
      <w:pPr>
        <w:pStyle w:val="Heading1"/>
      </w:pPr>
      <w:bookmarkStart w:id="64" w:name="_Toc219199535"/>
      <w:r w:rsidRPr="001A69C1">
        <w:t>6.2 Overall Conclusions in Relation to the Research Question</w:t>
      </w:r>
      <w:bookmarkEnd w:id="64"/>
    </w:p>
    <w:p w14:paraId="06131A00" w14:textId="131ED475"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In response to the central research question</w:t>
      </w:r>
      <w:r>
        <w:rPr>
          <w:rFonts w:ascii="Arial" w:hAnsi="Arial" w:cs="Arial"/>
          <w:lang w:eastAsia="en-GB"/>
        </w:rPr>
        <w:t xml:space="preserve">: </w:t>
      </w:r>
      <w:r w:rsidRPr="001A69C1">
        <w:rPr>
          <w:rFonts w:ascii="Arial" w:hAnsi="Arial" w:cs="Arial"/>
          <w:lang w:eastAsia="en-GB"/>
        </w:rPr>
        <w:t xml:space="preserve">what </w:t>
      </w:r>
      <w:r>
        <w:rPr>
          <w:rFonts w:ascii="Arial" w:hAnsi="Arial" w:cs="Arial"/>
          <w:lang w:eastAsia="en-GB"/>
        </w:rPr>
        <w:t xml:space="preserve">are </w:t>
      </w:r>
      <w:r w:rsidRPr="001A69C1">
        <w:rPr>
          <w:rFonts w:ascii="Arial" w:hAnsi="Arial" w:cs="Arial"/>
          <w:lang w:eastAsia="en-GB"/>
        </w:rPr>
        <w:t>the primary risk factors associated with developmental delays in children aged 5 to 12 years in England, and how can a public health approach improve outcomes for vulnerable children</w:t>
      </w:r>
      <w:r>
        <w:rPr>
          <w:rFonts w:ascii="Arial" w:hAnsi="Arial" w:cs="Arial"/>
          <w:lang w:eastAsia="en-GB"/>
        </w:rPr>
        <w:t>? This</w:t>
      </w:r>
      <w:r w:rsidRPr="001A69C1">
        <w:rPr>
          <w:rFonts w:ascii="Arial" w:hAnsi="Arial" w:cs="Arial"/>
          <w:lang w:eastAsia="en-GB"/>
        </w:rPr>
        <w:t xml:space="preserve"> systematic review concludes that developmental delays arise from complex, cumulative, and interacting risk factors rather than single causal influences. Biological and perinatal vulnerabilities, including prenatal exposures, low birth weight, prematurity, and early neonatal complications, were consistently associated with later developmental difficulties. However, these risks were rarely deterministic in isolation. Instead, their impact was significantly shaped by socio-economic disadvantage, environmental stressors, and access to supportive resources across childhood.</w:t>
      </w:r>
    </w:p>
    <w:p w14:paraId="25D927CD" w14:textId="3B7F53DE"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The review further demonstrated that children growing up in socio-economically disadvantaged contexts face disproportionately higher risks of developmental delay, particularly in language, behaviour, and socio-emotional domains. Factors such as low parental education, household poverty, limited access to services, and adverse home or neighbourhood environments were shown to exacerbate early biological vulnerabilities and restrict opportunities for developmental recovery. Importantly, protective factors</w:t>
      </w:r>
      <w:r>
        <w:rPr>
          <w:rFonts w:ascii="Arial" w:hAnsi="Arial" w:cs="Arial"/>
          <w:lang w:eastAsia="en-GB"/>
        </w:rPr>
        <w:t xml:space="preserve">, </w:t>
      </w:r>
      <w:r w:rsidRPr="001A69C1">
        <w:rPr>
          <w:rFonts w:ascii="Arial" w:hAnsi="Arial" w:cs="Arial"/>
          <w:lang w:eastAsia="en-GB"/>
        </w:rPr>
        <w:t xml:space="preserve">including parental engagement, supportive family relationships, and </w:t>
      </w:r>
      <w:r w:rsidRPr="001A69C1">
        <w:rPr>
          <w:rFonts w:ascii="Arial" w:hAnsi="Arial" w:cs="Arial"/>
          <w:lang w:eastAsia="en-GB"/>
        </w:rPr>
        <w:lastRenderedPageBreak/>
        <w:t>access to early intervention services</w:t>
      </w:r>
      <w:r>
        <w:rPr>
          <w:rFonts w:ascii="Arial" w:hAnsi="Arial" w:cs="Arial"/>
          <w:lang w:eastAsia="en-GB"/>
        </w:rPr>
        <w:t xml:space="preserve">, </w:t>
      </w:r>
      <w:r w:rsidRPr="001A69C1">
        <w:rPr>
          <w:rFonts w:ascii="Arial" w:hAnsi="Arial" w:cs="Arial"/>
          <w:lang w:eastAsia="en-GB"/>
        </w:rPr>
        <w:t>were found to moderate risk and improve developmental trajectories.</w:t>
      </w:r>
    </w:p>
    <w:p w14:paraId="16D8A6FC" w14:textId="5D67E581"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From a public health perspective, the findings clearly indicate that early identification and intervention play a pivotal role in mitigating developmental delays and reducing long-term inequalities. Universal developmental surveillance, combined with targeted screening and timely referral pathways, was consistently associated with improved access to support services and better developmental outcomes. The evidence supports the conclusion that a coordinated, preventive, and equity-focused public health approach</w:t>
      </w:r>
      <w:r>
        <w:rPr>
          <w:rFonts w:ascii="Arial" w:hAnsi="Arial" w:cs="Arial"/>
          <w:lang w:eastAsia="en-GB"/>
        </w:rPr>
        <w:t xml:space="preserve">, </w:t>
      </w:r>
      <w:r w:rsidRPr="001A69C1">
        <w:rPr>
          <w:rFonts w:ascii="Arial" w:hAnsi="Arial" w:cs="Arial"/>
          <w:lang w:eastAsia="en-GB"/>
        </w:rPr>
        <w:t>integrating health, education, and social care</w:t>
      </w:r>
      <w:r>
        <w:rPr>
          <w:rFonts w:ascii="Arial" w:hAnsi="Arial" w:cs="Arial"/>
          <w:lang w:eastAsia="en-GB"/>
        </w:rPr>
        <w:t xml:space="preserve">, </w:t>
      </w:r>
      <w:r w:rsidRPr="001A69C1">
        <w:rPr>
          <w:rFonts w:ascii="Arial" w:hAnsi="Arial" w:cs="Arial"/>
          <w:lang w:eastAsia="en-GB"/>
        </w:rPr>
        <w:t>is essential to improving outcomes for children aged 5 to 12 years, particularly those most vulnerable to cumulative disadvantage.</w:t>
      </w:r>
    </w:p>
    <w:p w14:paraId="108ADE47" w14:textId="77777777" w:rsidR="001A69C1" w:rsidRPr="001A69C1" w:rsidRDefault="001A69C1" w:rsidP="001A69C1">
      <w:pPr>
        <w:pStyle w:val="Heading1"/>
      </w:pPr>
      <w:bookmarkStart w:id="65" w:name="_Toc219199536"/>
      <w:r w:rsidRPr="001A69C1">
        <w:t>6.3 Reflection on the Effectiveness of the Research Approach</w:t>
      </w:r>
      <w:bookmarkEnd w:id="65"/>
    </w:p>
    <w:p w14:paraId="3A7DFD45"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The systematic review methodology adopted in this study proved effective in addressing the research aims and objectives. By employing a PRISMA-informed approach, the review ensured transparency, rigour, and reproducibility in study selection and synthesis. The use of clearly defined inclusion and exclusion criteria allowed for a focused examination of evidence relevant to school-aged children in England, addressing an acknowledged gap in the literature that has traditionally prioritised early childhood development.</w:t>
      </w:r>
    </w:p>
    <w:p w14:paraId="0E6A11BE"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The narrative synthesis approach was particularly appropriate given the methodological heterogeneity of the included studies, which ranged from longitudinal cohort studies to cross-sectional analyses and intervention evaluations. This approach enabled the integration of diverse forms of evidence while preserving the contextual richness necessary to understand developmental processes within real-world settings. The use of validated quality appraisal tools further strengthened the reliability of the conclusions drawn.</w:t>
      </w:r>
    </w:p>
    <w:p w14:paraId="1637590D"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 xml:space="preserve">Nevertheless, the review also highlighted inherent limitations associated with systematic reviews. Variability in outcome measures, diagnostic criteria, and study designs limited direct comparability across studies. In addition, while the review focused on evidence relevant to England, some included studies drew on international data, which, although conceptually transferable, may differ in terms of service </w:t>
      </w:r>
      <w:r w:rsidRPr="001A69C1">
        <w:rPr>
          <w:rFonts w:ascii="Arial" w:hAnsi="Arial" w:cs="Arial"/>
          <w:lang w:eastAsia="en-GB"/>
        </w:rPr>
        <w:lastRenderedPageBreak/>
        <w:t>structures and policy contexts. Despite these limitations, the overall methodological approach was effective in synthesising robust evidence and generating meaningful conclusions aligned with the research question.</w:t>
      </w:r>
    </w:p>
    <w:p w14:paraId="646015F2" w14:textId="77777777" w:rsidR="001A69C1" w:rsidRPr="001A69C1" w:rsidRDefault="001A69C1" w:rsidP="001A69C1">
      <w:pPr>
        <w:pStyle w:val="Heading1"/>
      </w:pPr>
      <w:bookmarkStart w:id="66" w:name="_Toc219199537"/>
      <w:r w:rsidRPr="001A69C1">
        <w:t>6.4 Emerging Insights and Unanticipated Reflections</w:t>
      </w:r>
      <w:bookmarkEnd w:id="66"/>
    </w:p>
    <w:p w14:paraId="5536D707"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While the findings broadly aligned with existing developmental theory, the review raised several important insights. One notable observation was the relative neglect of middle childhood within developmental surveillance systems compared to early childhood. Although early years interventions are well established, evidence suggests that developmental vulnerabilities often persist, emerge, or intensify during the school years, particularly in relation to language, behaviour, and mental health. This underscores the need for sustained monitoring beyond the early years.</w:t>
      </w:r>
    </w:p>
    <w:p w14:paraId="33E419E2"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Another key insight was the dynamic nature of developmental delay classifications. The review highlighted a shift from broad, non-specific labels toward more precise diagnoses such as developmental language disorder, autism spectrum disorder, and attention-deficit/hyperactivity disorder. While this reflects improved diagnostic awareness, it also raises concerns regarding service transitions, as delays in reclassification or access to appropriate support can increase educational and social difficulties.</w:t>
      </w:r>
    </w:p>
    <w:p w14:paraId="50C1D3FC"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The findings also reinforced the critical role of parental perception and professional responsiveness in shaping access to early intervention. Inconsistent professional practices and “wait and see” approaches were shown to delay support, particularly for families facing socio-economic barriers. This insight highlights the importance of workforce training and public health messaging in ensuring equitable developmental surveillance.</w:t>
      </w:r>
    </w:p>
    <w:p w14:paraId="36EE3F11" w14:textId="77777777" w:rsidR="001A69C1" w:rsidRPr="001A69C1" w:rsidRDefault="001A69C1" w:rsidP="001A69C1">
      <w:pPr>
        <w:pStyle w:val="Heading1"/>
      </w:pPr>
      <w:bookmarkStart w:id="67" w:name="_Toc219199538"/>
      <w:r w:rsidRPr="001A69C1">
        <w:t>6.5 Recommendations for Policy and Practice</w:t>
      </w:r>
      <w:bookmarkEnd w:id="67"/>
    </w:p>
    <w:p w14:paraId="6CF644D1"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Based on the findings of this review, several recommendations can be proposed to strengthen public health responses to developmental delay. These recommendations are framed as evidence-informed suggestions rather than prescriptive instructions.</w:t>
      </w:r>
    </w:p>
    <w:p w14:paraId="3EBAF75E"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 xml:space="preserve">First, developmental surveillance should be strengthened across the full span of childhood, including the primary school years. Public health systems may benefit from embedding routine developmental monitoring within school health services and </w:t>
      </w:r>
      <w:r w:rsidRPr="001A69C1">
        <w:rPr>
          <w:rFonts w:ascii="Arial" w:hAnsi="Arial" w:cs="Arial"/>
          <w:lang w:eastAsia="en-GB"/>
        </w:rPr>
        <w:lastRenderedPageBreak/>
        <w:t>educational settings, ensuring that emerging difficulties are identified early rather than waiting for crisis-driven referrals.</w:t>
      </w:r>
    </w:p>
    <w:p w14:paraId="25B0AB4A"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Second, greater integration between health, education, and social care services is suggested. Multi-agency collaboration can reduce fragmentation, improve information sharing, and ensure that children and families receive coordinated support tailored to their needs. This is particularly important for children experiencing cumulative disadvantage.</w:t>
      </w:r>
    </w:p>
    <w:p w14:paraId="05A7FD12"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Third, targeted support for disadvantaged families should be prioritised. Public health strategies that address broader social determinants—such as poverty, housing instability, and parental education—are likely to have indirect but substantial benefits for child development. Enhancing parental engagement through accessible information, culturally sensitive services, and community-based interventions may further strengthen protective factors.</w:t>
      </w:r>
    </w:p>
    <w:p w14:paraId="18A43E15"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Finally, investment in workforce development is recommended. Training teachers, health visitors, and primary care professionals to recognise early signs of developmental difficulty and respond appropriately may reduce delays in identification and improve referral pathways.</w:t>
      </w:r>
    </w:p>
    <w:p w14:paraId="6FEE7B5A" w14:textId="77777777" w:rsidR="001A69C1" w:rsidRPr="001A69C1" w:rsidRDefault="001A69C1" w:rsidP="001A69C1">
      <w:pPr>
        <w:pStyle w:val="Heading1"/>
      </w:pPr>
      <w:bookmarkStart w:id="68" w:name="_Toc219199539"/>
      <w:r w:rsidRPr="001A69C1">
        <w:t>6.6 Recommendations for Future Research</w:t>
      </w:r>
      <w:bookmarkEnd w:id="68"/>
    </w:p>
    <w:p w14:paraId="2AFF0FBA" w14:textId="5C4EC634"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This study also highlights several directions for future research. Longitudinal studies focusing specifically on middle childhood are needed to better understand how developmental delays evolve and how early risks interact with later environmental influences. Future research could also explore the effectiveness of school-based developmental interventions and the role of educational settings in early identification.</w:t>
      </w:r>
    </w:p>
    <w:p w14:paraId="160B18EE"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Additionally, there is a need for research that examines the lived experiences of children and families navigating developmental services, particularly those from disadvantaged backgrounds. Qualitative studies could provide valuable insight into barriers to access, parental decision-making, and service responsiveness. Further investigation into the long-term outcomes of public health-led developmental surveillance models would also strengthen the evidence base for policy reform.</w:t>
      </w:r>
    </w:p>
    <w:p w14:paraId="42C82B71" w14:textId="77777777" w:rsidR="001A69C1" w:rsidRPr="001A69C1" w:rsidRDefault="001A69C1" w:rsidP="001A69C1">
      <w:pPr>
        <w:pStyle w:val="Heading1"/>
      </w:pPr>
      <w:bookmarkStart w:id="69" w:name="_Toc219199540"/>
      <w:r w:rsidRPr="001A69C1">
        <w:lastRenderedPageBreak/>
        <w:t>6.7 Contribution to Knowledge and Final Remarks</w:t>
      </w:r>
      <w:bookmarkEnd w:id="69"/>
    </w:p>
    <w:p w14:paraId="143764BF"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This dissertation contributes to existing knowledge by synthesising evidence on developmental delays specifically within the 5 to 12-year age group, a period often overlooked in developmental research and policy. By adopting a public health lens, the study moves beyond individual-level explanations and highlights the structural, environmental, and systemic factors shaping developmental outcomes. The findings reinforce the importance of early, integrated, and equity-focused approaches to developmental support.</w:t>
      </w:r>
    </w:p>
    <w:p w14:paraId="2C20ACEF" w14:textId="77777777" w:rsidR="001A69C1" w:rsidRPr="001A69C1" w:rsidRDefault="001A69C1" w:rsidP="001A69C1">
      <w:pPr>
        <w:spacing w:line="360" w:lineRule="auto"/>
        <w:jc w:val="both"/>
        <w:rPr>
          <w:rFonts w:ascii="Arial" w:hAnsi="Arial" w:cs="Arial"/>
          <w:lang w:eastAsia="en-GB"/>
        </w:rPr>
      </w:pPr>
      <w:r w:rsidRPr="001A69C1">
        <w:rPr>
          <w:rFonts w:ascii="Arial" w:hAnsi="Arial" w:cs="Arial"/>
          <w:lang w:eastAsia="en-GB"/>
        </w:rPr>
        <w:t>In conclusion, developmental delays among school-aged children in England represent a significant public health concern with long-term implications for education, health, and social wellbeing. Addressing these challenges requires sustained commitment to prevention, early identification, and intervention across childhood. By highlighting the interconnected nature of risk and resilience, this research underscores why developmental surveillance and support in middle childhood matter—and why a public health approach is essential to reducing inequalities and improving outcomes for vulnerable children.</w:t>
      </w:r>
    </w:p>
    <w:p w14:paraId="19982F44" w14:textId="77777777" w:rsidR="001A69C1" w:rsidRDefault="001A69C1" w:rsidP="00D64ABB">
      <w:pPr>
        <w:spacing w:line="360" w:lineRule="auto"/>
        <w:jc w:val="both"/>
        <w:rPr>
          <w:rFonts w:ascii="Arial" w:hAnsi="Arial" w:cs="Arial"/>
          <w:lang w:eastAsia="en-GB"/>
        </w:rPr>
      </w:pPr>
    </w:p>
    <w:p w14:paraId="441DA800" w14:textId="77777777" w:rsidR="00A6787A" w:rsidRPr="00D64ABB" w:rsidRDefault="00A6787A" w:rsidP="00D64ABB">
      <w:pPr>
        <w:spacing w:line="360" w:lineRule="auto"/>
        <w:jc w:val="both"/>
        <w:rPr>
          <w:rFonts w:ascii="Arial" w:hAnsi="Arial" w:cs="Arial"/>
          <w:vanish/>
          <w:lang w:eastAsia="en-GB"/>
        </w:rPr>
      </w:pPr>
    </w:p>
    <w:p w14:paraId="0F3E7566" w14:textId="77777777" w:rsidR="00D64ABB" w:rsidRPr="00D64ABB" w:rsidRDefault="00D64ABB" w:rsidP="00D64ABB">
      <w:pPr>
        <w:spacing w:line="360" w:lineRule="auto"/>
        <w:jc w:val="both"/>
        <w:rPr>
          <w:rFonts w:ascii="Arial" w:hAnsi="Arial" w:cs="Arial"/>
          <w:vanish/>
          <w:lang w:eastAsia="en-GB"/>
        </w:rPr>
      </w:pPr>
      <w:r w:rsidRPr="00D64ABB">
        <w:rPr>
          <w:rFonts w:ascii="Arial" w:hAnsi="Arial" w:cs="Arial"/>
          <w:vanish/>
          <w:lang w:eastAsia="en-GB"/>
        </w:rPr>
        <w:t>Bottom of Form</w:t>
      </w:r>
    </w:p>
    <w:p w14:paraId="69535A58" w14:textId="77777777" w:rsidR="00ED6DF0" w:rsidRDefault="00ED6DF0" w:rsidP="00ED6DF0">
      <w:pPr>
        <w:spacing w:line="360" w:lineRule="auto"/>
        <w:jc w:val="both"/>
        <w:rPr>
          <w:rFonts w:ascii="Arial" w:hAnsi="Arial" w:cs="Arial"/>
          <w:lang w:eastAsia="en-GB"/>
        </w:rPr>
      </w:pPr>
    </w:p>
    <w:p w14:paraId="356468A5" w14:textId="77777777" w:rsidR="00ED6DF0" w:rsidRPr="002643CE" w:rsidRDefault="00ED6DF0" w:rsidP="00ED6DF0">
      <w:pPr>
        <w:spacing w:line="360" w:lineRule="auto"/>
        <w:jc w:val="both"/>
        <w:rPr>
          <w:rFonts w:ascii="Arial" w:hAnsi="Arial" w:cs="Arial"/>
          <w:lang w:eastAsia="en-GB"/>
        </w:rPr>
      </w:pPr>
    </w:p>
    <w:p w14:paraId="680F50B0" w14:textId="77777777" w:rsidR="00ED6DF0" w:rsidRDefault="00ED6DF0" w:rsidP="00ED6DF0">
      <w:pPr>
        <w:spacing w:line="360" w:lineRule="auto"/>
        <w:jc w:val="both"/>
        <w:rPr>
          <w:rFonts w:ascii="Arial" w:hAnsi="Arial" w:cs="Arial"/>
        </w:rPr>
      </w:pPr>
    </w:p>
    <w:p w14:paraId="3FB74FA9" w14:textId="77777777" w:rsidR="006B32A8" w:rsidRDefault="006B32A8" w:rsidP="00ED6DF0">
      <w:pPr>
        <w:spacing w:line="360" w:lineRule="auto"/>
        <w:jc w:val="both"/>
        <w:rPr>
          <w:rFonts w:ascii="Arial" w:hAnsi="Arial" w:cs="Arial"/>
        </w:rPr>
      </w:pPr>
    </w:p>
    <w:p w14:paraId="6FDC6FBA" w14:textId="77777777" w:rsidR="006B32A8" w:rsidRDefault="006B32A8" w:rsidP="00ED6DF0">
      <w:pPr>
        <w:spacing w:line="360" w:lineRule="auto"/>
        <w:jc w:val="both"/>
        <w:rPr>
          <w:rFonts w:ascii="Arial" w:hAnsi="Arial" w:cs="Arial"/>
        </w:rPr>
      </w:pPr>
    </w:p>
    <w:p w14:paraId="5B21DC15" w14:textId="77777777" w:rsidR="006B32A8" w:rsidRDefault="006B32A8" w:rsidP="00ED6DF0">
      <w:pPr>
        <w:spacing w:line="360" w:lineRule="auto"/>
        <w:jc w:val="both"/>
        <w:rPr>
          <w:rFonts w:ascii="Arial" w:hAnsi="Arial" w:cs="Arial"/>
        </w:rPr>
      </w:pPr>
    </w:p>
    <w:p w14:paraId="6E668D1D" w14:textId="77777777" w:rsidR="006B32A8" w:rsidRDefault="006B32A8" w:rsidP="00ED6DF0">
      <w:pPr>
        <w:spacing w:line="360" w:lineRule="auto"/>
        <w:jc w:val="both"/>
        <w:rPr>
          <w:rFonts w:ascii="Arial" w:hAnsi="Arial" w:cs="Arial"/>
        </w:rPr>
      </w:pPr>
    </w:p>
    <w:p w14:paraId="0F0157F9" w14:textId="77777777" w:rsidR="006B32A8" w:rsidRPr="007237AE" w:rsidRDefault="006B32A8" w:rsidP="00ED6DF0">
      <w:pPr>
        <w:spacing w:line="360" w:lineRule="auto"/>
        <w:jc w:val="both"/>
        <w:rPr>
          <w:rFonts w:ascii="Arial" w:hAnsi="Arial" w:cs="Arial"/>
        </w:rPr>
      </w:pPr>
    </w:p>
    <w:p w14:paraId="5A781CFE" w14:textId="4AE36F6B" w:rsidR="008A07BF" w:rsidRPr="00381B18" w:rsidRDefault="008A07BF" w:rsidP="008A07BF">
      <w:pPr>
        <w:pStyle w:val="Heading1"/>
        <w:rPr>
          <w:sz w:val="24"/>
          <w:szCs w:val="24"/>
        </w:rPr>
      </w:pPr>
      <w:bookmarkStart w:id="70" w:name="_Toc219199541"/>
      <w:r>
        <w:lastRenderedPageBreak/>
        <w:t>Reference</w:t>
      </w:r>
      <w:bookmarkEnd w:id="70"/>
    </w:p>
    <w:p w14:paraId="675DCB38" w14:textId="476D014A" w:rsidR="00ED6DF0" w:rsidRDefault="00ED6DF0" w:rsidP="00ED6DF0">
      <w:pPr>
        <w:spacing w:line="360" w:lineRule="auto"/>
        <w:jc w:val="both"/>
        <w:rPr>
          <w:rFonts w:ascii="Arial" w:hAnsi="Arial" w:cs="Arial"/>
        </w:rPr>
      </w:pPr>
      <w:r w:rsidRPr="00C20727">
        <w:rPr>
          <w:rFonts w:ascii="Arial" w:hAnsi="Arial" w:cs="Arial"/>
        </w:rPr>
        <w:t xml:space="preserve">Arifin, Z., Sukristyanto, A., Widodo, J. and Rahman, M., </w:t>
      </w:r>
      <w:r w:rsidR="008143F0">
        <w:rPr>
          <w:rFonts w:ascii="Arial" w:hAnsi="Arial" w:cs="Arial"/>
        </w:rPr>
        <w:t>(</w:t>
      </w:r>
      <w:r w:rsidRPr="00C20727">
        <w:rPr>
          <w:rFonts w:ascii="Arial" w:hAnsi="Arial" w:cs="Arial"/>
        </w:rPr>
        <w:t>2022</w:t>
      </w:r>
      <w:r w:rsidR="008143F0">
        <w:rPr>
          <w:rFonts w:ascii="Arial" w:hAnsi="Arial" w:cs="Arial"/>
        </w:rPr>
        <w:t>)</w:t>
      </w:r>
      <w:r w:rsidRPr="00C20727">
        <w:rPr>
          <w:rFonts w:ascii="Arial" w:hAnsi="Arial" w:cs="Arial"/>
        </w:rPr>
        <w:t>. Implementation, Outcomes, and Effectiveness of Research-Based Learning: A Systematic Literature Review. </w:t>
      </w:r>
      <w:r w:rsidRPr="00C20727">
        <w:rPr>
          <w:rFonts w:ascii="Arial" w:hAnsi="Arial" w:cs="Arial"/>
          <w:i/>
          <w:iCs/>
        </w:rPr>
        <w:t>International Journal of Education and Literacy Studies</w:t>
      </w:r>
      <w:r w:rsidRPr="00C20727">
        <w:rPr>
          <w:rFonts w:ascii="Arial" w:hAnsi="Arial" w:cs="Arial"/>
        </w:rPr>
        <w:t>, </w:t>
      </w:r>
      <w:r w:rsidRPr="00C20727">
        <w:rPr>
          <w:rFonts w:ascii="Arial" w:hAnsi="Arial" w:cs="Arial"/>
          <w:i/>
          <w:iCs/>
        </w:rPr>
        <w:t>10</w:t>
      </w:r>
      <w:r w:rsidRPr="00C20727">
        <w:rPr>
          <w:rFonts w:ascii="Arial" w:hAnsi="Arial" w:cs="Arial"/>
        </w:rPr>
        <w:t>(4), pp.153-163.</w:t>
      </w:r>
    </w:p>
    <w:p w14:paraId="07AD96CF" w14:textId="3A606D56" w:rsidR="00080DBE" w:rsidRDefault="00080DBE" w:rsidP="00381B18">
      <w:pPr>
        <w:spacing w:before="240" w:line="360" w:lineRule="auto"/>
        <w:jc w:val="both"/>
        <w:rPr>
          <w:rFonts w:ascii="Arial" w:hAnsi="Arial" w:cs="Arial"/>
        </w:rPr>
      </w:pPr>
      <w:r w:rsidRPr="00080DBE">
        <w:rPr>
          <w:rFonts w:ascii="Arial" w:hAnsi="Arial" w:cs="Arial"/>
        </w:rPr>
        <w:t xml:space="preserve">Alijanzadeh, M., RajabiMajd, N., RezaeiNiaraki, M., Griffiths, M.D. and Alimoradi, Z., </w:t>
      </w:r>
      <w:r w:rsidR="00762F36">
        <w:rPr>
          <w:rFonts w:ascii="Arial" w:hAnsi="Arial" w:cs="Arial"/>
        </w:rPr>
        <w:t>(</w:t>
      </w:r>
      <w:r w:rsidRPr="00080DBE">
        <w:rPr>
          <w:rFonts w:ascii="Arial" w:hAnsi="Arial" w:cs="Arial"/>
        </w:rPr>
        <w:t>2024</w:t>
      </w:r>
      <w:r w:rsidR="00762F36">
        <w:rPr>
          <w:rFonts w:ascii="Arial" w:hAnsi="Arial" w:cs="Arial"/>
        </w:rPr>
        <w:t>)</w:t>
      </w:r>
      <w:r w:rsidRPr="00080DBE">
        <w:rPr>
          <w:rFonts w:ascii="Arial" w:hAnsi="Arial" w:cs="Arial"/>
        </w:rPr>
        <w:t>. Prevalence and socio-economic determinants of growth and developmental delays among Iranian children aged under five years: A cross sectional study. </w:t>
      </w:r>
      <w:r w:rsidRPr="00080DBE">
        <w:rPr>
          <w:rFonts w:ascii="Arial" w:hAnsi="Arial" w:cs="Arial"/>
          <w:i/>
          <w:iCs/>
        </w:rPr>
        <w:t>BMC pediatrics</w:t>
      </w:r>
      <w:r w:rsidRPr="00080DBE">
        <w:rPr>
          <w:rFonts w:ascii="Arial" w:hAnsi="Arial" w:cs="Arial"/>
        </w:rPr>
        <w:t>, </w:t>
      </w:r>
      <w:r w:rsidRPr="00080DBE">
        <w:rPr>
          <w:rFonts w:ascii="Arial" w:hAnsi="Arial" w:cs="Arial"/>
          <w:i/>
          <w:iCs/>
        </w:rPr>
        <w:t>24</w:t>
      </w:r>
      <w:r w:rsidRPr="00080DBE">
        <w:rPr>
          <w:rFonts w:ascii="Arial" w:hAnsi="Arial" w:cs="Arial"/>
        </w:rPr>
        <w:t>(1), p.412.</w:t>
      </w:r>
    </w:p>
    <w:p w14:paraId="0A40EE5B" w14:textId="77777777" w:rsidR="00C114C4" w:rsidRPr="00AB7121" w:rsidRDefault="00C114C4" w:rsidP="00C114C4">
      <w:pPr>
        <w:spacing w:before="240" w:line="360" w:lineRule="auto"/>
        <w:jc w:val="both"/>
        <w:rPr>
          <w:rFonts w:ascii="Arial" w:hAnsi="Arial" w:cs="Arial"/>
        </w:rPr>
      </w:pPr>
      <w:r w:rsidRPr="00AB7121">
        <w:rPr>
          <w:rFonts w:ascii="Arial" w:hAnsi="Arial" w:cs="Arial"/>
        </w:rPr>
        <w:t xml:space="preserve">Alderman, H., Behrman, J.R., Glewwe, P., Fernald, L. and Walker, S., </w:t>
      </w:r>
      <w:r>
        <w:rPr>
          <w:rFonts w:ascii="Arial" w:hAnsi="Arial" w:cs="Arial"/>
        </w:rPr>
        <w:t>(</w:t>
      </w:r>
      <w:r w:rsidRPr="00AB7121">
        <w:rPr>
          <w:rFonts w:ascii="Arial" w:hAnsi="Arial" w:cs="Arial"/>
        </w:rPr>
        <w:t>2017</w:t>
      </w:r>
      <w:r>
        <w:rPr>
          <w:rFonts w:ascii="Arial" w:hAnsi="Arial" w:cs="Arial"/>
        </w:rPr>
        <w:t>)</w:t>
      </w:r>
      <w:r w:rsidRPr="00AB7121">
        <w:rPr>
          <w:rFonts w:ascii="Arial" w:hAnsi="Arial" w:cs="Arial"/>
        </w:rPr>
        <w:t>. Evidence of impact of interventions on growth and development during early and middle childhood. </w:t>
      </w:r>
      <w:r w:rsidRPr="00AB7121">
        <w:rPr>
          <w:rFonts w:ascii="Arial" w:hAnsi="Arial" w:cs="Arial"/>
          <w:i/>
          <w:iCs/>
        </w:rPr>
        <w:t>Bundy DAP, Silva N, Horton S, Jamison DT, Patton GC, eds. Child and adolescent health and development. Washington (DC): The International Bank for Reconstruction and Development/The World Bank</w:t>
      </w:r>
      <w:r w:rsidRPr="00AB7121">
        <w:rPr>
          <w:rFonts w:ascii="Arial" w:hAnsi="Arial" w:cs="Arial"/>
        </w:rPr>
        <w:t>.</w:t>
      </w:r>
    </w:p>
    <w:p w14:paraId="38F5703C" w14:textId="1EA3556F" w:rsidR="004D6AC9" w:rsidRDefault="004D6AC9" w:rsidP="00381B18">
      <w:pPr>
        <w:spacing w:before="240" w:line="360" w:lineRule="auto"/>
        <w:jc w:val="both"/>
        <w:rPr>
          <w:rFonts w:ascii="Arial" w:hAnsi="Arial" w:cs="Arial"/>
        </w:rPr>
      </w:pPr>
      <w:r w:rsidRPr="004D6AC9">
        <w:rPr>
          <w:rFonts w:ascii="Arial" w:hAnsi="Arial" w:cs="Arial"/>
        </w:rPr>
        <w:t xml:space="preserve">Anderson, P.J. and Burnett, A., </w:t>
      </w:r>
      <w:r w:rsidR="00762F36">
        <w:rPr>
          <w:rFonts w:ascii="Arial" w:hAnsi="Arial" w:cs="Arial"/>
        </w:rPr>
        <w:t>(</w:t>
      </w:r>
      <w:r w:rsidRPr="004D6AC9">
        <w:rPr>
          <w:rFonts w:ascii="Arial" w:hAnsi="Arial" w:cs="Arial"/>
        </w:rPr>
        <w:t>2017</w:t>
      </w:r>
      <w:r w:rsidR="00762F36">
        <w:rPr>
          <w:rFonts w:ascii="Arial" w:hAnsi="Arial" w:cs="Arial"/>
        </w:rPr>
        <w:t>)</w:t>
      </w:r>
      <w:r w:rsidRPr="004D6AC9">
        <w:rPr>
          <w:rFonts w:ascii="Arial" w:hAnsi="Arial" w:cs="Arial"/>
        </w:rPr>
        <w:t>. Assessing developmental delay in early childhood—concerns with the Bayley-III scales. </w:t>
      </w:r>
      <w:r w:rsidRPr="004D6AC9">
        <w:rPr>
          <w:rFonts w:ascii="Arial" w:hAnsi="Arial" w:cs="Arial"/>
          <w:i/>
          <w:iCs/>
        </w:rPr>
        <w:t>The clinical neuropsychologist</w:t>
      </w:r>
      <w:r w:rsidRPr="004D6AC9">
        <w:rPr>
          <w:rFonts w:ascii="Arial" w:hAnsi="Arial" w:cs="Arial"/>
        </w:rPr>
        <w:t>, </w:t>
      </w:r>
      <w:r w:rsidRPr="004D6AC9">
        <w:rPr>
          <w:rFonts w:ascii="Arial" w:hAnsi="Arial" w:cs="Arial"/>
          <w:i/>
          <w:iCs/>
        </w:rPr>
        <w:t>31</w:t>
      </w:r>
      <w:r w:rsidRPr="004D6AC9">
        <w:rPr>
          <w:rFonts w:ascii="Arial" w:hAnsi="Arial" w:cs="Arial"/>
        </w:rPr>
        <w:t>(2), pp.371-381.</w:t>
      </w:r>
    </w:p>
    <w:p w14:paraId="58028B98" w14:textId="5EFD01CE" w:rsidR="008E4F0F" w:rsidRDefault="008E4F0F" w:rsidP="00381B18">
      <w:pPr>
        <w:spacing w:before="240" w:line="360" w:lineRule="auto"/>
        <w:jc w:val="both"/>
        <w:rPr>
          <w:rFonts w:ascii="Arial" w:hAnsi="Arial" w:cs="Arial"/>
        </w:rPr>
      </w:pPr>
      <w:r w:rsidRPr="008E4F0F">
        <w:rPr>
          <w:rFonts w:ascii="Arial" w:hAnsi="Arial" w:cs="Arial"/>
        </w:rPr>
        <w:t xml:space="preserve">Applegate, A., Spicer, C.M., Frontera, W. and National Academies of Sciences, Engineering, and Medicine, </w:t>
      </w:r>
      <w:r w:rsidR="00762F36">
        <w:rPr>
          <w:rFonts w:ascii="Arial" w:hAnsi="Arial" w:cs="Arial"/>
        </w:rPr>
        <w:t>(</w:t>
      </w:r>
      <w:r w:rsidRPr="008E4F0F">
        <w:rPr>
          <w:rFonts w:ascii="Arial" w:hAnsi="Arial" w:cs="Arial"/>
        </w:rPr>
        <w:t>2024</w:t>
      </w:r>
      <w:r w:rsidR="00762F36">
        <w:rPr>
          <w:rFonts w:ascii="Arial" w:hAnsi="Arial" w:cs="Arial"/>
        </w:rPr>
        <w:t>)</w:t>
      </w:r>
      <w:r w:rsidRPr="008E4F0F">
        <w:rPr>
          <w:rFonts w:ascii="Arial" w:hAnsi="Arial" w:cs="Arial"/>
        </w:rPr>
        <w:t>. Developmental Domains and Trajectories. In </w:t>
      </w:r>
      <w:r w:rsidRPr="008E4F0F">
        <w:rPr>
          <w:rFonts w:ascii="Arial" w:hAnsi="Arial" w:cs="Arial"/>
          <w:i/>
          <w:iCs/>
        </w:rPr>
        <w:t>Low Birth Weight Babies and Disability</w:t>
      </w:r>
      <w:r w:rsidRPr="008E4F0F">
        <w:rPr>
          <w:rFonts w:ascii="Arial" w:hAnsi="Arial" w:cs="Arial"/>
        </w:rPr>
        <w:t>. National Academies Press (US).</w:t>
      </w:r>
    </w:p>
    <w:p w14:paraId="645F929B" w14:textId="77777777" w:rsidR="00D3569D" w:rsidRPr="00D3569D" w:rsidRDefault="00D3569D" w:rsidP="00C114C4">
      <w:pPr>
        <w:spacing w:before="240" w:line="360" w:lineRule="auto"/>
        <w:jc w:val="both"/>
        <w:rPr>
          <w:rFonts w:ascii="Arial" w:hAnsi="Arial" w:cs="Arial"/>
        </w:rPr>
      </w:pPr>
      <w:r w:rsidRPr="00D3569D">
        <w:rPr>
          <w:rFonts w:ascii="Arial" w:hAnsi="Arial" w:cs="Arial"/>
        </w:rPr>
        <w:t xml:space="preserve">Aravamuthan, B., Turnacioglu, S.O. and Gropman, A.L. (2024) </w:t>
      </w:r>
      <w:r w:rsidRPr="00D3569D">
        <w:rPr>
          <w:rFonts w:ascii="Arial" w:hAnsi="Arial" w:cs="Arial"/>
          <w:i/>
          <w:iCs/>
        </w:rPr>
        <w:t>Neurodevelopmental disabilities: conceptual framework</w:t>
      </w:r>
      <w:r w:rsidRPr="00D3569D">
        <w:rPr>
          <w:rFonts w:ascii="Arial" w:hAnsi="Arial" w:cs="Arial"/>
        </w:rPr>
        <w:t>. In: Swaiman’s Pediatric Neurology. Elsevier, pp. 636–641.</w:t>
      </w:r>
    </w:p>
    <w:p w14:paraId="0D94B700" w14:textId="4EF9E8AA" w:rsidR="00D64ABB" w:rsidRDefault="00D64ABB" w:rsidP="00C114C4">
      <w:pPr>
        <w:spacing w:before="240" w:line="360" w:lineRule="auto"/>
        <w:jc w:val="both"/>
        <w:rPr>
          <w:rFonts w:ascii="Arial" w:hAnsi="Arial" w:cs="Arial"/>
        </w:rPr>
      </w:pPr>
      <w:r w:rsidRPr="00D64ABB">
        <w:rPr>
          <w:rFonts w:ascii="Arial" w:hAnsi="Arial" w:cs="Arial"/>
        </w:rPr>
        <w:t>Barger, B., Rice, C., Wolf, R. and Roach, A., 2018. Better together: Developmental screening and monitoring best identify children who need early intervention. </w:t>
      </w:r>
      <w:r w:rsidRPr="00D64ABB">
        <w:rPr>
          <w:rFonts w:ascii="Arial" w:hAnsi="Arial" w:cs="Arial"/>
          <w:i/>
          <w:iCs/>
        </w:rPr>
        <w:t>Disability and health journal</w:t>
      </w:r>
      <w:r w:rsidRPr="00D64ABB">
        <w:rPr>
          <w:rFonts w:ascii="Arial" w:hAnsi="Arial" w:cs="Arial"/>
        </w:rPr>
        <w:t>, </w:t>
      </w:r>
      <w:r w:rsidRPr="00D64ABB">
        <w:rPr>
          <w:rFonts w:ascii="Arial" w:hAnsi="Arial" w:cs="Arial"/>
          <w:i/>
          <w:iCs/>
        </w:rPr>
        <w:t>11</w:t>
      </w:r>
      <w:r w:rsidRPr="00D64ABB">
        <w:rPr>
          <w:rFonts w:ascii="Arial" w:hAnsi="Arial" w:cs="Arial"/>
        </w:rPr>
        <w:t>(3), pp.420-426.</w:t>
      </w:r>
    </w:p>
    <w:p w14:paraId="1CCCAE6F" w14:textId="34286AC4" w:rsidR="00C114C4" w:rsidRPr="00AB7121" w:rsidRDefault="00C114C4" w:rsidP="00C114C4">
      <w:pPr>
        <w:spacing w:before="240" w:line="360" w:lineRule="auto"/>
        <w:jc w:val="both"/>
        <w:rPr>
          <w:rFonts w:ascii="Arial" w:hAnsi="Arial" w:cs="Arial"/>
        </w:rPr>
      </w:pPr>
      <w:r w:rsidRPr="00AB7121">
        <w:rPr>
          <w:rFonts w:ascii="Arial" w:hAnsi="Arial" w:cs="Arial"/>
        </w:rPr>
        <w:t xml:space="preserve">Bennett, K., Brown, Z. and Edwards, T., </w:t>
      </w:r>
      <w:r>
        <w:rPr>
          <w:rFonts w:ascii="Arial" w:hAnsi="Arial" w:cs="Arial"/>
        </w:rPr>
        <w:t>(</w:t>
      </w:r>
      <w:r w:rsidRPr="00AB7121">
        <w:rPr>
          <w:rFonts w:ascii="Arial" w:hAnsi="Arial" w:cs="Arial"/>
        </w:rPr>
        <w:t>2017</w:t>
      </w:r>
      <w:r>
        <w:rPr>
          <w:rFonts w:ascii="Arial" w:hAnsi="Arial" w:cs="Arial"/>
        </w:rPr>
        <w:t>)</w:t>
      </w:r>
      <w:r w:rsidRPr="00AB7121">
        <w:rPr>
          <w:rFonts w:ascii="Arial" w:hAnsi="Arial" w:cs="Arial"/>
        </w:rPr>
        <w:t>. Child and young person development: Biological, environmental and interpersonal influences. In </w:t>
      </w:r>
      <w:r w:rsidRPr="00AB7121">
        <w:rPr>
          <w:rFonts w:ascii="Arial" w:hAnsi="Arial" w:cs="Arial"/>
          <w:i/>
          <w:iCs/>
        </w:rPr>
        <w:t>Contemporary Issues in Childhood</w:t>
      </w:r>
      <w:r w:rsidRPr="00AB7121">
        <w:rPr>
          <w:rFonts w:ascii="Arial" w:hAnsi="Arial" w:cs="Arial"/>
        </w:rPr>
        <w:t> (pp. 17-31). Routledge.</w:t>
      </w:r>
    </w:p>
    <w:p w14:paraId="118338A0" w14:textId="18E8AF6A" w:rsidR="0093665F" w:rsidRDefault="0093665F" w:rsidP="00381B18">
      <w:pPr>
        <w:spacing w:before="240" w:line="360" w:lineRule="auto"/>
        <w:jc w:val="both"/>
        <w:rPr>
          <w:rFonts w:ascii="Arial" w:hAnsi="Arial" w:cs="Arial"/>
        </w:rPr>
      </w:pPr>
      <w:r w:rsidRPr="0093665F">
        <w:rPr>
          <w:rFonts w:ascii="Arial" w:hAnsi="Arial" w:cs="Arial"/>
        </w:rPr>
        <w:lastRenderedPageBreak/>
        <w:t xml:space="preserve">Biehal, N., </w:t>
      </w:r>
      <w:r w:rsidR="00762F36">
        <w:rPr>
          <w:rFonts w:ascii="Arial" w:hAnsi="Arial" w:cs="Arial"/>
        </w:rPr>
        <w:t>(</w:t>
      </w:r>
      <w:r w:rsidRPr="0093665F">
        <w:rPr>
          <w:rFonts w:ascii="Arial" w:hAnsi="Arial" w:cs="Arial"/>
        </w:rPr>
        <w:t>2018</w:t>
      </w:r>
      <w:r w:rsidR="00762F36">
        <w:rPr>
          <w:rFonts w:ascii="Arial" w:hAnsi="Arial" w:cs="Arial"/>
        </w:rPr>
        <w:t>)</w:t>
      </w:r>
      <w:r w:rsidRPr="0093665F">
        <w:rPr>
          <w:rFonts w:ascii="Arial" w:hAnsi="Arial" w:cs="Arial"/>
        </w:rPr>
        <w:t>. Balancing prevention and protection: Child protection in England. In </w:t>
      </w:r>
      <w:r w:rsidRPr="0093665F">
        <w:rPr>
          <w:rFonts w:ascii="Arial" w:hAnsi="Arial" w:cs="Arial"/>
          <w:i/>
          <w:iCs/>
        </w:rPr>
        <w:t>National systems of child protection: Understanding the international variability and context for developing policy and practice</w:t>
      </w:r>
      <w:r w:rsidRPr="0093665F">
        <w:rPr>
          <w:rFonts w:ascii="Arial" w:hAnsi="Arial" w:cs="Arial"/>
        </w:rPr>
        <w:t> (pp. 51-73). Cham: Springer International Publishing.</w:t>
      </w:r>
    </w:p>
    <w:p w14:paraId="77F01C50" w14:textId="1BBF5B69" w:rsidR="00C86DF2" w:rsidRDefault="00C86DF2" w:rsidP="00381B18">
      <w:pPr>
        <w:spacing w:before="240" w:line="360" w:lineRule="auto"/>
        <w:jc w:val="both"/>
        <w:rPr>
          <w:rFonts w:ascii="Arial" w:hAnsi="Arial" w:cs="Arial"/>
        </w:rPr>
      </w:pPr>
      <w:r w:rsidRPr="00C86DF2">
        <w:rPr>
          <w:rFonts w:ascii="Arial" w:hAnsi="Arial" w:cs="Arial"/>
        </w:rPr>
        <w:t xml:space="preserve">Brown, K.A., Parikh, S. and Patel, D.R., </w:t>
      </w:r>
      <w:r w:rsidR="00762F36">
        <w:rPr>
          <w:rFonts w:ascii="Arial" w:hAnsi="Arial" w:cs="Arial"/>
        </w:rPr>
        <w:t>(</w:t>
      </w:r>
      <w:r w:rsidRPr="00C86DF2">
        <w:rPr>
          <w:rFonts w:ascii="Arial" w:hAnsi="Arial" w:cs="Arial"/>
        </w:rPr>
        <w:t>2020</w:t>
      </w:r>
      <w:r w:rsidR="00762F36">
        <w:rPr>
          <w:rFonts w:ascii="Arial" w:hAnsi="Arial" w:cs="Arial"/>
        </w:rPr>
        <w:t>)</w:t>
      </w:r>
      <w:r w:rsidRPr="00C86DF2">
        <w:rPr>
          <w:rFonts w:ascii="Arial" w:hAnsi="Arial" w:cs="Arial"/>
        </w:rPr>
        <w:t>. Understanding basic concepts of developmental diagnosis in children. </w:t>
      </w:r>
      <w:r w:rsidRPr="00C86DF2">
        <w:rPr>
          <w:rFonts w:ascii="Arial" w:hAnsi="Arial" w:cs="Arial"/>
          <w:i/>
          <w:iCs/>
        </w:rPr>
        <w:t>Translational pediatrics</w:t>
      </w:r>
      <w:r w:rsidRPr="00C86DF2">
        <w:rPr>
          <w:rFonts w:ascii="Arial" w:hAnsi="Arial" w:cs="Arial"/>
        </w:rPr>
        <w:t>, </w:t>
      </w:r>
      <w:r w:rsidRPr="00C86DF2">
        <w:rPr>
          <w:rFonts w:ascii="Arial" w:hAnsi="Arial" w:cs="Arial"/>
          <w:i/>
          <w:iCs/>
        </w:rPr>
        <w:t>9</w:t>
      </w:r>
      <w:r w:rsidRPr="00C86DF2">
        <w:rPr>
          <w:rFonts w:ascii="Arial" w:hAnsi="Arial" w:cs="Arial"/>
        </w:rPr>
        <w:t>(Suppl 1), p.S9.</w:t>
      </w:r>
    </w:p>
    <w:p w14:paraId="5F49CE81" w14:textId="77777777" w:rsidR="00ED6DF0" w:rsidRDefault="00ED6DF0" w:rsidP="00ED6DF0">
      <w:pPr>
        <w:spacing w:line="360" w:lineRule="auto"/>
        <w:jc w:val="both"/>
        <w:rPr>
          <w:rFonts w:ascii="Arial" w:hAnsi="Arial" w:cs="Arial"/>
        </w:rPr>
      </w:pPr>
      <w:r w:rsidRPr="008F2ECB">
        <w:rPr>
          <w:rFonts w:ascii="Arial" w:hAnsi="Arial" w:cs="Arial"/>
        </w:rPr>
        <w:t>Bernard, H.R., Wutich, A. and Ryan, G.W., (2016). </w:t>
      </w:r>
      <w:r w:rsidRPr="008F2ECB">
        <w:rPr>
          <w:rFonts w:ascii="Arial" w:hAnsi="Arial" w:cs="Arial"/>
          <w:i/>
          <w:iCs/>
        </w:rPr>
        <w:t>Analyzing qualitative data: Systematic approaches</w:t>
      </w:r>
      <w:r w:rsidRPr="008F2ECB">
        <w:rPr>
          <w:rFonts w:ascii="Arial" w:hAnsi="Arial" w:cs="Arial"/>
        </w:rPr>
        <w:t>. SAGE publications.</w:t>
      </w:r>
    </w:p>
    <w:p w14:paraId="2D841197" w14:textId="77777777" w:rsidR="00ED6DF0" w:rsidRPr="008F2ECB" w:rsidRDefault="00ED6DF0" w:rsidP="00ED6DF0">
      <w:pPr>
        <w:spacing w:line="360" w:lineRule="auto"/>
        <w:jc w:val="both"/>
        <w:rPr>
          <w:rFonts w:ascii="Arial" w:hAnsi="Arial" w:cs="Arial"/>
        </w:rPr>
      </w:pPr>
      <w:r w:rsidRPr="00963833">
        <w:rPr>
          <w:rFonts w:ascii="Arial" w:hAnsi="Arial" w:cs="Arial"/>
        </w:rPr>
        <w:t>Bergmann, J., 2023. Research philosophy, methodological implications, and research design. In </w:t>
      </w:r>
      <w:r w:rsidRPr="00963833">
        <w:rPr>
          <w:rFonts w:ascii="Arial" w:hAnsi="Arial" w:cs="Arial"/>
          <w:i/>
          <w:iCs/>
        </w:rPr>
        <w:t>At Risk of Deprivation: The Multidimensional Well-Being Impacts of Climate Migration and Immobility in Peru</w:t>
      </w:r>
      <w:r w:rsidRPr="00963833">
        <w:rPr>
          <w:rFonts w:ascii="Arial" w:hAnsi="Arial" w:cs="Arial"/>
        </w:rPr>
        <w:t> (pp. 57-89). Wiesbaden: Springer Fachmedien Wiesbaden.</w:t>
      </w:r>
    </w:p>
    <w:p w14:paraId="3EA3A8D2" w14:textId="77777777" w:rsidR="00ED6DF0" w:rsidRDefault="00ED6DF0" w:rsidP="00ED6DF0">
      <w:pPr>
        <w:spacing w:line="360" w:lineRule="auto"/>
        <w:jc w:val="both"/>
        <w:rPr>
          <w:rFonts w:ascii="Arial" w:hAnsi="Arial" w:cs="Arial"/>
        </w:rPr>
      </w:pPr>
      <w:r w:rsidRPr="008F2ECB">
        <w:rPr>
          <w:rFonts w:ascii="Arial" w:hAnsi="Arial" w:cs="Arial"/>
        </w:rPr>
        <w:t>Braun, V. and Clarke, V., (2019). Reflecting on reflexive thematic analysis. </w:t>
      </w:r>
      <w:r w:rsidRPr="008F2ECB">
        <w:rPr>
          <w:rFonts w:ascii="Arial" w:hAnsi="Arial" w:cs="Arial"/>
          <w:i/>
          <w:iCs/>
        </w:rPr>
        <w:t>Qualitative research in sport, exercise and health</w:t>
      </w:r>
      <w:r w:rsidRPr="008F2ECB">
        <w:rPr>
          <w:rFonts w:ascii="Arial" w:hAnsi="Arial" w:cs="Arial"/>
        </w:rPr>
        <w:t>, </w:t>
      </w:r>
      <w:r w:rsidRPr="008F2ECB">
        <w:rPr>
          <w:rFonts w:ascii="Arial" w:hAnsi="Arial" w:cs="Arial"/>
          <w:i/>
          <w:iCs/>
        </w:rPr>
        <w:t>11</w:t>
      </w:r>
      <w:r w:rsidRPr="008F2ECB">
        <w:rPr>
          <w:rFonts w:ascii="Arial" w:hAnsi="Arial" w:cs="Arial"/>
        </w:rPr>
        <w:t>(4), pp.589-597.</w:t>
      </w:r>
    </w:p>
    <w:p w14:paraId="27904766" w14:textId="77777777" w:rsidR="00ED6DF0" w:rsidRPr="008F2ECB" w:rsidRDefault="00ED6DF0" w:rsidP="00ED6DF0">
      <w:pPr>
        <w:spacing w:line="360" w:lineRule="auto"/>
        <w:jc w:val="both"/>
        <w:rPr>
          <w:rFonts w:ascii="Arial" w:hAnsi="Arial" w:cs="Arial"/>
        </w:rPr>
      </w:pPr>
      <w:r w:rsidRPr="00C2508D">
        <w:rPr>
          <w:rFonts w:ascii="Arial" w:hAnsi="Arial" w:cs="Arial"/>
        </w:rPr>
        <w:t>Calder, S.D., Brennan</w:t>
      </w:r>
      <w:r w:rsidRPr="00C2508D">
        <w:rPr>
          <w:rFonts w:ascii="Cambria Math" w:hAnsi="Cambria Math" w:cs="Cambria Math"/>
        </w:rPr>
        <w:t>‐</w:t>
      </w:r>
      <w:r w:rsidRPr="00C2508D">
        <w:rPr>
          <w:rFonts w:ascii="Arial" w:hAnsi="Arial" w:cs="Arial"/>
        </w:rPr>
        <w:t>Jones, C.G., Robinson, M., Whitehouse, A. and Hill, E., 2022. The prevalence of and potential risk factors for Developmental Language Disorder at 10 years in the Raine Study. </w:t>
      </w:r>
      <w:r w:rsidRPr="00C2508D">
        <w:rPr>
          <w:rFonts w:ascii="Arial" w:hAnsi="Arial" w:cs="Arial"/>
          <w:i/>
          <w:iCs/>
        </w:rPr>
        <w:t>Journal of Paediatrics and Child Health</w:t>
      </w:r>
      <w:r w:rsidRPr="00C2508D">
        <w:rPr>
          <w:rFonts w:ascii="Arial" w:hAnsi="Arial" w:cs="Arial"/>
        </w:rPr>
        <w:t>, </w:t>
      </w:r>
      <w:r w:rsidRPr="00C2508D">
        <w:rPr>
          <w:rFonts w:ascii="Arial" w:hAnsi="Arial" w:cs="Arial"/>
          <w:i/>
          <w:iCs/>
        </w:rPr>
        <w:t>58</w:t>
      </w:r>
      <w:r w:rsidRPr="00C2508D">
        <w:rPr>
          <w:rFonts w:ascii="Arial" w:hAnsi="Arial" w:cs="Arial"/>
        </w:rPr>
        <w:t>(11), pp.2044-2050.</w:t>
      </w:r>
    </w:p>
    <w:p w14:paraId="650FD5FD" w14:textId="77777777" w:rsidR="00ED6DF0" w:rsidRPr="008F2ECB" w:rsidRDefault="00ED6DF0" w:rsidP="00ED6DF0">
      <w:pPr>
        <w:spacing w:line="360" w:lineRule="auto"/>
        <w:jc w:val="both"/>
        <w:rPr>
          <w:rFonts w:ascii="Arial" w:hAnsi="Arial" w:cs="Arial"/>
        </w:rPr>
      </w:pPr>
      <w:r w:rsidRPr="008F2ECB">
        <w:rPr>
          <w:rFonts w:ascii="Arial" w:hAnsi="Arial" w:cs="Arial"/>
        </w:rPr>
        <w:t>Chen, C., (2017). Science mapping: a systematic review of the literature. </w:t>
      </w:r>
      <w:r w:rsidRPr="008F2ECB">
        <w:rPr>
          <w:rFonts w:ascii="Arial" w:hAnsi="Arial" w:cs="Arial"/>
          <w:i/>
          <w:iCs/>
        </w:rPr>
        <w:t>Journal of data and information science</w:t>
      </w:r>
      <w:r w:rsidRPr="008F2ECB">
        <w:rPr>
          <w:rFonts w:ascii="Arial" w:hAnsi="Arial" w:cs="Arial"/>
        </w:rPr>
        <w:t>, </w:t>
      </w:r>
      <w:r w:rsidRPr="008F2ECB">
        <w:rPr>
          <w:rFonts w:ascii="Arial" w:hAnsi="Arial" w:cs="Arial"/>
          <w:i/>
          <w:iCs/>
        </w:rPr>
        <w:t>2</w:t>
      </w:r>
      <w:r w:rsidRPr="008F2ECB">
        <w:rPr>
          <w:rFonts w:ascii="Arial" w:hAnsi="Arial" w:cs="Arial"/>
        </w:rPr>
        <w:t>(2).</w:t>
      </w:r>
    </w:p>
    <w:p w14:paraId="2B91451F" w14:textId="77777777" w:rsidR="00ED6DF0" w:rsidRDefault="00ED6DF0" w:rsidP="00ED6DF0">
      <w:pPr>
        <w:spacing w:line="360" w:lineRule="auto"/>
        <w:jc w:val="both"/>
        <w:rPr>
          <w:rFonts w:ascii="Arial" w:hAnsi="Arial" w:cs="Arial"/>
        </w:rPr>
      </w:pPr>
      <w:r w:rsidRPr="004D2D8E">
        <w:rPr>
          <w:rFonts w:ascii="Arial" w:hAnsi="Arial" w:cs="Arial"/>
        </w:rPr>
        <w:t>Cheung, R.W., Willan, K., Dickerson, J. and Bowyer-Crane, C., 2023. Risk factors for early language delay in children within a minority ethnic, bilingual, deprived environment (Born in Bradford’s Better Start): a UK community birth cohort study. </w:t>
      </w:r>
      <w:r w:rsidRPr="004D2D8E">
        <w:rPr>
          <w:rFonts w:ascii="Arial" w:hAnsi="Arial" w:cs="Arial"/>
          <w:i/>
          <w:iCs/>
        </w:rPr>
        <w:t>BMJ Paediatrics Open</w:t>
      </w:r>
      <w:r w:rsidRPr="004D2D8E">
        <w:rPr>
          <w:rFonts w:ascii="Arial" w:hAnsi="Arial" w:cs="Arial"/>
        </w:rPr>
        <w:t>, </w:t>
      </w:r>
      <w:r w:rsidRPr="004D2D8E">
        <w:rPr>
          <w:rFonts w:ascii="Arial" w:hAnsi="Arial" w:cs="Arial"/>
          <w:i/>
          <w:iCs/>
        </w:rPr>
        <w:t>7</w:t>
      </w:r>
      <w:r w:rsidRPr="004D2D8E">
        <w:rPr>
          <w:rFonts w:ascii="Arial" w:hAnsi="Arial" w:cs="Arial"/>
        </w:rPr>
        <w:t>(1), p.e001764.</w:t>
      </w:r>
    </w:p>
    <w:p w14:paraId="0464D2EB" w14:textId="3FC09EFE" w:rsidR="00F652CB" w:rsidRDefault="00AA3C78" w:rsidP="00381B18">
      <w:pPr>
        <w:spacing w:before="240" w:line="360" w:lineRule="auto"/>
        <w:jc w:val="both"/>
        <w:rPr>
          <w:rFonts w:ascii="Arial" w:hAnsi="Arial" w:cs="Arial"/>
        </w:rPr>
      </w:pPr>
      <w:r w:rsidRPr="00AA3C78">
        <w:rPr>
          <w:rFonts w:ascii="Arial" w:hAnsi="Arial" w:cs="Arial"/>
        </w:rPr>
        <w:t>Castro</w:t>
      </w:r>
      <w:r w:rsidR="00F652CB" w:rsidRPr="00F652CB">
        <w:rPr>
          <w:rFonts w:ascii="Arial" w:hAnsi="Arial" w:cs="Arial"/>
        </w:rPr>
        <w:t xml:space="preserve">, S. and Palikara, O., </w:t>
      </w:r>
      <w:r w:rsidR="00762F36">
        <w:rPr>
          <w:rFonts w:ascii="Arial" w:hAnsi="Arial" w:cs="Arial"/>
        </w:rPr>
        <w:t>(</w:t>
      </w:r>
      <w:r w:rsidR="00F652CB" w:rsidRPr="00F652CB">
        <w:rPr>
          <w:rFonts w:ascii="Arial" w:hAnsi="Arial" w:cs="Arial"/>
        </w:rPr>
        <w:t>2016</w:t>
      </w:r>
      <w:r w:rsidR="00762F36">
        <w:rPr>
          <w:rFonts w:ascii="Arial" w:hAnsi="Arial" w:cs="Arial"/>
        </w:rPr>
        <w:t>)</w:t>
      </w:r>
      <w:r w:rsidR="00F652CB" w:rsidRPr="00F652CB">
        <w:rPr>
          <w:rFonts w:ascii="Arial" w:hAnsi="Arial" w:cs="Arial"/>
        </w:rPr>
        <w:t>, November. Mind the gap: the new special educational needs and disability legislation in England. In </w:t>
      </w:r>
      <w:r w:rsidR="00F652CB" w:rsidRPr="00F652CB">
        <w:rPr>
          <w:rFonts w:ascii="Arial" w:hAnsi="Arial" w:cs="Arial"/>
          <w:i/>
          <w:iCs/>
        </w:rPr>
        <w:t>Frontiers in Education</w:t>
      </w:r>
      <w:r w:rsidR="00F652CB" w:rsidRPr="00F652CB">
        <w:rPr>
          <w:rFonts w:ascii="Arial" w:hAnsi="Arial" w:cs="Arial"/>
        </w:rPr>
        <w:t> (Vol. 1, p. 4). Frontiers Media SA.</w:t>
      </w:r>
    </w:p>
    <w:p w14:paraId="0E8197C1" w14:textId="2F6AC301" w:rsidR="004D6AC9" w:rsidRDefault="004D6AC9" w:rsidP="00381B18">
      <w:pPr>
        <w:spacing w:before="240" w:line="360" w:lineRule="auto"/>
        <w:jc w:val="both"/>
        <w:rPr>
          <w:rFonts w:ascii="Arial" w:hAnsi="Arial" w:cs="Arial"/>
        </w:rPr>
      </w:pPr>
      <w:r w:rsidRPr="004D6AC9">
        <w:rPr>
          <w:rFonts w:ascii="Arial" w:hAnsi="Arial" w:cs="Arial"/>
        </w:rPr>
        <w:lastRenderedPageBreak/>
        <w:t xml:space="preserve">Cairney, D.G., Kazmi, A., Delahunty, L., Marryat, L. and Wood, R., </w:t>
      </w:r>
      <w:r w:rsidR="00762F36">
        <w:rPr>
          <w:rFonts w:ascii="Arial" w:hAnsi="Arial" w:cs="Arial"/>
        </w:rPr>
        <w:t>(</w:t>
      </w:r>
      <w:r w:rsidRPr="004D6AC9">
        <w:rPr>
          <w:rFonts w:ascii="Arial" w:hAnsi="Arial" w:cs="Arial"/>
        </w:rPr>
        <w:t>2021</w:t>
      </w:r>
      <w:r w:rsidR="00762F36">
        <w:rPr>
          <w:rFonts w:ascii="Arial" w:hAnsi="Arial" w:cs="Arial"/>
        </w:rPr>
        <w:t>)</w:t>
      </w:r>
      <w:r w:rsidRPr="004D6AC9">
        <w:rPr>
          <w:rFonts w:ascii="Arial" w:hAnsi="Arial" w:cs="Arial"/>
        </w:rPr>
        <w:t>. The predictive value of universal preschool developmental assessment in identifying children with later educational difficulties: A systematic review. </w:t>
      </w:r>
      <w:r w:rsidRPr="004D6AC9">
        <w:rPr>
          <w:rFonts w:ascii="Arial" w:hAnsi="Arial" w:cs="Arial"/>
          <w:i/>
          <w:iCs/>
        </w:rPr>
        <w:t>PLoS One</w:t>
      </w:r>
      <w:r w:rsidRPr="004D6AC9">
        <w:rPr>
          <w:rFonts w:ascii="Arial" w:hAnsi="Arial" w:cs="Arial"/>
        </w:rPr>
        <w:t>, </w:t>
      </w:r>
      <w:r w:rsidRPr="004D6AC9">
        <w:rPr>
          <w:rFonts w:ascii="Arial" w:hAnsi="Arial" w:cs="Arial"/>
          <w:i/>
          <w:iCs/>
        </w:rPr>
        <w:t>16</w:t>
      </w:r>
      <w:r w:rsidRPr="004D6AC9">
        <w:rPr>
          <w:rFonts w:ascii="Arial" w:hAnsi="Arial" w:cs="Arial"/>
        </w:rPr>
        <w:t>(3), p.e0247299.</w:t>
      </w:r>
    </w:p>
    <w:p w14:paraId="089C7ADC" w14:textId="62872660" w:rsidR="00777C0F" w:rsidRDefault="00BF4875" w:rsidP="00381B18">
      <w:pPr>
        <w:spacing w:before="240" w:line="360" w:lineRule="auto"/>
        <w:jc w:val="both"/>
        <w:rPr>
          <w:rFonts w:ascii="Arial" w:hAnsi="Arial" w:cs="Arial"/>
        </w:rPr>
      </w:pPr>
      <w:r w:rsidRPr="00BF4875">
        <w:rPr>
          <w:rFonts w:ascii="Arial" w:hAnsi="Arial" w:cs="Arial"/>
        </w:rPr>
        <w:t xml:space="preserve">Cleaton, M.A.M., Lorgelly, P.K. and Kirby, A., </w:t>
      </w:r>
      <w:r w:rsidR="00762F36">
        <w:rPr>
          <w:rFonts w:ascii="Arial" w:hAnsi="Arial" w:cs="Arial"/>
        </w:rPr>
        <w:t>(</w:t>
      </w:r>
      <w:r w:rsidRPr="00BF4875">
        <w:rPr>
          <w:rFonts w:ascii="Arial" w:hAnsi="Arial" w:cs="Arial"/>
        </w:rPr>
        <w:t>2020</w:t>
      </w:r>
      <w:r w:rsidR="00762F36">
        <w:rPr>
          <w:rFonts w:ascii="Arial" w:hAnsi="Arial" w:cs="Arial"/>
        </w:rPr>
        <w:t>)</w:t>
      </w:r>
      <w:r w:rsidRPr="00BF4875">
        <w:rPr>
          <w:rFonts w:ascii="Arial" w:hAnsi="Arial" w:cs="Arial"/>
        </w:rPr>
        <w:t>. Developmental coordination disorder in UK children aged 6–18 years: Estimating the cost. </w:t>
      </w:r>
      <w:r w:rsidRPr="00BF4875">
        <w:rPr>
          <w:rFonts w:ascii="Arial" w:hAnsi="Arial" w:cs="Arial"/>
          <w:i/>
          <w:iCs/>
        </w:rPr>
        <w:t>British Journal of Occupational Therapy</w:t>
      </w:r>
      <w:r w:rsidRPr="00BF4875">
        <w:rPr>
          <w:rFonts w:ascii="Arial" w:hAnsi="Arial" w:cs="Arial"/>
        </w:rPr>
        <w:t>, </w:t>
      </w:r>
      <w:r w:rsidRPr="00BF4875">
        <w:rPr>
          <w:rFonts w:ascii="Arial" w:hAnsi="Arial" w:cs="Arial"/>
          <w:i/>
          <w:iCs/>
        </w:rPr>
        <w:t>83</w:t>
      </w:r>
      <w:r w:rsidRPr="00BF4875">
        <w:rPr>
          <w:rFonts w:ascii="Arial" w:hAnsi="Arial" w:cs="Arial"/>
        </w:rPr>
        <w:t>(1), pp.29-40.</w:t>
      </w:r>
      <w:r w:rsidR="00777C0F" w:rsidRPr="00777C0F">
        <w:rPr>
          <w:rFonts w:ascii="Arial" w:hAnsi="Arial" w:cs="Arial"/>
        </w:rPr>
        <w:t>Demirci, A. and Kartal, M., 2018. Sociocultural risk factors for developmental delay in children aged 3–60 months: a nested case-control study. </w:t>
      </w:r>
      <w:r w:rsidR="00777C0F" w:rsidRPr="00777C0F">
        <w:rPr>
          <w:rFonts w:ascii="Arial" w:hAnsi="Arial" w:cs="Arial"/>
          <w:i/>
          <w:iCs/>
        </w:rPr>
        <w:t>European journal of pediatrics</w:t>
      </w:r>
      <w:r w:rsidR="00777C0F" w:rsidRPr="00777C0F">
        <w:rPr>
          <w:rFonts w:ascii="Arial" w:hAnsi="Arial" w:cs="Arial"/>
        </w:rPr>
        <w:t>, </w:t>
      </w:r>
      <w:r w:rsidR="00777C0F" w:rsidRPr="00777C0F">
        <w:rPr>
          <w:rFonts w:ascii="Arial" w:hAnsi="Arial" w:cs="Arial"/>
          <w:i/>
          <w:iCs/>
        </w:rPr>
        <w:t>177</w:t>
      </w:r>
      <w:r w:rsidR="00777C0F" w:rsidRPr="00777C0F">
        <w:rPr>
          <w:rFonts w:ascii="Arial" w:hAnsi="Arial" w:cs="Arial"/>
        </w:rPr>
        <w:t>(5), pp.691-697.</w:t>
      </w:r>
    </w:p>
    <w:p w14:paraId="7EE465E2" w14:textId="0127A638" w:rsidR="00081150" w:rsidRDefault="00081150" w:rsidP="00381B18">
      <w:pPr>
        <w:spacing w:before="240" w:line="360" w:lineRule="auto"/>
        <w:jc w:val="both"/>
        <w:rPr>
          <w:rFonts w:ascii="Arial" w:hAnsi="Arial" w:cs="Arial"/>
        </w:rPr>
      </w:pPr>
      <w:r w:rsidRPr="00081150">
        <w:rPr>
          <w:rFonts w:ascii="Arial" w:hAnsi="Arial" w:cs="Arial"/>
        </w:rPr>
        <w:t xml:space="preserve">Dornelas, L.F., Duarte, N.M., Morales, N.M., Pinto, R.M., Araújo, R.R., Pereira, S.A. and Magalhães, L.C., </w:t>
      </w:r>
      <w:r w:rsidR="00762F36">
        <w:rPr>
          <w:rFonts w:ascii="Arial" w:hAnsi="Arial" w:cs="Arial"/>
        </w:rPr>
        <w:t>(</w:t>
      </w:r>
      <w:r w:rsidRPr="00081150">
        <w:rPr>
          <w:rFonts w:ascii="Arial" w:hAnsi="Arial" w:cs="Arial"/>
        </w:rPr>
        <w:t>2016</w:t>
      </w:r>
      <w:r w:rsidR="00762F36">
        <w:rPr>
          <w:rFonts w:ascii="Arial" w:hAnsi="Arial" w:cs="Arial"/>
        </w:rPr>
        <w:t>)</w:t>
      </w:r>
      <w:r w:rsidRPr="00081150">
        <w:rPr>
          <w:rFonts w:ascii="Arial" w:hAnsi="Arial" w:cs="Arial"/>
        </w:rPr>
        <w:t>. Functional outcome of school children with history of global developmental delay. </w:t>
      </w:r>
      <w:r w:rsidRPr="00081150">
        <w:rPr>
          <w:rFonts w:ascii="Arial" w:hAnsi="Arial" w:cs="Arial"/>
          <w:i/>
          <w:iCs/>
        </w:rPr>
        <w:t>Journal of Child Neurology</w:t>
      </w:r>
      <w:r w:rsidRPr="00081150">
        <w:rPr>
          <w:rFonts w:ascii="Arial" w:hAnsi="Arial" w:cs="Arial"/>
        </w:rPr>
        <w:t>, </w:t>
      </w:r>
      <w:r w:rsidRPr="00081150">
        <w:rPr>
          <w:rFonts w:ascii="Arial" w:hAnsi="Arial" w:cs="Arial"/>
          <w:i/>
          <w:iCs/>
        </w:rPr>
        <w:t>31</w:t>
      </w:r>
      <w:r w:rsidRPr="00081150">
        <w:rPr>
          <w:rFonts w:ascii="Arial" w:hAnsi="Arial" w:cs="Arial"/>
        </w:rPr>
        <w:t>(8), pp.1041-1051.</w:t>
      </w:r>
    </w:p>
    <w:p w14:paraId="32B9B8D4" w14:textId="6D19FFE8" w:rsidR="00DA0032" w:rsidRDefault="00DA0032" w:rsidP="00C114C4">
      <w:pPr>
        <w:spacing w:before="240" w:line="360" w:lineRule="auto"/>
        <w:jc w:val="both"/>
        <w:rPr>
          <w:rFonts w:ascii="Arial" w:hAnsi="Arial" w:cs="Arial"/>
        </w:rPr>
      </w:pPr>
      <w:r w:rsidRPr="00DA0032">
        <w:rPr>
          <w:rFonts w:ascii="Arial" w:hAnsi="Arial" w:cs="Arial"/>
        </w:rPr>
        <w:t xml:space="preserve">Doulabi, M.A., Sajedi, F., Vameghi, R., Mazaheri, M.A. and Baghban, A.A., </w:t>
      </w:r>
      <w:r w:rsidR="00D3569D">
        <w:rPr>
          <w:rFonts w:ascii="Arial" w:hAnsi="Arial" w:cs="Arial"/>
        </w:rPr>
        <w:t>(</w:t>
      </w:r>
      <w:r w:rsidRPr="00DA0032">
        <w:rPr>
          <w:rFonts w:ascii="Arial" w:hAnsi="Arial" w:cs="Arial"/>
        </w:rPr>
        <w:t>2017</w:t>
      </w:r>
      <w:r w:rsidR="00D3569D">
        <w:rPr>
          <w:rFonts w:ascii="Arial" w:hAnsi="Arial" w:cs="Arial"/>
        </w:rPr>
        <w:t>)</w:t>
      </w:r>
      <w:r w:rsidRPr="00DA0032">
        <w:rPr>
          <w:rFonts w:ascii="Arial" w:hAnsi="Arial" w:cs="Arial"/>
        </w:rPr>
        <w:t>. Socioeconomic status index to interpret inequalities in child development. </w:t>
      </w:r>
      <w:r w:rsidRPr="00DA0032">
        <w:rPr>
          <w:rFonts w:ascii="Arial" w:hAnsi="Arial" w:cs="Arial"/>
          <w:i/>
          <w:iCs/>
        </w:rPr>
        <w:t>Iranian journal of child neurology</w:t>
      </w:r>
      <w:r w:rsidRPr="00DA0032">
        <w:rPr>
          <w:rFonts w:ascii="Arial" w:hAnsi="Arial" w:cs="Arial"/>
        </w:rPr>
        <w:t>, </w:t>
      </w:r>
      <w:r w:rsidRPr="00DA0032">
        <w:rPr>
          <w:rFonts w:ascii="Arial" w:hAnsi="Arial" w:cs="Arial"/>
          <w:i/>
          <w:iCs/>
        </w:rPr>
        <w:t>11</w:t>
      </w:r>
      <w:r w:rsidRPr="00DA0032">
        <w:rPr>
          <w:rFonts w:ascii="Arial" w:hAnsi="Arial" w:cs="Arial"/>
        </w:rPr>
        <w:t>(2), p.13.</w:t>
      </w:r>
    </w:p>
    <w:p w14:paraId="63211FA9" w14:textId="3750D2F4" w:rsidR="00C114C4" w:rsidRDefault="00C114C4" w:rsidP="00C114C4">
      <w:pPr>
        <w:spacing w:before="240" w:line="360" w:lineRule="auto"/>
        <w:jc w:val="both"/>
        <w:rPr>
          <w:rFonts w:ascii="Arial" w:hAnsi="Arial" w:cs="Arial"/>
        </w:rPr>
      </w:pPr>
      <w:r w:rsidRPr="00AB7121">
        <w:rPr>
          <w:rFonts w:ascii="Arial" w:hAnsi="Arial" w:cs="Arial"/>
        </w:rPr>
        <w:t>Durkin, M.S. and Yeargin-Allsopp, M., (2018), October. Socioeconomic status and pediatric neurologic disorders: current evidence. In </w:t>
      </w:r>
      <w:r w:rsidRPr="00AB7121">
        <w:rPr>
          <w:rFonts w:ascii="Arial" w:hAnsi="Arial" w:cs="Arial"/>
          <w:i/>
          <w:iCs/>
        </w:rPr>
        <w:t>seminars in pediatric neurology</w:t>
      </w:r>
      <w:r w:rsidRPr="00AB7121">
        <w:rPr>
          <w:rFonts w:ascii="Arial" w:hAnsi="Arial" w:cs="Arial"/>
        </w:rPr>
        <w:t> (Vol. 27, pp. 16-25). WB Saunders.</w:t>
      </w:r>
    </w:p>
    <w:p w14:paraId="7454337C" w14:textId="77777777" w:rsidR="00ED6DF0" w:rsidRPr="008F2ECB" w:rsidRDefault="00ED6DF0" w:rsidP="00ED6DF0">
      <w:pPr>
        <w:spacing w:line="360" w:lineRule="auto"/>
        <w:jc w:val="both"/>
        <w:rPr>
          <w:rFonts w:ascii="Arial" w:hAnsi="Arial" w:cs="Arial"/>
        </w:rPr>
      </w:pPr>
      <w:r w:rsidRPr="008F2ECB">
        <w:rPr>
          <w:rFonts w:ascii="Arial" w:hAnsi="Arial" w:cs="Arial"/>
        </w:rPr>
        <w:t>Dekkers, O.M., Vandenbroucke, J.P., Cevallos, M., Renehan, A.G., Altman, D.G. and Egger, M., (2019). COSMOS-E: guidance on conducting systematic reviews and meta-analyses of observational studies of etiology. </w:t>
      </w:r>
      <w:r w:rsidRPr="008F2ECB">
        <w:rPr>
          <w:rFonts w:ascii="Arial" w:hAnsi="Arial" w:cs="Arial"/>
          <w:i/>
          <w:iCs/>
        </w:rPr>
        <w:t>PLoS medicine</w:t>
      </w:r>
      <w:r w:rsidRPr="008F2ECB">
        <w:rPr>
          <w:rFonts w:ascii="Arial" w:hAnsi="Arial" w:cs="Arial"/>
        </w:rPr>
        <w:t>, </w:t>
      </w:r>
      <w:r w:rsidRPr="008F2ECB">
        <w:rPr>
          <w:rFonts w:ascii="Arial" w:hAnsi="Arial" w:cs="Arial"/>
          <w:i/>
          <w:iCs/>
        </w:rPr>
        <w:t>16</w:t>
      </w:r>
      <w:r w:rsidRPr="008F2ECB">
        <w:rPr>
          <w:rFonts w:ascii="Arial" w:hAnsi="Arial" w:cs="Arial"/>
        </w:rPr>
        <w:t>(2), p.e1002742.</w:t>
      </w:r>
    </w:p>
    <w:p w14:paraId="6763A23F" w14:textId="25DDDE73" w:rsidR="00ED6DF0" w:rsidRPr="00AB7121" w:rsidRDefault="00ED6DF0" w:rsidP="00ED6DF0">
      <w:pPr>
        <w:spacing w:line="360" w:lineRule="auto"/>
        <w:jc w:val="both"/>
        <w:rPr>
          <w:rFonts w:ascii="Arial" w:hAnsi="Arial" w:cs="Arial"/>
        </w:rPr>
      </w:pPr>
      <w:r w:rsidRPr="00F52AF2">
        <w:rPr>
          <w:rFonts w:ascii="Arial" w:hAnsi="Arial" w:cs="Arial"/>
        </w:rPr>
        <w:t xml:space="preserve">Dockrell, J.E., Howell, P., Leung, D. and Fugard, A.J., </w:t>
      </w:r>
      <w:r w:rsidR="00EF4C7B">
        <w:rPr>
          <w:rFonts w:ascii="Arial" w:hAnsi="Arial" w:cs="Arial"/>
        </w:rPr>
        <w:t>(</w:t>
      </w:r>
      <w:r w:rsidRPr="00F52AF2">
        <w:rPr>
          <w:rFonts w:ascii="Arial" w:hAnsi="Arial" w:cs="Arial"/>
        </w:rPr>
        <w:t>2017</w:t>
      </w:r>
      <w:r w:rsidR="00EF4C7B">
        <w:rPr>
          <w:rFonts w:ascii="Arial" w:hAnsi="Arial" w:cs="Arial"/>
        </w:rPr>
        <w:t>)</w:t>
      </w:r>
      <w:r w:rsidRPr="00F52AF2">
        <w:rPr>
          <w:rFonts w:ascii="Arial" w:hAnsi="Arial" w:cs="Arial"/>
        </w:rPr>
        <w:t>, July. Children with speech language and communication needs in England: Challenges for practice. In </w:t>
      </w:r>
      <w:r w:rsidRPr="00F52AF2">
        <w:rPr>
          <w:rFonts w:ascii="Arial" w:hAnsi="Arial" w:cs="Arial"/>
          <w:i/>
          <w:iCs/>
        </w:rPr>
        <w:t>Frontiers in education</w:t>
      </w:r>
      <w:r w:rsidRPr="00F52AF2">
        <w:rPr>
          <w:rFonts w:ascii="Arial" w:hAnsi="Arial" w:cs="Arial"/>
        </w:rPr>
        <w:t> (Vol. 2, p. 35). Frontiers Media SA.</w:t>
      </w:r>
    </w:p>
    <w:p w14:paraId="08C87170" w14:textId="77777777" w:rsidR="00C114C4" w:rsidRPr="00AB7121" w:rsidRDefault="00C114C4" w:rsidP="00C114C4">
      <w:pPr>
        <w:spacing w:before="240" w:line="360" w:lineRule="auto"/>
        <w:jc w:val="both"/>
        <w:rPr>
          <w:rFonts w:ascii="Arial" w:hAnsi="Arial" w:cs="Arial"/>
        </w:rPr>
      </w:pPr>
      <w:r w:rsidRPr="00AB7121">
        <w:rPr>
          <w:rFonts w:ascii="Arial" w:hAnsi="Arial" w:cs="Arial"/>
        </w:rPr>
        <w:t>Elliott, T., James, K.F., Coleman, K.J., Jeffers, K.S., Nau, C.L. and Choi, K., (2022). Cross-sectional comparison of disparities by race using White vs Hispanic as reference among children and youths with developmental disabilities referred for speech therapy. </w:t>
      </w:r>
      <w:r w:rsidRPr="00AB7121">
        <w:rPr>
          <w:rFonts w:ascii="Arial" w:hAnsi="Arial" w:cs="Arial"/>
          <w:i/>
          <w:iCs/>
        </w:rPr>
        <w:t>JAMA Network Open</w:t>
      </w:r>
      <w:r w:rsidRPr="00AB7121">
        <w:rPr>
          <w:rFonts w:ascii="Arial" w:hAnsi="Arial" w:cs="Arial"/>
        </w:rPr>
        <w:t>, </w:t>
      </w:r>
      <w:r w:rsidRPr="00AB7121">
        <w:rPr>
          <w:rFonts w:ascii="Arial" w:hAnsi="Arial" w:cs="Arial"/>
          <w:i/>
          <w:iCs/>
        </w:rPr>
        <w:t>5</w:t>
      </w:r>
      <w:r w:rsidRPr="00AB7121">
        <w:rPr>
          <w:rFonts w:ascii="Arial" w:hAnsi="Arial" w:cs="Arial"/>
        </w:rPr>
        <w:t>(10), pp.e2234453-e2234453.</w:t>
      </w:r>
    </w:p>
    <w:p w14:paraId="2F67DFB8" w14:textId="1A2B83C2" w:rsidR="000232B3" w:rsidRDefault="008E4F0F" w:rsidP="00381B18">
      <w:pPr>
        <w:spacing w:before="240" w:line="360" w:lineRule="auto"/>
        <w:jc w:val="both"/>
        <w:rPr>
          <w:rFonts w:ascii="Arial" w:hAnsi="Arial" w:cs="Arial"/>
        </w:rPr>
      </w:pPr>
      <w:r w:rsidRPr="008E4F0F">
        <w:rPr>
          <w:rFonts w:ascii="Arial" w:hAnsi="Arial" w:cs="Arial"/>
        </w:rPr>
        <w:lastRenderedPageBreak/>
        <w:t xml:space="preserve">Elia, A.M. and Coghill, J., </w:t>
      </w:r>
      <w:r w:rsidR="00762F36">
        <w:rPr>
          <w:rFonts w:ascii="Arial" w:hAnsi="Arial" w:cs="Arial"/>
        </w:rPr>
        <w:t>(</w:t>
      </w:r>
      <w:r w:rsidRPr="008E4F0F">
        <w:rPr>
          <w:rFonts w:ascii="Arial" w:hAnsi="Arial" w:cs="Arial"/>
        </w:rPr>
        <w:t>2021</w:t>
      </w:r>
      <w:r w:rsidR="00762F36">
        <w:rPr>
          <w:rFonts w:ascii="Arial" w:hAnsi="Arial" w:cs="Arial"/>
        </w:rPr>
        <w:t>)</w:t>
      </w:r>
      <w:r w:rsidRPr="008E4F0F">
        <w:rPr>
          <w:rFonts w:ascii="Arial" w:hAnsi="Arial" w:cs="Arial"/>
        </w:rPr>
        <w:t>. A practical guide to assessing and investigating developmental delay. </w:t>
      </w:r>
      <w:r w:rsidRPr="008E4F0F">
        <w:rPr>
          <w:rFonts w:ascii="Arial" w:hAnsi="Arial" w:cs="Arial"/>
          <w:i/>
          <w:iCs/>
        </w:rPr>
        <w:t>Paediatrics and Child Health</w:t>
      </w:r>
      <w:r w:rsidRPr="008E4F0F">
        <w:rPr>
          <w:rFonts w:ascii="Arial" w:hAnsi="Arial" w:cs="Arial"/>
        </w:rPr>
        <w:t>, </w:t>
      </w:r>
      <w:r w:rsidRPr="008E4F0F">
        <w:rPr>
          <w:rFonts w:ascii="Arial" w:hAnsi="Arial" w:cs="Arial"/>
          <w:i/>
          <w:iCs/>
        </w:rPr>
        <w:t>31</w:t>
      </w:r>
      <w:r w:rsidRPr="008E4F0F">
        <w:rPr>
          <w:rFonts w:ascii="Arial" w:hAnsi="Arial" w:cs="Arial"/>
        </w:rPr>
        <w:t>(9), pp.335-339.</w:t>
      </w:r>
    </w:p>
    <w:p w14:paraId="5E15DD18" w14:textId="77777777" w:rsidR="00950DD8" w:rsidRPr="00950DD8" w:rsidRDefault="00950DD8" w:rsidP="00950DD8">
      <w:pPr>
        <w:spacing w:before="240" w:line="360" w:lineRule="auto"/>
        <w:jc w:val="both"/>
        <w:rPr>
          <w:rFonts w:ascii="Arial" w:hAnsi="Arial" w:cs="Arial"/>
        </w:rPr>
      </w:pPr>
      <w:r w:rsidRPr="00950DD8">
        <w:rPr>
          <w:rFonts w:ascii="Arial" w:hAnsi="Arial" w:cs="Arial"/>
        </w:rPr>
        <w:t xml:space="preserve">Eadie, P., Page, J., Levickis, P., Elek, C., Murray, L., Wang, L. and Lloyd-Johnsen, C. (2024) ‘Domains of quality in early childhood education and care: a scoping review of the extent and consistency of the literature’, </w:t>
      </w:r>
      <w:r w:rsidRPr="00950DD8">
        <w:rPr>
          <w:rFonts w:ascii="Arial" w:hAnsi="Arial" w:cs="Arial"/>
          <w:i/>
          <w:iCs/>
        </w:rPr>
        <w:t>Educational Review</w:t>
      </w:r>
      <w:r w:rsidRPr="00950DD8">
        <w:rPr>
          <w:rFonts w:ascii="Arial" w:hAnsi="Arial" w:cs="Arial"/>
        </w:rPr>
        <w:t>, 76(4), pp. 1057–1086.</w:t>
      </w:r>
    </w:p>
    <w:p w14:paraId="21548B81" w14:textId="69850886" w:rsidR="00950DD8" w:rsidRPr="00950DD8" w:rsidRDefault="00950DD8" w:rsidP="00381B18">
      <w:pPr>
        <w:spacing w:before="240" w:line="360" w:lineRule="auto"/>
        <w:jc w:val="both"/>
        <w:rPr>
          <w:rFonts w:ascii="Arial" w:hAnsi="Arial" w:cs="Arial"/>
        </w:rPr>
      </w:pPr>
      <w:r w:rsidRPr="00950DD8">
        <w:rPr>
          <w:rFonts w:ascii="Arial" w:hAnsi="Arial" w:cs="Arial"/>
        </w:rPr>
        <w:t xml:space="preserve">Fardell, J.E., Hu, N., Wakefield, C.E., Marshall, G., Bell, J., Lingam, R. and Nassar, N. (2023) ‘Impact of hospitalizations due to chronic health conditions on early child development’, </w:t>
      </w:r>
      <w:r w:rsidRPr="00950DD8">
        <w:rPr>
          <w:rFonts w:ascii="Arial" w:hAnsi="Arial" w:cs="Arial"/>
          <w:i/>
          <w:iCs/>
        </w:rPr>
        <w:t>Journal of Pediatric Psychology</w:t>
      </w:r>
      <w:r w:rsidRPr="00950DD8">
        <w:rPr>
          <w:rFonts w:ascii="Arial" w:hAnsi="Arial" w:cs="Arial"/>
        </w:rPr>
        <w:t>, 48(10), pp. 799–811.</w:t>
      </w:r>
    </w:p>
    <w:p w14:paraId="6B2744DA" w14:textId="28996F6E" w:rsidR="001E6C25" w:rsidRDefault="001E6C25" w:rsidP="00381B18">
      <w:pPr>
        <w:spacing w:before="240" w:line="360" w:lineRule="auto"/>
        <w:jc w:val="both"/>
        <w:rPr>
          <w:rFonts w:ascii="Arial" w:hAnsi="Arial" w:cs="Arial"/>
        </w:rPr>
      </w:pPr>
      <w:r w:rsidRPr="001E6C25">
        <w:rPr>
          <w:rFonts w:ascii="Arial" w:hAnsi="Arial" w:cs="Arial"/>
        </w:rPr>
        <w:t xml:space="preserve">Faruk, T., King, C., Muhit, M., Islam, M.K., Jahan, I., ul Baset, K., Badawi, N. and Khandaker, G., </w:t>
      </w:r>
      <w:r w:rsidR="00762F36">
        <w:rPr>
          <w:rFonts w:ascii="Arial" w:hAnsi="Arial" w:cs="Arial"/>
        </w:rPr>
        <w:t>(</w:t>
      </w:r>
      <w:r w:rsidRPr="001E6C25">
        <w:rPr>
          <w:rFonts w:ascii="Arial" w:hAnsi="Arial" w:cs="Arial"/>
        </w:rPr>
        <w:t>2020</w:t>
      </w:r>
      <w:r w:rsidR="00762F36">
        <w:rPr>
          <w:rFonts w:ascii="Arial" w:hAnsi="Arial" w:cs="Arial"/>
        </w:rPr>
        <w:t>)</w:t>
      </w:r>
      <w:r w:rsidRPr="001E6C25">
        <w:rPr>
          <w:rFonts w:ascii="Arial" w:hAnsi="Arial" w:cs="Arial"/>
        </w:rPr>
        <w:t>. Screening tools for early identification of children with developmental delay in low-and middle-income countries: a systematic review. </w:t>
      </w:r>
      <w:r w:rsidRPr="001E6C25">
        <w:rPr>
          <w:rFonts w:ascii="Arial" w:hAnsi="Arial" w:cs="Arial"/>
          <w:i/>
          <w:iCs/>
        </w:rPr>
        <w:t>BMJ open</w:t>
      </w:r>
      <w:r w:rsidRPr="001E6C25">
        <w:rPr>
          <w:rFonts w:ascii="Arial" w:hAnsi="Arial" w:cs="Arial"/>
        </w:rPr>
        <w:t>, </w:t>
      </w:r>
      <w:r w:rsidRPr="001E6C25">
        <w:rPr>
          <w:rFonts w:ascii="Arial" w:hAnsi="Arial" w:cs="Arial"/>
          <w:i/>
          <w:iCs/>
        </w:rPr>
        <w:t>10</w:t>
      </w:r>
      <w:r w:rsidRPr="001E6C25">
        <w:rPr>
          <w:rFonts w:ascii="Arial" w:hAnsi="Arial" w:cs="Arial"/>
        </w:rPr>
        <w:t>(11), p.e038182.</w:t>
      </w:r>
    </w:p>
    <w:p w14:paraId="72E0393A" w14:textId="3F4E99CE" w:rsidR="00A02D4D" w:rsidRDefault="00A02D4D" w:rsidP="00381B18">
      <w:pPr>
        <w:spacing w:before="240" w:line="360" w:lineRule="auto"/>
        <w:jc w:val="both"/>
        <w:rPr>
          <w:rFonts w:ascii="Arial" w:hAnsi="Arial" w:cs="Arial"/>
        </w:rPr>
      </w:pPr>
      <w:r w:rsidRPr="00A02D4D">
        <w:rPr>
          <w:rFonts w:ascii="Arial" w:hAnsi="Arial" w:cs="Arial"/>
        </w:rPr>
        <w:t xml:space="preserve">Fan, S., Zhang, Y., Qin, J., Song, X., Wang, M. and Ma, J., </w:t>
      </w:r>
      <w:r w:rsidR="00762F36">
        <w:rPr>
          <w:rFonts w:ascii="Arial" w:hAnsi="Arial" w:cs="Arial"/>
        </w:rPr>
        <w:t>(</w:t>
      </w:r>
      <w:r w:rsidRPr="00A02D4D">
        <w:rPr>
          <w:rFonts w:ascii="Arial" w:hAnsi="Arial" w:cs="Arial"/>
        </w:rPr>
        <w:t>2021</w:t>
      </w:r>
      <w:r w:rsidR="00762F36">
        <w:rPr>
          <w:rFonts w:ascii="Arial" w:hAnsi="Arial" w:cs="Arial"/>
        </w:rPr>
        <w:t>)</w:t>
      </w:r>
      <w:r w:rsidRPr="00A02D4D">
        <w:rPr>
          <w:rFonts w:ascii="Arial" w:hAnsi="Arial" w:cs="Arial"/>
        </w:rPr>
        <w:t>. Family environmental risk factors for developmental speech delay in children in Northern China. Scientific reports, 11(1), p.3924.</w:t>
      </w:r>
    </w:p>
    <w:p w14:paraId="78F2D281" w14:textId="6C601EE4" w:rsidR="008878A6" w:rsidRDefault="008878A6" w:rsidP="00381B18">
      <w:pPr>
        <w:spacing w:before="240" w:line="360" w:lineRule="auto"/>
        <w:jc w:val="both"/>
        <w:rPr>
          <w:rFonts w:ascii="Arial" w:hAnsi="Arial" w:cs="Arial"/>
        </w:rPr>
      </w:pPr>
      <w:r w:rsidRPr="008878A6">
        <w:rPr>
          <w:rFonts w:ascii="Arial" w:hAnsi="Arial" w:cs="Arial"/>
        </w:rPr>
        <w:t xml:space="preserve">Guralnick, M.J., </w:t>
      </w:r>
      <w:r w:rsidR="003976EC">
        <w:rPr>
          <w:rFonts w:ascii="Arial" w:hAnsi="Arial" w:cs="Arial"/>
        </w:rPr>
        <w:t>(</w:t>
      </w:r>
      <w:r w:rsidRPr="008878A6">
        <w:rPr>
          <w:rFonts w:ascii="Arial" w:hAnsi="Arial" w:cs="Arial"/>
        </w:rPr>
        <w:t>2016</w:t>
      </w:r>
      <w:r w:rsidR="003976EC">
        <w:rPr>
          <w:rFonts w:ascii="Arial" w:hAnsi="Arial" w:cs="Arial"/>
        </w:rPr>
        <w:t>)</w:t>
      </w:r>
      <w:r w:rsidRPr="008878A6">
        <w:rPr>
          <w:rFonts w:ascii="Arial" w:hAnsi="Arial" w:cs="Arial"/>
        </w:rPr>
        <w:t>. Early intervention for young children with developmental delays: Contributions of the developmental systems approach. In </w:t>
      </w:r>
      <w:r w:rsidRPr="008878A6">
        <w:rPr>
          <w:rFonts w:ascii="Arial" w:hAnsi="Arial" w:cs="Arial"/>
          <w:i/>
          <w:iCs/>
        </w:rPr>
        <w:t>Early childhood intervention</w:t>
      </w:r>
      <w:r w:rsidRPr="008878A6">
        <w:rPr>
          <w:rFonts w:ascii="Arial" w:hAnsi="Arial" w:cs="Arial"/>
        </w:rPr>
        <w:t> (pp. 33-51). Routledge.</w:t>
      </w:r>
    </w:p>
    <w:p w14:paraId="6FD426EB" w14:textId="66F3A25E" w:rsidR="00ED6DF0" w:rsidRPr="008F2ECB" w:rsidRDefault="00ED6DF0" w:rsidP="00ED6DF0">
      <w:pPr>
        <w:spacing w:line="360" w:lineRule="auto"/>
        <w:jc w:val="both"/>
        <w:rPr>
          <w:rFonts w:ascii="Arial" w:hAnsi="Arial" w:cs="Arial"/>
        </w:rPr>
      </w:pPr>
      <w:r w:rsidRPr="00E91448">
        <w:rPr>
          <w:rFonts w:ascii="Arial" w:hAnsi="Arial" w:cs="Arial"/>
        </w:rPr>
        <w:t xml:space="preserve">Gibbard, D., Roulstone, S., Kandala, N.I., Morgan, L., Harding, S., Smith, C. and Markham, C., </w:t>
      </w:r>
      <w:r w:rsidR="00950DD8">
        <w:rPr>
          <w:rFonts w:ascii="Arial" w:hAnsi="Arial" w:cs="Arial"/>
        </w:rPr>
        <w:t>(</w:t>
      </w:r>
      <w:r w:rsidRPr="00E91448">
        <w:rPr>
          <w:rFonts w:ascii="Arial" w:hAnsi="Arial" w:cs="Arial"/>
        </w:rPr>
        <w:t>2024</w:t>
      </w:r>
      <w:r w:rsidR="00950DD8">
        <w:rPr>
          <w:rFonts w:ascii="Arial" w:hAnsi="Arial" w:cs="Arial"/>
        </w:rPr>
        <w:t>)</w:t>
      </w:r>
      <w:r w:rsidRPr="00E91448">
        <w:rPr>
          <w:rFonts w:ascii="Arial" w:hAnsi="Arial" w:cs="Arial"/>
        </w:rPr>
        <w:t>. A randomised controlled trial of the effectiveness of parent</w:t>
      </w:r>
      <w:r w:rsidRPr="00E91448">
        <w:rPr>
          <w:rFonts w:ascii="Cambria Math" w:hAnsi="Cambria Math" w:cs="Cambria Math"/>
        </w:rPr>
        <w:t>‐</w:t>
      </w:r>
      <w:r w:rsidRPr="00E91448">
        <w:rPr>
          <w:rFonts w:ascii="Arial" w:hAnsi="Arial" w:cs="Arial"/>
        </w:rPr>
        <w:t>based models of language intervention for 2</w:t>
      </w:r>
      <w:r w:rsidRPr="00E91448">
        <w:rPr>
          <w:rFonts w:ascii="Cambria Math" w:hAnsi="Cambria Math" w:cs="Cambria Math"/>
        </w:rPr>
        <w:t>‐</w:t>
      </w:r>
      <w:r w:rsidRPr="00E91448">
        <w:rPr>
          <w:rFonts w:ascii="Arial" w:hAnsi="Arial" w:cs="Arial"/>
        </w:rPr>
        <w:t>to 3</w:t>
      </w:r>
      <w:r w:rsidRPr="00E91448">
        <w:rPr>
          <w:rFonts w:ascii="Cambria Math" w:hAnsi="Cambria Math" w:cs="Cambria Math"/>
        </w:rPr>
        <w:t>‐</w:t>
      </w:r>
      <w:r w:rsidRPr="00E91448">
        <w:rPr>
          <w:rFonts w:ascii="Arial" w:hAnsi="Arial" w:cs="Arial"/>
        </w:rPr>
        <w:t>year</w:t>
      </w:r>
      <w:r w:rsidRPr="00E91448">
        <w:rPr>
          <w:rFonts w:ascii="Cambria Math" w:hAnsi="Cambria Math" w:cs="Cambria Math"/>
        </w:rPr>
        <w:t>‐</w:t>
      </w:r>
      <w:r w:rsidRPr="00E91448">
        <w:rPr>
          <w:rFonts w:ascii="Arial" w:hAnsi="Arial" w:cs="Arial"/>
        </w:rPr>
        <w:t>old children with speech, language and communication needs (SLCN) in areas of social disadvantage. </w:t>
      </w:r>
      <w:r w:rsidRPr="00E91448">
        <w:rPr>
          <w:rFonts w:ascii="Arial" w:hAnsi="Arial" w:cs="Arial"/>
          <w:i/>
          <w:iCs/>
        </w:rPr>
        <w:t>International Journal of Language &amp; Communication Disorders</w:t>
      </w:r>
      <w:r w:rsidRPr="00E91448">
        <w:rPr>
          <w:rFonts w:ascii="Arial" w:hAnsi="Arial" w:cs="Arial"/>
        </w:rPr>
        <w:t>, </w:t>
      </w:r>
      <w:r w:rsidRPr="00E91448">
        <w:rPr>
          <w:rFonts w:ascii="Arial" w:hAnsi="Arial" w:cs="Arial"/>
          <w:i/>
          <w:iCs/>
        </w:rPr>
        <w:t>59</w:t>
      </w:r>
      <w:r w:rsidRPr="00E91448">
        <w:rPr>
          <w:rFonts w:ascii="Arial" w:hAnsi="Arial" w:cs="Arial"/>
        </w:rPr>
        <w:t>(4), pp.1517-1537.</w:t>
      </w:r>
    </w:p>
    <w:p w14:paraId="34B3C688" w14:textId="16EB2D71" w:rsidR="00ED6DF0" w:rsidRDefault="00ED6DF0" w:rsidP="00ED6DF0">
      <w:pPr>
        <w:spacing w:line="360" w:lineRule="auto"/>
        <w:jc w:val="both"/>
        <w:rPr>
          <w:rFonts w:ascii="Arial" w:hAnsi="Arial" w:cs="Arial"/>
        </w:rPr>
      </w:pPr>
      <w:r w:rsidRPr="00CD1F0F">
        <w:rPr>
          <w:rFonts w:ascii="Arial" w:hAnsi="Arial" w:cs="Arial"/>
        </w:rPr>
        <w:t xml:space="preserve">Guhn, M., Emerson, S.D., Mahdaviani, D. and Gadermann, A.M., </w:t>
      </w:r>
      <w:r w:rsidR="00E03D54">
        <w:rPr>
          <w:rFonts w:ascii="Arial" w:hAnsi="Arial" w:cs="Arial"/>
        </w:rPr>
        <w:t>(</w:t>
      </w:r>
      <w:r w:rsidRPr="00CD1F0F">
        <w:rPr>
          <w:rFonts w:ascii="Arial" w:hAnsi="Arial" w:cs="Arial"/>
        </w:rPr>
        <w:t>2020</w:t>
      </w:r>
      <w:r w:rsidR="00E03D54">
        <w:rPr>
          <w:rFonts w:ascii="Arial" w:hAnsi="Arial" w:cs="Arial"/>
        </w:rPr>
        <w:t>)</w:t>
      </w:r>
      <w:r w:rsidRPr="00CD1F0F">
        <w:rPr>
          <w:rFonts w:ascii="Arial" w:hAnsi="Arial" w:cs="Arial"/>
        </w:rPr>
        <w:t>. Associations of birth factors and socio-economic status with indicators of early emotional development and mental health in childhood: a population-based linkage study. </w:t>
      </w:r>
      <w:r w:rsidRPr="00CD1F0F">
        <w:rPr>
          <w:rFonts w:ascii="Arial" w:hAnsi="Arial" w:cs="Arial"/>
          <w:i/>
          <w:iCs/>
        </w:rPr>
        <w:t>Child Psychiatry &amp; Human Development</w:t>
      </w:r>
      <w:r w:rsidRPr="00CD1F0F">
        <w:rPr>
          <w:rFonts w:ascii="Arial" w:hAnsi="Arial" w:cs="Arial"/>
        </w:rPr>
        <w:t>, </w:t>
      </w:r>
      <w:r w:rsidRPr="00CD1F0F">
        <w:rPr>
          <w:rFonts w:ascii="Arial" w:hAnsi="Arial" w:cs="Arial"/>
          <w:i/>
          <w:iCs/>
        </w:rPr>
        <w:t>51</w:t>
      </w:r>
      <w:r w:rsidRPr="00CD1F0F">
        <w:rPr>
          <w:rFonts w:ascii="Arial" w:hAnsi="Arial" w:cs="Arial"/>
        </w:rPr>
        <w:t>(1), pp.80-93.</w:t>
      </w:r>
    </w:p>
    <w:p w14:paraId="6D577A91" w14:textId="3CA26662" w:rsidR="00ED6DF0" w:rsidRDefault="00ED6DF0" w:rsidP="00ED6DF0">
      <w:pPr>
        <w:spacing w:line="360" w:lineRule="auto"/>
        <w:jc w:val="both"/>
        <w:rPr>
          <w:rFonts w:ascii="Arial" w:hAnsi="Arial" w:cs="Arial"/>
        </w:rPr>
      </w:pPr>
      <w:r w:rsidRPr="009251CA">
        <w:rPr>
          <w:rFonts w:ascii="Arial" w:hAnsi="Arial" w:cs="Arial"/>
        </w:rPr>
        <w:lastRenderedPageBreak/>
        <w:t xml:space="preserve">Hernández-Alava, M. and Popli, G., </w:t>
      </w:r>
      <w:r w:rsidR="0063341E">
        <w:rPr>
          <w:rFonts w:ascii="Arial" w:hAnsi="Arial" w:cs="Arial"/>
        </w:rPr>
        <w:t>(</w:t>
      </w:r>
      <w:r w:rsidRPr="009251CA">
        <w:rPr>
          <w:rFonts w:ascii="Arial" w:hAnsi="Arial" w:cs="Arial"/>
        </w:rPr>
        <w:t>2017</w:t>
      </w:r>
      <w:r w:rsidR="0063341E">
        <w:rPr>
          <w:rFonts w:ascii="Arial" w:hAnsi="Arial" w:cs="Arial"/>
        </w:rPr>
        <w:t>)</w:t>
      </w:r>
      <w:r w:rsidRPr="009251CA">
        <w:rPr>
          <w:rFonts w:ascii="Arial" w:hAnsi="Arial" w:cs="Arial"/>
        </w:rPr>
        <w:t>. Children’s development and parental input: evidence from the UK millennium cohort study. </w:t>
      </w:r>
      <w:r w:rsidRPr="009251CA">
        <w:rPr>
          <w:rFonts w:ascii="Arial" w:hAnsi="Arial" w:cs="Arial"/>
          <w:i/>
          <w:iCs/>
        </w:rPr>
        <w:t>Demography</w:t>
      </w:r>
      <w:r w:rsidRPr="009251CA">
        <w:rPr>
          <w:rFonts w:ascii="Arial" w:hAnsi="Arial" w:cs="Arial"/>
        </w:rPr>
        <w:t>, </w:t>
      </w:r>
      <w:r w:rsidRPr="009251CA">
        <w:rPr>
          <w:rFonts w:ascii="Arial" w:hAnsi="Arial" w:cs="Arial"/>
          <w:i/>
          <w:iCs/>
        </w:rPr>
        <w:t>54</w:t>
      </w:r>
      <w:r w:rsidRPr="009251CA">
        <w:rPr>
          <w:rFonts w:ascii="Arial" w:hAnsi="Arial" w:cs="Arial"/>
        </w:rPr>
        <w:t>(2), pp.485-511.</w:t>
      </w:r>
    </w:p>
    <w:p w14:paraId="50060FCD" w14:textId="77777777" w:rsidR="00ED6DF0" w:rsidRDefault="00ED6DF0" w:rsidP="00ED6DF0">
      <w:pPr>
        <w:spacing w:line="360" w:lineRule="auto"/>
        <w:jc w:val="both"/>
        <w:rPr>
          <w:rFonts w:ascii="Arial" w:hAnsi="Arial" w:cs="Arial"/>
        </w:rPr>
      </w:pPr>
      <w:r w:rsidRPr="008F2ECB">
        <w:rPr>
          <w:rFonts w:ascii="Arial" w:hAnsi="Arial" w:cs="Arial"/>
        </w:rPr>
        <w:t>Harrison, J.K., Reid, J., Quinn, T.J. and Shenkin, S.D., (2017). Using quality assessment tools to critically appraise ageing research: a guide for clinicians. </w:t>
      </w:r>
      <w:r w:rsidRPr="008F2ECB">
        <w:rPr>
          <w:rFonts w:ascii="Arial" w:hAnsi="Arial" w:cs="Arial"/>
          <w:i/>
          <w:iCs/>
        </w:rPr>
        <w:t>Age and ageing</w:t>
      </w:r>
      <w:r w:rsidRPr="008F2ECB">
        <w:rPr>
          <w:rFonts w:ascii="Arial" w:hAnsi="Arial" w:cs="Arial"/>
        </w:rPr>
        <w:t>, </w:t>
      </w:r>
      <w:r w:rsidRPr="008F2ECB">
        <w:rPr>
          <w:rFonts w:ascii="Arial" w:hAnsi="Arial" w:cs="Arial"/>
          <w:i/>
          <w:iCs/>
        </w:rPr>
        <w:t>46</w:t>
      </w:r>
      <w:r w:rsidRPr="008F2ECB">
        <w:rPr>
          <w:rFonts w:ascii="Arial" w:hAnsi="Arial" w:cs="Arial"/>
        </w:rPr>
        <w:t>(3), pp.359-365.</w:t>
      </w:r>
    </w:p>
    <w:p w14:paraId="24234F16" w14:textId="77777777" w:rsidR="00ED6DF0" w:rsidRPr="008F2ECB" w:rsidRDefault="00ED6DF0" w:rsidP="00ED6DF0">
      <w:pPr>
        <w:spacing w:line="360" w:lineRule="auto"/>
        <w:jc w:val="both"/>
        <w:rPr>
          <w:rFonts w:ascii="Arial" w:hAnsi="Arial" w:cs="Arial"/>
        </w:rPr>
      </w:pPr>
      <w:r w:rsidRPr="008F2ECB">
        <w:rPr>
          <w:rFonts w:ascii="Arial" w:hAnsi="Arial" w:cs="Arial"/>
        </w:rPr>
        <w:t>Innocenti, T., Feller, D., Giagio, S., Salvioli, S., Minnucci, S., Brindisino, F., Cosentino, C., Piano, L., Chiarotto, A. and Ostelo, R., (2022). Adherence to the PRISMA statement and its association with risk of bias in systematic reviews published in rehabilitation journals: A meta-research study. </w:t>
      </w:r>
      <w:r w:rsidRPr="008F2ECB">
        <w:rPr>
          <w:rFonts w:ascii="Arial" w:hAnsi="Arial" w:cs="Arial"/>
          <w:i/>
          <w:iCs/>
        </w:rPr>
        <w:t>Brazilian Journal of Physical Therapy</w:t>
      </w:r>
      <w:r w:rsidRPr="008F2ECB">
        <w:rPr>
          <w:rFonts w:ascii="Arial" w:hAnsi="Arial" w:cs="Arial"/>
        </w:rPr>
        <w:t>, </w:t>
      </w:r>
      <w:r w:rsidRPr="008F2ECB">
        <w:rPr>
          <w:rFonts w:ascii="Arial" w:hAnsi="Arial" w:cs="Arial"/>
          <w:i/>
          <w:iCs/>
        </w:rPr>
        <w:t>26</w:t>
      </w:r>
      <w:r w:rsidRPr="008F2ECB">
        <w:rPr>
          <w:rFonts w:ascii="Arial" w:hAnsi="Arial" w:cs="Arial"/>
        </w:rPr>
        <w:t>(5), p.100450.</w:t>
      </w:r>
    </w:p>
    <w:p w14:paraId="799DCA5E" w14:textId="7F2FED8C" w:rsidR="00ED6DF0" w:rsidRDefault="00ED6DF0" w:rsidP="00ED6DF0">
      <w:pPr>
        <w:spacing w:line="360" w:lineRule="auto"/>
        <w:jc w:val="both"/>
        <w:rPr>
          <w:rFonts w:ascii="Arial" w:hAnsi="Arial" w:cs="Arial"/>
          <w:lang w:eastAsia="en-GB"/>
        </w:rPr>
      </w:pPr>
      <w:r w:rsidRPr="00930670">
        <w:rPr>
          <w:rFonts w:ascii="Arial" w:hAnsi="Arial" w:cs="Arial"/>
          <w:lang w:eastAsia="en-GB"/>
        </w:rPr>
        <w:t xml:space="preserve">Jia, Z., Zhang, H., Yu, L., Qiu, F., Lv, Y., Guan, J., Gang, H., Zuo, J., Zheng, T., Liu, H. and Xia, W., </w:t>
      </w:r>
      <w:r w:rsidR="004920FE">
        <w:rPr>
          <w:rFonts w:ascii="Arial" w:hAnsi="Arial" w:cs="Arial"/>
          <w:lang w:eastAsia="en-GB"/>
        </w:rPr>
        <w:t>(</w:t>
      </w:r>
      <w:r w:rsidRPr="00930670">
        <w:rPr>
          <w:rFonts w:ascii="Arial" w:hAnsi="Arial" w:cs="Arial"/>
          <w:lang w:eastAsia="en-GB"/>
        </w:rPr>
        <w:t>2023</w:t>
      </w:r>
      <w:r w:rsidR="004920FE">
        <w:rPr>
          <w:rFonts w:ascii="Arial" w:hAnsi="Arial" w:cs="Arial"/>
          <w:lang w:eastAsia="en-GB"/>
        </w:rPr>
        <w:t>)</w:t>
      </w:r>
      <w:r w:rsidRPr="00930670">
        <w:rPr>
          <w:rFonts w:ascii="Arial" w:hAnsi="Arial" w:cs="Arial"/>
          <w:lang w:eastAsia="en-GB"/>
        </w:rPr>
        <w:t>. Prenatal lead exposure, genetic factors, and cognitive developmental delay. </w:t>
      </w:r>
      <w:r w:rsidRPr="00930670">
        <w:rPr>
          <w:rFonts w:ascii="Arial" w:hAnsi="Arial" w:cs="Arial"/>
          <w:i/>
          <w:iCs/>
          <w:lang w:eastAsia="en-GB"/>
        </w:rPr>
        <w:t>JAMA network open</w:t>
      </w:r>
      <w:r w:rsidRPr="00930670">
        <w:rPr>
          <w:rFonts w:ascii="Arial" w:hAnsi="Arial" w:cs="Arial"/>
          <w:lang w:eastAsia="en-GB"/>
        </w:rPr>
        <w:t>, </w:t>
      </w:r>
      <w:r w:rsidRPr="00930670">
        <w:rPr>
          <w:rFonts w:ascii="Arial" w:hAnsi="Arial" w:cs="Arial"/>
          <w:i/>
          <w:iCs/>
          <w:lang w:eastAsia="en-GB"/>
        </w:rPr>
        <w:t>6</w:t>
      </w:r>
      <w:r w:rsidRPr="00930670">
        <w:rPr>
          <w:rFonts w:ascii="Arial" w:hAnsi="Arial" w:cs="Arial"/>
          <w:lang w:eastAsia="en-GB"/>
        </w:rPr>
        <w:t>(10), pp.e2339108-e2339108.</w:t>
      </w:r>
    </w:p>
    <w:p w14:paraId="35696E03" w14:textId="77777777" w:rsidR="00ED6DF0" w:rsidRPr="008F2ECB" w:rsidRDefault="00ED6DF0" w:rsidP="00ED6DF0">
      <w:pPr>
        <w:spacing w:line="360" w:lineRule="auto"/>
        <w:jc w:val="both"/>
        <w:rPr>
          <w:rFonts w:ascii="Arial" w:hAnsi="Arial" w:cs="Arial"/>
        </w:rPr>
      </w:pPr>
      <w:r w:rsidRPr="008F2ECB">
        <w:rPr>
          <w:rFonts w:ascii="Arial" w:hAnsi="Arial" w:cs="Arial"/>
        </w:rPr>
        <w:t>King, N. and Brooks, J., (2018). Thematic analysis in organisational research. </w:t>
      </w:r>
      <w:r w:rsidRPr="008F2ECB">
        <w:rPr>
          <w:rFonts w:ascii="Arial" w:hAnsi="Arial" w:cs="Arial"/>
          <w:i/>
          <w:iCs/>
        </w:rPr>
        <w:t>The SAGE handbook of qualitative business and management research methods: Methods and challenges</w:t>
      </w:r>
      <w:r w:rsidRPr="008F2ECB">
        <w:rPr>
          <w:rFonts w:ascii="Arial" w:hAnsi="Arial" w:cs="Arial"/>
        </w:rPr>
        <w:t>, </w:t>
      </w:r>
      <w:r w:rsidRPr="008F2ECB">
        <w:rPr>
          <w:rFonts w:ascii="Arial" w:hAnsi="Arial" w:cs="Arial"/>
          <w:i/>
          <w:iCs/>
        </w:rPr>
        <w:t>2</w:t>
      </w:r>
      <w:r w:rsidRPr="008F2ECB">
        <w:rPr>
          <w:rFonts w:ascii="Arial" w:hAnsi="Arial" w:cs="Arial"/>
        </w:rPr>
        <w:t>, pp.219-236.</w:t>
      </w:r>
    </w:p>
    <w:p w14:paraId="67C78C1F" w14:textId="2FC0E761" w:rsidR="00ED6DF0" w:rsidRDefault="00ED6DF0" w:rsidP="00ED6DF0">
      <w:pPr>
        <w:spacing w:line="360" w:lineRule="auto"/>
        <w:jc w:val="both"/>
        <w:rPr>
          <w:rFonts w:ascii="Arial" w:hAnsi="Arial" w:cs="Arial"/>
        </w:rPr>
      </w:pPr>
      <w:r w:rsidRPr="008F2ECB">
        <w:rPr>
          <w:rFonts w:ascii="Arial" w:hAnsi="Arial" w:cs="Arial"/>
        </w:rPr>
        <w:t>Konttila, J., Siira, H., Kyngäs, H., Lahtinen, M., Elo, S., Kääriäinen, M., Kaakinen, P., Oikarinen, A., Yamakawa, M., Fukui, S. and Utsumi, M., (2019). Healthcare professionals’ competence in digitalisation: A systematic review. </w:t>
      </w:r>
      <w:r w:rsidRPr="008F2ECB">
        <w:rPr>
          <w:rFonts w:ascii="Arial" w:hAnsi="Arial" w:cs="Arial"/>
          <w:i/>
          <w:iCs/>
        </w:rPr>
        <w:t>Journal of clinical nursing</w:t>
      </w:r>
      <w:r w:rsidRPr="008F2ECB">
        <w:rPr>
          <w:rFonts w:ascii="Arial" w:hAnsi="Arial" w:cs="Arial"/>
        </w:rPr>
        <w:t>, </w:t>
      </w:r>
      <w:r w:rsidRPr="008F2ECB">
        <w:rPr>
          <w:rFonts w:ascii="Arial" w:hAnsi="Arial" w:cs="Arial"/>
          <w:i/>
          <w:iCs/>
        </w:rPr>
        <w:t>28</w:t>
      </w:r>
      <w:r w:rsidRPr="008F2ECB">
        <w:rPr>
          <w:rFonts w:ascii="Arial" w:hAnsi="Arial" w:cs="Arial"/>
        </w:rPr>
        <w:t>(5-6), pp.745-761.</w:t>
      </w:r>
    </w:p>
    <w:p w14:paraId="03112940" w14:textId="6636CADE" w:rsidR="00450662" w:rsidRDefault="00450662" w:rsidP="00381B18">
      <w:pPr>
        <w:spacing w:before="240" w:line="360" w:lineRule="auto"/>
        <w:jc w:val="both"/>
        <w:rPr>
          <w:rFonts w:ascii="Arial" w:hAnsi="Arial" w:cs="Arial"/>
        </w:rPr>
      </w:pPr>
      <w:r w:rsidRPr="00450662">
        <w:rPr>
          <w:rFonts w:ascii="Arial" w:hAnsi="Arial" w:cs="Arial"/>
        </w:rPr>
        <w:t xml:space="preserve">Kaur, S., Sidhu, N.S. and Randhawa, R.K., </w:t>
      </w:r>
      <w:r w:rsidR="003976EC">
        <w:rPr>
          <w:rFonts w:ascii="Arial" w:hAnsi="Arial" w:cs="Arial"/>
        </w:rPr>
        <w:t>(</w:t>
      </w:r>
      <w:r w:rsidRPr="00450662">
        <w:rPr>
          <w:rFonts w:ascii="Arial" w:hAnsi="Arial" w:cs="Arial"/>
        </w:rPr>
        <w:t>2021</w:t>
      </w:r>
      <w:r w:rsidR="003976EC">
        <w:rPr>
          <w:rFonts w:ascii="Arial" w:hAnsi="Arial" w:cs="Arial"/>
        </w:rPr>
        <w:t>)</w:t>
      </w:r>
      <w:r w:rsidRPr="00450662">
        <w:rPr>
          <w:rFonts w:ascii="Arial" w:hAnsi="Arial" w:cs="Arial"/>
        </w:rPr>
        <w:t>. Biological Risk Factors and Early Developmental Delay Assessment in Infants Using Ages and Stages Questionnaire, Version 3 (ASQ-3). </w:t>
      </w:r>
      <w:r w:rsidRPr="00450662">
        <w:rPr>
          <w:rFonts w:ascii="Arial" w:hAnsi="Arial" w:cs="Arial"/>
          <w:i/>
          <w:iCs/>
        </w:rPr>
        <w:t>Int J Res Rev</w:t>
      </w:r>
      <w:r w:rsidRPr="00450662">
        <w:rPr>
          <w:rFonts w:ascii="Arial" w:hAnsi="Arial" w:cs="Arial"/>
        </w:rPr>
        <w:t>, </w:t>
      </w:r>
      <w:r w:rsidRPr="00450662">
        <w:rPr>
          <w:rFonts w:ascii="Arial" w:hAnsi="Arial" w:cs="Arial"/>
          <w:i/>
          <w:iCs/>
        </w:rPr>
        <w:t>8</w:t>
      </w:r>
      <w:r w:rsidRPr="00450662">
        <w:rPr>
          <w:rFonts w:ascii="Arial" w:hAnsi="Arial" w:cs="Arial"/>
        </w:rPr>
        <w:t>(7), pp.272-277.</w:t>
      </w:r>
    </w:p>
    <w:p w14:paraId="6932D051" w14:textId="40CB06EE" w:rsidR="00037DD5" w:rsidRDefault="00037DD5" w:rsidP="00381B18">
      <w:pPr>
        <w:spacing w:before="240" w:line="360" w:lineRule="auto"/>
        <w:jc w:val="both"/>
        <w:rPr>
          <w:rFonts w:ascii="Arial" w:hAnsi="Arial" w:cs="Arial"/>
        </w:rPr>
      </w:pPr>
      <w:r w:rsidRPr="00037DD5">
        <w:rPr>
          <w:rFonts w:ascii="Arial" w:hAnsi="Arial" w:cs="Arial"/>
        </w:rPr>
        <w:t xml:space="preserve">Khani Jeihooni, A., Mohammadkhah, F., Razmjouie, F., Harsini, P.A. and Sedghi Jahromi, F., </w:t>
      </w:r>
      <w:r w:rsidR="003976EC">
        <w:rPr>
          <w:rFonts w:ascii="Arial" w:hAnsi="Arial" w:cs="Arial"/>
        </w:rPr>
        <w:t>(</w:t>
      </w:r>
      <w:r w:rsidRPr="00037DD5">
        <w:rPr>
          <w:rFonts w:ascii="Arial" w:hAnsi="Arial" w:cs="Arial"/>
        </w:rPr>
        <w:t>2022</w:t>
      </w:r>
      <w:r w:rsidR="003976EC">
        <w:rPr>
          <w:rFonts w:ascii="Arial" w:hAnsi="Arial" w:cs="Arial"/>
        </w:rPr>
        <w:t>)</w:t>
      </w:r>
      <w:r w:rsidRPr="00037DD5">
        <w:rPr>
          <w:rFonts w:ascii="Arial" w:hAnsi="Arial" w:cs="Arial"/>
        </w:rPr>
        <w:t>. Effect of educational intervention based on health belief model on mothers monitoring growth of 6–12 months child with growth disorders. </w:t>
      </w:r>
      <w:r w:rsidRPr="00037DD5">
        <w:rPr>
          <w:rFonts w:ascii="Arial" w:hAnsi="Arial" w:cs="Arial"/>
          <w:i/>
          <w:iCs/>
        </w:rPr>
        <w:t>BMC pediatrics</w:t>
      </w:r>
      <w:r w:rsidRPr="00037DD5">
        <w:rPr>
          <w:rFonts w:ascii="Arial" w:hAnsi="Arial" w:cs="Arial"/>
        </w:rPr>
        <w:t>, </w:t>
      </w:r>
      <w:r w:rsidRPr="00037DD5">
        <w:rPr>
          <w:rFonts w:ascii="Arial" w:hAnsi="Arial" w:cs="Arial"/>
          <w:i/>
          <w:iCs/>
        </w:rPr>
        <w:t>22</w:t>
      </w:r>
      <w:r w:rsidRPr="00037DD5">
        <w:rPr>
          <w:rFonts w:ascii="Arial" w:hAnsi="Arial" w:cs="Arial"/>
        </w:rPr>
        <w:t>(1), p.561.</w:t>
      </w:r>
    </w:p>
    <w:p w14:paraId="11499766" w14:textId="6DDDD1DB" w:rsidR="00A5671E" w:rsidRDefault="00A5671E" w:rsidP="00381B18">
      <w:pPr>
        <w:spacing w:before="240" w:line="360" w:lineRule="auto"/>
        <w:jc w:val="both"/>
        <w:rPr>
          <w:rFonts w:ascii="Arial" w:hAnsi="Arial" w:cs="Arial"/>
        </w:rPr>
      </w:pPr>
      <w:r w:rsidRPr="00A5671E">
        <w:rPr>
          <w:rFonts w:ascii="Arial" w:hAnsi="Arial" w:cs="Arial"/>
        </w:rPr>
        <w:lastRenderedPageBreak/>
        <w:t xml:space="preserve">Keeling, J. and Oakley, L., </w:t>
      </w:r>
      <w:r w:rsidR="003976EC">
        <w:rPr>
          <w:rFonts w:ascii="Arial" w:hAnsi="Arial" w:cs="Arial"/>
        </w:rPr>
        <w:t>(</w:t>
      </w:r>
      <w:r w:rsidRPr="00A5671E">
        <w:rPr>
          <w:rFonts w:ascii="Arial" w:hAnsi="Arial" w:cs="Arial"/>
        </w:rPr>
        <w:t>2021</w:t>
      </w:r>
      <w:r w:rsidR="003976EC">
        <w:rPr>
          <w:rFonts w:ascii="Arial" w:hAnsi="Arial" w:cs="Arial"/>
        </w:rPr>
        <w:t>)</w:t>
      </w:r>
      <w:r w:rsidRPr="00A5671E">
        <w:rPr>
          <w:rFonts w:ascii="Arial" w:hAnsi="Arial" w:cs="Arial"/>
        </w:rPr>
        <w:t>. The law and safeguarding children and young people in the UK. </w:t>
      </w:r>
      <w:r w:rsidRPr="00A5671E">
        <w:rPr>
          <w:rFonts w:ascii="Arial" w:hAnsi="Arial" w:cs="Arial"/>
          <w:i/>
          <w:iCs/>
        </w:rPr>
        <w:t>Safeguarding across the Lifespan. Edited by June Keeling and David Goosey. Thousand Oaks: SAGE</w:t>
      </w:r>
      <w:r w:rsidRPr="00A5671E">
        <w:rPr>
          <w:rFonts w:ascii="Arial" w:hAnsi="Arial" w:cs="Arial"/>
        </w:rPr>
        <w:t>, pp.39-55.</w:t>
      </w:r>
    </w:p>
    <w:p w14:paraId="51EFD516" w14:textId="3AB8CE47" w:rsidR="00CE76E9" w:rsidRDefault="00CE76E9" w:rsidP="00381B18">
      <w:pPr>
        <w:spacing w:before="240" w:line="360" w:lineRule="auto"/>
        <w:jc w:val="both"/>
        <w:rPr>
          <w:rFonts w:ascii="Arial" w:hAnsi="Arial" w:cs="Arial"/>
        </w:rPr>
      </w:pPr>
      <w:r w:rsidRPr="00CE76E9">
        <w:rPr>
          <w:rFonts w:ascii="Arial" w:hAnsi="Arial" w:cs="Arial"/>
        </w:rPr>
        <w:t xml:space="preserve">Kiing, J.S., Neihart, M. and Chan, Y.H., </w:t>
      </w:r>
      <w:r w:rsidR="003976EC">
        <w:rPr>
          <w:rFonts w:ascii="Arial" w:hAnsi="Arial" w:cs="Arial"/>
        </w:rPr>
        <w:t>(</w:t>
      </w:r>
      <w:r w:rsidRPr="00CE76E9">
        <w:rPr>
          <w:rFonts w:ascii="Arial" w:hAnsi="Arial" w:cs="Arial"/>
        </w:rPr>
        <w:t>2019</w:t>
      </w:r>
      <w:r w:rsidR="003976EC">
        <w:rPr>
          <w:rFonts w:ascii="Arial" w:hAnsi="Arial" w:cs="Arial"/>
        </w:rPr>
        <w:t>)</w:t>
      </w:r>
      <w:r w:rsidRPr="00CE76E9">
        <w:rPr>
          <w:rFonts w:ascii="Arial" w:hAnsi="Arial" w:cs="Arial"/>
        </w:rPr>
        <w:t>. Teachers' role in identifying young children at risk for developmental delay and disabilities: Usefulness of the Parents Evaluation of Developmental Status tool. </w:t>
      </w:r>
      <w:r w:rsidRPr="00CE76E9">
        <w:rPr>
          <w:rFonts w:ascii="Arial" w:hAnsi="Arial" w:cs="Arial"/>
          <w:i/>
          <w:iCs/>
        </w:rPr>
        <w:t>Child: care, health and development</w:t>
      </w:r>
      <w:r w:rsidRPr="00CE76E9">
        <w:rPr>
          <w:rFonts w:ascii="Arial" w:hAnsi="Arial" w:cs="Arial"/>
        </w:rPr>
        <w:t>, </w:t>
      </w:r>
      <w:r w:rsidRPr="00CE76E9">
        <w:rPr>
          <w:rFonts w:ascii="Arial" w:hAnsi="Arial" w:cs="Arial"/>
          <w:i/>
          <w:iCs/>
        </w:rPr>
        <w:t>45</w:t>
      </w:r>
      <w:r w:rsidRPr="00CE76E9">
        <w:rPr>
          <w:rFonts w:ascii="Arial" w:hAnsi="Arial" w:cs="Arial"/>
        </w:rPr>
        <w:t>(5), pp.637-643.</w:t>
      </w:r>
    </w:p>
    <w:p w14:paraId="7E19A0AD" w14:textId="2C2642A1" w:rsidR="00450662" w:rsidRDefault="00450662" w:rsidP="00381B18">
      <w:pPr>
        <w:spacing w:before="240" w:line="360" w:lineRule="auto"/>
        <w:jc w:val="both"/>
        <w:rPr>
          <w:rFonts w:ascii="Arial" w:hAnsi="Arial" w:cs="Arial"/>
        </w:rPr>
      </w:pPr>
      <w:r w:rsidRPr="00450662">
        <w:rPr>
          <w:rFonts w:ascii="Arial" w:hAnsi="Arial" w:cs="Arial"/>
        </w:rPr>
        <w:t xml:space="preserve">Korpilahti, P., Kaljonen, A. and Jansson-Verkasalo, E., </w:t>
      </w:r>
      <w:r w:rsidR="003976EC">
        <w:rPr>
          <w:rFonts w:ascii="Arial" w:hAnsi="Arial" w:cs="Arial"/>
        </w:rPr>
        <w:t>(</w:t>
      </w:r>
      <w:r w:rsidRPr="00450662">
        <w:rPr>
          <w:rFonts w:ascii="Arial" w:hAnsi="Arial" w:cs="Arial"/>
        </w:rPr>
        <w:t>2016</w:t>
      </w:r>
      <w:r w:rsidR="003976EC">
        <w:rPr>
          <w:rFonts w:ascii="Arial" w:hAnsi="Arial" w:cs="Arial"/>
        </w:rPr>
        <w:t>)</w:t>
      </w:r>
      <w:r w:rsidRPr="00450662">
        <w:rPr>
          <w:rFonts w:ascii="Arial" w:hAnsi="Arial" w:cs="Arial"/>
        </w:rPr>
        <w:t>. Identification of biological and environmental risk factors for language delay: The Let's Talk STEPS study. </w:t>
      </w:r>
      <w:r w:rsidRPr="00450662">
        <w:rPr>
          <w:rFonts w:ascii="Arial" w:hAnsi="Arial" w:cs="Arial"/>
          <w:i/>
          <w:iCs/>
        </w:rPr>
        <w:t>Infant Behavior and Development</w:t>
      </w:r>
      <w:r w:rsidRPr="00450662">
        <w:rPr>
          <w:rFonts w:ascii="Arial" w:hAnsi="Arial" w:cs="Arial"/>
        </w:rPr>
        <w:t>, </w:t>
      </w:r>
      <w:r w:rsidRPr="00450662">
        <w:rPr>
          <w:rFonts w:ascii="Arial" w:hAnsi="Arial" w:cs="Arial"/>
          <w:i/>
          <w:iCs/>
        </w:rPr>
        <w:t>42</w:t>
      </w:r>
      <w:r w:rsidRPr="00450662">
        <w:rPr>
          <w:rFonts w:ascii="Arial" w:hAnsi="Arial" w:cs="Arial"/>
        </w:rPr>
        <w:t>, pp.27-35.</w:t>
      </w:r>
    </w:p>
    <w:p w14:paraId="14568105" w14:textId="77777777" w:rsidR="00ED6DF0" w:rsidRDefault="00ED6DF0" w:rsidP="00ED6DF0">
      <w:pPr>
        <w:spacing w:line="360" w:lineRule="auto"/>
        <w:jc w:val="both"/>
        <w:rPr>
          <w:rFonts w:ascii="Arial" w:hAnsi="Arial" w:cs="Arial"/>
        </w:rPr>
      </w:pPr>
      <w:r w:rsidRPr="008F2ECB">
        <w:rPr>
          <w:rFonts w:ascii="Arial" w:hAnsi="Arial" w:cs="Arial"/>
        </w:rPr>
        <w:t>Laothavorn, J., Wongwai, P., Prakash Dumre, S., Kongjam, P., Na-Bangchang, K. and Karbwang, J., (2019). Ethical approval and informed consent reporting in ASEAN journals: a systematic review. </w:t>
      </w:r>
      <w:r w:rsidRPr="008F2ECB">
        <w:rPr>
          <w:rFonts w:ascii="Arial" w:hAnsi="Arial" w:cs="Arial"/>
          <w:i/>
          <w:iCs/>
        </w:rPr>
        <w:t>Current Medical Research and Opinion</w:t>
      </w:r>
      <w:r w:rsidRPr="008F2ECB">
        <w:rPr>
          <w:rFonts w:ascii="Arial" w:hAnsi="Arial" w:cs="Arial"/>
        </w:rPr>
        <w:t>, </w:t>
      </w:r>
      <w:r w:rsidRPr="008F2ECB">
        <w:rPr>
          <w:rFonts w:ascii="Arial" w:hAnsi="Arial" w:cs="Arial"/>
          <w:i/>
          <w:iCs/>
        </w:rPr>
        <w:t>35</w:t>
      </w:r>
      <w:r w:rsidRPr="008F2ECB">
        <w:rPr>
          <w:rFonts w:ascii="Arial" w:hAnsi="Arial" w:cs="Arial"/>
        </w:rPr>
        <w:t>(12), pp.2179-2186.</w:t>
      </w:r>
    </w:p>
    <w:p w14:paraId="55A05995" w14:textId="28BF29CC" w:rsidR="00ED6DF0" w:rsidRPr="008F2ECB" w:rsidRDefault="00ED6DF0" w:rsidP="00ED6DF0">
      <w:pPr>
        <w:spacing w:line="360" w:lineRule="auto"/>
        <w:jc w:val="both"/>
        <w:rPr>
          <w:rFonts w:ascii="Arial" w:hAnsi="Arial" w:cs="Arial"/>
        </w:rPr>
      </w:pPr>
      <w:r w:rsidRPr="0061439F">
        <w:rPr>
          <w:rFonts w:ascii="Arial" w:hAnsi="Arial" w:cs="Arial"/>
        </w:rPr>
        <w:t xml:space="preserve">Leblanc, V., Hamroun, A., Bentegeac, R., Le Guellec, B., Lenain, R. and Chazard, E., </w:t>
      </w:r>
      <w:r w:rsidR="001D3114">
        <w:rPr>
          <w:rFonts w:ascii="Arial" w:hAnsi="Arial" w:cs="Arial"/>
        </w:rPr>
        <w:t>(</w:t>
      </w:r>
      <w:r w:rsidRPr="0061439F">
        <w:rPr>
          <w:rFonts w:ascii="Arial" w:hAnsi="Arial" w:cs="Arial"/>
        </w:rPr>
        <w:t>2024</w:t>
      </w:r>
      <w:r w:rsidR="001D3114">
        <w:rPr>
          <w:rFonts w:ascii="Arial" w:hAnsi="Arial" w:cs="Arial"/>
        </w:rPr>
        <w:t>)</w:t>
      </w:r>
      <w:r w:rsidRPr="0061439F">
        <w:rPr>
          <w:rFonts w:ascii="Arial" w:hAnsi="Arial" w:cs="Arial"/>
        </w:rPr>
        <w:t>. Added Value of Medical Subject Headings Terms in Search Strategies of Systematic Reviews: Comparative Study. </w:t>
      </w:r>
      <w:r w:rsidRPr="0061439F">
        <w:rPr>
          <w:rFonts w:ascii="Arial" w:hAnsi="Arial" w:cs="Arial"/>
          <w:i/>
          <w:iCs/>
        </w:rPr>
        <w:t>Journal of medical Internet research</w:t>
      </w:r>
      <w:r w:rsidRPr="0061439F">
        <w:rPr>
          <w:rFonts w:ascii="Arial" w:hAnsi="Arial" w:cs="Arial"/>
        </w:rPr>
        <w:t>, </w:t>
      </w:r>
      <w:r w:rsidRPr="0061439F">
        <w:rPr>
          <w:rFonts w:ascii="Arial" w:hAnsi="Arial" w:cs="Arial"/>
          <w:i/>
          <w:iCs/>
        </w:rPr>
        <w:t>26</w:t>
      </w:r>
      <w:r w:rsidRPr="0061439F">
        <w:rPr>
          <w:rFonts w:ascii="Arial" w:hAnsi="Arial" w:cs="Arial"/>
        </w:rPr>
        <w:t>, p.e53781.</w:t>
      </w:r>
    </w:p>
    <w:p w14:paraId="41C96B87" w14:textId="18E9E8E7" w:rsidR="00BF4875" w:rsidRDefault="00BF4875" w:rsidP="00381B18">
      <w:pPr>
        <w:spacing w:before="240" w:line="360" w:lineRule="auto"/>
        <w:jc w:val="both"/>
        <w:rPr>
          <w:rFonts w:ascii="Arial" w:hAnsi="Arial" w:cs="Arial"/>
        </w:rPr>
      </w:pPr>
      <w:r w:rsidRPr="00BF4875">
        <w:rPr>
          <w:rFonts w:ascii="Arial" w:hAnsi="Arial" w:cs="Arial"/>
        </w:rPr>
        <w:t xml:space="preserve">Lai, D.C., Tseng, Y.C. and Guo, H.R., </w:t>
      </w:r>
      <w:r w:rsidR="003976EC">
        <w:rPr>
          <w:rFonts w:ascii="Arial" w:hAnsi="Arial" w:cs="Arial"/>
        </w:rPr>
        <w:t>(</w:t>
      </w:r>
      <w:r w:rsidRPr="00BF4875">
        <w:rPr>
          <w:rFonts w:ascii="Arial" w:hAnsi="Arial" w:cs="Arial"/>
        </w:rPr>
        <w:t>2018</w:t>
      </w:r>
      <w:r w:rsidR="003976EC">
        <w:rPr>
          <w:rFonts w:ascii="Arial" w:hAnsi="Arial" w:cs="Arial"/>
        </w:rPr>
        <w:t>)</w:t>
      </w:r>
      <w:r w:rsidRPr="00BF4875">
        <w:rPr>
          <w:rFonts w:ascii="Arial" w:hAnsi="Arial" w:cs="Arial"/>
        </w:rPr>
        <w:t>. Characteristics of young children with developmental delays and their trends over 14 years in Taiwan: a population-based nationwide study. </w:t>
      </w:r>
      <w:r w:rsidRPr="00BF4875">
        <w:rPr>
          <w:rFonts w:ascii="Arial" w:hAnsi="Arial" w:cs="Arial"/>
          <w:i/>
          <w:iCs/>
        </w:rPr>
        <w:t>BMJ open</w:t>
      </w:r>
      <w:r w:rsidRPr="00BF4875">
        <w:rPr>
          <w:rFonts w:ascii="Arial" w:hAnsi="Arial" w:cs="Arial"/>
        </w:rPr>
        <w:t>, </w:t>
      </w:r>
      <w:r w:rsidRPr="00BF4875">
        <w:rPr>
          <w:rFonts w:ascii="Arial" w:hAnsi="Arial" w:cs="Arial"/>
          <w:i/>
          <w:iCs/>
        </w:rPr>
        <w:t>8</w:t>
      </w:r>
      <w:r w:rsidRPr="00BF4875">
        <w:rPr>
          <w:rFonts w:ascii="Arial" w:hAnsi="Arial" w:cs="Arial"/>
        </w:rPr>
        <w:t>(5), p.e020994.</w:t>
      </w:r>
    </w:p>
    <w:p w14:paraId="67F2DC5D" w14:textId="77777777" w:rsidR="00134E63" w:rsidRPr="00134E63" w:rsidRDefault="00134E63" w:rsidP="00134E63">
      <w:pPr>
        <w:spacing w:before="240" w:line="360" w:lineRule="auto"/>
        <w:jc w:val="both"/>
        <w:rPr>
          <w:rFonts w:ascii="Arial" w:hAnsi="Arial" w:cs="Arial"/>
        </w:rPr>
      </w:pPr>
      <w:r w:rsidRPr="00134E63">
        <w:rPr>
          <w:rFonts w:ascii="Arial" w:hAnsi="Arial" w:cs="Arial"/>
        </w:rPr>
        <w:t xml:space="preserve">Lee, D., Boulton, K.A., Sun, C., Phillips, N.L., Munro, M., Kumfor, F., Demetriou, E.A. and Guastella, A.J. (2025) ‘Attention and executive delays in early childhood: a meta-analysis of neurodevelopmental conditions’, </w:t>
      </w:r>
      <w:r w:rsidRPr="00134E63">
        <w:rPr>
          <w:rFonts w:ascii="Arial" w:hAnsi="Arial" w:cs="Arial"/>
          <w:i/>
          <w:iCs/>
        </w:rPr>
        <w:t>Molecular Psychiatry</w:t>
      </w:r>
      <w:r w:rsidRPr="00134E63">
        <w:rPr>
          <w:rFonts w:ascii="Arial" w:hAnsi="Arial" w:cs="Arial"/>
        </w:rPr>
        <w:t>, 30(5), pp. 1906–1914.</w:t>
      </w:r>
    </w:p>
    <w:p w14:paraId="03CF71EE" w14:textId="0D96345D" w:rsidR="00134E63" w:rsidRPr="00134E63" w:rsidRDefault="00134E63" w:rsidP="00381B18">
      <w:pPr>
        <w:spacing w:before="240" w:line="360" w:lineRule="auto"/>
        <w:jc w:val="both"/>
        <w:rPr>
          <w:rFonts w:ascii="Arial" w:hAnsi="Arial" w:cs="Arial"/>
        </w:rPr>
      </w:pPr>
      <w:r w:rsidRPr="00134E63">
        <w:rPr>
          <w:rFonts w:ascii="Arial" w:hAnsi="Arial" w:cs="Arial"/>
        </w:rPr>
        <w:t xml:space="preserve">Likhar, A., Baghel, P., Patil, M. and Patil, M.S. (2022) ‘Early childhood development and social determinants’, </w:t>
      </w:r>
      <w:r w:rsidRPr="00134E63">
        <w:rPr>
          <w:rFonts w:ascii="Arial" w:hAnsi="Arial" w:cs="Arial"/>
          <w:i/>
          <w:iCs/>
        </w:rPr>
        <w:t>Cureus</w:t>
      </w:r>
      <w:r w:rsidRPr="00134E63">
        <w:rPr>
          <w:rFonts w:ascii="Arial" w:hAnsi="Arial" w:cs="Arial"/>
        </w:rPr>
        <w:t>, 14(9).</w:t>
      </w:r>
    </w:p>
    <w:p w14:paraId="602CBA7E" w14:textId="425D319E" w:rsidR="00D64ABB" w:rsidRDefault="00D64ABB" w:rsidP="00381B18">
      <w:pPr>
        <w:spacing w:before="240" w:line="360" w:lineRule="auto"/>
        <w:jc w:val="both"/>
        <w:rPr>
          <w:rFonts w:ascii="Arial" w:hAnsi="Arial" w:cs="Arial"/>
        </w:rPr>
      </w:pPr>
      <w:r w:rsidRPr="00D64ABB">
        <w:rPr>
          <w:rFonts w:ascii="Arial" w:hAnsi="Arial" w:cs="Arial"/>
        </w:rPr>
        <w:lastRenderedPageBreak/>
        <w:t xml:space="preserve">Lipkin, P.H., Macias, M.M., Norwood, K.W., Brei, T.J., Davidson, L.F., Davis, B.E., Ellerbeck, K.A., Houtrow, A.J., Hyman, S.L., Kuo, D.Z. and Noritz, G.H., </w:t>
      </w:r>
      <w:r w:rsidR="00134E63">
        <w:rPr>
          <w:rFonts w:ascii="Arial" w:hAnsi="Arial" w:cs="Arial"/>
        </w:rPr>
        <w:t>(</w:t>
      </w:r>
      <w:r w:rsidRPr="00D64ABB">
        <w:rPr>
          <w:rFonts w:ascii="Arial" w:hAnsi="Arial" w:cs="Arial"/>
        </w:rPr>
        <w:t>2020</w:t>
      </w:r>
      <w:r w:rsidR="00134E63">
        <w:rPr>
          <w:rFonts w:ascii="Arial" w:hAnsi="Arial" w:cs="Arial"/>
        </w:rPr>
        <w:t>)</w:t>
      </w:r>
      <w:r w:rsidRPr="00D64ABB">
        <w:rPr>
          <w:rFonts w:ascii="Arial" w:hAnsi="Arial" w:cs="Arial"/>
        </w:rPr>
        <w:t>. Promoting optimal development: identifying infants and young children with developmental disorders through developmental surveillance and screening. </w:t>
      </w:r>
      <w:r w:rsidRPr="00D64ABB">
        <w:rPr>
          <w:rFonts w:ascii="Arial" w:hAnsi="Arial" w:cs="Arial"/>
          <w:i/>
          <w:iCs/>
        </w:rPr>
        <w:t>Pediatrics</w:t>
      </w:r>
      <w:r w:rsidRPr="00D64ABB">
        <w:rPr>
          <w:rFonts w:ascii="Arial" w:hAnsi="Arial" w:cs="Arial"/>
        </w:rPr>
        <w:t>, </w:t>
      </w:r>
      <w:r w:rsidRPr="00D64ABB">
        <w:rPr>
          <w:rFonts w:ascii="Arial" w:hAnsi="Arial" w:cs="Arial"/>
          <w:i/>
          <w:iCs/>
        </w:rPr>
        <w:t>145</w:t>
      </w:r>
      <w:r w:rsidRPr="00D64ABB">
        <w:rPr>
          <w:rFonts w:ascii="Arial" w:hAnsi="Arial" w:cs="Arial"/>
        </w:rPr>
        <w:t>(1).</w:t>
      </w:r>
    </w:p>
    <w:p w14:paraId="36C7C9EB" w14:textId="5850143A" w:rsidR="00A83E1A" w:rsidRDefault="00A83E1A" w:rsidP="00381B18">
      <w:pPr>
        <w:spacing w:before="240" w:line="360" w:lineRule="auto"/>
        <w:jc w:val="both"/>
        <w:rPr>
          <w:rFonts w:ascii="Arial" w:hAnsi="Arial" w:cs="Arial"/>
        </w:rPr>
      </w:pPr>
      <w:r w:rsidRPr="00A83E1A">
        <w:rPr>
          <w:rFonts w:ascii="Arial" w:hAnsi="Arial" w:cs="Arial"/>
        </w:rPr>
        <w:t xml:space="preserve">Lovett, M.W., Frijters, J.C., Wolf, M., Steinbach, K.A., Sevcik, R.A. and Morris, R.D., </w:t>
      </w:r>
      <w:r w:rsidR="003976EC">
        <w:rPr>
          <w:rFonts w:ascii="Arial" w:hAnsi="Arial" w:cs="Arial"/>
        </w:rPr>
        <w:t>(</w:t>
      </w:r>
      <w:r w:rsidRPr="00A83E1A">
        <w:rPr>
          <w:rFonts w:ascii="Arial" w:hAnsi="Arial" w:cs="Arial"/>
        </w:rPr>
        <w:t>2017</w:t>
      </w:r>
      <w:r w:rsidR="003976EC">
        <w:rPr>
          <w:rFonts w:ascii="Arial" w:hAnsi="Arial" w:cs="Arial"/>
        </w:rPr>
        <w:t>)</w:t>
      </w:r>
      <w:r w:rsidRPr="00A83E1A">
        <w:rPr>
          <w:rFonts w:ascii="Arial" w:hAnsi="Arial" w:cs="Arial"/>
        </w:rPr>
        <w:t>. Early intervention for children at risk for reading disabilities: The impact of grade at intervention and individual differences on intervention outcomes. </w:t>
      </w:r>
      <w:r w:rsidRPr="00A83E1A">
        <w:rPr>
          <w:rFonts w:ascii="Arial" w:hAnsi="Arial" w:cs="Arial"/>
          <w:i/>
          <w:iCs/>
        </w:rPr>
        <w:t>Journal of Educational Psychology</w:t>
      </w:r>
      <w:r w:rsidRPr="00A83E1A">
        <w:rPr>
          <w:rFonts w:ascii="Arial" w:hAnsi="Arial" w:cs="Arial"/>
        </w:rPr>
        <w:t>, </w:t>
      </w:r>
      <w:r w:rsidRPr="00A83E1A">
        <w:rPr>
          <w:rFonts w:ascii="Arial" w:hAnsi="Arial" w:cs="Arial"/>
          <w:i/>
          <w:iCs/>
        </w:rPr>
        <w:t>109</w:t>
      </w:r>
      <w:r w:rsidRPr="00A83E1A">
        <w:rPr>
          <w:rFonts w:ascii="Arial" w:hAnsi="Arial" w:cs="Arial"/>
        </w:rPr>
        <w:t>(7), p.889.</w:t>
      </w:r>
    </w:p>
    <w:p w14:paraId="1989A5C5" w14:textId="0633D18B" w:rsidR="001E6C25" w:rsidRDefault="001E6C25" w:rsidP="00381B18">
      <w:pPr>
        <w:spacing w:before="240" w:line="360" w:lineRule="auto"/>
        <w:jc w:val="both"/>
        <w:rPr>
          <w:rFonts w:ascii="Arial" w:hAnsi="Arial" w:cs="Arial"/>
        </w:rPr>
      </w:pPr>
      <w:r w:rsidRPr="001E6C25">
        <w:rPr>
          <w:rFonts w:ascii="Arial" w:hAnsi="Arial" w:cs="Arial"/>
        </w:rPr>
        <w:t xml:space="preserve">Macy, M., </w:t>
      </w:r>
      <w:r w:rsidR="003976EC">
        <w:rPr>
          <w:rFonts w:ascii="Arial" w:hAnsi="Arial" w:cs="Arial"/>
        </w:rPr>
        <w:t>(</w:t>
      </w:r>
      <w:r w:rsidRPr="001E6C25">
        <w:rPr>
          <w:rFonts w:ascii="Arial" w:hAnsi="Arial" w:cs="Arial"/>
        </w:rPr>
        <w:t>2022</w:t>
      </w:r>
      <w:r w:rsidR="003976EC">
        <w:rPr>
          <w:rFonts w:ascii="Arial" w:hAnsi="Arial" w:cs="Arial"/>
        </w:rPr>
        <w:t>)</w:t>
      </w:r>
      <w:r w:rsidRPr="001E6C25">
        <w:rPr>
          <w:rFonts w:ascii="Arial" w:hAnsi="Arial" w:cs="Arial"/>
        </w:rPr>
        <w:t>. Early identification of risk, developmental delay, or disability in young children: Connecting families with services during a global health crisis. In </w:t>
      </w:r>
      <w:r w:rsidRPr="001E6C25">
        <w:rPr>
          <w:rFonts w:ascii="Arial" w:hAnsi="Arial" w:cs="Arial"/>
          <w:i/>
          <w:iCs/>
        </w:rPr>
        <w:t>The impact of covid-19 on early childhood education and care: international perspectives, challenges, and responses</w:t>
      </w:r>
      <w:r w:rsidRPr="001E6C25">
        <w:rPr>
          <w:rFonts w:ascii="Arial" w:hAnsi="Arial" w:cs="Arial"/>
        </w:rPr>
        <w:t> (pp. 237-252). Cham: Springer International Publishing.</w:t>
      </w:r>
    </w:p>
    <w:p w14:paraId="3F4BBC7D" w14:textId="3E9A22B7" w:rsidR="009D202C" w:rsidRDefault="009D202C" w:rsidP="00381B18">
      <w:pPr>
        <w:spacing w:before="240" w:line="360" w:lineRule="auto"/>
        <w:jc w:val="both"/>
        <w:rPr>
          <w:rFonts w:ascii="Arial" w:hAnsi="Arial" w:cs="Arial"/>
        </w:rPr>
      </w:pPr>
      <w:r w:rsidRPr="009D202C">
        <w:rPr>
          <w:rFonts w:ascii="Arial" w:hAnsi="Arial" w:cs="Arial"/>
        </w:rPr>
        <w:t xml:space="preserve">Maenner, M.J., </w:t>
      </w:r>
      <w:r w:rsidR="00082577">
        <w:rPr>
          <w:rFonts w:ascii="Arial" w:hAnsi="Arial" w:cs="Arial"/>
        </w:rPr>
        <w:t>(</w:t>
      </w:r>
      <w:r w:rsidRPr="009D202C">
        <w:rPr>
          <w:rFonts w:ascii="Arial" w:hAnsi="Arial" w:cs="Arial"/>
        </w:rPr>
        <w:t>2021</w:t>
      </w:r>
      <w:r w:rsidR="00082577">
        <w:rPr>
          <w:rFonts w:ascii="Arial" w:hAnsi="Arial" w:cs="Arial"/>
        </w:rPr>
        <w:t>)</w:t>
      </w:r>
      <w:r w:rsidRPr="009D202C">
        <w:rPr>
          <w:rFonts w:ascii="Arial" w:hAnsi="Arial" w:cs="Arial"/>
        </w:rPr>
        <w:t>. Prevalence and characteristics of autism spectrum disorder among children aged 8 years—autism and developmental disabilities monitoring network, 11 sites, United States, 2018. </w:t>
      </w:r>
      <w:r w:rsidRPr="009D202C">
        <w:rPr>
          <w:rFonts w:ascii="Arial" w:hAnsi="Arial" w:cs="Arial"/>
          <w:i/>
          <w:iCs/>
        </w:rPr>
        <w:t>MMWR. Surveillance Summaries</w:t>
      </w:r>
      <w:r w:rsidRPr="009D202C">
        <w:rPr>
          <w:rFonts w:ascii="Arial" w:hAnsi="Arial" w:cs="Arial"/>
        </w:rPr>
        <w:t>, </w:t>
      </w:r>
      <w:r w:rsidRPr="009D202C">
        <w:rPr>
          <w:rFonts w:ascii="Arial" w:hAnsi="Arial" w:cs="Arial"/>
          <w:i/>
          <w:iCs/>
        </w:rPr>
        <w:t>70</w:t>
      </w:r>
      <w:r w:rsidRPr="009D202C">
        <w:rPr>
          <w:rFonts w:ascii="Arial" w:hAnsi="Arial" w:cs="Arial"/>
        </w:rPr>
        <w:t>.</w:t>
      </w:r>
    </w:p>
    <w:p w14:paraId="772C9A69" w14:textId="453CE471" w:rsidR="00977A16" w:rsidRDefault="00977A16" w:rsidP="00381B18">
      <w:pPr>
        <w:spacing w:before="240" w:line="360" w:lineRule="auto"/>
        <w:jc w:val="both"/>
        <w:rPr>
          <w:rFonts w:ascii="Arial" w:hAnsi="Arial" w:cs="Arial"/>
        </w:rPr>
      </w:pPr>
      <w:r w:rsidRPr="00977A16">
        <w:rPr>
          <w:rFonts w:ascii="Arial" w:hAnsi="Arial" w:cs="Arial"/>
        </w:rPr>
        <w:t xml:space="preserve">Marshall, J., Raffaele Mendez, L.M. and Singleton, D.L., </w:t>
      </w:r>
      <w:r w:rsidR="00082577">
        <w:rPr>
          <w:rFonts w:ascii="Arial" w:hAnsi="Arial" w:cs="Arial"/>
        </w:rPr>
        <w:t>(</w:t>
      </w:r>
      <w:r w:rsidRPr="00977A16">
        <w:rPr>
          <w:rFonts w:ascii="Arial" w:hAnsi="Arial" w:cs="Arial"/>
        </w:rPr>
        <w:t>2020</w:t>
      </w:r>
      <w:r w:rsidR="00082577">
        <w:rPr>
          <w:rFonts w:ascii="Arial" w:hAnsi="Arial" w:cs="Arial"/>
        </w:rPr>
        <w:t>)</w:t>
      </w:r>
      <w:r w:rsidRPr="00977A16">
        <w:rPr>
          <w:rFonts w:ascii="Arial" w:hAnsi="Arial" w:cs="Arial"/>
        </w:rPr>
        <w:t>. Barriers and facilitators to parental help-seeking for young children with developmental delays: a qualitative investigation. </w:t>
      </w:r>
      <w:r w:rsidRPr="00977A16">
        <w:rPr>
          <w:rFonts w:ascii="Arial" w:hAnsi="Arial" w:cs="Arial"/>
          <w:i/>
          <w:iCs/>
        </w:rPr>
        <w:t>Journal of Early Intervention</w:t>
      </w:r>
      <w:r w:rsidRPr="00977A16">
        <w:rPr>
          <w:rFonts w:ascii="Arial" w:hAnsi="Arial" w:cs="Arial"/>
        </w:rPr>
        <w:t>, </w:t>
      </w:r>
      <w:r w:rsidRPr="00977A16">
        <w:rPr>
          <w:rFonts w:ascii="Arial" w:hAnsi="Arial" w:cs="Arial"/>
          <w:i/>
          <w:iCs/>
        </w:rPr>
        <w:t>42</w:t>
      </w:r>
      <w:r w:rsidRPr="00977A16">
        <w:rPr>
          <w:rFonts w:ascii="Arial" w:hAnsi="Arial" w:cs="Arial"/>
        </w:rPr>
        <w:t>(2), pp.182-198.</w:t>
      </w:r>
    </w:p>
    <w:p w14:paraId="510A8F0C" w14:textId="0528E6C1" w:rsidR="00ED6DF0" w:rsidRDefault="00ED6DF0" w:rsidP="00ED6DF0">
      <w:pPr>
        <w:spacing w:line="360" w:lineRule="auto"/>
        <w:jc w:val="both"/>
        <w:rPr>
          <w:rFonts w:ascii="Arial" w:hAnsi="Arial" w:cs="Arial"/>
        </w:rPr>
      </w:pPr>
      <w:r w:rsidRPr="00963833">
        <w:rPr>
          <w:rFonts w:ascii="Arial" w:hAnsi="Arial" w:cs="Arial"/>
        </w:rPr>
        <w:t xml:space="preserve">Maretha, C., </w:t>
      </w:r>
      <w:r w:rsidR="007149EA">
        <w:rPr>
          <w:rFonts w:ascii="Arial" w:hAnsi="Arial" w:cs="Arial"/>
        </w:rPr>
        <w:t>(</w:t>
      </w:r>
      <w:r w:rsidRPr="00963833">
        <w:rPr>
          <w:rFonts w:ascii="Arial" w:hAnsi="Arial" w:cs="Arial"/>
        </w:rPr>
        <w:t>2023</w:t>
      </w:r>
      <w:r w:rsidR="007149EA">
        <w:rPr>
          <w:rFonts w:ascii="Arial" w:hAnsi="Arial" w:cs="Arial"/>
        </w:rPr>
        <w:t>)</w:t>
      </w:r>
      <w:r w:rsidRPr="00963833">
        <w:rPr>
          <w:rFonts w:ascii="Arial" w:hAnsi="Arial" w:cs="Arial"/>
        </w:rPr>
        <w:t>. Positivism in philosophical studies. </w:t>
      </w:r>
      <w:r w:rsidRPr="00963833">
        <w:rPr>
          <w:rFonts w:ascii="Arial" w:hAnsi="Arial" w:cs="Arial"/>
          <w:i/>
          <w:iCs/>
        </w:rPr>
        <w:t>Journal of Innovation in Teaching and Instructional Media</w:t>
      </w:r>
      <w:r w:rsidRPr="00963833">
        <w:rPr>
          <w:rFonts w:ascii="Arial" w:hAnsi="Arial" w:cs="Arial"/>
        </w:rPr>
        <w:t>, </w:t>
      </w:r>
      <w:r w:rsidRPr="00963833">
        <w:rPr>
          <w:rFonts w:ascii="Arial" w:hAnsi="Arial" w:cs="Arial"/>
          <w:i/>
          <w:iCs/>
        </w:rPr>
        <w:t>3</w:t>
      </w:r>
      <w:r w:rsidRPr="00963833">
        <w:rPr>
          <w:rFonts w:ascii="Arial" w:hAnsi="Arial" w:cs="Arial"/>
        </w:rPr>
        <w:t>(3), pp.124-138.</w:t>
      </w:r>
    </w:p>
    <w:p w14:paraId="1D1EB0CE" w14:textId="0E9806F9" w:rsidR="00ED6DF0" w:rsidRDefault="00ED6DF0" w:rsidP="00ED6DF0">
      <w:pPr>
        <w:spacing w:line="360" w:lineRule="auto"/>
        <w:jc w:val="both"/>
        <w:rPr>
          <w:rFonts w:ascii="Arial" w:hAnsi="Arial" w:cs="Arial"/>
        </w:rPr>
      </w:pPr>
      <w:r w:rsidRPr="003476EB">
        <w:rPr>
          <w:rFonts w:ascii="Arial" w:hAnsi="Arial" w:cs="Arial"/>
        </w:rPr>
        <w:t xml:space="preserve">Masefield, S.C., Prady, S.L. and Pickett, K.E., </w:t>
      </w:r>
      <w:r w:rsidR="003A5A7E">
        <w:rPr>
          <w:rFonts w:ascii="Arial" w:hAnsi="Arial" w:cs="Arial"/>
        </w:rPr>
        <w:t>(</w:t>
      </w:r>
      <w:r w:rsidRPr="003476EB">
        <w:rPr>
          <w:rFonts w:ascii="Arial" w:hAnsi="Arial" w:cs="Arial"/>
        </w:rPr>
        <w:t>2021</w:t>
      </w:r>
      <w:r w:rsidR="003A5A7E">
        <w:rPr>
          <w:rFonts w:ascii="Arial" w:hAnsi="Arial" w:cs="Arial"/>
        </w:rPr>
        <w:t>)</w:t>
      </w:r>
      <w:r w:rsidRPr="003476EB">
        <w:rPr>
          <w:rFonts w:ascii="Arial" w:hAnsi="Arial" w:cs="Arial"/>
        </w:rPr>
        <w:t>. An approach to identifying young children with developmental disabilities via primary care records. </w:t>
      </w:r>
      <w:r w:rsidRPr="003476EB">
        <w:rPr>
          <w:rFonts w:ascii="Arial" w:hAnsi="Arial" w:cs="Arial"/>
          <w:i/>
          <w:iCs/>
        </w:rPr>
        <w:t>Wellcome Open Research</w:t>
      </w:r>
      <w:r w:rsidRPr="003476EB">
        <w:rPr>
          <w:rFonts w:ascii="Arial" w:hAnsi="Arial" w:cs="Arial"/>
        </w:rPr>
        <w:t>, </w:t>
      </w:r>
      <w:r w:rsidRPr="003476EB">
        <w:rPr>
          <w:rFonts w:ascii="Arial" w:hAnsi="Arial" w:cs="Arial"/>
          <w:i/>
          <w:iCs/>
        </w:rPr>
        <w:t>6</w:t>
      </w:r>
      <w:r w:rsidRPr="003476EB">
        <w:rPr>
          <w:rFonts w:ascii="Arial" w:hAnsi="Arial" w:cs="Arial"/>
        </w:rPr>
        <w:t>, p.189.</w:t>
      </w:r>
    </w:p>
    <w:p w14:paraId="3D718276" w14:textId="09981FAB" w:rsidR="00ED6DF0" w:rsidRDefault="00ED6DF0" w:rsidP="00ED6DF0">
      <w:pPr>
        <w:spacing w:line="360" w:lineRule="auto"/>
        <w:jc w:val="both"/>
        <w:rPr>
          <w:rFonts w:ascii="Arial" w:hAnsi="Arial" w:cs="Arial"/>
        </w:rPr>
      </w:pPr>
      <w:r w:rsidRPr="00A341CF">
        <w:rPr>
          <w:rFonts w:ascii="Arial" w:hAnsi="Arial" w:cs="Arial"/>
        </w:rPr>
        <w:t xml:space="preserve">Masefield, S.C., Prady, S.L. and Pickett, K.E., </w:t>
      </w:r>
      <w:r w:rsidR="00ED08E2">
        <w:rPr>
          <w:rFonts w:ascii="Arial" w:hAnsi="Arial" w:cs="Arial"/>
        </w:rPr>
        <w:t>(</w:t>
      </w:r>
      <w:r w:rsidRPr="00A341CF">
        <w:rPr>
          <w:rFonts w:ascii="Arial" w:hAnsi="Arial" w:cs="Arial"/>
        </w:rPr>
        <w:t>2021</w:t>
      </w:r>
      <w:r w:rsidR="00ED08E2">
        <w:rPr>
          <w:rFonts w:ascii="Arial" w:hAnsi="Arial" w:cs="Arial"/>
        </w:rPr>
        <w:t>)</w:t>
      </w:r>
      <w:r w:rsidRPr="00A341CF">
        <w:rPr>
          <w:rFonts w:ascii="Arial" w:hAnsi="Arial" w:cs="Arial"/>
        </w:rPr>
        <w:t>. An approach to identifying young children with developmental disabilities via primary care records. </w:t>
      </w:r>
      <w:r w:rsidRPr="00A341CF">
        <w:rPr>
          <w:rFonts w:ascii="Arial" w:hAnsi="Arial" w:cs="Arial"/>
          <w:i/>
          <w:iCs/>
        </w:rPr>
        <w:t>Wellcome Open Research</w:t>
      </w:r>
      <w:r w:rsidRPr="00A341CF">
        <w:rPr>
          <w:rFonts w:ascii="Arial" w:hAnsi="Arial" w:cs="Arial"/>
        </w:rPr>
        <w:t>, </w:t>
      </w:r>
      <w:r w:rsidRPr="00A341CF">
        <w:rPr>
          <w:rFonts w:ascii="Arial" w:hAnsi="Arial" w:cs="Arial"/>
          <w:i/>
          <w:iCs/>
        </w:rPr>
        <w:t>6</w:t>
      </w:r>
      <w:r w:rsidRPr="00A341CF">
        <w:rPr>
          <w:rFonts w:ascii="Arial" w:hAnsi="Arial" w:cs="Arial"/>
        </w:rPr>
        <w:t>, p.189.</w:t>
      </w:r>
    </w:p>
    <w:p w14:paraId="301D7D9C" w14:textId="4D10314B" w:rsidR="00CE76E9" w:rsidRDefault="00CE76E9" w:rsidP="00381B18">
      <w:pPr>
        <w:spacing w:before="240" w:line="360" w:lineRule="auto"/>
        <w:jc w:val="both"/>
        <w:rPr>
          <w:rFonts w:ascii="Arial" w:hAnsi="Arial" w:cs="Arial"/>
        </w:rPr>
      </w:pPr>
      <w:r w:rsidRPr="00CE76E9">
        <w:rPr>
          <w:rFonts w:ascii="Arial" w:hAnsi="Arial" w:cs="Arial"/>
        </w:rPr>
        <w:lastRenderedPageBreak/>
        <w:t xml:space="preserve">Marlow, M., Servili, C. and Tomlinson, M., </w:t>
      </w:r>
      <w:r w:rsidR="00082577">
        <w:rPr>
          <w:rFonts w:ascii="Arial" w:hAnsi="Arial" w:cs="Arial"/>
        </w:rPr>
        <w:t>(</w:t>
      </w:r>
      <w:r w:rsidRPr="00CE76E9">
        <w:rPr>
          <w:rFonts w:ascii="Arial" w:hAnsi="Arial" w:cs="Arial"/>
        </w:rPr>
        <w:t>2019</w:t>
      </w:r>
      <w:r w:rsidR="00082577">
        <w:rPr>
          <w:rFonts w:ascii="Arial" w:hAnsi="Arial" w:cs="Arial"/>
        </w:rPr>
        <w:t>)</w:t>
      </w:r>
      <w:r w:rsidRPr="00CE76E9">
        <w:rPr>
          <w:rFonts w:ascii="Arial" w:hAnsi="Arial" w:cs="Arial"/>
        </w:rPr>
        <w:t>. A review of screening tools for the identification of autism spectrum disorders and developmental delay in infants and young children: recommendations for use in low</w:t>
      </w:r>
      <w:r w:rsidRPr="00CE76E9">
        <w:rPr>
          <w:rFonts w:ascii="Cambria Math" w:hAnsi="Cambria Math" w:cs="Cambria Math"/>
        </w:rPr>
        <w:t>‐</w:t>
      </w:r>
      <w:r w:rsidRPr="00CE76E9">
        <w:rPr>
          <w:rFonts w:ascii="Arial" w:hAnsi="Arial" w:cs="Arial"/>
        </w:rPr>
        <w:t>and middle</w:t>
      </w:r>
      <w:r w:rsidRPr="00CE76E9">
        <w:rPr>
          <w:rFonts w:ascii="Cambria Math" w:hAnsi="Cambria Math" w:cs="Cambria Math"/>
        </w:rPr>
        <w:t>‐</w:t>
      </w:r>
      <w:r w:rsidRPr="00CE76E9">
        <w:rPr>
          <w:rFonts w:ascii="Arial" w:hAnsi="Arial" w:cs="Arial"/>
        </w:rPr>
        <w:t>income countries. </w:t>
      </w:r>
      <w:r w:rsidRPr="00CE76E9">
        <w:rPr>
          <w:rFonts w:ascii="Arial" w:hAnsi="Arial" w:cs="Arial"/>
          <w:i/>
          <w:iCs/>
        </w:rPr>
        <w:t>Autism Research</w:t>
      </w:r>
      <w:r w:rsidRPr="00CE76E9">
        <w:rPr>
          <w:rFonts w:ascii="Arial" w:hAnsi="Arial" w:cs="Arial"/>
        </w:rPr>
        <w:t>, </w:t>
      </w:r>
      <w:r w:rsidRPr="00CE76E9">
        <w:rPr>
          <w:rFonts w:ascii="Arial" w:hAnsi="Arial" w:cs="Arial"/>
          <w:i/>
          <w:iCs/>
        </w:rPr>
        <w:t>12</w:t>
      </w:r>
      <w:r w:rsidRPr="00CE76E9">
        <w:rPr>
          <w:rFonts w:ascii="Arial" w:hAnsi="Arial" w:cs="Arial"/>
        </w:rPr>
        <w:t>(2), pp.176-199.</w:t>
      </w:r>
    </w:p>
    <w:p w14:paraId="682E86AF" w14:textId="0CCD1E45" w:rsidR="00037DD5" w:rsidRDefault="00037DD5" w:rsidP="00381B18">
      <w:pPr>
        <w:spacing w:before="240" w:line="360" w:lineRule="auto"/>
        <w:jc w:val="both"/>
        <w:rPr>
          <w:rFonts w:ascii="Arial" w:hAnsi="Arial" w:cs="Arial"/>
        </w:rPr>
      </w:pPr>
      <w:r w:rsidRPr="00037DD5">
        <w:rPr>
          <w:rFonts w:ascii="Arial" w:hAnsi="Arial" w:cs="Arial"/>
        </w:rPr>
        <w:t xml:space="preserve">Moridi, E., Fazelniya, Z., Yari, A., Gholami, T., Hasirini, P.A. and Khani Jeihooni, A., </w:t>
      </w:r>
      <w:r w:rsidR="00082577">
        <w:rPr>
          <w:rFonts w:ascii="Arial" w:hAnsi="Arial" w:cs="Arial"/>
        </w:rPr>
        <w:t>(</w:t>
      </w:r>
      <w:r w:rsidRPr="00037DD5">
        <w:rPr>
          <w:rFonts w:ascii="Arial" w:hAnsi="Arial" w:cs="Arial"/>
        </w:rPr>
        <w:t>2021</w:t>
      </w:r>
      <w:r w:rsidR="00082577">
        <w:rPr>
          <w:rFonts w:ascii="Arial" w:hAnsi="Arial" w:cs="Arial"/>
        </w:rPr>
        <w:t>)</w:t>
      </w:r>
      <w:r w:rsidRPr="00037DD5">
        <w:rPr>
          <w:rFonts w:ascii="Arial" w:hAnsi="Arial" w:cs="Arial"/>
        </w:rPr>
        <w:t>. Effect of educational intervention based on health belief model on accident prevention behaviours in mothers of children under 5-years. </w:t>
      </w:r>
      <w:r w:rsidRPr="00037DD5">
        <w:rPr>
          <w:rFonts w:ascii="Arial" w:hAnsi="Arial" w:cs="Arial"/>
          <w:i/>
          <w:iCs/>
        </w:rPr>
        <w:t>BMC women's health</w:t>
      </w:r>
      <w:r w:rsidRPr="00037DD5">
        <w:rPr>
          <w:rFonts w:ascii="Arial" w:hAnsi="Arial" w:cs="Arial"/>
        </w:rPr>
        <w:t>, </w:t>
      </w:r>
      <w:r w:rsidRPr="00037DD5">
        <w:rPr>
          <w:rFonts w:ascii="Arial" w:hAnsi="Arial" w:cs="Arial"/>
          <w:i/>
          <w:iCs/>
        </w:rPr>
        <w:t>21</w:t>
      </w:r>
      <w:r w:rsidRPr="00037DD5">
        <w:rPr>
          <w:rFonts w:ascii="Arial" w:hAnsi="Arial" w:cs="Arial"/>
        </w:rPr>
        <w:t>(1), p.428.</w:t>
      </w:r>
    </w:p>
    <w:p w14:paraId="1A78653F" w14:textId="77777777" w:rsidR="00C114C4" w:rsidRPr="00AB7121" w:rsidRDefault="00C114C4" w:rsidP="00C114C4">
      <w:pPr>
        <w:spacing w:before="240" w:line="360" w:lineRule="auto"/>
        <w:jc w:val="both"/>
        <w:rPr>
          <w:rFonts w:ascii="Arial" w:hAnsi="Arial" w:cs="Arial"/>
        </w:rPr>
      </w:pPr>
      <w:r w:rsidRPr="00AB7121">
        <w:rPr>
          <w:rFonts w:ascii="Arial" w:hAnsi="Arial" w:cs="Arial"/>
        </w:rPr>
        <w:t>Morgart, K., Harrison, J.N., Hoon Jr, A.H. and Wilms Floet, A.M., (2021). Adverse childhood experiences and developmental disabilities: risks, resiliency, and policy. </w:t>
      </w:r>
      <w:r w:rsidRPr="00AB7121">
        <w:rPr>
          <w:rFonts w:ascii="Arial" w:hAnsi="Arial" w:cs="Arial"/>
          <w:i/>
          <w:iCs/>
        </w:rPr>
        <w:t>Developmental Medicine &amp; Child Neurology</w:t>
      </w:r>
      <w:r w:rsidRPr="00AB7121">
        <w:rPr>
          <w:rFonts w:ascii="Arial" w:hAnsi="Arial" w:cs="Arial"/>
        </w:rPr>
        <w:t>, </w:t>
      </w:r>
      <w:r w:rsidRPr="00AB7121">
        <w:rPr>
          <w:rFonts w:ascii="Arial" w:hAnsi="Arial" w:cs="Arial"/>
          <w:i/>
          <w:iCs/>
        </w:rPr>
        <w:t>63</w:t>
      </w:r>
      <w:r w:rsidRPr="00AB7121">
        <w:rPr>
          <w:rFonts w:ascii="Arial" w:hAnsi="Arial" w:cs="Arial"/>
        </w:rPr>
        <w:t>(10), pp.1149-1154.</w:t>
      </w:r>
    </w:p>
    <w:p w14:paraId="17D0D0B8" w14:textId="77777777" w:rsidR="00C114C4" w:rsidRPr="00AB7121" w:rsidRDefault="00C114C4" w:rsidP="00C114C4">
      <w:pPr>
        <w:spacing w:before="240" w:line="360" w:lineRule="auto"/>
        <w:jc w:val="both"/>
        <w:rPr>
          <w:rFonts w:ascii="Arial" w:hAnsi="Arial" w:cs="Arial"/>
        </w:rPr>
      </w:pPr>
      <w:r w:rsidRPr="00AB7121">
        <w:rPr>
          <w:rFonts w:ascii="Arial" w:hAnsi="Arial" w:cs="Arial"/>
        </w:rPr>
        <w:t>Mualem, R., Morales-Quezada, L., Farraj, R.H., Shance, S., Bernshtein, D.H., Cohen, S., Mualem, L., Salem, N., Yehuda, R.R., Zbedat, Y. and Waksman, I., (2024). Econeurobiology and brain development in children: key factors affecting development, behavioral outcomes, and school interventions. </w:t>
      </w:r>
      <w:r w:rsidRPr="00AB7121">
        <w:rPr>
          <w:rFonts w:ascii="Arial" w:hAnsi="Arial" w:cs="Arial"/>
          <w:i/>
          <w:iCs/>
        </w:rPr>
        <w:t>Frontiers in Public Health</w:t>
      </w:r>
      <w:r w:rsidRPr="00AB7121">
        <w:rPr>
          <w:rFonts w:ascii="Arial" w:hAnsi="Arial" w:cs="Arial"/>
        </w:rPr>
        <w:t>, </w:t>
      </w:r>
      <w:r w:rsidRPr="00AB7121">
        <w:rPr>
          <w:rFonts w:ascii="Arial" w:hAnsi="Arial" w:cs="Arial"/>
          <w:i/>
          <w:iCs/>
        </w:rPr>
        <w:t>12</w:t>
      </w:r>
      <w:r w:rsidRPr="00AB7121">
        <w:rPr>
          <w:rFonts w:ascii="Arial" w:hAnsi="Arial" w:cs="Arial"/>
        </w:rPr>
        <w:t>, p.1376075.</w:t>
      </w:r>
    </w:p>
    <w:p w14:paraId="30744F48" w14:textId="77777777" w:rsidR="00C114C4" w:rsidRDefault="00C114C4" w:rsidP="00C114C4">
      <w:pPr>
        <w:spacing w:before="240" w:line="360" w:lineRule="auto"/>
        <w:jc w:val="both"/>
      </w:pPr>
      <w:r w:rsidRPr="00AB7121">
        <w:rPr>
          <w:rFonts w:ascii="Arial" w:hAnsi="Arial" w:cs="Arial"/>
        </w:rPr>
        <w:t xml:space="preserve">NHS England (2024), </w:t>
      </w:r>
      <w:hyperlink r:id="rId14" w:history="1">
        <w:r w:rsidRPr="00AB7121">
          <w:rPr>
            <w:rStyle w:val="Hyperlink"/>
            <w:rFonts w:ascii="Arial" w:hAnsi="Arial" w:cs="Arial"/>
          </w:rPr>
          <w:t>https://www.england.nhs.uk/long-read/urgent-and-emergency-mental-health-care-for-children-and-young-people-national-implementation-guidance/</w:t>
        </w:r>
      </w:hyperlink>
    </w:p>
    <w:p w14:paraId="712E04C2" w14:textId="5145201D" w:rsidR="00ED6DF0" w:rsidRDefault="00ED6DF0" w:rsidP="00ED6DF0">
      <w:pPr>
        <w:spacing w:line="360" w:lineRule="auto"/>
        <w:jc w:val="both"/>
        <w:rPr>
          <w:rFonts w:ascii="Arial" w:hAnsi="Arial" w:cs="Arial"/>
        </w:rPr>
      </w:pPr>
      <w:r w:rsidRPr="00BA162E">
        <w:rPr>
          <w:rFonts w:ascii="Arial" w:hAnsi="Arial" w:cs="Arial"/>
        </w:rPr>
        <w:t xml:space="preserve">Ogundele, M.O., </w:t>
      </w:r>
      <w:r w:rsidR="001C0B6A">
        <w:rPr>
          <w:rFonts w:ascii="Arial" w:hAnsi="Arial" w:cs="Arial"/>
        </w:rPr>
        <w:t>(</w:t>
      </w:r>
      <w:r w:rsidRPr="00BA162E">
        <w:rPr>
          <w:rFonts w:ascii="Arial" w:hAnsi="Arial" w:cs="Arial"/>
        </w:rPr>
        <w:t>2016</w:t>
      </w:r>
      <w:r w:rsidR="001C0B6A">
        <w:rPr>
          <w:rFonts w:ascii="Arial" w:hAnsi="Arial" w:cs="Arial"/>
        </w:rPr>
        <w:t>)</w:t>
      </w:r>
      <w:r w:rsidRPr="00BA162E">
        <w:rPr>
          <w:rFonts w:ascii="Arial" w:hAnsi="Arial" w:cs="Arial"/>
        </w:rPr>
        <w:t>. The influence of socio-economic status on the prevalence of school-age childhood behavioral disorders in a local district clinic of North West England. </w:t>
      </w:r>
      <w:r w:rsidRPr="00BA162E">
        <w:rPr>
          <w:rFonts w:ascii="Arial" w:hAnsi="Arial" w:cs="Arial"/>
          <w:i/>
          <w:iCs/>
        </w:rPr>
        <w:t>Journal of Family Medicine and Health Care</w:t>
      </w:r>
      <w:r w:rsidRPr="00BA162E">
        <w:rPr>
          <w:rFonts w:ascii="Arial" w:hAnsi="Arial" w:cs="Arial"/>
        </w:rPr>
        <w:t>, </w:t>
      </w:r>
      <w:r w:rsidRPr="00BA162E">
        <w:rPr>
          <w:rFonts w:ascii="Arial" w:hAnsi="Arial" w:cs="Arial"/>
          <w:i/>
          <w:iCs/>
        </w:rPr>
        <w:t>2</w:t>
      </w:r>
      <w:r w:rsidRPr="00BA162E">
        <w:rPr>
          <w:rFonts w:ascii="Arial" w:hAnsi="Arial" w:cs="Arial"/>
        </w:rPr>
        <w:t>(4), pp.98-107.</w:t>
      </w:r>
    </w:p>
    <w:p w14:paraId="59385B3D" w14:textId="13D3691E" w:rsidR="00330E0D" w:rsidRDefault="00330E0D" w:rsidP="00C114C4">
      <w:pPr>
        <w:spacing w:before="240" w:line="360" w:lineRule="auto"/>
        <w:jc w:val="both"/>
        <w:rPr>
          <w:rFonts w:ascii="Arial" w:hAnsi="Arial" w:cs="Arial"/>
        </w:rPr>
      </w:pPr>
      <w:r w:rsidRPr="00330E0D">
        <w:rPr>
          <w:rFonts w:ascii="Arial" w:hAnsi="Arial" w:cs="Arial"/>
        </w:rPr>
        <w:t xml:space="preserve">Olusanya, B.O., Davis, A.C., Wertlieb, D., Boo, N.Y., Nair, M.K.C., Halpern, R., Kuper, H., Breinbauer, C., De Vries, P.J., Gladstone, M. and Halfon, N., </w:t>
      </w:r>
      <w:r w:rsidR="00082577">
        <w:rPr>
          <w:rFonts w:ascii="Arial" w:hAnsi="Arial" w:cs="Arial"/>
        </w:rPr>
        <w:t>(</w:t>
      </w:r>
      <w:r w:rsidRPr="00330E0D">
        <w:rPr>
          <w:rFonts w:ascii="Arial" w:hAnsi="Arial" w:cs="Arial"/>
        </w:rPr>
        <w:t>2018</w:t>
      </w:r>
      <w:r w:rsidR="00082577">
        <w:rPr>
          <w:rFonts w:ascii="Arial" w:hAnsi="Arial" w:cs="Arial"/>
        </w:rPr>
        <w:t>)</w:t>
      </w:r>
      <w:r w:rsidRPr="00330E0D">
        <w:rPr>
          <w:rFonts w:ascii="Arial" w:hAnsi="Arial" w:cs="Arial"/>
        </w:rPr>
        <w:t>. Developmental disabilities among children younger than 5 years in 195 countries and territories, 1990–2016: a systematic analysis for the Global Burden of Disease Study 2016. </w:t>
      </w:r>
      <w:r w:rsidRPr="00330E0D">
        <w:rPr>
          <w:rFonts w:ascii="Arial" w:hAnsi="Arial" w:cs="Arial"/>
          <w:i/>
          <w:iCs/>
        </w:rPr>
        <w:t>The Lancet Global Health</w:t>
      </w:r>
      <w:r w:rsidRPr="00330E0D">
        <w:rPr>
          <w:rFonts w:ascii="Arial" w:hAnsi="Arial" w:cs="Arial"/>
        </w:rPr>
        <w:t>, </w:t>
      </w:r>
      <w:r w:rsidRPr="00330E0D">
        <w:rPr>
          <w:rFonts w:ascii="Arial" w:hAnsi="Arial" w:cs="Arial"/>
          <w:i/>
          <w:iCs/>
        </w:rPr>
        <w:t>6</w:t>
      </w:r>
      <w:r w:rsidRPr="00330E0D">
        <w:rPr>
          <w:rFonts w:ascii="Arial" w:hAnsi="Arial" w:cs="Arial"/>
        </w:rPr>
        <w:t>(10), pp.e1100-e1121.</w:t>
      </w:r>
    </w:p>
    <w:p w14:paraId="1E6F9AE4" w14:textId="77777777" w:rsidR="00C114C4" w:rsidRPr="00AB7121" w:rsidRDefault="00C114C4" w:rsidP="00C114C4">
      <w:pPr>
        <w:spacing w:before="240" w:line="360" w:lineRule="auto"/>
        <w:jc w:val="both"/>
        <w:rPr>
          <w:rFonts w:ascii="Arial" w:hAnsi="Arial" w:cs="Arial"/>
        </w:rPr>
      </w:pPr>
      <w:r w:rsidRPr="00AB7121">
        <w:rPr>
          <w:rFonts w:ascii="Arial" w:hAnsi="Arial" w:cs="Arial"/>
        </w:rPr>
        <w:lastRenderedPageBreak/>
        <w:t>Olusanya, B.O., Smythe, T., Ogbo, F.A., Nair, M.K.C., Scher, M. and Davis, A.C., (2023). Global prevalence of developmental disabilities in children and adolescents: A systematic umbrella review. </w:t>
      </w:r>
      <w:r w:rsidRPr="00AB7121">
        <w:rPr>
          <w:rFonts w:ascii="Arial" w:hAnsi="Arial" w:cs="Arial"/>
          <w:i/>
          <w:iCs/>
        </w:rPr>
        <w:t>Frontiers in public health</w:t>
      </w:r>
      <w:r w:rsidRPr="00AB7121">
        <w:rPr>
          <w:rFonts w:ascii="Arial" w:hAnsi="Arial" w:cs="Arial"/>
        </w:rPr>
        <w:t>, </w:t>
      </w:r>
      <w:r w:rsidRPr="00AB7121">
        <w:rPr>
          <w:rFonts w:ascii="Arial" w:hAnsi="Arial" w:cs="Arial"/>
          <w:i/>
          <w:iCs/>
        </w:rPr>
        <w:t>11</w:t>
      </w:r>
      <w:r w:rsidRPr="00AB7121">
        <w:rPr>
          <w:rFonts w:ascii="Arial" w:hAnsi="Arial" w:cs="Arial"/>
        </w:rPr>
        <w:t>, p.1122009.</w:t>
      </w:r>
    </w:p>
    <w:p w14:paraId="23E5C04B" w14:textId="77777777" w:rsidR="00ED6DF0" w:rsidRPr="008F2ECB" w:rsidRDefault="00ED6DF0" w:rsidP="00ED6DF0">
      <w:pPr>
        <w:spacing w:line="360" w:lineRule="auto"/>
        <w:jc w:val="both"/>
        <w:rPr>
          <w:rFonts w:ascii="Arial" w:hAnsi="Arial" w:cs="Arial"/>
        </w:rPr>
      </w:pPr>
      <w:r w:rsidRPr="008F2ECB">
        <w:rPr>
          <w:rFonts w:ascii="Arial" w:hAnsi="Arial" w:cs="Arial"/>
        </w:rPr>
        <w:t>Paré, G. and Kitsiou, S., (2017). Methods for literature reviews. In </w:t>
      </w:r>
      <w:r w:rsidRPr="008F2ECB">
        <w:rPr>
          <w:rFonts w:ascii="Arial" w:hAnsi="Arial" w:cs="Arial"/>
          <w:i/>
          <w:iCs/>
        </w:rPr>
        <w:t>Handbook of eHealth evaluation: An evidence-based approach [Internet]</w:t>
      </w:r>
      <w:r w:rsidRPr="008F2ECB">
        <w:rPr>
          <w:rFonts w:ascii="Arial" w:hAnsi="Arial" w:cs="Arial"/>
        </w:rPr>
        <w:t>. University of Victoria.</w:t>
      </w:r>
    </w:p>
    <w:p w14:paraId="412C0470" w14:textId="28749C77" w:rsidR="00040C22" w:rsidRDefault="00040C22" w:rsidP="00ED6DF0">
      <w:pPr>
        <w:spacing w:line="360" w:lineRule="auto"/>
        <w:jc w:val="both"/>
        <w:rPr>
          <w:rFonts w:ascii="Arial" w:hAnsi="Arial" w:cs="Arial"/>
        </w:rPr>
      </w:pPr>
      <w:r w:rsidRPr="00040C22">
        <w:rPr>
          <w:rFonts w:ascii="Arial" w:hAnsi="Arial" w:cs="Arial"/>
        </w:rPr>
        <w:t xml:space="preserve">Paat, Y.F., Srinivasan, S.M. and Lin, M.L., </w:t>
      </w:r>
      <w:r w:rsidR="00756015">
        <w:rPr>
          <w:rFonts w:ascii="Arial" w:hAnsi="Arial" w:cs="Arial"/>
        </w:rPr>
        <w:t>(</w:t>
      </w:r>
      <w:r w:rsidRPr="00040C22">
        <w:rPr>
          <w:rFonts w:ascii="Arial" w:hAnsi="Arial" w:cs="Arial"/>
        </w:rPr>
        <w:t>2024</w:t>
      </w:r>
      <w:r w:rsidR="00756015">
        <w:rPr>
          <w:rFonts w:ascii="Arial" w:hAnsi="Arial" w:cs="Arial"/>
        </w:rPr>
        <w:t>)</w:t>
      </w:r>
      <w:r w:rsidRPr="00040C22">
        <w:rPr>
          <w:rFonts w:ascii="Arial" w:hAnsi="Arial" w:cs="Arial"/>
        </w:rPr>
        <w:t>. A socio-ecological approach to understanding self-regulation among adolescents with developmental challenges and delays. </w:t>
      </w:r>
      <w:r w:rsidRPr="00040C22">
        <w:rPr>
          <w:rFonts w:ascii="Arial" w:hAnsi="Arial" w:cs="Arial"/>
          <w:i/>
          <w:iCs/>
        </w:rPr>
        <w:t>International Journal of Adolescent Medicine and Health</w:t>
      </w:r>
      <w:r w:rsidRPr="00040C22">
        <w:rPr>
          <w:rFonts w:ascii="Arial" w:hAnsi="Arial" w:cs="Arial"/>
        </w:rPr>
        <w:t>, </w:t>
      </w:r>
      <w:r w:rsidRPr="00040C22">
        <w:rPr>
          <w:rFonts w:ascii="Arial" w:hAnsi="Arial" w:cs="Arial"/>
          <w:i/>
          <w:iCs/>
        </w:rPr>
        <w:t>36</w:t>
      </w:r>
      <w:r w:rsidRPr="00040C22">
        <w:rPr>
          <w:rFonts w:ascii="Arial" w:hAnsi="Arial" w:cs="Arial"/>
        </w:rPr>
        <w:t>(6), pp.541-550.</w:t>
      </w:r>
    </w:p>
    <w:p w14:paraId="19858BBE" w14:textId="6824230E" w:rsidR="00DA0032" w:rsidRDefault="00DA0032" w:rsidP="00ED6DF0">
      <w:pPr>
        <w:spacing w:line="360" w:lineRule="auto"/>
        <w:jc w:val="both"/>
        <w:rPr>
          <w:rFonts w:ascii="Arial" w:hAnsi="Arial" w:cs="Arial"/>
        </w:rPr>
      </w:pPr>
      <w:r w:rsidRPr="00DA0032">
        <w:rPr>
          <w:rFonts w:ascii="Arial" w:hAnsi="Arial" w:cs="Arial"/>
        </w:rPr>
        <w:t xml:space="preserve">Playford, C.J., Dibben, C. and Williamson, L., </w:t>
      </w:r>
      <w:r w:rsidR="00F02349">
        <w:rPr>
          <w:rFonts w:ascii="Arial" w:hAnsi="Arial" w:cs="Arial"/>
        </w:rPr>
        <w:t>(</w:t>
      </w:r>
      <w:r w:rsidRPr="00DA0032">
        <w:rPr>
          <w:rFonts w:ascii="Arial" w:hAnsi="Arial" w:cs="Arial"/>
        </w:rPr>
        <w:t>2017</w:t>
      </w:r>
      <w:r w:rsidR="00F02349">
        <w:rPr>
          <w:rFonts w:ascii="Arial" w:hAnsi="Arial" w:cs="Arial"/>
        </w:rPr>
        <w:t>)</w:t>
      </w:r>
      <w:r w:rsidRPr="00DA0032">
        <w:rPr>
          <w:rFonts w:ascii="Arial" w:hAnsi="Arial" w:cs="Arial"/>
        </w:rPr>
        <w:t>. Socioeconomic disadvantage, fetal environment and child development: linked Scottish administrative records based study. </w:t>
      </w:r>
      <w:r w:rsidRPr="00DA0032">
        <w:rPr>
          <w:rFonts w:ascii="Arial" w:hAnsi="Arial" w:cs="Arial"/>
          <w:i/>
          <w:iCs/>
        </w:rPr>
        <w:t>International journal for equity in health</w:t>
      </w:r>
      <w:r w:rsidRPr="00DA0032">
        <w:rPr>
          <w:rFonts w:ascii="Arial" w:hAnsi="Arial" w:cs="Arial"/>
        </w:rPr>
        <w:t>, </w:t>
      </w:r>
      <w:r w:rsidRPr="00DA0032">
        <w:rPr>
          <w:rFonts w:ascii="Arial" w:hAnsi="Arial" w:cs="Arial"/>
          <w:i/>
          <w:iCs/>
        </w:rPr>
        <w:t>16</w:t>
      </w:r>
      <w:r w:rsidRPr="00DA0032">
        <w:rPr>
          <w:rFonts w:ascii="Arial" w:hAnsi="Arial" w:cs="Arial"/>
        </w:rPr>
        <w:t>(1), p.203.</w:t>
      </w:r>
    </w:p>
    <w:p w14:paraId="400ED61D" w14:textId="1EA87F89" w:rsidR="00ED6DF0" w:rsidRDefault="00ED6DF0" w:rsidP="00ED6DF0">
      <w:pPr>
        <w:spacing w:line="360" w:lineRule="auto"/>
        <w:jc w:val="both"/>
        <w:rPr>
          <w:rFonts w:ascii="Arial" w:hAnsi="Arial" w:cs="Arial"/>
        </w:rPr>
      </w:pPr>
      <w:r w:rsidRPr="00E42AE5">
        <w:rPr>
          <w:rFonts w:ascii="Arial" w:hAnsi="Arial" w:cs="Arial"/>
        </w:rPr>
        <w:t xml:space="preserve">Proudfoot, K., </w:t>
      </w:r>
      <w:r w:rsidR="0028451A">
        <w:rPr>
          <w:rFonts w:ascii="Arial" w:hAnsi="Arial" w:cs="Arial"/>
        </w:rPr>
        <w:t>(</w:t>
      </w:r>
      <w:r w:rsidRPr="00E42AE5">
        <w:rPr>
          <w:rFonts w:ascii="Arial" w:hAnsi="Arial" w:cs="Arial"/>
        </w:rPr>
        <w:t>2023</w:t>
      </w:r>
      <w:r w:rsidR="0028451A">
        <w:rPr>
          <w:rFonts w:ascii="Arial" w:hAnsi="Arial" w:cs="Arial"/>
        </w:rPr>
        <w:t>)</w:t>
      </w:r>
      <w:r w:rsidRPr="00E42AE5">
        <w:rPr>
          <w:rFonts w:ascii="Arial" w:hAnsi="Arial" w:cs="Arial"/>
        </w:rPr>
        <w:t>. Inductive/deductive hybrid thematic analysis in mixed methods research. </w:t>
      </w:r>
      <w:r w:rsidRPr="00E42AE5">
        <w:rPr>
          <w:rFonts w:ascii="Arial" w:hAnsi="Arial" w:cs="Arial"/>
          <w:i/>
          <w:iCs/>
        </w:rPr>
        <w:t>Journal of mixed methods research</w:t>
      </w:r>
      <w:r w:rsidRPr="00E42AE5">
        <w:rPr>
          <w:rFonts w:ascii="Arial" w:hAnsi="Arial" w:cs="Arial"/>
        </w:rPr>
        <w:t>, </w:t>
      </w:r>
      <w:r w:rsidRPr="00E42AE5">
        <w:rPr>
          <w:rFonts w:ascii="Arial" w:hAnsi="Arial" w:cs="Arial"/>
          <w:i/>
          <w:iCs/>
        </w:rPr>
        <w:t>17</w:t>
      </w:r>
      <w:r w:rsidRPr="00E42AE5">
        <w:rPr>
          <w:rFonts w:ascii="Arial" w:hAnsi="Arial" w:cs="Arial"/>
        </w:rPr>
        <w:t>(3), pp.308-326.</w:t>
      </w:r>
    </w:p>
    <w:p w14:paraId="68FD691F" w14:textId="1919F798" w:rsidR="002A4DEE" w:rsidRDefault="002A4DEE" w:rsidP="00381B18">
      <w:pPr>
        <w:spacing w:before="240" w:line="360" w:lineRule="auto"/>
        <w:jc w:val="both"/>
        <w:rPr>
          <w:rFonts w:ascii="Arial" w:hAnsi="Arial" w:cs="Arial"/>
        </w:rPr>
      </w:pPr>
      <w:r w:rsidRPr="002A4DEE">
        <w:rPr>
          <w:rFonts w:ascii="Arial" w:hAnsi="Arial" w:cs="Arial"/>
        </w:rPr>
        <w:t xml:space="preserve">Robinson, L.R., </w:t>
      </w:r>
      <w:r w:rsidR="00082577">
        <w:rPr>
          <w:rFonts w:ascii="Arial" w:hAnsi="Arial" w:cs="Arial"/>
        </w:rPr>
        <w:t>(</w:t>
      </w:r>
      <w:r w:rsidRPr="002A4DEE">
        <w:rPr>
          <w:rFonts w:ascii="Arial" w:hAnsi="Arial" w:cs="Arial"/>
        </w:rPr>
        <w:t>2017</w:t>
      </w:r>
      <w:r w:rsidR="00082577">
        <w:rPr>
          <w:rFonts w:ascii="Arial" w:hAnsi="Arial" w:cs="Arial"/>
        </w:rPr>
        <w:t>)</w:t>
      </w:r>
      <w:r w:rsidRPr="002A4DEE">
        <w:rPr>
          <w:rFonts w:ascii="Arial" w:hAnsi="Arial" w:cs="Arial"/>
        </w:rPr>
        <w:t>. Differences in health care, family, and community factors associated with mental, behavioral, and developmental disorders among children aged 2–8 years in rural and urban areas—United States, 2011–2012. </w:t>
      </w:r>
      <w:r w:rsidRPr="002A4DEE">
        <w:rPr>
          <w:rFonts w:ascii="Arial" w:hAnsi="Arial" w:cs="Arial"/>
          <w:i/>
          <w:iCs/>
        </w:rPr>
        <w:t>MMWR. Surveillance Summaries</w:t>
      </w:r>
      <w:r w:rsidRPr="002A4DEE">
        <w:rPr>
          <w:rFonts w:ascii="Arial" w:hAnsi="Arial" w:cs="Arial"/>
        </w:rPr>
        <w:t>, </w:t>
      </w:r>
      <w:r w:rsidRPr="002A4DEE">
        <w:rPr>
          <w:rFonts w:ascii="Arial" w:hAnsi="Arial" w:cs="Arial"/>
          <w:i/>
          <w:iCs/>
        </w:rPr>
        <w:t>66</w:t>
      </w:r>
      <w:r w:rsidRPr="002A4DEE">
        <w:rPr>
          <w:rFonts w:ascii="Arial" w:hAnsi="Arial" w:cs="Arial"/>
        </w:rPr>
        <w:t>.</w:t>
      </w:r>
    </w:p>
    <w:p w14:paraId="038D646C" w14:textId="267D558B" w:rsidR="00D64ABB" w:rsidRDefault="00D64ABB" w:rsidP="00381B18">
      <w:pPr>
        <w:spacing w:before="240" w:line="360" w:lineRule="auto"/>
        <w:jc w:val="both"/>
        <w:rPr>
          <w:rFonts w:ascii="Arial" w:hAnsi="Arial" w:cs="Arial"/>
        </w:rPr>
      </w:pPr>
      <w:r w:rsidRPr="00D64ABB">
        <w:rPr>
          <w:rFonts w:ascii="Arial" w:hAnsi="Arial" w:cs="Arial"/>
        </w:rPr>
        <w:t xml:space="preserve">Raspa, M., Levis, D.M., Kish-Doto, J., Wallace, I., Rice, C., Barger, B., Green, K.K. and Wolf, R.B., </w:t>
      </w:r>
      <w:r w:rsidR="00FC12BF">
        <w:rPr>
          <w:rFonts w:ascii="Arial" w:hAnsi="Arial" w:cs="Arial"/>
        </w:rPr>
        <w:t>(</w:t>
      </w:r>
      <w:r w:rsidRPr="00D64ABB">
        <w:rPr>
          <w:rFonts w:ascii="Arial" w:hAnsi="Arial" w:cs="Arial"/>
        </w:rPr>
        <w:t>2015</w:t>
      </w:r>
      <w:r w:rsidR="00FC12BF">
        <w:rPr>
          <w:rFonts w:ascii="Arial" w:hAnsi="Arial" w:cs="Arial"/>
        </w:rPr>
        <w:t>)</w:t>
      </w:r>
      <w:r w:rsidRPr="00D64ABB">
        <w:rPr>
          <w:rFonts w:ascii="Arial" w:hAnsi="Arial" w:cs="Arial"/>
        </w:rPr>
        <w:t>. Examining parents' experiences and information needs regarding early identification of developmental delays: qualitative research to inform a public health campaign. </w:t>
      </w:r>
      <w:r w:rsidRPr="00D64ABB">
        <w:rPr>
          <w:rFonts w:ascii="Arial" w:hAnsi="Arial" w:cs="Arial"/>
          <w:i/>
          <w:iCs/>
        </w:rPr>
        <w:t>Journal of Developmental &amp; Behavioral Pediatrics</w:t>
      </w:r>
      <w:r w:rsidRPr="00D64ABB">
        <w:rPr>
          <w:rFonts w:ascii="Arial" w:hAnsi="Arial" w:cs="Arial"/>
        </w:rPr>
        <w:t>, </w:t>
      </w:r>
      <w:r w:rsidRPr="00D64ABB">
        <w:rPr>
          <w:rFonts w:ascii="Arial" w:hAnsi="Arial" w:cs="Arial"/>
          <w:i/>
          <w:iCs/>
        </w:rPr>
        <w:t>36</w:t>
      </w:r>
      <w:r w:rsidRPr="00D64ABB">
        <w:rPr>
          <w:rFonts w:ascii="Arial" w:hAnsi="Arial" w:cs="Arial"/>
        </w:rPr>
        <w:t>(8), pp.575-585.</w:t>
      </w:r>
    </w:p>
    <w:p w14:paraId="1FA835E5" w14:textId="685457C3" w:rsidR="00CE76E9" w:rsidRDefault="00CE76E9" w:rsidP="00381B18">
      <w:pPr>
        <w:spacing w:before="240" w:line="360" w:lineRule="auto"/>
        <w:jc w:val="both"/>
        <w:rPr>
          <w:rFonts w:ascii="Arial" w:hAnsi="Arial" w:cs="Arial"/>
        </w:rPr>
      </w:pPr>
      <w:r w:rsidRPr="00CE76E9">
        <w:rPr>
          <w:rFonts w:ascii="Arial" w:hAnsi="Arial" w:cs="Arial"/>
        </w:rPr>
        <w:t xml:space="preserve">Sapiets, S.J., Hastings, R.P., Stanford, C. and Totsika, V., </w:t>
      </w:r>
      <w:r w:rsidR="00082577">
        <w:rPr>
          <w:rFonts w:ascii="Arial" w:hAnsi="Arial" w:cs="Arial"/>
        </w:rPr>
        <w:t>(</w:t>
      </w:r>
      <w:r w:rsidRPr="00CE76E9">
        <w:rPr>
          <w:rFonts w:ascii="Arial" w:hAnsi="Arial" w:cs="Arial"/>
        </w:rPr>
        <w:t>2023</w:t>
      </w:r>
      <w:r w:rsidR="00082577">
        <w:rPr>
          <w:rFonts w:ascii="Arial" w:hAnsi="Arial" w:cs="Arial"/>
        </w:rPr>
        <w:t>)</w:t>
      </w:r>
      <w:r w:rsidRPr="00CE76E9">
        <w:rPr>
          <w:rFonts w:ascii="Arial" w:hAnsi="Arial" w:cs="Arial"/>
        </w:rPr>
        <w:t>. Families’ access to early intervention and supports for children with developmental disabilities. </w:t>
      </w:r>
      <w:r w:rsidRPr="00CE76E9">
        <w:rPr>
          <w:rFonts w:ascii="Arial" w:hAnsi="Arial" w:cs="Arial"/>
          <w:i/>
          <w:iCs/>
        </w:rPr>
        <w:t>Journal of Early Intervention</w:t>
      </w:r>
      <w:r w:rsidRPr="00CE76E9">
        <w:rPr>
          <w:rFonts w:ascii="Arial" w:hAnsi="Arial" w:cs="Arial"/>
        </w:rPr>
        <w:t>, </w:t>
      </w:r>
      <w:r w:rsidRPr="00CE76E9">
        <w:rPr>
          <w:rFonts w:ascii="Arial" w:hAnsi="Arial" w:cs="Arial"/>
          <w:i/>
          <w:iCs/>
        </w:rPr>
        <w:t>45</w:t>
      </w:r>
      <w:r w:rsidRPr="00CE76E9">
        <w:rPr>
          <w:rFonts w:ascii="Arial" w:hAnsi="Arial" w:cs="Arial"/>
        </w:rPr>
        <w:t>(2), pp.103-121.</w:t>
      </w:r>
    </w:p>
    <w:p w14:paraId="67ED4C38" w14:textId="77777777" w:rsidR="00C114C4" w:rsidRPr="00AB7121" w:rsidRDefault="00C114C4" w:rsidP="00C114C4">
      <w:pPr>
        <w:spacing w:before="240" w:line="360" w:lineRule="auto"/>
        <w:jc w:val="both"/>
        <w:rPr>
          <w:rFonts w:ascii="Arial" w:hAnsi="Arial" w:cs="Arial"/>
        </w:rPr>
      </w:pPr>
      <w:r w:rsidRPr="00AB7121">
        <w:rPr>
          <w:rFonts w:ascii="Arial" w:hAnsi="Arial" w:cs="Arial"/>
        </w:rPr>
        <w:t>Sapiets, S.J., Totsika, V. and Hastings, R.P., (2021). Factors influencing access to early intervention for families of children with developmental disabilities: A narrative review. </w:t>
      </w:r>
      <w:r w:rsidRPr="00AB7121">
        <w:rPr>
          <w:rFonts w:ascii="Arial" w:hAnsi="Arial" w:cs="Arial"/>
          <w:i/>
          <w:iCs/>
        </w:rPr>
        <w:t>Journal of Applied Research in Intellectual Disabilities</w:t>
      </w:r>
      <w:r w:rsidRPr="00AB7121">
        <w:rPr>
          <w:rFonts w:ascii="Arial" w:hAnsi="Arial" w:cs="Arial"/>
        </w:rPr>
        <w:t>, </w:t>
      </w:r>
      <w:r w:rsidRPr="00AB7121">
        <w:rPr>
          <w:rFonts w:ascii="Arial" w:hAnsi="Arial" w:cs="Arial"/>
          <w:i/>
          <w:iCs/>
        </w:rPr>
        <w:t>34</w:t>
      </w:r>
      <w:r w:rsidRPr="00AB7121">
        <w:rPr>
          <w:rFonts w:ascii="Arial" w:hAnsi="Arial" w:cs="Arial"/>
        </w:rPr>
        <w:t>(3), pp.695-711.</w:t>
      </w:r>
    </w:p>
    <w:p w14:paraId="388CD8AD" w14:textId="77777777" w:rsidR="00ED6DF0" w:rsidRPr="008F2ECB" w:rsidRDefault="00ED6DF0" w:rsidP="00ED6DF0">
      <w:pPr>
        <w:spacing w:line="360" w:lineRule="auto"/>
        <w:jc w:val="both"/>
        <w:rPr>
          <w:rFonts w:ascii="Arial" w:hAnsi="Arial" w:cs="Arial"/>
        </w:rPr>
      </w:pPr>
      <w:r w:rsidRPr="008F2ECB">
        <w:rPr>
          <w:rFonts w:ascii="Arial" w:hAnsi="Arial" w:cs="Arial"/>
        </w:rPr>
        <w:lastRenderedPageBreak/>
        <w:t>Salmond, S. and Manchester, J., (2021). Choosing the Right Appraisal. </w:t>
      </w:r>
      <w:r w:rsidRPr="008F2ECB">
        <w:rPr>
          <w:rFonts w:ascii="Arial" w:hAnsi="Arial" w:cs="Arial"/>
          <w:i/>
          <w:iCs/>
        </w:rPr>
        <w:t>Comprehensive systematic review for advanced practice nursing</w:t>
      </w:r>
      <w:r w:rsidRPr="008F2ECB">
        <w:rPr>
          <w:rFonts w:ascii="Arial" w:hAnsi="Arial" w:cs="Arial"/>
        </w:rPr>
        <w:t>, p.185.</w:t>
      </w:r>
    </w:p>
    <w:p w14:paraId="0E61334D" w14:textId="77777777" w:rsidR="00ED6DF0" w:rsidRDefault="00ED6DF0" w:rsidP="00ED6DF0">
      <w:pPr>
        <w:spacing w:line="360" w:lineRule="auto"/>
        <w:jc w:val="both"/>
        <w:rPr>
          <w:rFonts w:ascii="Arial" w:hAnsi="Arial" w:cs="Arial"/>
        </w:rPr>
      </w:pPr>
      <w:r w:rsidRPr="008F2ECB">
        <w:rPr>
          <w:rFonts w:ascii="Arial" w:hAnsi="Arial" w:cs="Arial"/>
        </w:rPr>
        <w:t>Sharadgah, T.A. and Sa'di, R.A., (2022). A systematic review of research on the use of artificial intelligence in English language teaching and learning (2015-2021): What are the current effects?. </w:t>
      </w:r>
      <w:r w:rsidRPr="008F2ECB">
        <w:rPr>
          <w:rFonts w:ascii="Arial" w:hAnsi="Arial" w:cs="Arial"/>
          <w:i/>
          <w:iCs/>
        </w:rPr>
        <w:t>Journal of Information Technology Education: Research</w:t>
      </w:r>
      <w:r w:rsidRPr="008F2ECB">
        <w:rPr>
          <w:rFonts w:ascii="Arial" w:hAnsi="Arial" w:cs="Arial"/>
        </w:rPr>
        <w:t>, </w:t>
      </w:r>
      <w:r w:rsidRPr="008F2ECB">
        <w:rPr>
          <w:rFonts w:ascii="Arial" w:hAnsi="Arial" w:cs="Arial"/>
          <w:i/>
          <w:iCs/>
        </w:rPr>
        <w:t>21</w:t>
      </w:r>
      <w:r w:rsidRPr="008F2ECB">
        <w:rPr>
          <w:rFonts w:ascii="Arial" w:hAnsi="Arial" w:cs="Arial"/>
        </w:rPr>
        <w:t>.</w:t>
      </w:r>
    </w:p>
    <w:p w14:paraId="604DA35E" w14:textId="0014BA53" w:rsidR="00BA47C5" w:rsidRDefault="00BA47C5" w:rsidP="00ED6DF0">
      <w:pPr>
        <w:spacing w:line="360" w:lineRule="auto"/>
        <w:jc w:val="both"/>
        <w:rPr>
          <w:rFonts w:ascii="Arial" w:hAnsi="Arial" w:cs="Arial"/>
        </w:rPr>
      </w:pPr>
      <w:r w:rsidRPr="00BA47C5">
        <w:rPr>
          <w:rFonts w:ascii="Arial" w:hAnsi="Arial" w:cs="Arial"/>
        </w:rPr>
        <w:t xml:space="preserve">Shaw, K.A. (2023) Early identification of autism spectrum disorder among children aged 4 years—Autism and Developmental Disabilities Monitoring Network, 11 sites, United States, 2020, </w:t>
      </w:r>
      <w:r w:rsidRPr="00BA47C5">
        <w:rPr>
          <w:rFonts w:ascii="Arial" w:hAnsi="Arial" w:cs="Arial"/>
          <w:i/>
          <w:iCs/>
        </w:rPr>
        <w:t>MMWR Surveillance Summaries</w:t>
      </w:r>
      <w:r w:rsidRPr="00BA47C5">
        <w:rPr>
          <w:rFonts w:ascii="Arial" w:hAnsi="Arial" w:cs="Arial"/>
        </w:rPr>
        <w:t>, 72.</w:t>
      </w:r>
    </w:p>
    <w:p w14:paraId="41F9CB44" w14:textId="4844EADA" w:rsidR="00ED6DF0" w:rsidRDefault="00ED6DF0" w:rsidP="00ED6DF0">
      <w:pPr>
        <w:spacing w:line="360" w:lineRule="auto"/>
        <w:jc w:val="both"/>
        <w:rPr>
          <w:rFonts w:ascii="Arial" w:hAnsi="Arial" w:cs="Arial"/>
        </w:rPr>
      </w:pPr>
      <w:r w:rsidRPr="002448CA">
        <w:rPr>
          <w:rFonts w:ascii="Arial" w:hAnsi="Arial" w:cs="Arial"/>
        </w:rPr>
        <w:t xml:space="preserve">Saharan, V.A., Kulhari, H., Jadhav, H., Pooja, D., Banerjee, S. and Singh, A., </w:t>
      </w:r>
      <w:r w:rsidR="00714921">
        <w:rPr>
          <w:rFonts w:ascii="Arial" w:hAnsi="Arial" w:cs="Arial"/>
        </w:rPr>
        <w:t>(</w:t>
      </w:r>
      <w:r w:rsidRPr="002448CA">
        <w:rPr>
          <w:rFonts w:ascii="Arial" w:hAnsi="Arial" w:cs="Arial"/>
        </w:rPr>
        <w:t>2024</w:t>
      </w:r>
      <w:r w:rsidR="00714921">
        <w:rPr>
          <w:rFonts w:ascii="Arial" w:hAnsi="Arial" w:cs="Arial"/>
        </w:rPr>
        <w:t>)</w:t>
      </w:r>
      <w:r w:rsidRPr="002448CA">
        <w:rPr>
          <w:rFonts w:ascii="Arial" w:hAnsi="Arial" w:cs="Arial"/>
        </w:rPr>
        <w:t>. Introduction to research methodology. In </w:t>
      </w:r>
      <w:r w:rsidRPr="002448CA">
        <w:rPr>
          <w:rFonts w:ascii="Arial" w:hAnsi="Arial" w:cs="Arial"/>
          <w:i/>
          <w:iCs/>
        </w:rPr>
        <w:t>Principles of research methodology and ethics in pharmaceutical sciences</w:t>
      </w:r>
      <w:r w:rsidRPr="002448CA">
        <w:rPr>
          <w:rFonts w:ascii="Arial" w:hAnsi="Arial" w:cs="Arial"/>
        </w:rPr>
        <w:t> (pp. 1-46). CRC Press.</w:t>
      </w:r>
    </w:p>
    <w:p w14:paraId="1930AD1F" w14:textId="512E6686" w:rsidR="00AC520C" w:rsidRDefault="00AC520C" w:rsidP="00C114C4">
      <w:pPr>
        <w:spacing w:before="240" w:line="360" w:lineRule="auto"/>
        <w:jc w:val="both"/>
        <w:rPr>
          <w:rFonts w:ascii="Arial" w:hAnsi="Arial" w:cs="Arial"/>
        </w:rPr>
      </w:pPr>
      <w:r w:rsidRPr="00AC520C">
        <w:rPr>
          <w:rFonts w:ascii="Arial" w:hAnsi="Arial" w:cs="Arial"/>
        </w:rPr>
        <w:t xml:space="preserve">Singh, P. and Anekar, U., </w:t>
      </w:r>
      <w:r>
        <w:rPr>
          <w:rFonts w:ascii="Arial" w:hAnsi="Arial" w:cs="Arial"/>
        </w:rPr>
        <w:t>(</w:t>
      </w:r>
      <w:r w:rsidRPr="00AC520C">
        <w:rPr>
          <w:rFonts w:ascii="Arial" w:hAnsi="Arial" w:cs="Arial"/>
        </w:rPr>
        <w:t>2018</w:t>
      </w:r>
      <w:r>
        <w:rPr>
          <w:rFonts w:ascii="Arial" w:hAnsi="Arial" w:cs="Arial"/>
        </w:rPr>
        <w:t>)</w:t>
      </w:r>
      <w:r w:rsidRPr="00AC520C">
        <w:rPr>
          <w:rFonts w:ascii="Arial" w:hAnsi="Arial" w:cs="Arial"/>
        </w:rPr>
        <w:t>. The importance of early identification and intervention for children with developmental delays. </w:t>
      </w:r>
      <w:r w:rsidRPr="00AC520C">
        <w:rPr>
          <w:rFonts w:ascii="Arial" w:hAnsi="Arial" w:cs="Arial"/>
          <w:i/>
          <w:iCs/>
        </w:rPr>
        <w:t>Indian Journal of Positive Psychology</w:t>
      </w:r>
      <w:r w:rsidRPr="00AC520C">
        <w:rPr>
          <w:rFonts w:ascii="Arial" w:hAnsi="Arial" w:cs="Arial"/>
        </w:rPr>
        <w:t>, </w:t>
      </w:r>
      <w:r w:rsidRPr="00AC520C">
        <w:rPr>
          <w:rFonts w:ascii="Arial" w:hAnsi="Arial" w:cs="Arial"/>
          <w:i/>
          <w:iCs/>
        </w:rPr>
        <w:t>9</w:t>
      </w:r>
      <w:r w:rsidRPr="00AC520C">
        <w:rPr>
          <w:rFonts w:ascii="Arial" w:hAnsi="Arial" w:cs="Arial"/>
        </w:rPr>
        <w:t>(2).</w:t>
      </w:r>
    </w:p>
    <w:p w14:paraId="1BCD1C50" w14:textId="4C2A98B1" w:rsidR="00C114C4" w:rsidRPr="00AB7121" w:rsidRDefault="00C114C4" w:rsidP="00C114C4">
      <w:pPr>
        <w:spacing w:before="240" w:line="360" w:lineRule="auto"/>
        <w:jc w:val="both"/>
        <w:rPr>
          <w:rFonts w:ascii="Arial" w:hAnsi="Arial" w:cs="Arial"/>
        </w:rPr>
      </w:pPr>
      <w:r w:rsidRPr="00AB7121">
        <w:rPr>
          <w:rFonts w:ascii="Arial" w:hAnsi="Arial" w:cs="Arial"/>
        </w:rPr>
        <w:t>Smythe, T., Scherer, N., Nanyunja, C., Tann, C.J. and Olusanya, B.O., (2024). Strategies for addressing the needs of children with or at risk of developmental disabilities in early childhood by 2030: a systematic umbrella review. </w:t>
      </w:r>
      <w:r w:rsidRPr="00AB7121">
        <w:rPr>
          <w:rFonts w:ascii="Arial" w:hAnsi="Arial" w:cs="Arial"/>
          <w:i/>
          <w:iCs/>
        </w:rPr>
        <w:t>BMC medicine</w:t>
      </w:r>
      <w:r w:rsidRPr="00AB7121">
        <w:rPr>
          <w:rFonts w:ascii="Arial" w:hAnsi="Arial" w:cs="Arial"/>
        </w:rPr>
        <w:t>, </w:t>
      </w:r>
      <w:r w:rsidRPr="00AB7121">
        <w:rPr>
          <w:rFonts w:ascii="Arial" w:hAnsi="Arial" w:cs="Arial"/>
          <w:i/>
          <w:iCs/>
        </w:rPr>
        <w:t>22</w:t>
      </w:r>
      <w:r w:rsidRPr="00AB7121">
        <w:rPr>
          <w:rFonts w:ascii="Arial" w:hAnsi="Arial" w:cs="Arial"/>
        </w:rPr>
        <w:t>(1), p.51.</w:t>
      </w:r>
    </w:p>
    <w:p w14:paraId="3119E3AC" w14:textId="503B361F" w:rsidR="002A34E0" w:rsidRDefault="002A34E0" w:rsidP="00381B18">
      <w:pPr>
        <w:spacing w:before="240" w:line="360" w:lineRule="auto"/>
        <w:jc w:val="both"/>
        <w:rPr>
          <w:rFonts w:ascii="Arial" w:hAnsi="Arial" w:cs="Arial"/>
        </w:rPr>
      </w:pPr>
      <w:r w:rsidRPr="002A34E0">
        <w:rPr>
          <w:rFonts w:ascii="Arial" w:hAnsi="Arial" w:cs="Arial"/>
        </w:rPr>
        <w:t xml:space="preserve">Scattolin, M.A.D.A., Resegue, R.M. and Rosário, M.C.D., </w:t>
      </w:r>
      <w:r w:rsidR="00082577">
        <w:rPr>
          <w:rFonts w:ascii="Arial" w:hAnsi="Arial" w:cs="Arial"/>
        </w:rPr>
        <w:t>(</w:t>
      </w:r>
      <w:r w:rsidRPr="002A34E0">
        <w:rPr>
          <w:rFonts w:ascii="Arial" w:hAnsi="Arial" w:cs="Arial"/>
        </w:rPr>
        <w:t>2022</w:t>
      </w:r>
      <w:r w:rsidR="00082577">
        <w:rPr>
          <w:rFonts w:ascii="Arial" w:hAnsi="Arial" w:cs="Arial"/>
        </w:rPr>
        <w:t>)</w:t>
      </w:r>
      <w:r w:rsidRPr="002A34E0">
        <w:rPr>
          <w:rFonts w:ascii="Arial" w:hAnsi="Arial" w:cs="Arial"/>
        </w:rPr>
        <w:t>. The impact of the environment on neurodevelopmental disorders in early childhood. </w:t>
      </w:r>
      <w:r w:rsidRPr="002A34E0">
        <w:rPr>
          <w:rFonts w:ascii="Arial" w:hAnsi="Arial" w:cs="Arial"/>
          <w:i/>
          <w:iCs/>
        </w:rPr>
        <w:t>Jornal de Pediatria</w:t>
      </w:r>
      <w:r w:rsidRPr="002A34E0">
        <w:rPr>
          <w:rFonts w:ascii="Arial" w:hAnsi="Arial" w:cs="Arial"/>
        </w:rPr>
        <w:t>, </w:t>
      </w:r>
      <w:r w:rsidRPr="002A34E0">
        <w:rPr>
          <w:rFonts w:ascii="Arial" w:hAnsi="Arial" w:cs="Arial"/>
          <w:i/>
          <w:iCs/>
        </w:rPr>
        <w:t>98</w:t>
      </w:r>
      <w:r w:rsidRPr="002A34E0">
        <w:rPr>
          <w:rFonts w:ascii="Arial" w:hAnsi="Arial" w:cs="Arial"/>
        </w:rPr>
        <w:t>(suppl 1), pp.66-72.</w:t>
      </w:r>
    </w:p>
    <w:p w14:paraId="05A21BB5" w14:textId="0BC05C2B" w:rsidR="008D51DE" w:rsidRDefault="008D51DE" w:rsidP="00381B18">
      <w:pPr>
        <w:spacing w:before="240" w:line="360" w:lineRule="auto"/>
        <w:jc w:val="both"/>
        <w:rPr>
          <w:rFonts w:ascii="Arial" w:hAnsi="Arial" w:cs="Arial"/>
        </w:rPr>
      </w:pPr>
      <w:r w:rsidRPr="008D51DE">
        <w:rPr>
          <w:rFonts w:ascii="Arial" w:hAnsi="Arial" w:cs="Arial"/>
        </w:rPr>
        <w:t xml:space="preserve">Sheng, J., Shi, P., Sun, J. and Feng, X., </w:t>
      </w:r>
      <w:r w:rsidR="00082577">
        <w:rPr>
          <w:rFonts w:ascii="Arial" w:hAnsi="Arial" w:cs="Arial"/>
        </w:rPr>
        <w:t>(</w:t>
      </w:r>
      <w:r w:rsidRPr="008D51DE">
        <w:rPr>
          <w:rFonts w:ascii="Arial" w:hAnsi="Arial" w:cs="Arial"/>
        </w:rPr>
        <w:t>2023</w:t>
      </w:r>
      <w:r w:rsidR="00082577">
        <w:rPr>
          <w:rFonts w:ascii="Arial" w:hAnsi="Arial" w:cs="Arial"/>
        </w:rPr>
        <w:t>)</w:t>
      </w:r>
      <w:r w:rsidRPr="008D51DE">
        <w:rPr>
          <w:rFonts w:ascii="Arial" w:hAnsi="Arial" w:cs="Arial"/>
        </w:rPr>
        <w:t>. Predictors of physical activity behavior transitions in children and adolescents: A systematic review based on a transtheoretical model. </w:t>
      </w:r>
      <w:r w:rsidRPr="008D51DE">
        <w:rPr>
          <w:rFonts w:ascii="Arial" w:hAnsi="Arial" w:cs="Arial"/>
          <w:i/>
          <w:iCs/>
        </w:rPr>
        <w:t>Journal of healthcare engineering</w:t>
      </w:r>
      <w:r w:rsidRPr="008D51DE">
        <w:rPr>
          <w:rFonts w:ascii="Arial" w:hAnsi="Arial" w:cs="Arial"/>
        </w:rPr>
        <w:t>, </w:t>
      </w:r>
      <w:r w:rsidRPr="008D51DE">
        <w:rPr>
          <w:rFonts w:ascii="Arial" w:hAnsi="Arial" w:cs="Arial"/>
          <w:i/>
          <w:iCs/>
        </w:rPr>
        <w:t>2023</w:t>
      </w:r>
      <w:r w:rsidRPr="008D51DE">
        <w:rPr>
          <w:rFonts w:ascii="Arial" w:hAnsi="Arial" w:cs="Arial"/>
        </w:rPr>
        <w:t>(1), p.5786841.</w:t>
      </w:r>
    </w:p>
    <w:p w14:paraId="36268C14" w14:textId="2B2F357B" w:rsidR="00080DBE" w:rsidRDefault="00080DBE" w:rsidP="00381B18">
      <w:pPr>
        <w:spacing w:before="240" w:line="360" w:lineRule="auto"/>
        <w:jc w:val="both"/>
        <w:rPr>
          <w:rFonts w:ascii="Arial" w:hAnsi="Arial" w:cs="Arial"/>
        </w:rPr>
      </w:pPr>
      <w:r w:rsidRPr="00080DBE">
        <w:rPr>
          <w:rFonts w:ascii="Arial" w:hAnsi="Arial" w:cs="Arial"/>
        </w:rPr>
        <w:t xml:space="preserve">Symonds, J.D., Elliott, K.S., Shetty, J., Armstrong, M., Brunklaus, A., Cutcutache, I., Diver, L.A., Dorris, L., Gardiner, S., Jollands, A. and Joss, S., </w:t>
      </w:r>
      <w:r w:rsidR="00082577">
        <w:rPr>
          <w:rFonts w:ascii="Arial" w:hAnsi="Arial" w:cs="Arial"/>
        </w:rPr>
        <w:t>(</w:t>
      </w:r>
      <w:r w:rsidRPr="00080DBE">
        <w:rPr>
          <w:rFonts w:ascii="Arial" w:hAnsi="Arial" w:cs="Arial"/>
        </w:rPr>
        <w:t>2021</w:t>
      </w:r>
      <w:r w:rsidR="00082577">
        <w:rPr>
          <w:rFonts w:ascii="Arial" w:hAnsi="Arial" w:cs="Arial"/>
        </w:rPr>
        <w:t>)</w:t>
      </w:r>
      <w:r w:rsidRPr="00080DBE">
        <w:rPr>
          <w:rFonts w:ascii="Arial" w:hAnsi="Arial" w:cs="Arial"/>
        </w:rPr>
        <w:t>. Early childhood epilepsies: epidemiology, classification, aetiology, and socio-economic determinants. </w:t>
      </w:r>
      <w:r w:rsidRPr="00080DBE">
        <w:rPr>
          <w:rFonts w:ascii="Arial" w:hAnsi="Arial" w:cs="Arial"/>
          <w:i/>
          <w:iCs/>
        </w:rPr>
        <w:t>Brain</w:t>
      </w:r>
      <w:r w:rsidRPr="00080DBE">
        <w:rPr>
          <w:rFonts w:ascii="Arial" w:hAnsi="Arial" w:cs="Arial"/>
        </w:rPr>
        <w:t>, </w:t>
      </w:r>
      <w:r w:rsidRPr="00080DBE">
        <w:rPr>
          <w:rFonts w:ascii="Arial" w:hAnsi="Arial" w:cs="Arial"/>
          <w:i/>
          <w:iCs/>
        </w:rPr>
        <w:t>144</w:t>
      </w:r>
      <w:r w:rsidRPr="00080DBE">
        <w:rPr>
          <w:rFonts w:ascii="Arial" w:hAnsi="Arial" w:cs="Arial"/>
        </w:rPr>
        <w:t>(9), pp.2879-2891.</w:t>
      </w:r>
    </w:p>
    <w:p w14:paraId="02EAEBA1" w14:textId="624C65CE" w:rsidR="0093665F" w:rsidRDefault="0093665F" w:rsidP="00381B18">
      <w:pPr>
        <w:spacing w:before="240" w:line="360" w:lineRule="auto"/>
        <w:jc w:val="both"/>
        <w:rPr>
          <w:rFonts w:ascii="Arial" w:hAnsi="Arial" w:cs="Arial"/>
        </w:rPr>
      </w:pPr>
      <w:r w:rsidRPr="0093665F">
        <w:rPr>
          <w:rFonts w:ascii="Arial" w:hAnsi="Arial" w:cs="Arial"/>
        </w:rPr>
        <w:lastRenderedPageBreak/>
        <w:t xml:space="preserve">Thoburn, J., </w:t>
      </w:r>
      <w:r w:rsidR="00082577">
        <w:rPr>
          <w:rFonts w:ascii="Arial" w:hAnsi="Arial" w:cs="Arial"/>
        </w:rPr>
        <w:t>(</w:t>
      </w:r>
      <w:r w:rsidRPr="0093665F">
        <w:rPr>
          <w:rFonts w:ascii="Arial" w:hAnsi="Arial" w:cs="Arial"/>
        </w:rPr>
        <w:t>2023</w:t>
      </w:r>
      <w:r w:rsidR="00082577">
        <w:rPr>
          <w:rFonts w:ascii="Arial" w:hAnsi="Arial" w:cs="Arial"/>
        </w:rPr>
        <w:t>)</w:t>
      </w:r>
      <w:r w:rsidRPr="0093665F">
        <w:rPr>
          <w:rFonts w:ascii="Arial" w:hAnsi="Arial" w:cs="Arial"/>
        </w:rPr>
        <w:t>. Child welfare and child protection services in England. </w:t>
      </w:r>
      <w:r w:rsidRPr="0093665F">
        <w:rPr>
          <w:rFonts w:ascii="Arial" w:hAnsi="Arial" w:cs="Arial"/>
          <w:i/>
          <w:iCs/>
        </w:rPr>
        <w:t>The Oxford handbook of child protection systems</w:t>
      </w:r>
      <w:r w:rsidRPr="0093665F">
        <w:rPr>
          <w:rFonts w:ascii="Arial" w:hAnsi="Arial" w:cs="Arial"/>
        </w:rPr>
        <w:t>, pp.135-155.</w:t>
      </w:r>
    </w:p>
    <w:p w14:paraId="7A10E342" w14:textId="6A03FF91" w:rsidR="00C86DF2" w:rsidRDefault="00C86DF2" w:rsidP="00381B18">
      <w:pPr>
        <w:spacing w:before="240" w:line="360" w:lineRule="auto"/>
        <w:jc w:val="both"/>
        <w:rPr>
          <w:rFonts w:ascii="Arial" w:hAnsi="Arial" w:cs="Arial"/>
        </w:rPr>
      </w:pPr>
      <w:r w:rsidRPr="00C86DF2">
        <w:rPr>
          <w:rFonts w:ascii="Arial" w:hAnsi="Arial" w:cs="Arial"/>
        </w:rPr>
        <w:t xml:space="preserve">Thomas, M.S., </w:t>
      </w:r>
      <w:r w:rsidR="00082577">
        <w:rPr>
          <w:rFonts w:ascii="Arial" w:hAnsi="Arial" w:cs="Arial"/>
        </w:rPr>
        <w:t>(</w:t>
      </w:r>
      <w:r w:rsidRPr="00C86DF2">
        <w:rPr>
          <w:rFonts w:ascii="Arial" w:hAnsi="Arial" w:cs="Arial"/>
        </w:rPr>
        <w:t>2016</w:t>
      </w:r>
      <w:r w:rsidR="00082577">
        <w:rPr>
          <w:rFonts w:ascii="Arial" w:hAnsi="Arial" w:cs="Arial"/>
        </w:rPr>
        <w:t>)</w:t>
      </w:r>
      <w:r w:rsidRPr="00C86DF2">
        <w:rPr>
          <w:rFonts w:ascii="Arial" w:hAnsi="Arial" w:cs="Arial"/>
        </w:rPr>
        <w:t>. Understanding delay in developmental disorders. </w:t>
      </w:r>
      <w:r w:rsidRPr="00C86DF2">
        <w:rPr>
          <w:rFonts w:ascii="Arial" w:hAnsi="Arial" w:cs="Arial"/>
          <w:i/>
          <w:iCs/>
        </w:rPr>
        <w:t>Child Development Perspectives</w:t>
      </w:r>
      <w:r w:rsidRPr="00C86DF2">
        <w:rPr>
          <w:rFonts w:ascii="Arial" w:hAnsi="Arial" w:cs="Arial"/>
        </w:rPr>
        <w:t>, </w:t>
      </w:r>
      <w:r w:rsidRPr="00C86DF2">
        <w:rPr>
          <w:rFonts w:ascii="Arial" w:hAnsi="Arial" w:cs="Arial"/>
          <w:i/>
          <w:iCs/>
        </w:rPr>
        <w:t>10</w:t>
      </w:r>
      <w:r w:rsidRPr="00C86DF2">
        <w:rPr>
          <w:rFonts w:ascii="Arial" w:hAnsi="Arial" w:cs="Arial"/>
        </w:rPr>
        <w:t>(2), pp.73-80.</w:t>
      </w:r>
    </w:p>
    <w:p w14:paraId="0FFF5B71" w14:textId="36F31DBE" w:rsidR="00B220D8" w:rsidRDefault="00B220D8" w:rsidP="00381B18">
      <w:pPr>
        <w:spacing w:before="240" w:line="360" w:lineRule="auto"/>
        <w:jc w:val="both"/>
        <w:rPr>
          <w:rFonts w:ascii="Arial" w:hAnsi="Arial" w:cs="Arial"/>
        </w:rPr>
      </w:pPr>
      <w:r w:rsidRPr="00B220D8">
        <w:rPr>
          <w:rFonts w:ascii="Arial" w:hAnsi="Arial" w:cs="Arial"/>
        </w:rPr>
        <w:t xml:space="preserve">Toki, E.I., Tsoulos, I.G., Santamato, V. and Pange, J. (2024) Machine learning for predicting neurodevelopmental disorders in children, </w:t>
      </w:r>
      <w:r w:rsidRPr="00B220D8">
        <w:rPr>
          <w:rFonts w:ascii="Arial" w:hAnsi="Arial" w:cs="Arial"/>
          <w:i/>
          <w:iCs/>
        </w:rPr>
        <w:t>Applied Sciences</w:t>
      </w:r>
      <w:r w:rsidRPr="00B220D8">
        <w:rPr>
          <w:rFonts w:ascii="Arial" w:hAnsi="Arial" w:cs="Arial"/>
        </w:rPr>
        <w:t>, 14(2), p. 837.</w:t>
      </w:r>
    </w:p>
    <w:p w14:paraId="398835A8" w14:textId="77777777" w:rsidR="00C114C4" w:rsidRPr="00AB7121" w:rsidRDefault="00C114C4" w:rsidP="00C114C4">
      <w:pPr>
        <w:spacing w:before="240" w:line="360" w:lineRule="auto"/>
        <w:jc w:val="both"/>
        <w:rPr>
          <w:rFonts w:ascii="Arial" w:hAnsi="Arial" w:cs="Arial"/>
        </w:rPr>
      </w:pPr>
      <w:r w:rsidRPr="00AB7121">
        <w:rPr>
          <w:rFonts w:ascii="Arial" w:hAnsi="Arial" w:cs="Arial"/>
        </w:rPr>
        <w:t xml:space="preserve">The Royal College of Paediatrics and Child Health (RCPCH) (2021), Briefing: state of child health in the UK. </w:t>
      </w:r>
      <w:hyperlink r:id="rId15" w:history="1">
        <w:r w:rsidRPr="00AB7121">
          <w:rPr>
            <w:rStyle w:val="Hyperlink"/>
            <w:rFonts w:ascii="Arial" w:hAnsi="Arial" w:cs="Arial"/>
          </w:rPr>
          <w:t>https://www.rcpch.ac.uk/sites/default/files/2021-07/RCPCH%20Briefing%20-%20State%20of%20Child%20Health%20in%20the%20UK.pdf</w:t>
        </w:r>
      </w:hyperlink>
    </w:p>
    <w:p w14:paraId="397F367D" w14:textId="77777777" w:rsidR="00C114C4" w:rsidRPr="00AB7121" w:rsidRDefault="00C114C4" w:rsidP="00C114C4">
      <w:pPr>
        <w:spacing w:before="240" w:line="360" w:lineRule="auto"/>
        <w:jc w:val="both"/>
        <w:rPr>
          <w:rFonts w:ascii="Arial" w:hAnsi="Arial" w:cs="Arial"/>
        </w:rPr>
      </w:pPr>
      <w:r w:rsidRPr="00AB7121">
        <w:rPr>
          <w:rFonts w:ascii="Arial" w:hAnsi="Arial" w:cs="Arial"/>
        </w:rPr>
        <w:t>Totsika, V., Liew, A., Absoud, M., Adnams, C. and Emerson, E., (2022). Mental health problems in children with intellectual disability. </w:t>
      </w:r>
      <w:r w:rsidRPr="00AB7121">
        <w:rPr>
          <w:rFonts w:ascii="Arial" w:hAnsi="Arial" w:cs="Arial"/>
          <w:i/>
          <w:iCs/>
        </w:rPr>
        <w:t>The Lancet Child &amp; Adolescent Health</w:t>
      </w:r>
      <w:r w:rsidRPr="00AB7121">
        <w:rPr>
          <w:rFonts w:ascii="Arial" w:hAnsi="Arial" w:cs="Arial"/>
        </w:rPr>
        <w:t>, </w:t>
      </w:r>
      <w:r w:rsidRPr="00AB7121">
        <w:rPr>
          <w:rFonts w:ascii="Arial" w:hAnsi="Arial" w:cs="Arial"/>
          <w:i/>
          <w:iCs/>
        </w:rPr>
        <w:t>6</w:t>
      </w:r>
      <w:r w:rsidRPr="00AB7121">
        <w:rPr>
          <w:rFonts w:ascii="Arial" w:hAnsi="Arial" w:cs="Arial"/>
        </w:rPr>
        <w:t>(6), pp.432-444.</w:t>
      </w:r>
    </w:p>
    <w:p w14:paraId="425BBCAF" w14:textId="2FAF9FA9" w:rsidR="008433F6" w:rsidRDefault="008433F6" w:rsidP="00C114C4">
      <w:pPr>
        <w:spacing w:before="240" w:line="360" w:lineRule="auto"/>
        <w:jc w:val="both"/>
        <w:rPr>
          <w:rFonts w:ascii="Arial" w:hAnsi="Arial" w:cs="Arial"/>
        </w:rPr>
      </w:pPr>
      <w:r w:rsidRPr="008433F6">
        <w:rPr>
          <w:rFonts w:ascii="Arial" w:hAnsi="Arial" w:cs="Arial"/>
        </w:rPr>
        <w:t xml:space="preserve">Twardzik, E., Smit, E., Hatfield, B., Odden, M.C., Dixon-Ibarra, A. and MacDonald, M., </w:t>
      </w:r>
      <w:r w:rsidR="000C110D">
        <w:rPr>
          <w:rFonts w:ascii="Arial" w:hAnsi="Arial" w:cs="Arial"/>
        </w:rPr>
        <w:t>(</w:t>
      </w:r>
      <w:r w:rsidRPr="008433F6">
        <w:rPr>
          <w:rFonts w:ascii="Arial" w:hAnsi="Arial" w:cs="Arial"/>
        </w:rPr>
        <w:t>2018</w:t>
      </w:r>
      <w:r w:rsidR="000C110D">
        <w:rPr>
          <w:rFonts w:ascii="Arial" w:hAnsi="Arial" w:cs="Arial"/>
        </w:rPr>
        <w:t>)</w:t>
      </w:r>
      <w:r w:rsidRPr="008433F6">
        <w:rPr>
          <w:rFonts w:ascii="Arial" w:hAnsi="Arial" w:cs="Arial"/>
        </w:rPr>
        <w:t>. Limited access to special education services for school-aged children with developmental delay. </w:t>
      </w:r>
      <w:r w:rsidRPr="008433F6">
        <w:rPr>
          <w:rFonts w:ascii="Arial" w:hAnsi="Arial" w:cs="Arial"/>
          <w:i/>
          <w:iCs/>
        </w:rPr>
        <w:t>Research in Developmental Disabilities</w:t>
      </w:r>
      <w:r w:rsidRPr="008433F6">
        <w:rPr>
          <w:rFonts w:ascii="Arial" w:hAnsi="Arial" w:cs="Arial"/>
        </w:rPr>
        <w:t>, </w:t>
      </w:r>
      <w:r w:rsidRPr="008433F6">
        <w:rPr>
          <w:rFonts w:ascii="Arial" w:hAnsi="Arial" w:cs="Arial"/>
          <w:i/>
          <w:iCs/>
        </w:rPr>
        <w:t>72</w:t>
      </w:r>
      <w:r w:rsidRPr="008433F6">
        <w:rPr>
          <w:rFonts w:ascii="Arial" w:hAnsi="Arial" w:cs="Arial"/>
        </w:rPr>
        <w:t>, pp.257-264.</w:t>
      </w:r>
    </w:p>
    <w:p w14:paraId="2F042D97" w14:textId="18EFCB6C" w:rsidR="00C114C4" w:rsidRPr="00AB7121" w:rsidRDefault="00C114C4" w:rsidP="00C114C4">
      <w:pPr>
        <w:spacing w:before="240" w:line="360" w:lineRule="auto"/>
        <w:jc w:val="both"/>
        <w:rPr>
          <w:rFonts w:ascii="Arial" w:hAnsi="Arial" w:cs="Arial"/>
        </w:rPr>
      </w:pPr>
      <w:r w:rsidRPr="00AB7121">
        <w:rPr>
          <w:rFonts w:ascii="Arial" w:hAnsi="Arial" w:cs="Arial"/>
        </w:rPr>
        <w:t xml:space="preserve">UNICEF (2016), </w:t>
      </w:r>
      <w:hyperlink r:id="rId16" w:history="1">
        <w:r w:rsidRPr="00AB7121">
          <w:rPr>
            <w:rStyle w:val="Hyperlink"/>
            <w:rFonts w:ascii="Arial" w:hAnsi="Arial" w:cs="Arial"/>
          </w:rPr>
          <w:t>https://www.unicef.org/early-childhood-development/data-evidence-tracking</w:t>
        </w:r>
      </w:hyperlink>
    </w:p>
    <w:p w14:paraId="4E55B606" w14:textId="77777777" w:rsidR="00C114C4" w:rsidRPr="00AB7121" w:rsidRDefault="00C114C4" w:rsidP="00C114C4">
      <w:pPr>
        <w:spacing w:before="240" w:line="360" w:lineRule="auto"/>
        <w:jc w:val="both"/>
        <w:rPr>
          <w:rFonts w:ascii="Arial" w:hAnsi="Arial" w:cs="Arial"/>
        </w:rPr>
      </w:pPr>
      <w:r w:rsidRPr="00AB7121">
        <w:rPr>
          <w:rFonts w:ascii="Arial" w:hAnsi="Arial" w:cs="Arial"/>
        </w:rPr>
        <w:t>Vandesande, S., Van Keer, I., Dhondt, A. and Maes, B., (2022). The social-emotional functioning of young children with a significant cognitive and motor developmental delay. </w:t>
      </w:r>
      <w:r w:rsidRPr="00AB7121">
        <w:rPr>
          <w:rFonts w:ascii="Arial" w:hAnsi="Arial" w:cs="Arial"/>
          <w:i/>
          <w:iCs/>
        </w:rPr>
        <w:t>International Journal of Developmental Disabilities</w:t>
      </w:r>
      <w:r w:rsidRPr="00AB7121">
        <w:rPr>
          <w:rFonts w:ascii="Arial" w:hAnsi="Arial" w:cs="Arial"/>
        </w:rPr>
        <w:t>, </w:t>
      </w:r>
      <w:r w:rsidRPr="00AB7121">
        <w:rPr>
          <w:rFonts w:ascii="Arial" w:hAnsi="Arial" w:cs="Arial"/>
          <w:i/>
          <w:iCs/>
        </w:rPr>
        <w:t>68</w:t>
      </w:r>
      <w:r w:rsidRPr="00AB7121">
        <w:rPr>
          <w:rFonts w:ascii="Arial" w:hAnsi="Arial" w:cs="Arial"/>
        </w:rPr>
        <w:t>(4), pp.462-473.</w:t>
      </w:r>
    </w:p>
    <w:p w14:paraId="4934D88C" w14:textId="77777777" w:rsidR="00C114C4" w:rsidRPr="00AB7121" w:rsidRDefault="00C114C4" w:rsidP="00C114C4">
      <w:pPr>
        <w:spacing w:before="240" w:line="360" w:lineRule="auto"/>
        <w:jc w:val="both"/>
        <w:rPr>
          <w:rFonts w:ascii="Arial" w:hAnsi="Arial" w:cs="Arial"/>
        </w:rPr>
      </w:pPr>
      <w:r w:rsidRPr="00AB7121">
        <w:rPr>
          <w:rFonts w:ascii="Arial" w:hAnsi="Arial" w:cs="Arial"/>
        </w:rPr>
        <w:t>Vasudevan, P. and Suri, M., (2017). A clinical approach to developmental delay and intellectual disability. </w:t>
      </w:r>
      <w:r w:rsidRPr="00AB7121">
        <w:rPr>
          <w:rFonts w:ascii="Arial" w:hAnsi="Arial" w:cs="Arial"/>
          <w:i/>
          <w:iCs/>
        </w:rPr>
        <w:t>Clinical Medicine</w:t>
      </w:r>
      <w:r w:rsidRPr="00AB7121">
        <w:rPr>
          <w:rFonts w:ascii="Arial" w:hAnsi="Arial" w:cs="Arial"/>
        </w:rPr>
        <w:t>, </w:t>
      </w:r>
      <w:r w:rsidRPr="00AB7121">
        <w:rPr>
          <w:rFonts w:ascii="Arial" w:hAnsi="Arial" w:cs="Arial"/>
          <w:i/>
          <w:iCs/>
        </w:rPr>
        <w:t>17</w:t>
      </w:r>
      <w:r w:rsidRPr="00AB7121">
        <w:rPr>
          <w:rFonts w:ascii="Arial" w:hAnsi="Arial" w:cs="Arial"/>
        </w:rPr>
        <w:t>(6), pp.558-561.</w:t>
      </w:r>
    </w:p>
    <w:p w14:paraId="503CD3EA" w14:textId="77777777" w:rsidR="00C114C4" w:rsidRDefault="00C114C4" w:rsidP="00C114C4">
      <w:pPr>
        <w:spacing w:before="240" w:line="360" w:lineRule="auto"/>
        <w:jc w:val="both"/>
      </w:pPr>
      <w:r w:rsidRPr="00AB7121">
        <w:rPr>
          <w:rFonts w:ascii="Arial" w:hAnsi="Arial" w:cs="Arial"/>
        </w:rPr>
        <w:t xml:space="preserve">WHO (2016), </w:t>
      </w:r>
      <w:hyperlink r:id="rId17" w:history="1">
        <w:r w:rsidRPr="00AB7121">
          <w:rPr>
            <w:rStyle w:val="Hyperlink"/>
            <w:rFonts w:ascii="Arial" w:hAnsi="Arial" w:cs="Arial"/>
          </w:rPr>
          <w:t>https://www.who.int/news/item/05-10-2016-investing-in-early-childhood-development-essential-to-helping-more-children-and-communities-thrive-new-lancet-series-finds</w:t>
        </w:r>
      </w:hyperlink>
    </w:p>
    <w:p w14:paraId="03F9441B" w14:textId="49BF701D" w:rsidR="008878A6" w:rsidRDefault="008878A6" w:rsidP="00C114C4">
      <w:pPr>
        <w:spacing w:before="240" w:line="360" w:lineRule="auto"/>
        <w:jc w:val="both"/>
        <w:rPr>
          <w:rFonts w:ascii="Arial" w:hAnsi="Arial" w:cs="Arial"/>
        </w:rPr>
      </w:pPr>
      <w:r w:rsidRPr="008878A6">
        <w:rPr>
          <w:rFonts w:ascii="Arial" w:hAnsi="Arial" w:cs="Arial"/>
        </w:rPr>
        <w:lastRenderedPageBreak/>
        <w:t xml:space="preserve">Ward, R., Reynolds, J.E., Pieterse, B., Elliott, C., Boyd, R. and Miller, L., </w:t>
      </w:r>
      <w:r w:rsidR="00082577">
        <w:rPr>
          <w:rFonts w:ascii="Arial" w:hAnsi="Arial" w:cs="Arial"/>
        </w:rPr>
        <w:t>(</w:t>
      </w:r>
      <w:r w:rsidRPr="008878A6">
        <w:rPr>
          <w:rFonts w:ascii="Arial" w:hAnsi="Arial" w:cs="Arial"/>
        </w:rPr>
        <w:t>2020</w:t>
      </w:r>
      <w:r w:rsidR="00082577">
        <w:rPr>
          <w:rFonts w:ascii="Arial" w:hAnsi="Arial" w:cs="Arial"/>
        </w:rPr>
        <w:t>)</w:t>
      </w:r>
      <w:r w:rsidRPr="008878A6">
        <w:rPr>
          <w:rFonts w:ascii="Arial" w:hAnsi="Arial" w:cs="Arial"/>
        </w:rPr>
        <w:t>. Utilisation of coaching practices in early interventions in children at risk of developmental disability/delay: A systematic review. </w:t>
      </w:r>
      <w:r w:rsidRPr="008878A6">
        <w:rPr>
          <w:rFonts w:ascii="Arial" w:hAnsi="Arial" w:cs="Arial"/>
          <w:i/>
          <w:iCs/>
        </w:rPr>
        <w:t>Disability and Rehabilitation</w:t>
      </w:r>
      <w:r w:rsidRPr="008878A6">
        <w:rPr>
          <w:rFonts w:ascii="Arial" w:hAnsi="Arial" w:cs="Arial"/>
        </w:rPr>
        <w:t>, </w:t>
      </w:r>
      <w:r w:rsidRPr="008878A6">
        <w:rPr>
          <w:rFonts w:ascii="Arial" w:hAnsi="Arial" w:cs="Arial"/>
          <w:i/>
          <w:iCs/>
        </w:rPr>
        <w:t>42</w:t>
      </w:r>
      <w:r w:rsidRPr="008878A6">
        <w:rPr>
          <w:rFonts w:ascii="Arial" w:hAnsi="Arial" w:cs="Arial"/>
        </w:rPr>
        <w:t>(20), pp.2846-2867.</w:t>
      </w:r>
    </w:p>
    <w:p w14:paraId="5E274094" w14:textId="569D7E27" w:rsidR="00647745" w:rsidRDefault="00647745" w:rsidP="00381B18">
      <w:pPr>
        <w:spacing w:before="240" w:line="360" w:lineRule="auto"/>
        <w:jc w:val="both"/>
        <w:rPr>
          <w:rFonts w:ascii="Arial" w:hAnsi="Arial" w:cs="Arial"/>
        </w:rPr>
      </w:pPr>
      <w:r w:rsidRPr="00647745">
        <w:rPr>
          <w:rFonts w:ascii="Arial" w:hAnsi="Arial" w:cs="Arial"/>
        </w:rPr>
        <w:t xml:space="preserve">Warren, R., Kenny, M., Bennett, T., Fitzpatrick-Lewis, D., Ali, M.U., Sherifali, D. and Raina, P., </w:t>
      </w:r>
      <w:r w:rsidR="00082577">
        <w:rPr>
          <w:rFonts w:ascii="Arial" w:hAnsi="Arial" w:cs="Arial"/>
        </w:rPr>
        <w:t>(</w:t>
      </w:r>
      <w:r w:rsidRPr="00647745">
        <w:rPr>
          <w:rFonts w:ascii="Arial" w:hAnsi="Arial" w:cs="Arial"/>
        </w:rPr>
        <w:t>2016</w:t>
      </w:r>
      <w:r w:rsidR="00082577">
        <w:rPr>
          <w:rFonts w:ascii="Arial" w:hAnsi="Arial" w:cs="Arial"/>
        </w:rPr>
        <w:t>)</w:t>
      </w:r>
      <w:r w:rsidRPr="00647745">
        <w:rPr>
          <w:rFonts w:ascii="Arial" w:hAnsi="Arial" w:cs="Arial"/>
        </w:rPr>
        <w:t>. Screening for developmental delay among children aged 1-4 years: a systematic review. </w:t>
      </w:r>
      <w:r w:rsidRPr="00647745">
        <w:rPr>
          <w:rFonts w:ascii="Arial" w:hAnsi="Arial" w:cs="Arial"/>
          <w:i/>
          <w:iCs/>
        </w:rPr>
        <w:t>Canadian Medical Association Open Access Journal</w:t>
      </w:r>
      <w:r w:rsidRPr="00647745">
        <w:rPr>
          <w:rFonts w:ascii="Arial" w:hAnsi="Arial" w:cs="Arial"/>
        </w:rPr>
        <w:t>, </w:t>
      </w:r>
      <w:r w:rsidRPr="00647745">
        <w:rPr>
          <w:rFonts w:ascii="Arial" w:hAnsi="Arial" w:cs="Arial"/>
          <w:i/>
          <w:iCs/>
        </w:rPr>
        <w:t>4</w:t>
      </w:r>
      <w:r w:rsidRPr="00647745">
        <w:rPr>
          <w:rFonts w:ascii="Arial" w:hAnsi="Arial" w:cs="Arial"/>
        </w:rPr>
        <w:t>(1), pp.E20-E27.</w:t>
      </w:r>
    </w:p>
    <w:p w14:paraId="037E740C" w14:textId="42F75260" w:rsidR="00ED6DF0" w:rsidRDefault="00ED6DF0" w:rsidP="00ED6DF0">
      <w:pPr>
        <w:spacing w:line="360" w:lineRule="auto"/>
        <w:jc w:val="both"/>
        <w:rPr>
          <w:rFonts w:ascii="Arial" w:hAnsi="Arial" w:cs="Arial"/>
        </w:rPr>
      </w:pPr>
      <w:r w:rsidRPr="00E60B4C">
        <w:rPr>
          <w:rFonts w:ascii="Arial" w:hAnsi="Arial" w:cs="Arial"/>
        </w:rPr>
        <w:t xml:space="preserve">Williams, A.N., Mold, B., Kilbey, L. and Naganna, P., </w:t>
      </w:r>
      <w:r w:rsidR="006C47D4">
        <w:rPr>
          <w:rFonts w:ascii="Arial" w:hAnsi="Arial" w:cs="Arial"/>
        </w:rPr>
        <w:t>(</w:t>
      </w:r>
      <w:r w:rsidRPr="00E60B4C">
        <w:rPr>
          <w:rFonts w:ascii="Arial" w:hAnsi="Arial" w:cs="Arial"/>
        </w:rPr>
        <w:t>2018</w:t>
      </w:r>
      <w:r w:rsidR="006C47D4">
        <w:rPr>
          <w:rFonts w:ascii="Arial" w:hAnsi="Arial" w:cs="Arial"/>
        </w:rPr>
        <w:t>)</w:t>
      </w:r>
      <w:r w:rsidRPr="00E60B4C">
        <w:rPr>
          <w:rFonts w:ascii="Arial" w:hAnsi="Arial" w:cs="Arial"/>
        </w:rPr>
        <w:t>. Forty years of referrals and outcomes to a UK Child Development Centre (CDC): Has demand plateaued?. </w:t>
      </w:r>
      <w:r w:rsidRPr="00E60B4C">
        <w:rPr>
          <w:rFonts w:ascii="Arial" w:hAnsi="Arial" w:cs="Arial"/>
          <w:i/>
          <w:iCs/>
        </w:rPr>
        <w:t>Child: Care, Health and Development</w:t>
      </w:r>
      <w:r w:rsidRPr="00E60B4C">
        <w:rPr>
          <w:rFonts w:ascii="Arial" w:hAnsi="Arial" w:cs="Arial"/>
        </w:rPr>
        <w:t>, </w:t>
      </w:r>
      <w:r w:rsidRPr="00E60B4C">
        <w:rPr>
          <w:rFonts w:ascii="Arial" w:hAnsi="Arial" w:cs="Arial"/>
          <w:i/>
          <w:iCs/>
        </w:rPr>
        <w:t>44</w:t>
      </w:r>
      <w:r w:rsidRPr="00E60B4C">
        <w:rPr>
          <w:rFonts w:ascii="Arial" w:hAnsi="Arial" w:cs="Arial"/>
        </w:rPr>
        <w:t>(3), pp.364-369.</w:t>
      </w:r>
    </w:p>
    <w:p w14:paraId="2536ACC1" w14:textId="0326981E" w:rsidR="00ED6DF0" w:rsidRDefault="00ED6DF0" w:rsidP="00ED6DF0">
      <w:pPr>
        <w:spacing w:line="360" w:lineRule="auto"/>
        <w:jc w:val="both"/>
        <w:rPr>
          <w:rFonts w:ascii="Arial" w:hAnsi="Arial" w:cs="Arial"/>
        </w:rPr>
      </w:pPr>
      <w:r w:rsidRPr="00434011">
        <w:rPr>
          <w:rFonts w:ascii="Arial" w:hAnsi="Arial" w:cs="Arial"/>
        </w:rPr>
        <w:t xml:space="preserve">Wright, C.F., Campbell, P., Eberhardt, R.Y., Aitken, S., Perrett, D., Brent, S., Danecek, P., Gardner, E.J., Chundru, V.K., Lindsay, S.J. and Andrews, K., </w:t>
      </w:r>
      <w:r w:rsidR="0095488D">
        <w:rPr>
          <w:rFonts w:ascii="Arial" w:hAnsi="Arial" w:cs="Arial"/>
        </w:rPr>
        <w:t>(</w:t>
      </w:r>
      <w:r w:rsidRPr="00434011">
        <w:rPr>
          <w:rFonts w:ascii="Arial" w:hAnsi="Arial" w:cs="Arial"/>
        </w:rPr>
        <w:t>2023</w:t>
      </w:r>
      <w:r w:rsidR="0095488D">
        <w:rPr>
          <w:rFonts w:ascii="Arial" w:hAnsi="Arial" w:cs="Arial"/>
        </w:rPr>
        <w:t>)</w:t>
      </w:r>
      <w:r w:rsidRPr="00434011">
        <w:rPr>
          <w:rFonts w:ascii="Arial" w:hAnsi="Arial" w:cs="Arial"/>
        </w:rPr>
        <w:t>. Genomic diagnosis of rare pediatric disease in the United Kingdom and Ireland. </w:t>
      </w:r>
      <w:r w:rsidRPr="00434011">
        <w:rPr>
          <w:rFonts w:ascii="Arial" w:hAnsi="Arial" w:cs="Arial"/>
          <w:i/>
          <w:iCs/>
        </w:rPr>
        <w:t>New England Journal of Medicine</w:t>
      </w:r>
      <w:r w:rsidRPr="00434011">
        <w:rPr>
          <w:rFonts w:ascii="Arial" w:hAnsi="Arial" w:cs="Arial"/>
        </w:rPr>
        <w:t>, </w:t>
      </w:r>
      <w:r w:rsidRPr="00434011">
        <w:rPr>
          <w:rFonts w:ascii="Arial" w:hAnsi="Arial" w:cs="Arial"/>
          <w:i/>
          <w:iCs/>
        </w:rPr>
        <w:t>388</w:t>
      </w:r>
      <w:r w:rsidRPr="00434011">
        <w:rPr>
          <w:rFonts w:ascii="Arial" w:hAnsi="Arial" w:cs="Arial"/>
        </w:rPr>
        <w:t>(17), pp.1559-1571.</w:t>
      </w:r>
    </w:p>
    <w:p w14:paraId="1AD91AF6" w14:textId="054D0439" w:rsidR="008D51DE" w:rsidRDefault="008D51DE" w:rsidP="00381B18">
      <w:pPr>
        <w:spacing w:before="240" w:line="360" w:lineRule="auto"/>
        <w:jc w:val="both"/>
        <w:rPr>
          <w:rFonts w:ascii="Arial" w:hAnsi="Arial" w:cs="Arial"/>
        </w:rPr>
      </w:pPr>
      <w:r w:rsidRPr="008D51DE">
        <w:rPr>
          <w:rFonts w:ascii="Arial" w:hAnsi="Arial" w:cs="Arial"/>
        </w:rPr>
        <w:t xml:space="preserve">Xie, C., Zhang, Z., Zhang, X., Li, Y., Shi, P. and Wang, S., </w:t>
      </w:r>
      <w:r w:rsidR="00082577">
        <w:rPr>
          <w:rFonts w:ascii="Arial" w:hAnsi="Arial" w:cs="Arial"/>
        </w:rPr>
        <w:t>(</w:t>
      </w:r>
      <w:r w:rsidRPr="008D51DE">
        <w:rPr>
          <w:rFonts w:ascii="Arial" w:hAnsi="Arial" w:cs="Arial"/>
        </w:rPr>
        <w:t>2025</w:t>
      </w:r>
      <w:r w:rsidR="00082577">
        <w:rPr>
          <w:rFonts w:ascii="Arial" w:hAnsi="Arial" w:cs="Arial"/>
        </w:rPr>
        <w:t>)</w:t>
      </w:r>
      <w:r w:rsidRPr="008D51DE">
        <w:rPr>
          <w:rFonts w:ascii="Arial" w:hAnsi="Arial" w:cs="Arial"/>
        </w:rPr>
        <w:t>. Effects of interventions on physical activity behavior change in children and adolescents based on a trans-theoretical model: a systematic review. </w:t>
      </w:r>
      <w:r w:rsidRPr="008D51DE">
        <w:rPr>
          <w:rFonts w:ascii="Arial" w:hAnsi="Arial" w:cs="Arial"/>
          <w:i/>
          <w:iCs/>
        </w:rPr>
        <w:t>BMC Public Health</w:t>
      </w:r>
      <w:r w:rsidRPr="008D51DE">
        <w:rPr>
          <w:rFonts w:ascii="Arial" w:hAnsi="Arial" w:cs="Arial"/>
        </w:rPr>
        <w:t>, </w:t>
      </w:r>
      <w:r w:rsidRPr="008D51DE">
        <w:rPr>
          <w:rFonts w:ascii="Arial" w:hAnsi="Arial" w:cs="Arial"/>
          <w:i/>
          <w:iCs/>
        </w:rPr>
        <w:t>25</w:t>
      </w:r>
      <w:r w:rsidRPr="008D51DE">
        <w:rPr>
          <w:rFonts w:ascii="Arial" w:hAnsi="Arial" w:cs="Arial"/>
        </w:rPr>
        <w:t>(1), p.657.</w:t>
      </w:r>
    </w:p>
    <w:p w14:paraId="77AB3DF0" w14:textId="4DEDBD17" w:rsidR="00ED6DF0" w:rsidRDefault="00ED6DF0" w:rsidP="00ED6DF0">
      <w:pPr>
        <w:spacing w:line="360" w:lineRule="auto"/>
        <w:jc w:val="both"/>
        <w:rPr>
          <w:rFonts w:ascii="Arial" w:hAnsi="Arial" w:cs="Arial"/>
          <w:lang w:eastAsia="en-GB"/>
        </w:rPr>
      </w:pPr>
      <w:r w:rsidRPr="00930670">
        <w:rPr>
          <w:rFonts w:ascii="Arial" w:hAnsi="Arial" w:cs="Arial"/>
          <w:lang w:eastAsia="en-GB"/>
        </w:rPr>
        <w:t xml:space="preserve">Yang, Y., Shi, L., Jin, X. and Tong, S., </w:t>
      </w:r>
      <w:r w:rsidR="00941DE1">
        <w:rPr>
          <w:rFonts w:ascii="Arial" w:hAnsi="Arial" w:cs="Arial"/>
          <w:lang w:eastAsia="en-GB"/>
        </w:rPr>
        <w:t>(</w:t>
      </w:r>
      <w:r w:rsidRPr="00930670">
        <w:rPr>
          <w:rFonts w:ascii="Arial" w:hAnsi="Arial" w:cs="Arial"/>
          <w:lang w:eastAsia="en-GB"/>
        </w:rPr>
        <w:t>2023</w:t>
      </w:r>
      <w:r w:rsidR="00941DE1">
        <w:rPr>
          <w:rFonts w:ascii="Arial" w:hAnsi="Arial" w:cs="Arial"/>
          <w:lang w:eastAsia="en-GB"/>
        </w:rPr>
        <w:t>)</w:t>
      </w:r>
      <w:r w:rsidRPr="00930670">
        <w:rPr>
          <w:rFonts w:ascii="Arial" w:hAnsi="Arial" w:cs="Arial"/>
          <w:lang w:eastAsia="en-GB"/>
        </w:rPr>
        <w:t>. Association of perinatal factors with suspected developmental delay in urban children aged 1–36 months-a large-scale cross-sectional study in China. </w:t>
      </w:r>
      <w:r w:rsidRPr="00930670">
        <w:rPr>
          <w:rFonts w:ascii="Arial" w:hAnsi="Arial" w:cs="Arial"/>
          <w:i/>
          <w:iCs/>
          <w:lang w:eastAsia="en-GB"/>
        </w:rPr>
        <w:t>BMC pediatrics</w:t>
      </w:r>
      <w:r w:rsidRPr="00930670">
        <w:rPr>
          <w:rFonts w:ascii="Arial" w:hAnsi="Arial" w:cs="Arial"/>
          <w:lang w:eastAsia="en-GB"/>
        </w:rPr>
        <w:t>, </w:t>
      </w:r>
      <w:r w:rsidRPr="00930670">
        <w:rPr>
          <w:rFonts w:ascii="Arial" w:hAnsi="Arial" w:cs="Arial"/>
          <w:i/>
          <w:iCs/>
          <w:lang w:eastAsia="en-GB"/>
        </w:rPr>
        <w:t>23</w:t>
      </w:r>
      <w:r w:rsidRPr="00930670">
        <w:rPr>
          <w:rFonts w:ascii="Arial" w:hAnsi="Arial" w:cs="Arial"/>
          <w:lang w:eastAsia="en-GB"/>
        </w:rPr>
        <w:t>(1), p.11.</w:t>
      </w:r>
    </w:p>
    <w:p w14:paraId="02812187" w14:textId="45F735CF" w:rsidR="00ED6DF0" w:rsidRDefault="00ED6DF0" w:rsidP="00ED6DF0">
      <w:pPr>
        <w:spacing w:before="240" w:line="360" w:lineRule="auto"/>
        <w:jc w:val="both"/>
        <w:rPr>
          <w:rFonts w:ascii="Arial" w:hAnsi="Arial" w:cs="Arial"/>
        </w:rPr>
      </w:pPr>
      <w:r w:rsidRPr="00647745">
        <w:rPr>
          <w:rFonts w:ascii="Arial" w:hAnsi="Arial" w:cs="Arial"/>
        </w:rPr>
        <w:t xml:space="preserve">Yi, L.J. and Keat, O.B., </w:t>
      </w:r>
      <w:r>
        <w:rPr>
          <w:rFonts w:ascii="Arial" w:hAnsi="Arial" w:cs="Arial"/>
        </w:rPr>
        <w:t>(</w:t>
      </w:r>
      <w:r w:rsidRPr="00647745">
        <w:rPr>
          <w:rFonts w:ascii="Arial" w:hAnsi="Arial" w:cs="Arial"/>
        </w:rPr>
        <w:t>2024</w:t>
      </w:r>
      <w:r>
        <w:rPr>
          <w:rFonts w:ascii="Arial" w:hAnsi="Arial" w:cs="Arial"/>
        </w:rPr>
        <w:t>)</w:t>
      </w:r>
      <w:r w:rsidRPr="00647745">
        <w:rPr>
          <w:rFonts w:ascii="Arial" w:hAnsi="Arial" w:cs="Arial"/>
        </w:rPr>
        <w:t>. The Developmental Domains Of By Demographic Factors Among Early Childhood. </w:t>
      </w:r>
      <w:r w:rsidRPr="00647745">
        <w:rPr>
          <w:rFonts w:ascii="Arial" w:hAnsi="Arial" w:cs="Arial"/>
          <w:i/>
          <w:iCs/>
        </w:rPr>
        <w:t>Library of Progress-Library Science, Information Technology &amp; Computer</w:t>
      </w:r>
      <w:r w:rsidRPr="00647745">
        <w:rPr>
          <w:rFonts w:ascii="Arial" w:hAnsi="Arial" w:cs="Arial"/>
        </w:rPr>
        <w:t>, </w:t>
      </w:r>
      <w:r w:rsidRPr="00647745">
        <w:rPr>
          <w:rFonts w:ascii="Arial" w:hAnsi="Arial" w:cs="Arial"/>
          <w:i/>
          <w:iCs/>
        </w:rPr>
        <w:t>44</w:t>
      </w:r>
      <w:r w:rsidRPr="00647745">
        <w:rPr>
          <w:rFonts w:ascii="Arial" w:hAnsi="Arial" w:cs="Arial"/>
        </w:rPr>
        <w:t>(4).</w:t>
      </w:r>
    </w:p>
    <w:p w14:paraId="7F740CFB" w14:textId="78CE3F83" w:rsidR="00ED6DF0" w:rsidRDefault="00ED6DF0" w:rsidP="00ED6DF0">
      <w:pPr>
        <w:spacing w:line="360" w:lineRule="auto"/>
        <w:jc w:val="both"/>
        <w:rPr>
          <w:rFonts w:ascii="Arial" w:hAnsi="Arial" w:cs="Arial"/>
          <w:lang w:eastAsia="en-GB"/>
        </w:rPr>
      </w:pPr>
      <w:r w:rsidRPr="00930670">
        <w:rPr>
          <w:rFonts w:ascii="Arial" w:hAnsi="Arial" w:cs="Arial"/>
          <w:lang w:eastAsia="en-GB"/>
        </w:rPr>
        <w:t xml:space="preserve">Zhang, Y., Shao, S., Qin, J., Liu, J., Liu, G., Liu, Z. and Zhang, X., </w:t>
      </w:r>
      <w:r w:rsidR="00471B79">
        <w:rPr>
          <w:rFonts w:ascii="Arial" w:hAnsi="Arial" w:cs="Arial"/>
          <w:lang w:eastAsia="en-GB"/>
        </w:rPr>
        <w:t>(</w:t>
      </w:r>
      <w:r w:rsidRPr="00930670">
        <w:rPr>
          <w:rFonts w:ascii="Arial" w:hAnsi="Arial" w:cs="Arial"/>
          <w:lang w:eastAsia="en-GB"/>
        </w:rPr>
        <w:t>2025</w:t>
      </w:r>
      <w:r w:rsidR="00471B79">
        <w:rPr>
          <w:rFonts w:ascii="Arial" w:hAnsi="Arial" w:cs="Arial"/>
          <w:lang w:eastAsia="en-GB"/>
        </w:rPr>
        <w:t>)</w:t>
      </w:r>
      <w:r w:rsidRPr="00930670">
        <w:rPr>
          <w:rFonts w:ascii="Arial" w:hAnsi="Arial" w:cs="Arial"/>
          <w:lang w:eastAsia="en-GB"/>
        </w:rPr>
        <w:t>. Risk factors for developmental delays in small for gestational age children at age of 24–36 months. </w:t>
      </w:r>
      <w:r w:rsidRPr="00930670">
        <w:rPr>
          <w:rFonts w:ascii="Arial" w:hAnsi="Arial" w:cs="Arial"/>
          <w:i/>
          <w:iCs/>
          <w:lang w:eastAsia="en-GB"/>
        </w:rPr>
        <w:t>European Child &amp; Adolescent Psychiatry</w:t>
      </w:r>
      <w:r w:rsidRPr="00930670">
        <w:rPr>
          <w:rFonts w:ascii="Arial" w:hAnsi="Arial" w:cs="Arial"/>
          <w:lang w:eastAsia="en-GB"/>
        </w:rPr>
        <w:t>, pp.1-13.</w:t>
      </w:r>
    </w:p>
    <w:p w14:paraId="5496BAA9" w14:textId="4B1D4EB4" w:rsidR="00D939D1" w:rsidRDefault="00D939D1" w:rsidP="00381B18">
      <w:pPr>
        <w:spacing w:before="240" w:line="360" w:lineRule="auto"/>
        <w:jc w:val="both"/>
        <w:rPr>
          <w:rFonts w:ascii="Arial" w:hAnsi="Arial" w:cs="Arial"/>
        </w:rPr>
      </w:pPr>
      <w:r w:rsidRPr="00D939D1">
        <w:rPr>
          <w:rFonts w:ascii="Arial" w:hAnsi="Arial" w:cs="Arial"/>
        </w:rPr>
        <w:t xml:space="preserve">Zablotsky, B., Black, L.I., Maenner, M.J., Schieve, L.A., Danielson, M.L., Bitsko, R.H., Blumberg, S.J., Kogan, M.D. and Boyle, C.A., </w:t>
      </w:r>
      <w:r w:rsidR="00082577">
        <w:rPr>
          <w:rFonts w:ascii="Arial" w:hAnsi="Arial" w:cs="Arial"/>
        </w:rPr>
        <w:t>(</w:t>
      </w:r>
      <w:r w:rsidRPr="00D939D1">
        <w:rPr>
          <w:rFonts w:ascii="Arial" w:hAnsi="Arial" w:cs="Arial"/>
        </w:rPr>
        <w:t>2019</w:t>
      </w:r>
      <w:r w:rsidR="00082577">
        <w:rPr>
          <w:rFonts w:ascii="Arial" w:hAnsi="Arial" w:cs="Arial"/>
        </w:rPr>
        <w:t>)</w:t>
      </w:r>
      <w:r w:rsidRPr="00D939D1">
        <w:rPr>
          <w:rFonts w:ascii="Arial" w:hAnsi="Arial" w:cs="Arial"/>
        </w:rPr>
        <w:t xml:space="preserve">. Prevalence and trends of </w:t>
      </w:r>
      <w:r w:rsidRPr="00D939D1">
        <w:rPr>
          <w:rFonts w:ascii="Arial" w:hAnsi="Arial" w:cs="Arial"/>
        </w:rPr>
        <w:lastRenderedPageBreak/>
        <w:t>developmental disabilities among children in the United States: 2009–2017. </w:t>
      </w:r>
      <w:r w:rsidRPr="00D939D1">
        <w:rPr>
          <w:rFonts w:ascii="Arial" w:hAnsi="Arial" w:cs="Arial"/>
          <w:i/>
          <w:iCs/>
        </w:rPr>
        <w:t>Pediatrics</w:t>
      </w:r>
      <w:r w:rsidRPr="00D939D1">
        <w:rPr>
          <w:rFonts w:ascii="Arial" w:hAnsi="Arial" w:cs="Arial"/>
        </w:rPr>
        <w:t>, </w:t>
      </w:r>
      <w:r w:rsidRPr="00D939D1">
        <w:rPr>
          <w:rFonts w:ascii="Arial" w:hAnsi="Arial" w:cs="Arial"/>
          <w:i/>
          <w:iCs/>
        </w:rPr>
        <w:t>144</w:t>
      </w:r>
      <w:r w:rsidRPr="00D939D1">
        <w:rPr>
          <w:rFonts w:ascii="Arial" w:hAnsi="Arial" w:cs="Arial"/>
        </w:rPr>
        <w:t>(4).</w:t>
      </w:r>
    </w:p>
    <w:p w14:paraId="2B49E5B1" w14:textId="77FD4FED" w:rsidR="008433F6" w:rsidRDefault="008433F6" w:rsidP="00381B18">
      <w:pPr>
        <w:spacing w:before="240" w:line="360" w:lineRule="auto"/>
        <w:jc w:val="both"/>
        <w:rPr>
          <w:rFonts w:ascii="Arial" w:hAnsi="Arial" w:cs="Arial"/>
        </w:rPr>
      </w:pPr>
      <w:r w:rsidRPr="008433F6">
        <w:rPr>
          <w:rFonts w:ascii="Arial" w:hAnsi="Arial" w:cs="Arial"/>
        </w:rPr>
        <w:t xml:space="preserve">Zablotsky, B., Black, L.I., Maenner, M.J., Schieve, L.A., Danielson, M.L., Bitsko, R.H., Blumberg, S.J., Kogan, M.D. and Boyle, C.A., </w:t>
      </w:r>
      <w:r w:rsidR="00E239E4">
        <w:rPr>
          <w:rFonts w:ascii="Arial" w:hAnsi="Arial" w:cs="Arial"/>
        </w:rPr>
        <w:t>(</w:t>
      </w:r>
      <w:r w:rsidRPr="008433F6">
        <w:rPr>
          <w:rFonts w:ascii="Arial" w:hAnsi="Arial" w:cs="Arial"/>
        </w:rPr>
        <w:t>2019</w:t>
      </w:r>
      <w:r w:rsidR="00E239E4">
        <w:rPr>
          <w:rFonts w:ascii="Arial" w:hAnsi="Arial" w:cs="Arial"/>
        </w:rPr>
        <w:t>)</w:t>
      </w:r>
      <w:r w:rsidRPr="008433F6">
        <w:rPr>
          <w:rFonts w:ascii="Arial" w:hAnsi="Arial" w:cs="Arial"/>
        </w:rPr>
        <w:t>. Prevalence and trends of developmental disabilities among children in the United States: 2009–2017. </w:t>
      </w:r>
      <w:r w:rsidRPr="008433F6">
        <w:rPr>
          <w:rFonts w:ascii="Arial" w:hAnsi="Arial" w:cs="Arial"/>
          <w:i/>
          <w:iCs/>
        </w:rPr>
        <w:t>Pediatrics</w:t>
      </w:r>
      <w:r w:rsidRPr="008433F6">
        <w:rPr>
          <w:rFonts w:ascii="Arial" w:hAnsi="Arial" w:cs="Arial"/>
        </w:rPr>
        <w:t>, </w:t>
      </w:r>
      <w:r w:rsidRPr="008433F6">
        <w:rPr>
          <w:rFonts w:ascii="Arial" w:hAnsi="Arial" w:cs="Arial"/>
          <w:i/>
          <w:iCs/>
        </w:rPr>
        <w:t>144</w:t>
      </w:r>
      <w:r w:rsidRPr="008433F6">
        <w:rPr>
          <w:rFonts w:ascii="Arial" w:hAnsi="Arial" w:cs="Arial"/>
        </w:rPr>
        <w:t>(4).</w:t>
      </w:r>
    </w:p>
    <w:p w14:paraId="5FA2DE98" w14:textId="77777777" w:rsidR="008E4F0F" w:rsidRPr="00381B18" w:rsidRDefault="008E4F0F" w:rsidP="00381B18">
      <w:pPr>
        <w:spacing w:before="240" w:line="360" w:lineRule="auto"/>
        <w:jc w:val="both"/>
        <w:rPr>
          <w:rFonts w:ascii="Arial" w:hAnsi="Arial" w:cs="Arial"/>
        </w:rPr>
      </w:pPr>
    </w:p>
    <w:sectPr w:rsidR="008E4F0F" w:rsidRPr="00381B18" w:rsidSect="008251AE">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C4C7B" w14:textId="77777777" w:rsidR="00E36D1D" w:rsidRDefault="00E36D1D" w:rsidP="008251AE">
      <w:pPr>
        <w:spacing w:after="0" w:line="240" w:lineRule="auto"/>
      </w:pPr>
      <w:r>
        <w:separator/>
      </w:r>
    </w:p>
  </w:endnote>
  <w:endnote w:type="continuationSeparator" w:id="0">
    <w:p w14:paraId="0B39B668" w14:textId="77777777" w:rsidR="00E36D1D" w:rsidRDefault="00E36D1D" w:rsidP="00825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5645585"/>
      <w:docPartObj>
        <w:docPartGallery w:val="Page Numbers (Bottom of Page)"/>
        <w:docPartUnique/>
      </w:docPartObj>
    </w:sdtPr>
    <w:sdtContent>
      <w:p w14:paraId="5DA33D2E" w14:textId="0230C5D2" w:rsidR="008251AE" w:rsidRDefault="008251AE">
        <w:pPr>
          <w:pStyle w:val="Footer"/>
          <w:jc w:val="right"/>
        </w:pPr>
        <w:r>
          <w:fldChar w:fldCharType="begin"/>
        </w:r>
        <w:r>
          <w:instrText>PAGE   \* MERGEFORMAT</w:instrText>
        </w:r>
        <w:r>
          <w:fldChar w:fldCharType="separate"/>
        </w:r>
        <w:r>
          <w:t>2</w:t>
        </w:r>
        <w:r>
          <w:fldChar w:fldCharType="end"/>
        </w:r>
      </w:p>
    </w:sdtContent>
  </w:sdt>
  <w:p w14:paraId="3643BCA7" w14:textId="77777777" w:rsidR="006F1D2A" w:rsidRDefault="006F1D2A" w:rsidP="006F1D2A">
    <w:pPr>
      <w:spacing w:line="360" w:lineRule="auto"/>
      <w:rPr>
        <w:rFonts w:ascii="Arial" w:hAnsi="Arial" w:cs="Arial"/>
      </w:rPr>
    </w:pPr>
    <w:r>
      <w:rPr>
        <w:rFonts w:ascii="Arial" w:hAnsi="Arial" w:cs="Arial"/>
      </w:rPr>
      <w:t>Shakuntala</w:t>
    </w:r>
    <w:r w:rsidRPr="001D6522">
      <w:rPr>
        <w:rFonts w:ascii="Arial" w:hAnsi="Arial" w:cs="Arial"/>
      </w:rPr>
      <w:t xml:space="preserve"> Patel</w:t>
    </w:r>
  </w:p>
  <w:p w14:paraId="50949C66" w14:textId="77777777" w:rsidR="008251AE" w:rsidRDefault="008251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3F688" w14:textId="77777777" w:rsidR="00E36D1D" w:rsidRDefault="00E36D1D" w:rsidP="008251AE">
      <w:pPr>
        <w:spacing w:after="0" w:line="240" w:lineRule="auto"/>
      </w:pPr>
      <w:r>
        <w:separator/>
      </w:r>
    </w:p>
  </w:footnote>
  <w:footnote w:type="continuationSeparator" w:id="0">
    <w:p w14:paraId="67EDC3C9" w14:textId="77777777" w:rsidR="00E36D1D" w:rsidRDefault="00E36D1D" w:rsidP="00825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87F66"/>
    <w:multiLevelType w:val="hybridMultilevel"/>
    <w:tmpl w:val="5C4C6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5337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187"/>
    <w:rsid w:val="00000043"/>
    <w:rsid w:val="00000318"/>
    <w:rsid w:val="000232B3"/>
    <w:rsid w:val="00034313"/>
    <w:rsid w:val="00037DD5"/>
    <w:rsid w:val="00040C22"/>
    <w:rsid w:val="00080DBE"/>
    <w:rsid w:val="00081150"/>
    <w:rsid w:val="00082577"/>
    <w:rsid w:val="000C110D"/>
    <w:rsid w:val="000C2CEE"/>
    <w:rsid w:val="00107940"/>
    <w:rsid w:val="001173B6"/>
    <w:rsid w:val="0013412C"/>
    <w:rsid w:val="00134E63"/>
    <w:rsid w:val="001379D5"/>
    <w:rsid w:val="0014329F"/>
    <w:rsid w:val="001A69C1"/>
    <w:rsid w:val="001A7667"/>
    <w:rsid w:val="001C0B6A"/>
    <w:rsid w:val="001C147A"/>
    <w:rsid w:val="001D3114"/>
    <w:rsid w:val="001E6C25"/>
    <w:rsid w:val="0028451A"/>
    <w:rsid w:val="002A34E0"/>
    <w:rsid w:val="002A4DEE"/>
    <w:rsid w:val="002B7186"/>
    <w:rsid w:val="002E0ABD"/>
    <w:rsid w:val="002E678B"/>
    <w:rsid w:val="00310E2A"/>
    <w:rsid w:val="00311B11"/>
    <w:rsid w:val="00330E0D"/>
    <w:rsid w:val="00381B18"/>
    <w:rsid w:val="00397564"/>
    <w:rsid w:val="003976EC"/>
    <w:rsid w:val="003A5A7E"/>
    <w:rsid w:val="00403B38"/>
    <w:rsid w:val="0040603E"/>
    <w:rsid w:val="00430B46"/>
    <w:rsid w:val="00436809"/>
    <w:rsid w:val="00450662"/>
    <w:rsid w:val="00471B79"/>
    <w:rsid w:val="004920FE"/>
    <w:rsid w:val="004A065B"/>
    <w:rsid w:val="004B267D"/>
    <w:rsid w:val="004C7570"/>
    <w:rsid w:val="004D6AC9"/>
    <w:rsid w:val="004E52A0"/>
    <w:rsid w:val="005065AD"/>
    <w:rsid w:val="005260B8"/>
    <w:rsid w:val="00562BE8"/>
    <w:rsid w:val="00591797"/>
    <w:rsid w:val="00597B7F"/>
    <w:rsid w:val="005D185C"/>
    <w:rsid w:val="005D3A3C"/>
    <w:rsid w:val="0060232A"/>
    <w:rsid w:val="006307B1"/>
    <w:rsid w:val="0063341E"/>
    <w:rsid w:val="006371DE"/>
    <w:rsid w:val="00647745"/>
    <w:rsid w:val="00666DA7"/>
    <w:rsid w:val="006B32A8"/>
    <w:rsid w:val="006C47D4"/>
    <w:rsid w:val="006E1B98"/>
    <w:rsid w:val="006E7C87"/>
    <w:rsid w:val="006F1D2A"/>
    <w:rsid w:val="00714921"/>
    <w:rsid w:val="007149EA"/>
    <w:rsid w:val="00733562"/>
    <w:rsid w:val="0073518C"/>
    <w:rsid w:val="00741B02"/>
    <w:rsid w:val="00756015"/>
    <w:rsid w:val="00762F36"/>
    <w:rsid w:val="00777C0F"/>
    <w:rsid w:val="00793875"/>
    <w:rsid w:val="00794A71"/>
    <w:rsid w:val="007E0EBD"/>
    <w:rsid w:val="008042A3"/>
    <w:rsid w:val="00806EE1"/>
    <w:rsid w:val="008143F0"/>
    <w:rsid w:val="008251AE"/>
    <w:rsid w:val="00842445"/>
    <w:rsid w:val="008433F6"/>
    <w:rsid w:val="00855B83"/>
    <w:rsid w:val="0085641A"/>
    <w:rsid w:val="008776AC"/>
    <w:rsid w:val="008878A6"/>
    <w:rsid w:val="008A07BF"/>
    <w:rsid w:val="008B64A9"/>
    <w:rsid w:val="008C1F25"/>
    <w:rsid w:val="008D18F5"/>
    <w:rsid w:val="008D47EB"/>
    <w:rsid w:val="008D51DE"/>
    <w:rsid w:val="008E4F0F"/>
    <w:rsid w:val="008E6D1B"/>
    <w:rsid w:val="00903671"/>
    <w:rsid w:val="0092027B"/>
    <w:rsid w:val="0093658E"/>
    <w:rsid w:val="0093665F"/>
    <w:rsid w:val="00937113"/>
    <w:rsid w:val="00941DE1"/>
    <w:rsid w:val="00945D6C"/>
    <w:rsid w:val="00950DD8"/>
    <w:rsid w:val="0095488D"/>
    <w:rsid w:val="0095674F"/>
    <w:rsid w:val="00977A16"/>
    <w:rsid w:val="009A0B98"/>
    <w:rsid w:val="009B5CF1"/>
    <w:rsid w:val="009C2C1D"/>
    <w:rsid w:val="009D202C"/>
    <w:rsid w:val="00A02D4D"/>
    <w:rsid w:val="00A10C54"/>
    <w:rsid w:val="00A1496A"/>
    <w:rsid w:val="00A41D6E"/>
    <w:rsid w:val="00A5671E"/>
    <w:rsid w:val="00A6787A"/>
    <w:rsid w:val="00A83E1A"/>
    <w:rsid w:val="00A85B59"/>
    <w:rsid w:val="00A97073"/>
    <w:rsid w:val="00AA3C78"/>
    <w:rsid w:val="00AC46F2"/>
    <w:rsid w:val="00AC520C"/>
    <w:rsid w:val="00B169B2"/>
    <w:rsid w:val="00B17E9F"/>
    <w:rsid w:val="00B220D8"/>
    <w:rsid w:val="00B75651"/>
    <w:rsid w:val="00B855FB"/>
    <w:rsid w:val="00BA47C5"/>
    <w:rsid w:val="00BA7A4B"/>
    <w:rsid w:val="00BF4875"/>
    <w:rsid w:val="00C07FCA"/>
    <w:rsid w:val="00C1061C"/>
    <w:rsid w:val="00C114C4"/>
    <w:rsid w:val="00C82724"/>
    <w:rsid w:val="00C86DF2"/>
    <w:rsid w:val="00C87CFF"/>
    <w:rsid w:val="00C935F6"/>
    <w:rsid w:val="00C95413"/>
    <w:rsid w:val="00CB45B3"/>
    <w:rsid w:val="00CD6D6A"/>
    <w:rsid w:val="00CE76E9"/>
    <w:rsid w:val="00D3556D"/>
    <w:rsid w:val="00D3569D"/>
    <w:rsid w:val="00D61633"/>
    <w:rsid w:val="00D64ABB"/>
    <w:rsid w:val="00D77D1E"/>
    <w:rsid w:val="00D939D1"/>
    <w:rsid w:val="00D93F40"/>
    <w:rsid w:val="00DA0032"/>
    <w:rsid w:val="00DB07D5"/>
    <w:rsid w:val="00DC124B"/>
    <w:rsid w:val="00DE5892"/>
    <w:rsid w:val="00E03D54"/>
    <w:rsid w:val="00E1364C"/>
    <w:rsid w:val="00E21CC7"/>
    <w:rsid w:val="00E239E4"/>
    <w:rsid w:val="00E3103D"/>
    <w:rsid w:val="00E34877"/>
    <w:rsid w:val="00E36D1D"/>
    <w:rsid w:val="00EA0F51"/>
    <w:rsid w:val="00ED08E2"/>
    <w:rsid w:val="00ED6DF0"/>
    <w:rsid w:val="00ED7BE7"/>
    <w:rsid w:val="00EF4C7B"/>
    <w:rsid w:val="00EF65BB"/>
    <w:rsid w:val="00F02349"/>
    <w:rsid w:val="00F04D2C"/>
    <w:rsid w:val="00F508D3"/>
    <w:rsid w:val="00F60AF8"/>
    <w:rsid w:val="00F652CB"/>
    <w:rsid w:val="00F65F1F"/>
    <w:rsid w:val="00F95B93"/>
    <w:rsid w:val="00F97B6A"/>
    <w:rsid w:val="00FA337B"/>
    <w:rsid w:val="00FA7B97"/>
    <w:rsid w:val="00FC12BF"/>
    <w:rsid w:val="00FC1730"/>
    <w:rsid w:val="00FD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9A324"/>
  <w15:chartTrackingRefBased/>
  <w15:docId w15:val="{27D69C39-E35E-49CD-B713-60A8E1377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FD41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1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1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1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1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1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1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FD41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1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1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1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1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1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187"/>
    <w:rPr>
      <w:rFonts w:eastAsiaTheme="majorEastAsia" w:cstheme="majorBidi"/>
      <w:color w:val="272727" w:themeColor="text1" w:themeTint="D8"/>
    </w:rPr>
  </w:style>
  <w:style w:type="paragraph" w:styleId="Title">
    <w:name w:val="Title"/>
    <w:basedOn w:val="Normal"/>
    <w:next w:val="Normal"/>
    <w:link w:val="TitleChar"/>
    <w:uiPriority w:val="10"/>
    <w:qFormat/>
    <w:rsid w:val="00FD4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1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1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1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187"/>
    <w:pPr>
      <w:spacing w:before="160"/>
      <w:jc w:val="center"/>
    </w:pPr>
    <w:rPr>
      <w:i/>
      <w:iCs/>
      <w:color w:val="404040" w:themeColor="text1" w:themeTint="BF"/>
    </w:rPr>
  </w:style>
  <w:style w:type="character" w:customStyle="1" w:styleId="QuoteChar">
    <w:name w:val="Quote Char"/>
    <w:basedOn w:val="DefaultParagraphFont"/>
    <w:link w:val="Quote"/>
    <w:uiPriority w:val="29"/>
    <w:rsid w:val="00FD4187"/>
    <w:rPr>
      <w:i/>
      <w:iCs/>
      <w:color w:val="404040" w:themeColor="text1" w:themeTint="BF"/>
    </w:rPr>
  </w:style>
  <w:style w:type="paragraph" w:styleId="ListParagraph">
    <w:name w:val="List Paragraph"/>
    <w:basedOn w:val="Normal"/>
    <w:uiPriority w:val="34"/>
    <w:qFormat/>
    <w:rsid w:val="00FD4187"/>
    <w:pPr>
      <w:ind w:left="720"/>
      <w:contextualSpacing/>
    </w:pPr>
  </w:style>
  <w:style w:type="character" w:styleId="IntenseEmphasis">
    <w:name w:val="Intense Emphasis"/>
    <w:basedOn w:val="DefaultParagraphFont"/>
    <w:uiPriority w:val="21"/>
    <w:qFormat/>
    <w:rsid w:val="00FD4187"/>
    <w:rPr>
      <w:i/>
      <w:iCs/>
      <w:color w:val="0F4761" w:themeColor="accent1" w:themeShade="BF"/>
    </w:rPr>
  </w:style>
  <w:style w:type="paragraph" w:styleId="IntenseQuote">
    <w:name w:val="Intense Quote"/>
    <w:basedOn w:val="Normal"/>
    <w:next w:val="Normal"/>
    <w:link w:val="IntenseQuoteChar"/>
    <w:uiPriority w:val="30"/>
    <w:qFormat/>
    <w:rsid w:val="00FD41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187"/>
    <w:rPr>
      <w:i/>
      <w:iCs/>
      <w:color w:val="0F4761" w:themeColor="accent1" w:themeShade="BF"/>
    </w:rPr>
  </w:style>
  <w:style w:type="character" w:styleId="IntenseReference">
    <w:name w:val="Intense Reference"/>
    <w:basedOn w:val="DefaultParagraphFont"/>
    <w:uiPriority w:val="32"/>
    <w:qFormat/>
    <w:rsid w:val="00FD4187"/>
    <w:rPr>
      <w:b/>
      <w:bCs/>
      <w:smallCaps/>
      <w:color w:val="0F4761" w:themeColor="accent1" w:themeShade="BF"/>
      <w:spacing w:val="5"/>
    </w:rPr>
  </w:style>
  <w:style w:type="character" w:styleId="Hyperlink">
    <w:name w:val="Hyperlink"/>
    <w:basedOn w:val="DefaultParagraphFont"/>
    <w:uiPriority w:val="99"/>
    <w:unhideWhenUsed/>
    <w:rsid w:val="00C114C4"/>
    <w:rPr>
      <w:color w:val="467886" w:themeColor="hyperlink"/>
      <w:u w:val="single"/>
    </w:rPr>
  </w:style>
  <w:style w:type="table" w:styleId="TableGrid">
    <w:name w:val="Table Grid"/>
    <w:basedOn w:val="TableNormal"/>
    <w:uiPriority w:val="59"/>
    <w:rsid w:val="00ED6DF0"/>
    <w:pPr>
      <w:spacing w:after="0" w:line="240" w:lineRule="auto"/>
    </w:pPr>
    <w:rPr>
      <w:rFonts w:cs="Shruti"/>
      <w:sz w:val="22"/>
      <w:szCs w:val="22"/>
      <w:lang w:bidi="gu-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5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51AE"/>
  </w:style>
  <w:style w:type="paragraph" w:styleId="Footer">
    <w:name w:val="footer"/>
    <w:basedOn w:val="Normal"/>
    <w:link w:val="FooterChar"/>
    <w:uiPriority w:val="99"/>
    <w:unhideWhenUsed/>
    <w:rsid w:val="00825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1AE"/>
  </w:style>
  <w:style w:type="paragraph" w:styleId="TOCHeading">
    <w:name w:val="TOC Heading"/>
    <w:basedOn w:val="Heading1"/>
    <w:next w:val="Normal"/>
    <w:uiPriority w:val="39"/>
    <w:unhideWhenUsed/>
    <w:qFormat/>
    <w:rsid w:val="006F1D2A"/>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6F1D2A"/>
    <w:pPr>
      <w:spacing w:after="100"/>
    </w:pPr>
  </w:style>
  <w:style w:type="paragraph" w:styleId="TOC2">
    <w:name w:val="toc 2"/>
    <w:basedOn w:val="Normal"/>
    <w:next w:val="Normal"/>
    <w:autoRedefine/>
    <w:uiPriority w:val="39"/>
    <w:unhideWhenUsed/>
    <w:rsid w:val="00436809"/>
    <w:pPr>
      <w:tabs>
        <w:tab w:val="right" w:leader="dot" w:pos="9016"/>
      </w:tabs>
      <w:spacing w:after="100" w:line="360" w:lineRule="auto"/>
      <w:ind w:left="240"/>
      <w:jc w:val="both"/>
    </w:pPr>
  </w:style>
  <w:style w:type="paragraph" w:styleId="NormalWeb">
    <w:name w:val="Normal (Web)"/>
    <w:basedOn w:val="Normal"/>
    <w:uiPriority w:val="99"/>
    <w:semiHidden/>
    <w:unhideWhenUsed/>
    <w:rsid w:val="0079387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3.xml"/><Relationship Id="rId17" Type="http://schemas.openxmlformats.org/officeDocument/2006/relationships/hyperlink" Target="https://www.who.int/news/item/05-10-2016-investing-in-early-childhood-development-essential-to-helping-more-children-and-communities-thrive-new-lancet-series-finds" TargetMode="External"/><Relationship Id="rId2" Type="http://schemas.openxmlformats.org/officeDocument/2006/relationships/styles" Target="styles.xml"/><Relationship Id="rId16" Type="http://schemas.openxmlformats.org/officeDocument/2006/relationships/hyperlink" Target="https://www.unicef.org/early-childhood-development/data-evidence-track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rcpch.ac.uk/sites/default/files/2021-07/RCPCH%20Briefing%20-%20State%20of%20Child%20Health%20in%20the%20UK.pdf" TargetMode="External"/><Relationship Id="rId10" Type="http://schemas.openxmlformats.org/officeDocument/2006/relationships/customXml" Target="ink/ink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ngland.nhs.uk/long-read/urgent-and-emergency-mental-health-care-for-children-and-young-people-national-implementation-guidance/" TargetMode="External"/></Relationships>
</file>

<file path=word/ink/ink1.xml><?xml version="1.0" encoding="utf-8"?>
<inkml:ink xmlns:inkml="http://www.w3.org/2003/InkML">
  <inkml:definitions/>
</inkml:ink>
</file>

<file path=word/ink/ink2.xml><?xml version="1.0" encoding="utf-8"?>
<inkml:ink xmlns:inkml="http://www.w3.org/2003/InkML">
  <inkml:definitions/>
</inkml:ink>
</file>

<file path=word/ink/ink3.xml><?xml version="1.0" encoding="utf-8"?>
<inkml:ink xmlns:inkml="http://www.w3.org/2003/InkML">
  <inkml:definitions/>
</inkml:ink>
</file>

<file path=word/ink/ink4.xml><?xml version="1.0" encoding="utf-8"?>
<inkml:ink xmlns:inkml="http://www.w3.org/2003/InkML">
  <inkml:definitions/>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21501</Words>
  <Characters>122559</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DELL</cp:lastModifiedBy>
  <cp:revision>3</cp:revision>
  <dcterms:created xsi:type="dcterms:W3CDTF">2026-02-01T23:40:00Z</dcterms:created>
  <dcterms:modified xsi:type="dcterms:W3CDTF">2026-02-02T23:38:00Z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060568bc-f2d0-48a6-af29-2e4b0300528f</vt:lpwstr>
  </property>
</Properties>
</file>