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9C2137D" w14:textId="0CEF6635" w:rsidR="006C3F32" w:rsidRDefault="006C3F32" w:rsidP="006C7D32">
      <w:r>
        <w:t xml:space="preserve">Student Name: Sophie Jenkins </w:t>
      </w:r>
      <w:r>
        <w:tab/>
      </w:r>
      <w:r>
        <w:tab/>
      </w:r>
      <w:r>
        <w:tab/>
      </w:r>
      <w:r>
        <w:tab/>
        <w:t>Student Number: 2134318</w:t>
      </w:r>
    </w:p>
    <w:p w14:paraId="40A2FCA0" w14:textId="77777777" w:rsidR="006C3F32" w:rsidRDefault="006C3F32" w:rsidP="006C7D32"/>
    <w:p w14:paraId="0488B78D" w14:textId="77777777" w:rsidR="006C3F32" w:rsidRDefault="006C3F32" w:rsidP="006C7D32"/>
    <w:p w14:paraId="49AFB7CA" w14:textId="7572653E" w:rsidR="006C7D32" w:rsidRDefault="006C7D32" w:rsidP="006C7D32">
      <w:r>
        <w:t>Essay one:</w:t>
      </w:r>
    </w:p>
    <w:p w14:paraId="016ACBDA" w14:textId="7FD03B2E" w:rsidR="006C7D32" w:rsidRDefault="006C7D32" w:rsidP="006C7D32">
      <w:r w:rsidRPr="007D630F">
        <w:t>How might the Code of Ethics help to reduce incidences of professional misconduct and increase public confidence in the police?</w:t>
      </w:r>
    </w:p>
    <w:p w14:paraId="791B2982" w14:textId="77777777" w:rsidR="006C7D32" w:rsidRDefault="006C7D32" w:rsidP="006C7D32">
      <w:r>
        <w:t>Support your answer with relevant evidence drawn from academic sources.</w:t>
      </w:r>
    </w:p>
    <w:p w14:paraId="2BFFD14A" w14:textId="22144CBA" w:rsidR="00493BC7" w:rsidRDefault="006C7D32" w:rsidP="006C7D32">
      <w:r>
        <w:t>Word limit: 1000 words.</w:t>
      </w:r>
    </w:p>
    <w:p w14:paraId="7583B524" w14:textId="77777777" w:rsidR="006C7D32" w:rsidRDefault="006C7D32" w:rsidP="006C7D32"/>
    <w:p w14:paraId="33B72E23" w14:textId="2BC01FBD" w:rsidR="00FA39FB" w:rsidRDefault="001B4BFC" w:rsidP="006C7D32">
      <w:r>
        <w:t xml:space="preserve">Upholding public confidence and professionalism within the police is paramount in the current climate. </w:t>
      </w:r>
      <w:r w:rsidR="000164C4">
        <w:t xml:space="preserve">Confidence in the police has been significantly compromised due to </w:t>
      </w:r>
      <w:r>
        <w:t>recent events such as: the murder of Sarah Everard by then serving Police Officer Wayne Couzens</w:t>
      </w:r>
      <w:r w:rsidR="00C4666B">
        <w:t xml:space="preserve"> </w:t>
      </w:r>
      <w:r w:rsidR="00C4666B" w:rsidRPr="00C4666B">
        <w:t>(The Economist, 2021)</w:t>
      </w:r>
      <w:r>
        <w:t xml:space="preserve"> </w:t>
      </w:r>
      <w:r w:rsidR="00C4666B">
        <w:t>and</w:t>
      </w:r>
      <w:r>
        <w:t xml:space="preserve"> the </w:t>
      </w:r>
      <w:r w:rsidR="003002A1">
        <w:t>group chat scandal that uncovered misogynistic, racist, and homophobic text messages between serving Metropolitan Police Officers</w:t>
      </w:r>
      <w:r w:rsidR="00C4666B" w:rsidRPr="00C4666B">
        <w:t xml:space="preserve"> (</w:t>
      </w:r>
      <w:proofErr w:type="spellStart"/>
      <w:r w:rsidR="00C4666B" w:rsidRPr="00C4666B">
        <w:t>Mortleman</w:t>
      </w:r>
      <w:proofErr w:type="spellEnd"/>
      <w:r w:rsidR="00C4666B" w:rsidRPr="00C4666B">
        <w:t>, 2011)</w:t>
      </w:r>
      <w:r w:rsidR="003002A1">
        <w:t>. Both of which are only two examples of recent</w:t>
      </w:r>
      <w:r w:rsidR="000164C4">
        <w:t xml:space="preserve"> </w:t>
      </w:r>
      <w:r w:rsidR="003002A1">
        <w:t>controversies that have significantly undermined public confidence in the police</w:t>
      </w:r>
      <w:r w:rsidR="00C4666B">
        <w:t xml:space="preserve"> </w:t>
      </w:r>
      <w:r w:rsidR="00C4666B" w:rsidRPr="00C4666B">
        <w:t>(Stanko et al., 2011)</w:t>
      </w:r>
      <w:r w:rsidR="00C4666B">
        <w:t>.</w:t>
      </w:r>
    </w:p>
    <w:p w14:paraId="542A38D3" w14:textId="06AB9BE1" w:rsidR="00F73694" w:rsidRDefault="00FA39FB" w:rsidP="006C7D32">
      <w:r>
        <w:tab/>
      </w:r>
      <w:r w:rsidR="00F73694">
        <w:t>The Code of Ethics is explained as a framework that encourages personal responsibility and</w:t>
      </w:r>
      <w:r>
        <w:t xml:space="preserve"> promotes </w:t>
      </w:r>
      <w:r w:rsidR="00F73694">
        <w:t>professional judgement</w:t>
      </w:r>
      <w:r>
        <w:t xml:space="preserve"> </w:t>
      </w:r>
      <w:r w:rsidR="00F73694">
        <w:t xml:space="preserve">allowing officers to do the right thing </w:t>
      </w:r>
      <w:r w:rsidR="00F73694" w:rsidRPr="00F73694">
        <w:t>(College of Policing, 2014)</w:t>
      </w:r>
      <w:r w:rsidR="00F73694">
        <w:t xml:space="preserve">. </w:t>
      </w:r>
      <w:r>
        <w:t>Introduced in 2014, it incorporates Policing Principles and Standards of Professional Behaviour which act as a ‘rule book’ that individuals within the Police Service should abide b</w:t>
      </w:r>
      <w:r w:rsidR="0081131A">
        <w:t>y</w:t>
      </w:r>
      <w:r w:rsidR="0081131A" w:rsidRPr="0081131A">
        <w:t xml:space="preserve"> (</w:t>
      </w:r>
      <w:proofErr w:type="spellStart"/>
      <w:r w:rsidR="0081131A" w:rsidRPr="0081131A">
        <w:t>Westmarland</w:t>
      </w:r>
      <w:proofErr w:type="spellEnd"/>
      <w:r w:rsidR="0081131A" w:rsidRPr="0081131A">
        <w:t>, 2005)</w:t>
      </w:r>
      <w:r w:rsidR="0081131A">
        <w:t xml:space="preserve">. </w:t>
      </w:r>
      <w:r w:rsidR="00484EC5">
        <w:t xml:space="preserve"> </w:t>
      </w:r>
      <w:r w:rsidRPr="00FA39FB">
        <w:t>This essay will explain how the Code of Ethics may help to reduce these incidents of professional misconduct and how it aids in increasing public confidence within police organisations.</w:t>
      </w:r>
    </w:p>
    <w:p w14:paraId="6AD12ACF" w14:textId="7CC420E4" w:rsidR="00317993" w:rsidRDefault="004D2D38" w:rsidP="00317993">
      <w:r>
        <w:tab/>
        <w:t xml:space="preserve">According to recent </w:t>
      </w:r>
      <w:r w:rsidR="007649DC">
        <w:t xml:space="preserve">research, many people believe that the Code of Ethics act as democratic tool that promotes the ideal that nobody is above the law, especially those in law enforcement. </w:t>
      </w:r>
      <w:r w:rsidR="000570A7">
        <w:t>Stephen</w:t>
      </w:r>
      <w:r w:rsidR="00B25F8A">
        <w:t xml:space="preserve"> et al (</w:t>
      </w:r>
      <w:r w:rsidR="000570A7">
        <w:t>1997</w:t>
      </w:r>
      <w:r w:rsidR="00B25F8A">
        <w:t>) states that for public trust to exist, the police must act with integrity, accountability, and fairness. Public trust and the Code of Ethics align codependently as without one, you do not have the other. A democratic society relies on fairness</w:t>
      </w:r>
      <w:r w:rsidR="00197CE2">
        <w:t xml:space="preserve"> </w:t>
      </w:r>
      <w:r w:rsidR="00317993">
        <w:t xml:space="preserve">and equality </w:t>
      </w:r>
      <w:r w:rsidR="00197CE2">
        <w:t>for all a</w:t>
      </w:r>
      <w:r w:rsidR="00317993">
        <w:t>s</w:t>
      </w:r>
      <w:r w:rsidR="00B25F8A">
        <w:t xml:space="preserve"> </w:t>
      </w:r>
      <w:r w:rsidR="005E0F77">
        <w:t>Caldero (2018) explains that there needs to be a balance between victim satisfaction and catching the ‘bad people’</w:t>
      </w:r>
      <w:r w:rsidR="00197CE2">
        <w:t>. He adds that there must be</w:t>
      </w:r>
      <w:r w:rsidR="005E0F77">
        <w:t xml:space="preserve"> a commitment to fairness as “this is the cornerstone of public service”.  </w:t>
      </w:r>
      <w:r w:rsidR="00197CE2">
        <w:t xml:space="preserve">This </w:t>
      </w:r>
      <w:r w:rsidR="00317993">
        <w:t>emphasises</w:t>
      </w:r>
      <w:r w:rsidR="00197CE2">
        <w:t xml:space="preserve"> that without the support of the victim, we cannot fulfil our service</w:t>
      </w:r>
      <w:r w:rsidR="0081131A">
        <w:t xml:space="preserve"> </w:t>
      </w:r>
      <w:r w:rsidR="0081131A" w:rsidRPr="0081131A">
        <w:t>(Clark, 2003)</w:t>
      </w:r>
      <w:r w:rsidR="00197CE2">
        <w:t xml:space="preserve">. </w:t>
      </w:r>
      <w:r w:rsidR="00317993">
        <w:t>Therefore, promoting a sense of fairness that despite being enforcers of the law, they are still held accountab</w:t>
      </w:r>
      <w:r w:rsidR="0081131A">
        <w:t xml:space="preserve">le </w:t>
      </w:r>
      <w:r w:rsidR="00317993">
        <w:t>for their actions.</w:t>
      </w:r>
      <w:r w:rsidR="00317993" w:rsidRPr="00DB756F">
        <w:rPr>
          <w:color w:val="FF0000"/>
        </w:rPr>
        <w:t xml:space="preserve"> </w:t>
      </w:r>
      <w:r w:rsidR="00317993">
        <w:t xml:space="preserve">Moreover, </w:t>
      </w:r>
      <w:r w:rsidR="00317993" w:rsidRPr="00317993">
        <w:t>ensuring and upholding public trust along with dealing with those who do not act with</w:t>
      </w:r>
      <w:r w:rsidR="00317993">
        <w:t xml:space="preserve"> the same</w:t>
      </w:r>
      <w:r w:rsidR="00317993" w:rsidRPr="00317993">
        <w:t xml:space="preserve"> integrity or professionalism</w:t>
      </w:r>
      <w:r w:rsidR="0081131A">
        <w:t xml:space="preserve"> </w:t>
      </w:r>
      <w:r w:rsidR="0081131A" w:rsidRPr="0081131A">
        <w:t>(Rowe, 2020)</w:t>
      </w:r>
      <w:r w:rsidR="0081131A">
        <w:t xml:space="preserve">. </w:t>
      </w:r>
    </w:p>
    <w:p w14:paraId="4AFE49FC" w14:textId="11227368" w:rsidR="0004292B" w:rsidRDefault="00317993" w:rsidP="00317993">
      <w:r>
        <w:tab/>
      </w:r>
      <w:r w:rsidR="00CF3090">
        <w:t>The Code of Ethics act as a tool to maintain expectations of behaviour within the police service</w:t>
      </w:r>
      <w:r w:rsidR="007E004A">
        <w:t xml:space="preserve"> (College of Policing, 2014).</w:t>
      </w:r>
      <w:r w:rsidR="00CF3090">
        <w:t xml:space="preserve"> It allows the organisations to refer to the individual ethics to ensure that officers and staff are behaving accordingly, ensuring an objective stance of what is expected of them.</w:t>
      </w:r>
      <w:r w:rsidR="000A13B2">
        <w:t xml:space="preserve"> </w:t>
      </w:r>
      <w:r w:rsidR="00CF3090">
        <w:t>This has</w:t>
      </w:r>
      <w:r w:rsidR="00FA2BA1">
        <w:t xml:space="preserve"> also</w:t>
      </w:r>
      <w:r w:rsidR="00CF3090">
        <w:t xml:space="preserve"> allowed police forces’ to take disciplinary action against professional misconduct</w:t>
      </w:r>
      <w:r w:rsidR="00FA2BA1">
        <w:t>. I</w:t>
      </w:r>
      <w:r w:rsidR="00FA2BA1" w:rsidRPr="00FA2BA1">
        <w:t>n the year ending 31 March 2022, 471 conduct matter allegations against police officers went to a misconduct meeting</w:t>
      </w:r>
      <w:r w:rsidR="00FA2BA1">
        <w:t xml:space="preserve"> </w:t>
      </w:r>
      <w:r w:rsidR="00FA2BA1" w:rsidRPr="00FA2BA1">
        <w:t xml:space="preserve">(GOV.UK, </w:t>
      </w:r>
      <w:r w:rsidR="00FA2BA1">
        <w:t>2022</w:t>
      </w:r>
      <w:r w:rsidR="00FA2BA1" w:rsidRPr="00FA2BA1">
        <w:t>)</w:t>
      </w:r>
      <w:r w:rsidR="00FA2BA1">
        <w:t xml:space="preserve">. This shows that complaints and allegations from the public regarding officer misconduct where investigated and misconduct proceedings were followed. The Code of Ethics act as the main reference in investigations to establish whether the officer has abided by what </w:t>
      </w:r>
      <w:r w:rsidR="00D46460">
        <w:t>is expected of them</w:t>
      </w:r>
      <w:r w:rsidR="007E004A">
        <w:t xml:space="preserve"> (Rowe, 2020).</w:t>
      </w:r>
      <w:r w:rsidR="00776666">
        <w:t xml:space="preserve"> </w:t>
      </w:r>
      <w:r w:rsidR="00D46460">
        <w:t xml:space="preserve">By publishing this data, this shows serving </w:t>
      </w:r>
      <w:r w:rsidR="00D46460">
        <w:lastRenderedPageBreak/>
        <w:t>members of staff and Police Constables that professional misconduct will not be tolerated. The statistics reiterate that the Code of Ethics are fundamental in measuring the expectations of behaviour</w:t>
      </w:r>
      <w:r w:rsidR="007E004A">
        <w:t xml:space="preserve"> </w:t>
      </w:r>
      <w:r w:rsidR="007E004A" w:rsidRPr="007E004A">
        <w:t>(Paterson and Pollock, 2022)</w:t>
      </w:r>
      <w:r w:rsidR="007E004A">
        <w:t xml:space="preserve">. </w:t>
      </w:r>
    </w:p>
    <w:p w14:paraId="60C1047A" w14:textId="18691B6C" w:rsidR="00317993" w:rsidRDefault="0004292B" w:rsidP="00317993">
      <w:r>
        <w:tab/>
      </w:r>
      <w:r w:rsidR="00DD23E5">
        <w:t>Analysing the statistics critically,</w:t>
      </w:r>
      <w:r w:rsidR="00D46460">
        <w:t xml:space="preserve"> </w:t>
      </w:r>
      <w:r w:rsidR="00DD23E5">
        <w:t xml:space="preserve">it is stated that some outcomes were not known, and they also preface that an individual could have multiple allegations and outcomes, and these were all counted as separate </w:t>
      </w:r>
      <w:r w:rsidR="00796CCF">
        <w:t>statistics</w:t>
      </w:r>
      <w:r w:rsidR="00DD23E5">
        <w:t xml:space="preserve">. This could be misleading as some may assume that more officers had been disciplined for professional misconduct. </w:t>
      </w:r>
    </w:p>
    <w:p w14:paraId="2F32B2B5" w14:textId="58FD07B6" w:rsidR="00776666" w:rsidRDefault="0004292B" w:rsidP="00317993">
      <w:r>
        <w:tab/>
        <w:t xml:space="preserve">Professional misconduct hearings are sometimes broadcasted by the media. Whenever there has been a case of gross misconduct that has resulted in an officer or police staff being suspended or terminated from their jobs, the media publish </w:t>
      </w:r>
      <w:r w:rsidR="00DB756F">
        <w:t>information</w:t>
      </w:r>
      <w:r>
        <w:t xml:space="preserve"> of those individuals </w:t>
      </w:r>
      <w:r w:rsidR="00484EC5">
        <w:t>to</w:t>
      </w:r>
      <w:r>
        <w:t xml:space="preserve"> be transparent to the public and to hold </w:t>
      </w:r>
      <w:r w:rsidR="00776666">
        <w:t xml:space="preserve">police </w:t>
      </w:r>
      <w:r>
        <w:t>organisations accountable</w:t>
      </w:r>
      <w:r w:rsidR="007E004A">
        <w:t xml:space="preserve"> </w:t>
      </w:r>
      <w:r w:rsidR="007E004A" w:rsidRPr="007E004A">
        <w:t>(Mawby, 1999)</w:t>
      </w:r>
      <w:r>
        <w:t>.</w:t>
      </w:r>
      <w:r w:rsidR="00DB756F">
        <w:t xml:space="preserve"> Public perception is</w:t>
      </w:r>
      <w:r w:rsidR="00776666">
        <w:t xml:space="preserve"> considerably</w:t>
      </w:r>
      <w:r w:rsidR="00DB756F">
        <w:t xml:space="preserve"> influenced by the media</w:t>
      </w:r>
      <w:r w:rsidR="00776666">
        <w:t xml:space="preserve">. </w:t>
      </w:r>
      <w:r w:rsidR="00DB756F">
        <w:t>“</w:t>
      </w:r>
      <w:r w:rsidR="00776666">
        <w:t>N</w:t>
      </w:r>
      <w:r w:rsidR="00DB756F" w:rsidRPr="00DB756F">
        <w:t>ews framing by the media is shown to have significant effects of an individual’s perception</w:t>
      </w:r>
      <w:r w:rsidR="00DB756F">
        <w:t>”</w:t>
      </w:r>
      <w:r w:rsidR="00776666">
        <w:t xml:space="preserve"> (</w:t>
      </w:r>
      <w:proofErr w:type="spellStart"/>
      <w:r w:rsidR="00776666" w:rsidRPr="00776666">
        <w:t>Deryol</w:t>
      </w:r>
      <w:proofErr w:type="spellEnd"/>
      <w:r w:rsidR="00776666">
        <w:t xml:space="preserve">, </w:t>
      </w:r>
      <w:r w:rsidR="00776666" w:rsidRPr="00776666">
        <w:t>2011)</w:t>
      </w:r>
      <w:r w:rsidR="00776666">
        <w:t xml:space="preserve"> and public perception about the police service is no exception. </w:t>
      </w:r>
    </w:p>
    <w:p w14:paraId="1C5261FC" w14:textId="3D598A15" w:rsidR="0084012D" w:rsidRDefault="00776666" w:rsidP="00317993">
      <w:r>
        <w:tab/>
      </w:r>
      <w:r w:rsidR="00DB756F">
        <w:t xml:space="preserve">As previously stated, the police rely on support from the public and </w:t>
      </w:r>
      <w:r>
        <w:t xml:space="preserve">need to be transparent, so </w:t>
      </w:r>
      <w:r w:rsidR="00DB756F">
        <w:t xml:space="preserve">they are obliged to </w:t>
      </w:r>
      <w:r>
        <w:t>publish details relating to officer or staff misconduct</w:t>
      </w:r>
      <w:r w:rsidR="007E004A">
        <w:t xml:space="preserve"> (Paterson and Pollock, 2022).</w:t>
      </w:r>
      <w:r>
        <w:t xml:space="preserve"> Again, this misconduct is measured by the Code of Ethics. It could be argued that by publishing these details in the media, this could also act as a deterrent to other officers and staff due to the consequential embarrassment, and potential difficulty in securing another job</w:t>
      </w:r>
      <w:r w:rsidR="007E004A">
        <w:t xml:space="preserve"> (Mawby, 1999). </w:t>
      </w:r>
      <w:r>
        <w:t xml:space="preserve">Therefore, reinstating that the Code of Ethics may reduce these types of incidents and </w:t>
      </w:r>
      <w:r w:rsidR="0058737B">
        <w:t>it</w:t>
      </w:r>
      <w:r>
        <w:t xml:space="preserve"> can be used to increase public confidence through the media.</w:t>
      </w:r>
    </w:p>
    <w:p w14:paraId="6E181C03" w14:textId="110CF651" w:rsidR="006906A3" w:rsidRPr="006906A3" w:rsidRDefault="006906A3" w:rsidP="00317993">
      <w:r>
        <w:rPr>
          <w:color w:val="FF0000"/>
        </w:rPr>
        <w:tab/>
      </w:r>
      <w:r>
        <w:t>It may be helpful to offer an alternative perspective and consider the downfalls of the Code of Ethics</w:t>
      </w:r>
      <w:r w:rsidR="008C30AC">
        <w:t xml:space="preserve">. </w:t>
      </w:r>
      <w:r>
        <w:t>It could be argued that the Ethics themselves are often overlooked during daily police work and they may not always be at the forefront of one’s mind</w:t>
      </w:r>
      <w:r w:rsidR="005F0E9A">
        <w:t xml:space="preserve"> </w:t>
      </w:r>
      <w:r w:rsidR="005F0E9A" w:rsidRPr="005F0E9A">
        <w:t>(Skolnick, 2002)</w:t>
      </w:r>
      <w:r>
        <w:t xml:space="preserve">. Additionally, theories such as </w:t>
      </w:r>
      <w:r w:rsidR="00953B4F">
        <w:t xml:space="preserve">Dekker (2017) ‘bad apple theory’ detail that human error are the cause of accidents and problems. He states that unreliable and erratic individuals are the cause of organisation failures. Therefore, it could be argued that human failure is innate and rules or shared ethics will not change that. Decreasing the value of the Code of Ethics in decreasing incidents of professional misconduct and increasing public confidence in the police. </w:t>
      </w:r>
    </w:p>
    <w:p w14:paraId="322867EC" w14:textId="58647B12" w:rsidR="00953B4F" w:rsidRDefault="0084012D" w:rsidP="006906A3">
      <w:r>
        <w:tab/>
        <w:t>To conclude, the Code of Ethics can be versatile in their effect on police officer</w:t>
      </w:r>
      <w:r w:rsidR="005F0E9A">
        <w:t>s</w:t>
      </w:r>
      <w:r>
        <w:t xml:space="preserve"> and </w:t>
      </w:r>
      <w:r w:rsidR="00C332BF">
        <w:t xml:space="preserve">public </w:t>
      </w:r>
      <w:r>
        <w:t>perception about their job roles and the responsibilities they have in upholding public trust</w:t>
      </w:r>
      <w:r w:rsidR="005F0E9A">
        <w:t xml:space="preserve"> (</w:t>
      </w:r>
      <w:proofErr w:type="spellStart"/>
      <w:r w:rsidR="005F0E9A">
        <w:t>Westmarland</w:t>
      </w:r>
      <w:proofErr w:type="spellEnd"/>
      <w:r w:rsidR="005F0E9A">
        <w:t>, 2005).</w:t>
      </w:r>
      <w:r>
        <w:t xml:space="preserve"> The Code of Ethics also allow</w:t>
      </w:r>
      <w:r w:rsidR="00C332BF">
        <w:t>s</w:t>
      </w:r>
      <w:r>
        <w:t xml:space="preserve"> police services’ to be transparent in their approach with the public by releasing when the Ethics are not complied with, and </w:t>
      </w:r>
      <w:r w:rsidR="00C332BF">
        <w:t xml:space="preserve">when </w:t>
      </w:r>
      <w:r>
        <w:t>disciplinary action has been taken.</w:t>
      </w:r>
      <w:r w:rsidR="00C332BF" w:rsidRPr="00C332BF">
        <w:rPr>
          <w:color w:val="FF0000"/>
        </w:rPr>
        <w:t xml:space="preserve"> </w:t>
      </w:r>
      <w:r>
        <w:t>Overall, without the Police Code of Ethics there would not be an integral ‘rulebook’ for officers and staff to refer to and abide by therefore, based on that there would be more incidents of professional misconduct</w:t>
      </w:r>
      <w:r w:rsidR="005F0E9A">
        <w:t xml:space="preserve"> </w:t>
      </w:r>
      <w:r w:rsidR="005F0E9A" w:rsidRPr="005F0E9A">
        <w:t>(Paterson and Pollock, 2022).</w:t>
      </w:r>
      <w:r>
        <w:t xml:space="preserve"> It can be argued that the introduction of the Code of Ethics </w:t>
      </w:r>
      <w:r w:rsidR="00C332BF">
        <w:t>has</w:t>
      </w:r>
      <w:r>
        <w:t xml:space="preserve"> allowed a more concise and straightforward way to ass</w:t>
      </w:r>
      <w:r w:rsidR="00C332BF">
        <w:t>ess behaviour and therefore it subsequently increases public confidence in the integrity of the police overall.</w:t>
      </w:r>
    </w:p>
    <w:p w14:paraId="0F4960A7" w14:textId="77777777" w:rsidR="007D630F" w:rsidRDefault="007D630F" w:rsidP="006906A3"/>
    <w:p w14:paraId="3C7482E7" w14:textId="3ED3058F" w:rsidR="00770EA9" w:rsidRPr="00B22B26" w:rsidRDefault="007D630F" w:rsidP="00770EA9">
      <w:pPr>
        <w:rPr>
          <w:i/>
          <w:iCs/>
          <w:color w:val="FF0000"/>
        </w:rPr>
      </w:pPr>
      <w:r w:rsidRPr="00B22B26">
        <w:rPr>
          <w:i/>
          <w:iCs/>
        </w:rPr>
        <w:t>1027 words</w:t>
      </w:r>
    </w:p>
    <w:p w14:paraId="21BA4B9B" w14:textId="3627A0B5" w:rsidR="00953B4F" w:rsidRDefault="00953B4F" w:rsidP="00953B4F">
      <w:pPr>
        <w:pStyle w:val="ListParagraph"/>
        <w:ind w:left="1440"/>
      </w:pPr>
    </w:p>
    <w:p w14:paraId="21D919BC" w14:textId="77777777" w:rsidR="00762E76" w:rsidRDefault="00762E76" w:rsidP="00317993"/>
    <w:p w14:paraId="70D9B046" w14:textId="418D52FE" w:rsidR="00002EF0" w:rsidRDefault="00002EF0" w:rsidP="00762E76">
      <w:pPr>
        <w:rPr>
          <w:u w:val="single"/>
        </w:rPr>
      </w:pPr>
      <w:r>
        <w:rPr>
          <w:u w:val="single"/>
        </w:rPr>
        <w:lastRenderedPageBreak/>
        <w:t>References</w:t>
      </w:r>
    </w:p>
    <w:p w14:paraId="044A8B0D" w14:textId="77777777" w:rsidR="00002EF0" w:rsidRPr="00002EF0" w:rsidRDefault="00002EF0" w:rsidP="00762E76">
      <w:pPr>
        <w:rPr>
          <w:u w:val="single"/>
        </w:rPr>
      </w:pPr>
    </w:p>
    <w:p w14:paraId="55880063" w14:textId="07E17F34" w:rsidR="00762E76" w:rsidRDefault="00762E76" w:rsidP="00762E76">
      <w:r>
        <w:t>Caldero, M.A. (2018). POLICE ETHICS: the corruption of noble cause.</w:t>
      </w:r>
    </w:p>
    <w:p w14:paraId="216C32F5" w14:textId="5F14F6CA" w:rsidR="00762E76" w:rsidRDefault="00762E76" w:rsidP="00762E76">
      <w:r>
        <w:t xml:space="preserve">Clark, M. (2003). Victim-Centred Policing: The Shepherd’s Solution to Policing in the 21st Century. The Police Journal: Theory, Practice and Principles, 76(4), pp.314–327. </w:t>
      </w:r>
      <w:proofErr w:type="spellStart"/>
      <w:proofErr w:type="gramStart"/>
      <w:r>
        <w:t>doi:https</w:t>
      </w:r>
      <w:proofErr w:type="spellEnd"/>
      <w:r>
        <w:t>://doi.org/10.1350/pojo.76.4.314.25823</w:t>
      </w:r>
      <w:proofErr w:type="gramEnd"/>
      <w:r>
        <w:t>.</w:t>
      </w:r>
    </w:p>
    <w:p w14:paraId="400AB494" w14:textId="424C83D1" w:rsidR="00762E76" w:rsidRDefault="00762E76" w:rsidP="00762E76">
      <w:r>
        <w:t>College of Policing (2014). Code of Ethics. [online] College of Policing. Available at: https://www.college.police.uk/ethics/code-of-ethics. (Accessed: July 10, 2023)</w:t>
      </w:r>
    </w:p>
    <w:p w14:paraId="248672BE" w14:textId="0C69BA00" w:rsidR="00762E76" w:rsidRDefault="00762E76" w:rsidP="00762E76">
      <w:r>
        <w:t>Dekker, S. (2017). The Field Guide to Understanding ‘Human Error’. Boca Raton: CRC Press.</w:t>
      </w:r>
    </w:p>
    <w:p w14:paraId="15DA6135" w14:textId="71F9EEBD" w:rsidR="00762E76" w:rsidRDefault="00762E76" w:rsidP="00762E76">
      <w:proofErr w:type="spellStart"/>
      <w:r>
        <w:t>Deryol</w:t>
      </w:r>
      <w:proofErr w:type="spellEnd"/>
      <w:r>
        <w:t xml:space="preserve">, R. (2011). Police Misconduct, Media Coverage, and Public Perceptions of Racial Profiling: An Experiment. Policing: An International Journal of Police Strategies &amp; Management, 34(2). </w:t>
      </w:r>
      <w:proofErr w:type="spellStart"/>
      <w:proofErr w:type="gramStart"/>
      <w:r w:rsidR="00F85B97">
        <w:t>doi</w:t>
      </w:r>
      <w:r>
        <w:t>:https</w:t>
      </w:r>
      <w:proofErr w:type="spellEnd"/>
      <w:r>
        <w:t>://doi.org/10.1108/pijpsm.2011.18134aaa.004</w:t>
      </w:r>
      <w:proofErr w:type="gramEnd"/>
      <w:r>
        <w:t>.</w:t>
      </w:r>
    </w:p>
    <w:p w14:paraId="42A65985" w14:textId="48929B6B" w:rsidR="00762E76" w:rsidRDefault="00762E76" w:rsidP="00762E76">
      <w:r>
        <w:t>GOV.UK. (2022). Police misconduct, England and Wales year ending 31 March 2022. [online] Available at: https://www.gov.uk/government/statistics/police-misconduct-england-and-wales-year-ending-31-march-2022/police-misconduct-england-and-wales-year-ending-31-march-2022#chapter4.</w:t>
      </w:r>
    </w:p>
    <w:p w14:paraId="5F63D48C" w14:textId="3B613AB4" w:rsidR="00762E76" w:rsidRDefault="00762E76" w:rsidP="00762E76">
      <w:r>
        <w:t xml:space="preserve">Mawby, R.C. (1999). Visibility, </w:t>
      </w:r>
      <w:proofErr w:type="gramStart"/>
      <w:r>
        <w:t>transparency</w:t>
      </w:r>
      <w:proofErr w:type="gramEnd"/>
      <w:r>
        <w:t xml:space="preserve"> and police‐media relations. Policing and Society, 9(3), pp.263–286. </w:t>
      </w:r>
      <w:proofErr w:type="spellStart"/>
      <w:proofErr w:type="gramStart"/>
      <w:r>
        <w:t>doi:https</w:t>
      </w:r>
      <w:proofErr w:type="spellEnd"/>
      <w:r>
        <w:t>://doi.org/10.1080/10439463.1999.9964816</w:t>
      </w:r>
      <w:proofErr w:type="gramEnd"/>
      <w:r>
        <w:t>.</w:t>
      </w:r>
    </w:p>
    <w:p w14:paraId="41816BAF" w14:textId="1C15D546" w:rsidR="00762E76" w:rsidRDefault="00762E76" w:rsidP="00762E76">
      <w:proofErr w:type="spellStart"/>
      <w:r>
        <w:t>Mortleman</w:t>
      </w:r>
      <w:proofErr w:type="spellEnd"/>
      <w:r>
        <w:t xml:space="preserve">, J. (2011). Phone Hacking Scandal: Who’s Getting the Message? </w:t>
      </w:r>
      <w:proofErr w:type="spellStart"/>
      <w:r>
        <w:t>Infosecurity</w:t>
      </w:r>
      <w:proofErr w:type="spellEnd"/>
      <w:r>
        <w:t xml:space="preserve">, 8(6), pp.36–39. </w:t>
      </w:r>
      <w:proofErr w:type="spellStart"/>
      <w:proofErr w:type="gramStart"/>
      <w:r>
        <w:t>doi:https</w:t>
      </w:r>
      <w:proofErr w:type="spellEnd"/>
      <w:r>
        <w:t>://doi.org/10.1016/s1754-4548(11)70084-5</w:t>
      </w:r>
      <w:proofErr w:type="gramEnd"/>
      <w:r>
        <w:t>.</w:t>
      </w:r>
    </w:p>
    <w:p w14:paraId="1543B81B" w14:textId="0CA395A8" w:rsidR="00762E76" w:rsidRDefault="00762E76" w:rsidP="00762E76">
      <w:r>
        <w:t>Paterson, C. and Pollock, E. (2022). Criminology for the Police. Routledge.</w:t>
      </w:r>
    </w:p>
    <w:p w14:paraId="65318133" w14:textId="17A80F66" w:rsidR="00762E76" w:rsidRDefault="00762E76" w:rsidP="00762E76">
      <w:r>
        <w:t xml:space="preserve">Rowe, M. (2020). Policing the </w:t>
      </w:r>
      <w:r w:rsidR="00125DE1">
        <w:t>Police:</w:t>
      </w:r>
      <w:r>
        <w:t xml:space="preserve"> Challenges of Democracy and Accountability. Bristol: Policy Press.</w:t>
      </w:r>
    </w:p>
    <w:p w14:paraId="3D3081BE" w14:textId="72D3128F" w:rsidR="00762E76" w:rsidRDefault="00762E76" w:rsidP="00762E76">
      <w:r>
        <w:t xml:space="preserve">Skolnick, J. (2002). Corruption and the Blue Code of Silence. Police Practice and Research, 3(1), pp.7–19. </w:t>
      </w:r>
      <w:proofErr w:type="spellStart"/>
      <w:proofErr w:type="gramStart"/>
      <w:r>
        <w:t>doi:https</w:t>
      </w:r>
      <w:proofErr w:type="spellEnd"/>
      <w:r>
        <w:t>://doi.org/10.1080/15614260290011309</w:t>
      </w:r>
      <w:proofErr w:type="gramEnd"/>
      <w:r>
        <w:t>.</w:t>
      </w:r>
    </w:p>
    <w:p w14:paraId="31AF857D" w14:textId="267BFF59" w:rsidR="00762E76" w:rsidRDefault="00762E76" w:rsidP="00762E76">
      <w:r>
        <w:t xml:space="preserve">Stanko, E.A., Jackson, J., Bradford, B. and Hohl, K. (2011). A Golden Thread, a Presence Amongst Uniforms, and a Good Deal of Data: Studying Public Confidence in the London Metropolitan Police. SSRN Electronic Journal, 22(3). </w:t>
      </w:r>
      <w:proofErr w:type="spellStart"/>
      <w:proofErr w:type="gramStart"/>
      <w:r>
        <w:t>doi:https</w:t>
      </w:r>
      <w:proofErr w:type="spellEnd"/>
      <w:r>
        <w:t>://doi.org/10.2139/ssrn.1815824</w:t>
      </w:r>
      <w:proofErr w:type="gramEnd"/>
      <w:r>
        <w:t>.</w:t>
      </w:r>
    </w:p>
    <w:p w14:paraId="76C82CC6" w14:textId="3EA13791" w:rsidR="00762E76" w:rsidRDefault="00762E76" w:rsidP="00762E76">
      <w:r>
        <w:t xml:space="preserve">Stephen, J. V. (1997). Ethics and Police Integrity: Some definitions and Questions for Study. Police Integrity: Public Service with Honor. </w:t>
      </w:r>
    </w:p>
    <w:p w14:paraId="2F92C895" w14:textId="49DD89BF" w:rsidR="00762E76" w:rsidRDefault="00762E76" w:rsidP="00762E76">
      <w:r>
        <w:t>The Economist (2021). What Sarah Everard’s murder means for the Metropolitan Police: In the spotlight. Magazine. [online] 5 Nov. Available at: https://www.proquest.com/magaz%20ines/what-sarah-everard-s-murder-means%02metropolitan/docview/2597819172/se-2?accountid=130472 [Accessed 11 Oct. 2023].</w:t>
      </w:r>
    </w:p>
    <w:p w14:paraId="44C2522B" w14:textId="2D25DBAA" w:rsidR="0058737B" w:rsidRDefault="00762E76" w:rsidP="00762E76">
      <w:proofErr w:type="spellStart"/>
      <w:r>
        <w:t>Westmarland</w:t>
      </w:r>
      <w:proofErr w:type="spellEnd"/>
      <w:r>
        <w:t xml:space="preserve">, L. (2005). Police Ethics and Integrity: Breaking the Blue Code of Silence. Policing and Society, [online] 15(2), pp.145–165. </w:t>
      </w:r>
      <w:proofErr w:type="spellStart"/>
      <w:proofErr w:type="gramStart"/>
      <w:r>
        <w:t>doi:https</w:t>
      </w:r>
      <w:proofErr w:type="spellEnd"/>
      <w:r>
        <w:t>://doi.org/10.1080/10439460500071721</w:t>
      </w:r>
      <w:proofErr w:type="gramEnd"/>
      <w:r>
        <w:t>.</w:t>
      </w:r>
      <w:r w:rsidR="0058737B">
        <w:tab/>
      </w:r>
    </w:p>
    <w:p w14:paraId="14CC3632" w14:textId="420997A7" w:rsidR="00796CCF" w:rsidRDefault="00796CCF" w:rsidP="00317993">
      <w:r>
        <w:tab/>
      </w:r>
      <w:r w:rsidR="0004292B">
        <w:t xml:space="preserve"> </w:t>
      </w:r>
    </w:p>
    <w:p w14:paraId="75A3BEB9" w14:textId="77777777" w:rsidR="00770EA9" w:rsidRDefault="00770EA9" w:rsidP="006906A3"/>
    <w:p w14:paraId="3FAC1830" w14:textId="599CF65A" w:rsidR="006906A3" w:rsidRDefault="006906A3" w:rsidP="006906A3">
      <w:r>
        <w:lastRenderedPageBreak/>
        <w:t xml:space="preserve">Essay two: </w:t>
      </w:r>
    </w:p>
    <w:p w14:paraId="5E990F4F" w14:textId="22F921CC" w:rsidR="006906A3" w:rsidRPr="007D630F" w:rsidRDefault="006906A3" w:rsidP="006906A3">
      <w:bookmarkStart w:id="0" w:name="_Hlk139978501"/>
      <w:r w:rsidRPr="007D630F">
        <w:t>How effective is a multi-agency approach as a means of managing violent and sexual offenders?</w:t>
      </w:r>
    </w:p>
    <w:bookmarkEnd w:id="0"/>
    <w:p w14:paraId="167E9F87" w14:textId="4A9246C8" w:rsidR="006906A3" w:rsidRPr="007D630F" w:rsidRDefault="006906A3" w:rsidP="006906A3">
      <w:r w:rsidRPr="007D630F">
        <w:t xml:space="preserve">Your answer must be based on academic research, but you may </w:t>
      </w:r>
      <w:proofErr w:type="gramStart"/>
      <w:r w:rsidRPr="007D630F">
        <w:t>make reference</w:t>
      </w:r>
      <w:proofErr w:type="gramEnd"/>
      <w:r w:rsidRPr="007D630F">
        <w:t xml:space="preserve"> to relevant case studies.</w:t>
      </w:r>
    </w:p>
    <w:p w14:paraId="1817BC1B" w14:textId="12BACA8C" w:rsidR="00F73694" w:rsidRDefault="006906A3" w:rsidP="006906A3">
      <w:r w:rsidRPr="007D630F">
        <w:t>Word limit: 1000 words.</w:t>
      </w:r>
    </w:p>
    <w:p w14:paraId="4AA3E4E2" w14:textId="77777777" w:rsidR="00411810" w:rsidRDefault="00411810" w:rsidP="006906A3"/>
    <w:p w14:paraId="2F2C684D" w14:textId="61BB44DB" w:rsidR="00EA5BA8" w:rsidRDefault="00BE2BBC" w:rsidP="00EA5BA8">
      <w:r>
        <w:t xml:space="preserve">A multi-agency approach is defined as multiple agencies </w:t>
      </w:r>
      <w:r w:rsidR="00EA5BA8">
        <w:t>collaborating</w:t>
      </w:r>
      <w:r>
        <w:t xml:space="preserve"> to provide solutions, assess risk, and produce action plans to promote rehabilitation </w:t>
      </w:r>
      <w:r w:rsidRPr="00BE2BBC">
        <w:t>(College of Policing, 2015)</w:t>
      </w:r>
      <w:r>
        <w:t xml:space="preserve">. </w:t>
      </w:r>
      <w:r w:rsidR="00EA5BA8">
        <w:t xml:space="preserve">Additionally, Bows and </w:t>
      </w:r>
      <w:proofErr w:type="spellStart"/>
      <w:r w:rsidR="00EA5BA8">
        <w:t>Westmarland</w:t>
      </w:r>
      <w:proofErr w:type="spellEnd"/>
      <w:r w:rsidR="00EA5BA8">
        <w:t xml:space="preserve"> (2016) state that agencies manage offenders by risk assessing them and monitoring their behaviour, </w:t>
      </w:r>
      <w:r w:rsidR="008365A7">
        <w:t>lifestyle,</w:t>
      </w:r>
      <w:r w:rsidR="00EA5BA8">
        <w:t xml:space="preserve"> and actions. </w:t>
      </w:r>
      <w:r w:rsidR="001610DE">
        <w:t>There are different types of multi-agency approaches to managing offenders namely, Integrated Offender Management (IOM)</w:t>
      </w:r>
      <w:r w:rsidR="00EB585D">
        <w:t xml:space="preserve"> and </w:t>
      </w:r>
      <w:r w:rsidR="001610DE">
        <w:t>Multi-Agency Public Protection Arrangements (MAPPA)</w:t>
      </w:r>
      <w:r w:rsidR="00EB585D">
        <w:t>.</w:t>
      </w:r>
      <w:r w:rsidR="00E207EC">
        <w:t xml:space="preserve"> The aim of this essay is to establish</w:t>
      </w:r>
      <w:r w:rsidR="001610DE">
        <w:t xml:space="preserve"> how effective each of the</w:t>
      </w:r>
      <w:r w:rsidR="00E207EC">
        <w:t xml:space="preserve"> multi-agency</w:t>
      </w:r>
      <w:r w:rsidR="001610DE">
        <w:t xml:space="preserve"> approaches are in reducing reoffending, enabling rehabilitation, and managing violent and sexual offenders. </w:t>
      </w:r>
    </w:p>
    <w:p w14:paraId="4FC6EF5C" w14:textId="1964DA65" w:rsidR="00BE7EC7" w:rsidRDefault="00BE7EC7" w:rsidP="00791962">
      <w:r>
        <w:tab/>
        <w:t xml:space="preserve">Integrated Offender Management scheme </w:t>
      </w:r>
      <w:r w:rsidRPr="00BE7EC7">
        <w:t>aims to reduce reoffending through the targeting of specific cohorts of offenders within local areas</w:t>
      </w:r>
      <w:r>
        <w:t xml:space="preserve"> </w:t>
      </w:r>
      <w:r w:rsidR="008F68F9" w:rsidRPr="008F68F9">
        <w:t>(Hadfield et al., 2020)</w:t>
      </w:r>
      <w:r w:rsidR="008F68F9">
        <w:t xml:space="preserve">. Cram (2018) describes this scheme by stating that police and other agencies identify and manage the most prolific offenders </w:t>
      </w:r>
      <w:r w:rsidR="008F68F9" w:rsidRPr="00EB585D">
        <w:t xml:space="preserve">and managed jointly. </w:t>
      </w:r>
      <w:r w:rsidR="00791962" w:rsidRPr="00EB585D">
        <w:t>Senior et al (2011) suggest that most agencies have report the success of IOM within different areas such as: social functioning, sustainable housing and gaining employment, and improved public confidence. They also state that the co-ordination of different agencies allows earlier intervention and therefore, in theory IOM should be effective at managing those violent and sexual offenders</w:t>
      </w:r>
      <w:r w:rsidR="00DA477C" w:rsidRPr="00EB585D">
        <w:t xml:space="preserve">. </w:t>
      </w:r>
      <w:r w:rsidR="00791962" w:rsidRPr="00EB585D">
        <w:t xml:space="preserve">IOM targets and manages offenders on a national scale however, it also targets those prolific offenders on a local </w:t>
      </w:r>
      <w:r w:rsidR="00F648D4" w:rsidRPr="00EB585D">
        <w:t xml:space="preserve">level, </w:t>
      </w:r>
      <w:r w:rsidR="00791962" w:rsidRPr="00EB585D">
        <w:t xml:space="preserve">proving IOM to be effective in managing all types of offenders despite some </w:t>
      </w:r>
      <w:r w:rsidR="00DA45BD" w:rsidRPr="00EB585D">
        <w:t xml:space="preserve">only </w:t>
      </w:r>
      <w:r w:rsidR="00791962" w:rsidRPr="00EB585D">
        <w:t xml:space="preserve">being local priorities. </w:t>
      </w:r>
      <w:r w:rsidR="00F648D4" w:rsidRPr="00EB585D">
        <w:t xml:space="preserve">Additionally, the police service </w:t>
      </w:r>
      <w:r w:rsidR="00DA477C" w:rsidRPr="00EB585D">
        <w:t>was</w:t>
      </w:r>
      <w:r w:rsidR="00F648D4" w:rsidRPr="00EB585D">
        <w:t xml:space="preserve"> seen as the largest contributors </w:t>
      </w:r>
      <w:r w:rsidR="00DA477C" w:rsidRPr="00EB585D">
        <w:t>to IOM meetings, decisions, and action plans. This could be a viewed as an advantage as police intelligence is at the forefront of offender management. However, there are reservations too with some stating that their dominance can create tensions</w:t>
      </w:r>
      <w:r w:rsidR="00DA477C">
        <w:t xml:space="preserve"> resulting in the whole process losing the multi-agency approach </w:t>
      </w:r>
      <w:r w:rsidR="00DA477C" w:rsidRPr="00DA477C">
        <w:t>(Senior et al., 2011).</w:t>
      </w:r>
    </w:p>
    <w:p w14:paraId="60899879" w14:textId="77777777" w:rsidR="00A14560" w:rsidRDefault="00DA477C" w:rsidP="00A14560">
      <w:r>
        <w:tab/>
        <w:t xml:space="preserve">Assessing IOM’s effectiveness includes assessing statistics from case studies. </w:t>
      </w:r>
      <w:r w:rsidR="00E80362">
        <w:t xml:space="preserve">In 2013, a case study was carried out in St. Helen’s to analyse the effectiveness of the IOM scheme compared to a control group of offenders. </w:t>
      </w:r>
      <w:r w:rsidR="00A14560">
        <w:t xml:space="preserve">That data stated that “The one year proven re‐offending rate for 54 offenders who were targeted by St. Helens IOM was 81%, compared with 73% for a matched control group of similar offenders.” </w:t>
      </w:r>
      <w:r w:rsidR="00A14560" w:rsidRPr="00A14560">
        <w:t xml:space="preserve">(Justice Data Lab Re-offending Analysis: St. Helens Integrated Offender Management, </w:t>
      </w:r>
      <w:r w:rsidR="00A14560">
        <w:t>2013</w:t>
      </w:r>
      <w:r w:rsidR="00A14560" w:rsidRPr="00A14560">
        <w:t>)</w:t>
      </w:r>
      <w:r w:rsidR="00A14560">
        <w:t xml:space="preserve">. This data suggests that there is not a significant difference between the two groups, the experimental group managed by IOM and the control group that was not. Conversely, this may suggest that IOM is not particularly effective at managing reoffending in violent and sexual individuals. </w:t>
      </w:r>
    </w:p>
    <w:p w14:paraId="259E770C" w14:textId="7E700E31" w:rsidR="00DA477C" w:rsidRDefault="00EB585D" w:rsidP="00A14560">
      <w:r w:rsidRPr="00EB585D">
        <w:tab/>
      </w:r>
      <w:r w:rsidR="00417672" w:rsidRPr="00EB585D">
        <w:t>Perhaps, with more emphasis on multi-agency cooperation, the scheme could be more effective. Moreover, with less reliance on the police and police intelligence a more holistic approach could be gained resulting in a more efficient scheme to manage offenders.</w:t>
      </w:r>
      <w:r w:rsidR="00417672">
        <w:t xml:space="preserve"> </w:t>
      </w:r>
    </w:p>
    <w:p w14:paraId="627A966B" w14:textId="1B0A193A" w:rsidR="002753E4" w:rsidRDefault="002753E4" w:rsidP="005230F3">
      <w:r>
        <w:tab/>
        <w:t>Secondly, I will be assessing the effectiveness of the MAPPA approach</w:t>
      </w:r>
      <w:r w:rsidR="007E0317">
        <w:t xml:space="preserve">. </w:t>
      </w:r>
      <w:r w:rsidR="002E1C70">
        <w:t xml:space="preserve">MAPPA arrangements </w:t>
      </w:r>
      <w:r w:rsidR="006158F1">
        <w:t>use inputs from police, probation, and prison services to make informed decisions regarding risk level and the management of offenders</w:t>
      </w:r>
      <w:r w:rsidR="00FF6598">
        <w:t xml:space="preserve"> – these are declared as the ‘responsible agencies’</w:t>
      </w:r>
      <w:r w:rsidR="005230F3">
        <w:t xml:space="preserve">. Other agencies </w:t>
      </w:r>
      <w:r w:rsidR="005230F3">
        <w:lastRenderedPageBreak/>
        <w:t>are also obliged to co-operate</w:t>
      </w:r>
      <w:r w:rsidR="002B7AD3">
        <w:t xml:space="preserve"> </w:t>
      </w:r>
      <w:r w:rsidR="005230F3" w:rsidRPr="005230F3">
        <w:t>(Ministry of Justice, 2022).</w:t>
      </w:r>
      <w:r w:rsidR="005230F3">
        <w:t xml:space="preserve"> </w:t>
      </w:r>
      <w:r w:rsidR="00FF6598">
        <w:t>There are three levels of</w:t>
      </w:r>
      <w:r w:rsidR="00F944B0">
        <w:t xml:space="preserve"> MAPPA</w:t>
      </w:r>
      <w:r w:rsidR="00FF6598">
        <w:t xml:space="preserve"> management</w:t>
      </w:r>
      <w:r w:rsidR="00F944B0">
        <w:t>: level one is ordinary risk management, level two is active multi-agency management and level three active enhanced multi-agency management. The higher the level, the greater the risk and more agencies are required to co-operate</w:t>
      </w:r>
      <w:r w:rsidR="002A685D">
        <w:t xml:space="preserve"> </w:t>
      </w:r>
      <w:r w:rsidR="002A685D" w:rsidRPr="002A685D">
        <w:t xml:space="preserve">(Taylor &amp; </w:t>
      </w:r>
      <w:proofErr w:type="spellStart"/>
      <w:r w:rsidR="002A685D" w:rsidRPr="002A685D">
        <w:t>Yakeley</w:t>
      </w:r>
      <w:proofErr w:type="spellEnd"/>
      <w:r w:rsidR="002A685D" w:rsidRPr="002A685D">
        <w:t>, 2019)</w:t>
      </w:r>
      <w:r w:rsidR="002A685D">
        <w:t xml:space="preserve">. </w:t>
      </w:r>
    </w:p>
    <w:p w14:paraId="4C4CF915" w14:textId="77777777" w:rsidR="00C23DB8" w:rsidRDefault="002A685D" w:rsidP="005230F3">
      <w:r>
        <w:tab/>
      </w:r>
      <w:r w:rsidR="00006D15">
        <w:t xml:space="preserve">Wood (2017) outlined benefits of MAPPA such as the external controls that are used to restrict offenders, they state that offenders were positive about the effectiveness of licence conditions, behavioural restrictions, police home visits and contact restrictions. </w:t>
      </w:r>
      <w:r w:rsidR="003F6DAE">
        <w:t>The</w:t>
      </w:r>
      <w:r w:rsidR="00006D15">
        <w:t xml:space="preserve"> internal controls were also viewed positively with emphasis on supervision and treatment programs to enable the rehabilitation of offenders. </w:t>
      </w:r>
      <w:r w:rsidR="003F6DAE">
        <w:t xml:space="preserve">These ‘controls’ are seen as a key element of management to reduce the likelihood of harm; however, they do reiterate that the ‘controls’ cannot eradicate the risk to the public altogether. Conversely, there are areas identified for improvement within MAPPA. </w:t>
      </w:r>
    </w:p>
    <w:p w14:paraId="32B47AB8" w14:textId="7CDBFC92" w:rsidR="00C46B81" w:rsidRDefault="00C23DB8" w:rsidP="005230F3">
      <w:r>
        <w:tab/>
      </w:r>
      <w:r w:rsidR="007E0317">
        <w:t>R</w:t>
      </w:r>
      <w:r w:rsidR="003F526C">
        <w:t>egarding</w:t>
      </w:r>
      <w:r w:rsidR="005F4EF7">
        <w:t xml:space="preserve"> rehabilitation, Wood (2017) adds that the aim of public protection is </w:t>
      </w:r>
      <w:r w:rsidR="003F526C">
        <w:t>clear,</w:t>
      </w:r>
      <w:r w:rsidR="005F4EF7">
        <w:t xml:space="preserve"> but offender rehabilitation is less so. </w:t>
      </w:r>
      <w:r w:rsidR="003F526C">
        <w:t xml:space="preserve">They state that information gathering and sharing is a key benefit of MAPPA, and this is effective </w:t>
      </w:r>
      <w:r w:rsidR="007E0317">
        <w:t xml:space="preserve">when </w:t>
      </w:r>
      <w:r w:rsidR="003F526C">
        <w:t xml:space="preserve">making conclusions about risk and management of offenders. </w:t>
      </w:r>
      <w:r>
        <w:t xml:space="preserve">Despite this, </w:t>
      </w:r>
      <w:r w:rsidR="00125DE1">
        <w:t>Nash,</w:t>
      </w:r>
      <w:r>
        <w:t xml:space="preserve"> and Walker</w:t>
      </w:r>
      <w:r w:rsidRPr="00C23DB8">
        <w:t xml:space="preserve"> </w:t>
      </w:r>
      <w:r>
        <w:t>(</w:t>
      </w:r>
      <w:r w:rsidRPr="00C23DB8">
        <w:t>2009)</w:t>
      </w:r>
      <w:r>
        <w:t xml:space="preserve"> report that some regard the input of multi-agencies as a ‘hinderance’ or even a ‘threat’. This is due to the </w:t>
      </w:r>
      <w:r w:rsidR="00C14E60">
        <w:t>differing opinions</w:t>
      </w:r>
      <w:r>
        <w:t xml:space="preserve"> and what </w:t>
      </w:r>
      <w:r w:rsidR="00C14E60">
        <w:t xml:space="preserve">information </w:t>
      </w:r>
      <w:r>
        <w:t xml:space="preserve">they may perceive as important enough to share to others. </w:t>
      </w:r>
    </w:p>
    <w:p w14:paraId="6B988CDF" w14:textId="3E299391" w:rsidR="00255A31" w:rsidRDefault="00255A31" w:rsidP="00255A31">
      <w:r>
        <w:tab/>
        <w:t xml:space="preserve">Those individuals managed by MAPPA, </w:t>
      </w:r>
      <w:r w:rsidR="00364CB5">
        <w:t>“</w:t>
      </w:r>
      <w:r>
        <w:t>serious further offences charges decreased by 13% to 168 in 2021, and SFO convictions decreased by 42% to 85 in the latest period</w:t>
      </w:r>
      <w:r w:rsidR="00364CB5">
        <w:t xml:space="preserve">.” </w:t>
      </w:r>
      <w:r>
        <w:t xml:space="preserve">However, it should be prefaced that this decrease may be due to COVID and reduced court appearances. </w:t>
      </w:r>
      <w:r w:rsidR="00C93F57">
        <w:t>In relation to sexual offenders, those “who were cautioned or convicted for breaches of their notification requirement had been increasing since 2015/16 but declined by 36% last year to 1,641”.</w:t>
      </w:r>
    </w:p>
    <w:p w14:paraId="30DC0EA5" w14:textId="20760F8D" w:rsidR="00255A31" w:rsidRDefault="00255A31" w:rsidP="00255A31">
      <w:r>
        <w:tab/>
      </w:r>
      <w:r w:rsidR="00C93F57">
        <w:t>There are</w:t>
      </w:r>
      <w:r>
        <w:t xml:space="preserve"> mandatory reviews where an offender managed by any agency at either MAPPA </w:t>
      </w:r>
      <w:r>
        <w:tab/>
        <w:t xml:space="preserve">Level 2 or 3 is charged with committing or attempting to commit an offence of murder, </w:t>
      </w:r>
      <w:r>
        <w:tab/>
        <w:t xml:space="preserve">manslaughter, or rape. They are also done on a discretionary basis in some other </w:t>
      </w:r>
      <w:r>
        <w:tab/>
        <w:t xml:space="preserve">circumstances. 7 The number of serious case reviews has been increasing since 2016/17 3 </w:t>
      </w:r>
      <w:r>
        <w:tab/>
        <w:t xml:space="preserve">and increased from 12 to 15 in the latest year, due to more discretionary cases being </w:t>
      </w:r>
      <w:r>
        <w:tab/>
        <w:t>reviewed</w:t>
      </w:r>
      <w:r w:rsidR="00C93F57">
        <w:t>.</w:t>
      </w:r>
      <w:r w:rsidR="00364CB5">
        <w:t xml:space="preserve"> </w:t>
      </w:r>
      <w:r w:rsidR="00364CB5">
        <w:tab/>
      </w:r>
      <w:r w:rsidR="00364CB5">
        <w:tab/>
      </w:r>
      <w:r w:rsidR="00364CB5">
        <w:tab/>
      </w:r>
      <w:r w:rsidR="00364CB5">
        <w:tab/>
      </w:r>
      <w:r w:rsidR="00364CB5">
        <w:tab/>
      </w:r>
      <w:r w:rsidR="00364CB5">
        <w:tab/>
      </w:r>
      <w:r w:rsidR="00364CB5">
        <w:tab/>
      </w:r>
      <w:r w:rsidR="00364CB5">
        <w:tab/>
      </w:r>
      <w:r w:rsidR="00364CB5">
        <w:tab/>
      </w:r>
      <w:r w:rsidR="00364CB5">
        <w:tab/>
      </w:r>
      <w:r w:rsidR="00364CB5">
        <w:tab/>
      </w:r>
      <w:r w:rsidR="00364CB5">
        <w:tab/>
      </w:r>
      <w:r w:rsidR="00364CB5">
        <w:tab/>
      </w:r>
      <w:r w:rsidR="00364CB5">
        <w:tab/>
      </w:r>
      <w:r w:rsidR="00364CB5">
        <w:tab/>
      </w:r>
      <w:r w:rsidR="00364CB5" w:rsidRPr="00364CB5">
        <w:t xml:space="preserve">(Multi-Agency Public Protection Arrangements (MAPPA) </w:t>
      </w:r>
      <w:r w:rsidR="00364CB5">
        <w:tab/>
      </w:r>
      <w:r w:rsidR="00364CB5">
        <w:tab/>
      </w:r>
      <w:r w:rsidR="00364CB5">
        <w:tab/>
      </w:r>
      <w:r w:rsidR="00364CB5">
        <w:tab/>
      </w:r>
      <w:r w:rsidR="00364CB5">
        <w:tab/>
      </w:r>
      <w:r w:rsidR="00364CB5">
        <w:tab/>
      </w:r>
      <w:r w:rsidR="00364CB5">
        <w:tab/>
      </w:r>
      <w:r w:rsidR="00364CB5">
        <w:tab/>
      </w:r>
      <w:r w:rsidR="00364CB5">
        <w:tab/>
      </w:r>
      <w:r w:rsidR="00364CB5">
        <w:tab/>
      </w:r>
      <w:r w:rsidR="00364CB5" w:rsidRPr="00364CB5">
        <w:t>Annual Report</w:t>
      </w:r>
      <w:r w:rsidR="00364CB5">
        <w:t xml:space="preserve">, </w:t>
      </w:r>
      <w:r w:rsidR="00364CB5" w:rsidRPr="00364CB5">
        <w:t>2021)</w:t>
      </w:r>
      <w:r w:rsidR="00364CB5">
        <w:t xml:space="preserve">. </w:t>
      </w:r>
    </w:p>
    <w:p w14:paraId="3635A059" w14:textId="02D87DBC" w:rsidR="003F526C" w:rsidRDefault="00C14E60" w:rsidP="00C93F57">
      <w:r>
        <w:tab/>
      </w:r>
      <w:r w:rsidR="00255A31">
        <w:t xml:space="preserve">Therefore, these statistics outline the successes of MAPPA management of offenders, </w:t>
      </w:r>
      <w:r w:rsidR="00364CB5">
        <w:t xml:space="preserve">however, much like assessing the effectiveness of IOM, there is the argument that measuring the efficiency should be based on more than statistics. Perhaps, a qualitative survey from the offenders perspective outlining what they believe are the advantages and disadvantages of MAPPA may allow for a more holistic approach. </w:t>
      </w:r>
    </w:p>
    <w:p w14:paraId="6E195D16" w14:textId="32E937D4" w:rsidR="003F6749" w:rsidRDefault="008E51F3" w:rsidP="005230F3">
      <w:r>
        <w:tab/>
        <w:t xml:space="preserve">To conclude, multi-agency approaches can be effective however, there are some downfalls due to human error, environmental factors, and lack of co-operation from all agencies. There </w:t>
      </w:r>
      <w:r w:rsidR="003F6749">
        <w:t xml:space="preserve">is </w:t>
      </w:r>
      <w:r>
        <w:t>a consensus that the effectiveness of these approaches should be established based on more than re-offending rates or re-victimisation. Perhaps a collaboration of the effective points of each approach could be used to strengthen and reduce the disadvantages of others</w:t>
      </w:r>
      <w:r w:rsidR="00EB585D">
        <w:t xml:space="preserve"> </w:t>
      </w:r>
      <w:r w:rsidR="00EB585D" w:rsidRPr="00EB585D">
        <w:t>(</w:t>
      </w:r>
      <w:r w:rsidR="00EB585D">
        <w:t>Sampson</w:t>
      </w:r>
      <w:r w:rsidR="00EB585D" w:rsidRPr="00EB585D">
        <w:t xml:space="preserve"> et al., 1988)</w:t>
      </w:r>
      <w:r w:rsidR="00EB585D">
        <w:t>.</w:t>
      </w:r>
    </w:p>
    <w:p w14:paraId="00E62599" w14:textId="3AC52307" w:rsidR="00770EA9" w:rsidRDefault="003F6749" w:rsidP="006C7D32">
      <w:r>
        <w:tab/>
      </w:r>
      <w:r w:rsidR="008E51F3">
        <w:t>There is</w:t>
      </w:r>
      <w:r>
        <w:t xml:space="preserve"> also </w:t>
      </w:r>
      <w:r w:rsidR="008E51F3">
        <w:t xml:space="preserve">the argument of whether a mono-approach to managing offenders is more beneficial that a multi-approach. The biggest strength to a multi-agency approach is the ability to share information that you would not otherwise have access to. This allows a more holistic and </w:t>
      </w:r>
      <w:r w:rsidR="008E51F3">
        <w:lastRenderedPageBreak/>
        <w:t>comprehensive risk assessment and therefore allows agencies to properly manage those violent and sexual offender</w:t>
      </w:r>
      <w:r w:rsidR="007E0317">
        <w:t>s.</w:t>
      </w:r>
    </w:p>
    <w:p w14:paraId="49286A16" w14:textId="77777777" w:rsidR="00002EF0" w:rsidRDefault="00002EF0" w:rsidP="006C7D32"/>
    <w:p w14:paraId="601CD075" w14:textId="6F95743C" w:rsidR="007D630F" w:rsidRPr="00B22B26" w:rsidRDefault="007D630F" w:rsidP="006C7D32">
      <w:pPr>
        <w:rPr>
          <w:i/>
          <w:iCs/>
        </w:rPr>
      </w:pPr>
      <w:r w:rsidRPr="00B22B26">
        <w:rPr>
          <w:i/>
          <w:iCs/>
        </w:rPr>
        <w:t>1086 words</w:t>
      </w:r>
    </w:p>
    <w:p w14:paraId="2FF1A2D7" w14:textId="77777777" w:rsidR="007D630F" w:rsidRDefault="007D630F" w:rsidP="006C7D32"/>
    <w:p w14:paraId="31F4F78A" w14:textId="77777777" w:rsidR="00002EF0" w:rsidRPr="00002EF0" w:rsidRDefault="00002EF0" w:rsidP="00002EF0">
      <w:pPr>
        <w:rPr>
          <w:u w:val="single"/>
        </w:rPr>
      </w:pPr>
      <w:r>
        <w:rPr>
          <w:u w:val="single"/>
        </w:rPr>
        <w:t>References</w:t>
      </w:r>
    </w:p>
    <w:p w14:paraId="02E8A717" w14:textId="77777777" w:rsidR="00002EF0" w:rsidRPr="007D630F" w:rsidRDefault="00002EF0" w:rsidP="006C7D32"/>
    <w:p w14:paraId="2A1554C8" w14:textId="60F08C15" w:rsidR="00770EA9" w:rsidRDefault="00770EA9" w:rsidP="00770EA9">
      <w:r>
        <w:t>(2021) Multi-Agency Public Protection Arrangements (MAPPA) Annual Report 2020/21. rep. National Statistics, pp. 6–11.</w:t>
      </w:r>
    </w:p>
    <w:p w14:paraId="7D1E416B" w14:textId="0CC0AA59" w:rsidR="00F85B97" w:rsidRDefault="00770EA9" w:rsidP="00770EA9">
      <w:r>
        <w:t xml:space="preserve">Bows, H. and </w:t>
      </w:r>
      <w:proofErr w:type="spellStart"/>
      <w:r>
        <w:t>Westmarland</w:t>
      </w:r>
      <w:proofErr w:type="spellEnd"/>
      <w:r>
        <w:t xml:space="preserve">, N. (2016). Older sex offenders – managing risk in the community from a policing perspective. Policing and Society, 28(1), pp.62–74. </w:t>
      </w:r>
      <w:proofErr w:type="spellStart"/>
      <w:proofErr w:type="gramStart"/>
      <w:r>
        <w:t>DOI:https</w:t>
      </w:r>
      <w:proofErr w:type="spellEnd"/>
      <w:r>
        <w:t>://doi.org/10.1080/10439463.2016.1138476</w:t>
      </w:r>
      <w:proofErr w:type="gramEnd"/>
      <w:r>
        <w:t>.</w:t>
      </w:r>
    </w:p>
    <w:p w14:paraId="22FAEB58" w14:textId="5653D134" w:rsidR="00770EA9" w:rsidRDefault="00770EA9" w:rsidP="00770EA9">
      <w:r>
        <w:t>College of Policing (2015). Partnership working and multi-agency responses/mechanisms. [online] College of Policing. Available at: https://www.college.police.uk/app/major-investigation-and-public-protection/domestic-abuse/partnership-working-and-multi-agency-responsesmechanisms.</w:t>
      </w:r>
    </w:p>
    <w:p w14:paraId="5B8729BC" w14:textId="688D8C8F" w:rsidR="00770EA9" w:rsidRDefault="00770EA9" w:rsidP="00770EA9">
      <w:r>
        <w:t xml:space="preserve">Cram, F. (2018). The ‘carrot’ and ‘stick’ of integrated offender management: implications for police culture. Policing and Society, 30(4), pp.1–18. </w:t>
      </w:r>
      <w:proofErr w:type="spellStart"/>
      <w:proofErr w:type="gramStart"/>
      <w:r>
        <w:t>doi:https</w:t>
      </w:r>
      <w:proofErr w:type="spellEnd"/>
      <w:r>
        <w:t>://doi.org/10.1080/10439463.2018.1547719</w:t>
      </w:r>
      <w:proofErr w:type="gramEnd"/>
      <w:r>
        <w:t>.</w:t>
      </w:r>
    </w:p>
    <w:p w14:paraId="4D52AE9C" w14:textId="19562D88" w:rsidR="00770EA9" w:rsidRDefault="00770EA9" w:rsidP="00770EA9">
      <w:r>
        <w:t>Hadfield, E. et al. (2020) ‘A systematic review into the effectiveness of Integrated Offender Management’, Criminology &amp; Criminal Justice, 21(5), p. 174889582091229. Available at: https://doi.org/10.1177/1748895820912295.</w:t>
      </w:r>
    </w:p>
    <w:p w14:paraId="6C400C7F" w14:textId="1A1D7D3F" w:rsidR="00770EA9" w:rsidRDefault="00770EA9" w:rsidP="00770EA9">
      <w:r>
        <w:t>Justice Data Lab Re-offending Analysis: St. Helens Integrated Offender Management. (2013). Available at: https://assets.publishing.service.gov.uk/government/uploads/system/uploads/attachment_data/file/256914/st-helens.pdf [Accessed 12 Jul. 2023].</w:t>
      </w:r>
    </w:p>
    <w:p w14:paraId="7290A9A9" w14:textId="785A8E42" w:rsidR="00770EA9" w:rsidRDefault="00770EA9" w:rsidP="00770EA9">
      <w:proofErr w:type="spellStart"/>
      <w:r>
        <w:t>Kemshall</w:t>
      </w:r>
      <w:proofErr w:type="spellEnd"/>
      <w:r>
        <w:t xml:space="preserve">, H. et al. (2005) Strengthening Multi-Agency Public Protection Arrangements (MAPPAs) </w:t>
      </w:r>
    </w:p>
    <w:p w14:paraId="7C8B3C0E" w14:textId="451078E8" w:rsidR="00770EA9" w:rsidRDefault="00770EA9" w:rsidP="00770EA9">
      <w:r>
        <w:t>Ministry of Justice (2022). MAPPA Notes and Definitions. [online] Available at: https://assets.publishing.service.gov.uk/government/uploads/system/uploads/attachment_data/file/1113772/MAPPA_Notes_and_Definitions.pdf [Accessed 15 Jul. 2023].</w:t>
      </w:r>
    </w:p>
    <w:p w14:paraId="040DCF0C" w14:textId="23FB2ABC" w:rsidR="00770EA9" w:rsidRDefault="00770EA9" w:rsidP="00770EA9">
      <w:r>
        <w:t>Nash, M. and Walker, L. (2009) ‘</w:t>
      </w:r>
      <w:proofErr w:type="spellStart"/>
      <w:r>
        <w:t>Mappa</w:t>
      </w:r>
      <w:proofErr w:type="spellEnd"/>
      <w:r>
        <w:t>--is closer collaboration really the key to effectiveness?’, Policing, 3(2), pp. 172–180. doi:10.1093/police/pap007.</w:t>
      </w:r>
    </w:p>
    <w:p w14:paraId="6865A85E" w14:textId="75A32897" w:rsidR="00770EA9" w:rsidRDefault="00770EA9" w:rsidP="00770EA9">
      <w:r>
        <w:t xml:space="preserve">SAMPSON, A., STUBBS, P., SMITH, D., PEARSON, G. and BLAGG, H. (1988). CRIME, LOCALITIES AND THE MULTI-AGENCY APPROACH. The British Journal of Criminology, [online] 28(4), pp.478–493. </w:t>
      </w:r>
      <w:proofErr w:type="spellStart"/>
      <w:proofErr w:type="gramStart"/>
      <w:r>
        <w:t>doi:https</w:t>
      </w:r>
      <w:proofErr w:type="spellEnd"/>
      <w:r>
        <w:t>://doi.org/10.1093/oxfordjournals.bjc.a047759</w:t>
      </w:r>
      <w:proofErr w:type="gramEnd"/>
      <w:r>
        <w:t>.</w:t>
      </w:r>
    </w:p>
    <w:p w14:paraId="54E621B0" w14:textId="0F590ED6" w:rsidR="00770EA9" w:rsidRDefault="00770EA9" w:rsidP="00770EA9">
      <w:r>
        <w:t xml:space="preserve">Taylor, R. and </w:t>
      </w:r>
      <w:proofErr w:type="spellStart"/>
      <w:r>
        <w:t>Yakeley</w:t>
      </w:r>
      <w:proofErr w:type="spellEnd"/>
      <w:r>
        <w:t xml:space="preserve">, J. (2019) ‘Working with </w:t>
      </w:r>
      <w:proofErr w:type="spellStart"/>
      <w:r>
        <w:t>mappa</w:t>
      </w:r>
      <w:proofErr w:type="spellEnd"/>
      <w:r>
        <w:t xml:space="preserve">: Ethics and pragmatics’, </w:t>
      </w:r>
      <w:proofErr w:type="spellStart"/>
      <w:r>
        <w:t>BJPsych</w:t>
      </w:r>
      <w:proofErr w:type="spellEnd"/>
      <w:r>
        <w:t xml:space="preserve"> Advances, 25(3), pp. 157–165. doi:10.1192/bja.2018.5.</w:t>
      </w:r>
    </w:p>
    <w:p w14:paraId="4ECA6BEB" w14:textId="1BA738CD" w:rsidR="00EB585D" w:rsidRDefault="00770EA9" w:rsidP="00770EA9">
      <w:r>
        <w:t>Wood, J. et al. (2017) The operation and experience of Multi-Agency Public Protection Arrangements (MAPPA), pp. iii–iv.</w:t>
      </w:r>
    </w:p>
    <w:p w14:paraId="38069056" w14:textId="77777777" w:rsidR="002F46FB" w:rsidRDefault="002F46FB" w:rsidP="007E0317"/>
    <w:p w14:paraId="67159B7D" w14:textId="34ABA5DB" w:rsidR="007E0317" w:rsidRDefault="007E0317" w:rsidP="007E0317">
      <w:r>
        <w:lastRenderedPageBreak/>
        <w:t xml:space="preserve">Essay three: </w:t>
      </w:r>
    </w:p>
    <w:p w14:paraId="3282A9D7" w14:textId="0DA90B2E" w:rsidR="007E0317" w:rsidRDefault="007E0317" w:rsidP="007E0317">
      <w:r>
        <w:t>To what extent is ‘lifestyle’ theory an accurate reflection of what makes certain people vulnerable to becoming a victim of Serious and Organised Crime?</w:t>
      </w:r>
    </w:p>
    <w:p w14:paraId="5EE570F1" w14:textId="5737DC8E" w:rsidR="007E0317" w:rsidRDefault="007E0317" w:rsidP="007E0317">
      <w:r>
        <w:t>Your answer must be based on academic research into the psychological and socio-economic</w:t>
      </w:r>
      <w:r w:rsidR="006062C5">
        <w:t xml:space="preserve"> </w:t>
      </w:r>
      <w:r>
        <w:t xml:space="preserve">characteristics of vulnerable people. </w:t>
      </w:r>
    </w:p>
    <w:p w14:paraId="0E0BCF82" w14:textId="17D8DFE8" w:rsidR="007E0317" w:rsidRDefault="007E0317" w:rsidP="007E0317">
      <w:r>
        <w:t>Word limit: 1000 words.</w:t>
      </w:r>
    </w:p>
    <w:p w14:paraId="3EDF4BEF" w14:textId="77777777" w:rsidR="003202ED" w:rsidRDefault="003202ED" w:rsidP="007E0317"/>
    <w:p w14:paraId="1B7517F0" w14:textId="77777777" w:rsidR="005A5997" w:rsidRDefault="00D835EE" w:rsidP="00D835EE">
      <w:r>
        <w:t>The l</w:t>
      </w:r>
      <w:r w:rsidR="00963F1D">
        <w:t>ifestyle theory of victimisation states that certain demographics are more susceptible to crime and deviance than others due to their chosen life choices. For example, those who spend more time in public spaces, late at night and surrounded by strangers may be more vulnerable to victimisation due to said exposure</w:t>
      </w:r>
      <w:r w:rsidR="00D114DF" w:rsidRPr="00D114DF">
        <w:t xml:space="preserve"> (Madero-Hernandez, 2019)</w:t>
      </w:r>
      <w:r w:rsidR="00963F1D">
        <w:t xml:space="preserve">. </w:t>
      </w:r>
    </w:p>
    <w:p w14:paraId="7000E2D0" w14:textId="08862F4E" w:rsidR="007E0317" w:rsidRDefault="005A5997" w:rsidP="00D835EE">
      <w:r>
        <w:tab/>
      </w:r>
      <w:r w:rsidR="00D835EE">
        <w:t>The originators of this theory Hindelang, Gottfredson and Garofalo</w:t>
      </w:r>
      <w:r w:rsidR="0037109B">
        <w:t xml:space="preserve"> </w:t>
      </w:r>
      <w:r w:rsidR="008E5EEB">
        <w:t xml:space="preserve">published a book in 1978 called ‘Victims of Personal Crime: An Empirical Foundation for a Theory of Personal </w:t>
      </w:r>
      <w:proofErr w:type="spellStart"/>
      <w:r w:rsidR="008E5EEB">
        <w:t>Victimzation</w:t>
      </w:r>
      <w:proofErr w:type="spellEnd"/>
      <w:r w:rsidR="008E5EEB">
        <w:t>’.</w:t>
      </w:r>
      <w:r w:rsidR="00D835EE">
        <w:t xml:space="preserve"> </w:t>
      </w:r>
      <w:r w:rsidR="008E5EEB">
        <w:t xml:space="preserve">In this book they </w:t>
      </w:r>
      <w:r w:rsidR="00D835EE">
        <w:t xml:space="preserve">define lifestyle choices as the “routine daily activities, both vocational (work, school, keeping house) and leisure activities”. They state that those who involve themselves with perpetrators of crime, drug, and alcohol abuse or those who live in poorer socio-economic areas are more exposed to becoming victims of crime. </w:t>
      </w:r>
      <w:r w:rsidR="00963F1D">
        <w:t xml:space="preserve">This essay will explore to what extent the lifestyle theory makes certain people vulnerable to becoming victims of serious and organised crime. </w:t>
      </w:r>
    </w:p>
    <w:p w14:paraId="6D6A9861" w14:textId="237D4044" w:rsidR="00D835EE" w:rsidRDefault="00D835EE" w:rsidP="00C76B98">
      <w:r>
        <w:tab/>
        <w:t>Sociology explains that humans function more effectively when they are bound by constraints in society. Individuals who enact certain roles and responsibilities within society tend to function better than those who live without boundaries or purpose</w:t>
      </w:r>
      <w:r w:rsidR="008E275A">
        <w:t xml:space="preserve"> </w:t>
      </w:r>
      <w:r w:rsidR="008E275A" w:rsidRPr="008E275A">
        <w:t>(Walters, 2017)</w:t>
      </w:r>
      <w:r>
        <w:t>.</w:t>
      </w:r>
      <w:r w:rsidR="003C2DBB">
        <w:t xml:space="preserve"> </w:t>
      </w:r>
      <w:r>
        <w:t xml:space="preserve">Therefore, it is theorised that those without boundaries and purpose cannot distinguish between appropriate and inappropriate behaviours thus, illuding that they are more likely to be </w:t>
      </w:r>
      <w:r w:rsidR="00C76B98">
        <w:t>victimised</w:t>
      </w:r>
      <w:r w:rsidR="007F31D0">
        <w:t xml:space="preserve">. Arguing that individuals who do not have purpose due to their lifestyles are more vulnerable to crime </w:t>
      </w:r>
      <w:r w:rsidR="00C76B98" w:rsidRPr="00C76B98">
        <w:t>(Hindelang, Gottfredson and Garofalo, 1978)</w:t>
      </w:r>
      <w:r w:rsidR="00C76B98">
        <w:t xml:space="preserve">. </w:t>
      </w:r>
    </w:p>
    <w:p w14:paraId="29F61ABE" w14:textId="5F6EA736" w:rsidR="008D1FC4" w:rsidRDefault="00012E63" w:rsidP="00C76B98">
      <w:r>
        <w:tab/>
        <w:t xml:space="preserve">Balogun et al (2021) explains that victimisation is not a random event and rather an act of free-will. They add that a person can increase or decrease their chances of being victimised by crime through making better or the correct life decisions. It is proposed that people who involve themselves in “risk-taking behaviours” are more likely to be victims and </w:t>
      </w:r>
      <w:r w:rsidR="007F31D0">
        <w:t>therefore their lifestyle choices expose them to criminality</w:t>
      </w:r>
      <w:r w:rsidR="008E275A">
        <w:t xml:space="preserve"> </w:t>
      </w:r>
      <w:r w:rsidR="008E275A" w:rsidRPr="008E275A">
        <w:t>(Forde and Kennedy, 1997)</w:t>
      </w:r>
      <w:r w:rsidR="007F31D0">
        <w:t xml:space="preserve">. However, they also add that sometimes individuals cannot influence their lifestyles and that socio-economic factors also influence your likelihood of victimisation. </w:t>
      </w:r>
      <w:r w:rsidR="003A069C" w:rsidRPr="003A069C">
        <w:t>Joanne Marie Ziembo-Vogl and Siegel</w:t>
      </w:r>
      <w:r w:rsidR="008A79BB">
        <w:t xml:space="preserve"> (</w:t>
      </w:r>
      <w:r w:rsidR="003A069C" w:rsidRPr="003A069C">
        <w:t>2007</w:t>
      </w:r>
      <w:r w:rsidR="008A79BB">
        <w:t xml:space="preserve">) </w:t>
      </w:r>
      <w:r w:rsidR="007F31D0">
        <w:t xml:space="preserve">conducted research into the different demographics of people most likely to become victims of crime. They concluded that </w:t>
      </w:r>
      <w:r w:rsidR="003A069C">
        <w:t xml:space="preserve">males, youngsters, and poorer individuals are the most likely to become victimised whereas, females, the elderly and rich individuals are least likely. They conclude that this is due to their higher “risk-taking decisions”.  </w:t>
      </w:r>
      <w:r w:rsidR="007F31D0">
        <w:t xml:space="preserve"> </w:t>
      </w:r>
    </w:p>
    <w:p w14:paraId="226CA706" w14:textId="16A35B1A" w:rsidR="007F31D0" w:rsidRDefault="008D1FC4" w:rsidP="00C76B98">
      <w:r>
        <w:tab/>
        <w:t>Similarly, outlines an example of different individuals who may be more vulnerable to victimisation. They state that choice of profession also has a part to play in victimisation of certain crimes, for example comparing a person who works away from home, staying overnight on work trips to a person who works from home and works 9-5 job. The person who works away from home is theoretically more susceptible to being a victim of theft. This strengthens the argument that the lifestyle theory is an accurate reflection of distinguishing who becomes victims of crime</w:t>
      </w:r>
      <w:r w:rsidR="008E275A">
        <w:t xml:space="preserve"> </w:t>
      </w:r>
      <w:r w:rsidR="00CF1505" w:rsidRPr="00CF1505">
        <w:t>(McNeeley, 2014)</w:t>
      </w:r>
      <w:r w:rsidR="00CF1505">
        <w:t xml:space="preserve">. </w:t>
      </w:r>
    </w:p>
    <w:p w14:paraId="7E59B08E" w14:textId="648D4D4E" w:rsidR="008E5EEB" w:rsidRDefault="008E5EEB" w:rsidP="00C76B98">
      <w:r>
        <w:lastRenderedPageBreak/>
        <w:tab/>
        <w:t>Another element of the lifestyle theory is the impact of economic, educational, or family constraints - these are often referred to as societal constraints</w:t>
      </w:r>
      <w:r w:rsidR="00A071C9">
        <w:t xml:space="preserve"> (Hindelang et</w:t>
      </w:r>
      <w:r w:rsidR="00CF2D51">
        <w:t xml:space="preserve"> al, 1978</w:t>
      </w:r>
      <w:r w:rsidR="00A071C9">
        <w:t>)</w:t>
      </w:r>
      <w:r>
        <w:t>. An example of economic constraint may be somebody with money worries who wants to eat at a restaurant at the other side of town. They may not have enough money for public transport or their own vehicle, so they decide to walk. These decisions</w:t>
      </w:r>
      <w:r w:rsidR="008A79BB">
        <w:t xml:space="preserve"> are</w:t>
      </w:r>
      <w:r>
        <w:t xml:space="preserve"> compared to an affluent individual who could afford to catch public transport or use their car, the poorer individual is more likely to become a victim of crime by walking across town at night</w:t>
      </w:r>
      <w:r w:rsidR="008A79BB">
        <w:t xml:space="preserve"> </w:t>
      </w:r>
      <w:r w:rsidR="008A79BB" w:rsidRPr="008A79BB">
        <w:t>(Fisher and Lab, 2010)</w:t>
      </w:r>
      <w:r w:rsidR="008A79BB">
        <w:t>. Thus, this sub-section of the lifestyle theory explores the impact of individual circumstance on victimisation.</w:t>
      </w:r>
    </w:p>
    <w:p w14:paraId="55A2CE01" w14:textId="7636AEB5" w:rsidR="002E5D9B" w:rsidRDefault="008D1FC4" w:rsidP="002E5D9B">
      <w:r>
        <w:tab/>
      </w:r>
      <w:r w:rsidR="00747FE0">
        <w:t xml:space="preserve">It is important to critically analyse theories, </w:t>
      </w:r>
      <w:proofErr w:type="spellStart"/>
      <w:r>
        <w:t>Corteen</w:t>
      </w:r>
      <w:proofErr w:type="spellEnd"/>
      <w:r>
        <w:t xml:space="preserve"> et al (2016) outlines</w:t>
      </w:r>
      <w:r w:rsidR="00747FE0">
        <w:t xml:space="preserve"> </w:t>
      </w:r>
      <w:r w:rsidR="008A79BB">
        <w:t>a weakness</w:t>
      </w:r>
      <w:r w:rsidR="002E5D9B">
        <w:t xml:space="preserve"> to </w:t>
      </w:r>
      <w:r w:rsidR="008A79BB">
        <w:t xml:space="preserve">the </w:t>
      </w:r>
      <w:r w:rsidR="002E5D9B">
        <w:t>lifestyle theory and its accuracy in explaining why certain people become victimised.</w:t>
      </w:r>
      <w:r>
        <w:t xml:space="preserve"> R</w:t>
      </w:r>
      <w:r w:rsidR="002E5D9B">
        <w:t>esearch explains that men are more likely to be victimised than women due to their riskier lifestyles, and that the elderly population are less likely to become victims of crime because they do not frequent nightclubs or public spaces late at night. However, the theory does not explain why women are continuously victims of domestic violence and sexual crimes and why crimes against the elderly still occur. This poses the question of how effective the theory is at accurately representing what makes individuals more prone to victimisati</w:t>
      </w:r>
      <w:r>
        <w:t xml:space="preserve">on. </w:t>
      </w:r>
    </w:p>
    <w:p w14:paraId="0B96916F" w14:textId="10B07CD9" w:rsidR="00B86179" w:rsidRDefault="00A071C9" w:rsidP="002E5D9B">
      <w:r>
        <w:tab/>
        <w:t xml:space="preserve">When assessing the accuracy of the lifestyle theory I feel it is imperative to include another theory to compare the differences. </w:t>
      </w:r>
      <w:r w:rsidR="00287460">
        <w:t xml:space="preserve">Routine Activity Theory explores the possibility that crime can be committed by anyone who has the </w:t>
      </w:r>
      <w:r w:rsidR="00CF1505">
        <w:t xml:space="preserve">opportunity </w:t>
      </w:r>
      <w:r w:rsidR="00CF1505" w:rsidRPr="00CF1505">
        <w:t>(Madero-Hernandez and Fisher, 2012)</w:t>
      </w:r>
      <w:r w:rsidR="00287460">
        <w:t>.</w:t>
      </w:r>
      <w:r w:rsidR="00CF1505">
        <w:t xml:space="preserve"> </w:t>
      </w:r>
      <w:r w:rsidR="00287460">
        <w:t xml:space="preserve">It also states that victims are given choices to be victimised and can choose not to place themselves in situations where a crime could be committed against them, for example when they do not have a guardian or protector </w:t>
      </w:r>
      <w:r w:rsidR="00287460" w:rsidRPr="00287460">
        <w:t>(Mitchell Miller, 2014)</w:t>
      </w:r>
      <w:r w:rsidR="00287460">
        <w:t xml:space="preserve">. This differs from the initial theory by placing more blame on victims for being targeted, whereas the lifestyle theory offers the possibility that some elements of victimisation are out of our control such as financial and socio-economic factors. </w:t>
      </w:r>
    </w:p>
    <w:p w14:paraId="01D8EB4A" w14:textId="513C7953" w:rsidR="00A437FA" w:rsidRDefault="00B86179" w:rsidP="002E5D9B">
      <w:r>
        <w:tab/>
      </w:r>
      <w:r w:rsidR="00A437FA">
        <w:t xml:space="preserve">Alternatively, another theory of victimisation is the victim precipitation theory that explores that individuals are victims of crime due to their ethnicity, race, sexual orientation, gender, or gender identity </w:t>
      </w:r>
      <w:r w:rsidR="00A437FA" w:rsidRPr="00A437FA">
        <w:t>(Petherick, 2017)</w:t>
      </w:r>
      <w:r w:rsidR="00A437FA">
        <w:t xml:space="preserve">. Differing from the other theories, this theory </w:t>
      </w:r>
      <w:r>
        <w:t>describes that victimisation occurs due to the beliefs and prejudices’ held by the criminal about an individual. This places responsibility on the criminal instead of the victim</w:t>
      </w:r>
      <w:r w:rsidR="00CF1505">
        <w:t xml:space="preserve"> </w:t>
      </w:r>
      <w:r w:rsidR="00CF1505" w:rsidRPr="00CF1505">
        <w:t>(Gobert, 1977)</w:t>
      </w:r>
      <w:r w:rsidR="00CF1505">
        <w:t xml:space="preserve">. </w:t>
      </w:r>
    </w:p>
    <w:p w14:paraId="5941A376" w14:textId="0E3A634F" w:rsidR="00B86179" w:rsidRDefault="00B86179" w:rsidP="002E5D9B">
      <w:r>
        <w:tab/>
        <w:t xml:space="preserve">In conclusion, when measuring the extent to which the lifestyle theory is an accurate reflection of what makes people vulnerable to serious and organised crime, I believe that we cannot take this theory in isolation. The lifestyle theory explains that some individuals are more likely to become victims of crime than others based on free-will and choice. However, we cannot underestimate the impact of socio-economic factors, deprived areas, economic factors, peer factors and medical factors that are out of people’s control. Thus, I do agree with the original statement to a certain extent. On the one hand, I believe we have control over what we do and </w:t>
      </w:r>
      <w:r w:rsidR="003202ED">
        <w:t xml:space="preserve">who we do it with </w:t>
      </w:r>
      <w:r>
        <w:t xml:space="preserve">however, to believe that all victims are victimised due to their lifestyle choices is narrow-minded and subjective. </w:t>
      </w:r>
      <w:r w:rsidR="003202ED">
        <w:t>Victims of crime are targeted for many reasons, and I think the best approach would be to consider alternative theories as well as this one</w:t>
      </w:r>
      <w:r w:rsidR="00033850">
        <w:t xml:space="preserve"> when making a collective judgement. </w:t>
      </w:r>
    </w:p>
    <w:p w14:paraId="703BF8E2" w14:textId="181E3524" w:rsidR="008A79BB" w:rsidRDefault="008A79BB" w:rsidP="002E5D9B">
      <w:r>
        <w:tab/>
      </w:r>
    </w:p>
    <w:p w14:paraId="46C564A0" w14:textId="22824534" w:rsidR="002E5D9B" w:rsidRPr="00B22B26" w:rsidRDefault="007D630F" w:rsidP="002E5D9B">
      <w:pPr>
        <w:rPr>
          <w:i/>
          <w:iCs/>
        </w:rPr>
      </w:pPr>
      <w:r w:rsidRPr="00B22B26">
        <w:rPr>
          <w:i/>
          <w:iCs/>
        </w:rPr>
        <w:t>1076 words</w:t>
      </w:r>
      <w:r w:rsidR="002E5D9B" w:rsidRPr="00B22B26">
        <w:rPr>
          <w:i/>
          <w:iCs/>
        </w:rPr>
        <w:tab/>
      </w:r>
    </w:p>
    <w:p w14:paraId="3A7862C1" w14:textId="61C5F0BA" w:rsidR="003A069C" w:rsidRDefault="003A069C" w:rsidP="00C76B98"/>
    <w:p w14:paraId="4D7E8036" w14:textId="54BFA522" w:rsidR="002E5D9B" w:rsidRDefault="002E5D9B" w:rsidP="007E0317"/>
    <w:p w14:paraId="37A02F4C" w14:textId="10A538F3" w:rsidR="00002EF0" w:rsidRPr="00002EF0" w:rsidRDefault="00002EF0" w:rsidP="00B22B26">
      <w:pPr>
        <w:rPr>
          <w:u w:val="single"/>
        </w:rPr>
      </w:pPr>
      <w:r w:rsidRPr="00002EF0">
        <w:rPr>
          <w:u w:val="single"/>
        </w:rPr>
        <w:lastRenderedPageBreak/>
        <w:t>References</w:t>
      </w:r>
    </w:p>
    <w:p w14:paraId="0BF68304" w14:textId="77777777" w:rsidR="00002EF0" w:rsidRDefault="00002EF0" w:rsidP="00B22B26"/>
    <w:p w14:paraId="46F6A199" w14:textId="17434D3B" w:rsidR="00B22B26" w:rsidRDefault="00B22B26" w:rsidP="00B22B26">
      <w:proofErr w:type="spellStart"/>
      <w:r>
        <w:t>Corteen</w:t>
      </w:r>
      <w:proofErr w:type="spellEnd"/>
      <w:r>
        <w:t xml:space="preserve">, K., Morley, S., Taylor, P. and Turner, J. (2016). A companion to crime, </w:t>
      </w:r>
      <w:proofErr w:type="gramStart"/>
      <w:r>
        <w:t>harm</w:t>
      </w:r>
      <w:proofErr w:type="gramEnd"/>
      <w:r>
        <w:t xml:space="preserve"> and victimisation. Bristol Policy Press.</w:t>
      </w:r>
    </w:p>
    <w:p w14:paraId="3292101F" w14:textId="614F76BF" w:rsidR="00B22B26" w:rsidRDefault="00B22B26" w:rsidP="00B22B26">
      <w:r>
        <w:t xml:space="preserve">Fisher, </w:t>
      </w:r>
      <w:proofErr w:type="gramStart"/>
      <w:r>
        <w:t>B.</w:t>
      </w:r>
      <w:proofErr w:type="gramEnd"/>
      <w:r>
        <w:t xml:space="preserve"> and Lab, S.P. (2010). </w:t>
      </w:r>
      <w:r w:rsidR="00125DE1">
        <w:t>Encyclopaedia</w:t>
      </w:r>
      <w:r>
        <w:t xml:space="preserve"> of victimology and crime prevention. Thousand Oaks, Calif.: Sage Publications.</w:t>
      </w:r>
    </w:p>
    <w:p w14:paraId="03DB6916" w14:textId="08651406" w:rsidR="00B22B26" w:rsidRDefault="00B22B26" w:rsidP="00B22B26">
      <w:r>
        <w:t xml:space="preserve">Forde, D.R. and Kennedy, L.W. (1997). Risky lifestyles, routine activities, and the General Theory of Crime. Justice Quarterly, 14(2), pp.265–294. </w:t>
      </w:r>
      <w:proofErr w:type="spellStart"/>
      <w:proofErr w:type="gramStart"/>
      <w:r>
        <w:t>doi:https</w:t>
      </w:r>
      <w:proofErr w:type="spellEnd"/>
      <w:r>
        <w:t>://doi.org/10.1080/07418829700093331</w:t>
      </w:r>
      <w:proofErr w:type="gramEnd"/>
      <w:r>
        <w:t>.</w:t>
      </w:r>
    </w:p>
    <w:p w14:paraId="2B5098BB" w14:textId="69EB7143" w:rsidR="00B22B26" w:rsidRDefault="00B22B26" w:rsidP="00B22B26">
      <w:r>
        <w:t xml:space="preserve">Gobert, J.J. (1977). Victim Precipitation. Columbia Law Review, 77(4), p.511. </w:t>
      </w:r>
      <w:proofErr w:type="spellStart"/>
      <w:proofErr w:type="gramStart"/>
      <w:r>
        <w:t>doi:https</w:t>
      </w:r>
      <w:proofErr w:type="spellEnd"/>
      <w:r>
        <w:t>://doi.org/10.2307/1121822</w:t>
      </w:r>
      <w:proofErr w:type="gramEnd"/>
      <w:r>
        <w:t>.</w:t>
      </w:r>
    </w:p>
    <w:p w14:paraId="74075F53" w14:textId="15B55E32" w:rsidR="00B22B26" w:rsidRDefault="00B22B26" w:rsidP="00B22B26">
      <w:r>
        <w:t xml:space="preserve">Hindelang, M.J., Gottfredson, M.R. and Garofalo, J. (1978). Victims of personal </w:t>
      </w:r>
      <w:proofErr w:type="gramStart"/>
      <w:r>
        <w:t>crime :</w:t>
      </w:r>
      <w:proofErr w:type="gramEnd"/>
      <w:r>
        <w:t xml:space="preserve"> an empirical foundation for a theory of personal victimization. Cambridge, Mass.: Ballinger, Cop.</w:t>
      </w:r>
    </w:p>
    <w:p w14:paraId="23721800" w14:textId="0EAAB875" w:rsidR="00B22B26" w:rsidRDefault="00B22B26" w:rsidP="00B22B26">
      <w:r>
        <w:t xml:space="preserve">J Mitchell Miller (2014). The </w:t>
      </w:r>
      <w:r w:rsidR="00125DE1">
        <w:t>encyclopaedia</w:t>
      </w:r>
      <w:r>
        <w:t xml:space="preserve"> of theoretical criminology. Chichester, West Sussex, </w:t>
      </w:r>
      <w:proofErr w:type="spellStart"/>
      <w:r>
        <w:t>Uk</w:t>
      </w:r>
      <w:proofErr w:type="spellEnd"/>
      <w:r>
        <w:t>: Wiley Blackwell.</w:t>
      </w:r>
    </w:p>
    <w:p w14:paraId="4CFC3211" w14:textId="04B93DD5" w:rsidR="00B22B26" w:rsidRDefault="00B22B26" w:rsidP="00B22B26">
      <w:r>
        <w:t xml:space="preserve">Joanne Marie Ziembo-Vogl and Siegel, L.J. (2007). Study guide for Siegel’s </w:t>
      </w:r>
      <w:proofErr w:type="gramStart"/>
      <w:r>
        <w:t>Criminology :</w:t>
      </w:r>
      <w:proofErr w:type="gramEnd"/>
      <w:r>
        <w:t xml:space="preserve"> theories, patterns, and typologies, 9th edition. Belmont, Ca: Thomson, Wadsworth.</w:t>
      </w:r>
    </w:p>
    <w:p w14:paraId="27BCD1E3" w14:textId="5DD663A3" w:rsidR="00B22B26" w:rsidRDefault="00B22B26" w:rsidP="00B22B26">
      <w:r>
        <w:t xml:space="preserve">Madero-Hernandez, A. (2019). ‘Lifestyle Exposure Theory of Victimization. The </w:t>
      </w:r>
      <w:proofErr w:type="spellStart"/>
      <w:r>
        <w:t>Encyclopedia</w:t>
      </w:r>
      <w:proofErr w:type="spellEnd"/>
      <w:r>
        <w:t xml:space="preserve"> of Women and Crime’, [online] pp.1–3. </w:t>
      </w:r>
      <w:proofErr w:type="spellStart"/>
      <w:proofErr w:type="gramStart"/>
      <w:r>
        <w:t>doi:https</w:t>
      </w:r>
      <w:proofErr w:type="spellEnd"/>
      <w:r>
        <w:t>://doi.org/10.1002/9781118929803.ewac0334</w:t>
      </w:r>
      <w:proofErr w:type="gramEnd"/>
      <w:r>
        <w:t>.</w:t>
      </w:r>
    </w:p>
    <w:p w14:paraId="78051EFE" w14:textId="367FBF30" w:rsidR="00B22B26" w:rsidRDefault="00B22B26" w:rsidP="00B22B26">
      <w:r>
        <w:t xml:space="preserve">Madero-Hernandez, A. and Fisher, B.S. (2012). Routine Activity Theory. [online] Oxford Handbooks Online. Oxford University Press. </w:t>
      </w:r>
      <w:proofErr w:type="spellStart"/>
      <w:proofErr w:type="gramStart"/>
      <w:r>
        <w:t>doi:https</w:t>
      </w:r>
      <w:proofErr w:type="spellEnd"/>
      <w:r>
        <w:t>://doi.org/10.1093/</w:t>
      </w:r>
      <w:proofErr w:type="spellStart"/>
      <w:r>
        <w:t>oxfordhb</w:t>
      </w:r>
      <w:proofErr w:type="spellEnd"/>
      <w:r>
        <w:t>/9780199747238.013.0027</w:t>
      </w:r>
      <w:proofErr w:type="gramEnd"/>
      <w:r>
        <w:t>.</w:t>
      </w:r>
    </w:p>
    <w:p w14:paraId="73A435C1" w14:textId="5AC4445E" w:rsidR="00B22B26" w:rsidRDefault="00B22B26" w:rsidP="00B22B26">
      <w:r>
        <w:t xml:space="preserve">McNeeley, S. (2014). Lifestyle-Routine Activities and Crime Events. Journal of Contemporary Criminal Justice, 31(1), pp.30–52. </w:t>
      </w:r>
      <w:proofErr w:type="spellStart"/>
      <w:proofErr w:type="gramStart"/>
      <w:r>
        <w:t>doi:https</w:t>
      </w:r>
      <w:proofErr w:type="spellEnd"/>
      <w:r>
        <w:t>://doi.org/10.1177/1043986214552607</w:t>
      </w:r>
      <w:proofErr w:type="gramEnd"/>
      <w:r>
        <w:t>.</w:t>
      </w:r>
    </w:p>
    <w:p w14:paraId="0C7AB6D2" w14:textId="77777777" w:rsidR="00F85B97" w:rsidRDefault="00B22B26" w:rsidP="00B22B26">
      <w:r>
        <w:t xml:space="preserve">Obasanjo Solomon Balogun, Tomisin </w:t>
      </w:r>
      <w:proofErr w:type="spellStart"/>
      <w:r>
        <w:t>Adedunmola</w:t>
      </w:r>
      <w:proofErr w:type="spellEnd"/>
      <w:r>
        <w:t xml:space="preserve"> Akangbe, Habeeb Abdulrauf Salihu (2021). ‘Criminal Victimisation: Conceptual and Theoretical Perspectives’ Ilorin Journal of Business and Social Sciences Volume 23, Number 1 (137 – 151)</w:t>
      </w:r>
    </w:p>
    <w:p w14:paraId="6AE52B13" w14:textId="7A5E3DED" w:rsidR="00B22B26" w:rsidRDefault="00B22B26" w:rsidP="00B22B26">
      <w:r>
        <w:t xml:space="preserve">Petherick, W. (2017). Victim Precipitation: Why we need to Expand Upon the Theory. Forensic Research &amp; Criminology International Journal, [online] 5(2). </w:t>
      </w:r>
      <w:proofErr w:type="spellStart"/>
      <w:proofErr w:type="gramStart"/>
      <w:r>
        <w:t>doi:https</w:t>
      </w:r>
      <w:proofErr w:type="spellEnd"/>
      <w:r>
        <w:t>://doi.org/10.15406/frcij.2017.05.00148</w:t>
      </w:r>
      <w:proofErr w:type="gramEnd"/>
      <w:r>
        <w:t>.</w:t>
      </w:r>
    </w:p>
    <w:p w14:paraId="325E483F" w14:textId="465F868A" w:rsidR="00B22B26" w:rsidRDefault="00B22B26" w:rsidP="00B22B26">
      <w:r>
        <w:t xml:space="preserve">Walters, G.D. (2017). Modelling the criminal </w:t>
      </w:r>
      <w:r w:rsidR="00125DE1">
        <w:t>lifestyle:</w:t>
      </w:r>
      <w:r>
        <w:t xml:space="preserve"> theorizing at the edge of chaos. Cham, Switzerland: Palgrave Macmillan.</w:t>
      </w:r>
    </w:p>
    <w:p w14:paraId="6A7B3743" w14:textId="113D57F6" w:rsidR="00CF1505" w:rsidRDefault="00CF1505" w:rsidP="00CF1505">
      <w:pPr>
        <w:pStyle w:val="ListParagraph"/>
      </w:pPr>
    </w:p>
    <w:p w14:paraId="485FE1CB" w14:textId="2E06E670" w:rsidR="00CF1505" w:rsidRDefault="00CF1505" w:rsidP="00CF1505">
      <w:pPr>
        <w:pStyle w:val="ListParagraph"/>
      </w:pPr>
    </w:p>
    <w:p w14:paraId="2DE80702" w14:textId="5AF61514" w:rsidR="00CF1505" w:rsidRDefault="00CF1505" w:rsidP="00CF1505">
      <w:pPr>
        <w:pStyle w:val="ListParagraph"/>
      </w:pPr>
    </w:p>
    <w:p w14:paraId="49665B3D" w14:textId="261027B4" w:rsidR="008E275A" w:rsidRDefault="008E275A" w:rsidP="008E275A">
      <w:pPr>
        <w:pStyle w:val="ListParagraph"/>
      </w:pPr>
    </w:p>
    <w:p w14:paraId="38D05B91" w14:textId="50EA0E12" w:rsidR="00A437FA" w:rsidRDefault="00A437FA" w:rsidP="00A437FA">
      <w:pPr>
        <w:pStyle w:val="ListParagraph"/>
      </w:pPr>
    </w:p>
    <w:p w14:paraId="5AC5F265" w14:textId="589B4E96" w:rsidR="002E5D9B" w:rsidRDefault="002E5D9B" w:rsidP="002E5D9B">
      <w:pPr>
        <w:pStyle w:val="ListParagraph"/>
      </w:pPr>
    </w:p>
    <w:p w14:paraId="3CC5CA12" w14:textId="39E57A4E" w:rsidR="003A069C" w:rsidRDefault="003A069C" w:rsidP="003A069C">
      <w:pPr>
        <w:pStyle w:val="ListParagraph"/>
      </w:pPr>
    </w:p>
    <w:p w14:paraId="3BD4E102" w14:textId="77777777" w:rsidR="000173E3" w:rsidRDefault="000173E3" w:rsidP="007E0317"/>
    <w:p w14:paraId="0C6E4D27" w14:textId="77777777" w:rsidR="00B22B26" w:rsidRDefault="00B22B26" w:rsidP="007E0317"/>
    <w:p w14:paraId="2EADE9D6" w14:textId="77777777" w:rsidR="00F85B97" w:rsidRDefault="00F85B97" w:rsidP="007E0317"/>
    <w:p w14:paraId="6E54977C" w14:textId="3A9D1CB6" w:rsidR="007E0317" w:rsidRDefault="007E0317" w:rsidP="007E0317">
      <w:r>
        <w:t xml:space="preserve">Essay four: </w:t>
      </w:r>
    </w:p>
    <w:p w14:paraId="3E446529" w14:textId="77777777" w:rsidR="007E0317" w:rsidRDefault="007E0317" w:rsidP="007E0317">
      <w:r w:rsidRPr="000173E3">
        <w:t xml:space="preserve">Why </w:t>
      </w:r>
      <w:proofErr w:type="gramStart"/>
      <w:r w:rsidRPr="000173E3">
        <w:t>is</w:t>
      </w:r>
      <w:proofErr w:type="gramEnd"/>
      <w:r w:rsidRPr="000173E3">
        <w:t xml:space="preserve"> a partnership approach the most effective way of preventing re-offending?</w:t>
      </w:r>
      <w:r>
        <w:t xml:space="preserve"> </w:t>
      </w:r>
    </w:p>
    <w:p w14:paraId="60E9AC23" w14:textId="77777777" w:rsidR="007E0317" w:rsidRDefault="007E0317" w:rsidP="007E0317">
      <w:r>
        <w:t>Support your answer with relevant evidence drawn from academic sources.</w:t>
      </w:r>
    </w:p>
    <w:p w14:paraId="4E967352" w14:textId="7F7D972C" w:rsidR="007E0317" w:rsidRDefault="007E0317" w:rsidP="007E0317">
      <w:r>
        <w:t>Word limit: 1000 words</w:t>
      </w:r>
    </w:p>
    <w:p w14:paraId="48B05C1E" w14:textId="77777777" w:rsidR="006B21A0" w:rsidRDefault="006B21A0" w:rsidP="007E0317"/>
    <w:p w14:paraId="6FD30258" w14:textId="1041B9F4" w:rsidR="006B21A0" w:rsidRDefault="0058004C" w:rsidP="007E0317">
      <w:r>
        <w:t>The Crime and Disorder Act (1998) was introduced to formally establish partnership collaboration within the policing sector. Its aim was to reduce reoffending and rehabilitate offenders whilst ensuring that partnership agencies work together to achieve the same outcome</w:t>
      </w:r>
      <w:r w:rsidR="00206BA4">
        <w:t xml:space="preserve"> </w:t>
      </w:r>
      <w:r w:rsidR="00B32B16">
        <w:t xml:space="preserve">and therefore reduce re-offending </w:t>
      </w:r>
      <w:r w:rsidR="00206BA4" w:rsidRPr="00206BA4">
        <w:t>(McCarthy and O’Neill, 2014)</w:t>
      </w:r>
      <w:r w:rsidR="00206BA4">
        <w:t xml:space="preserve">. </w:t>
      </w:r>
      <w:r w:rsidR="00B32B16">
        <w:t xml:space="preserve">These partnerships include, police, probation services, </w:t>
      </w:r>
      <w:r w:rsidR="00236DE7">
        <w:t xml:space="preserve">fire and rescue services, </w:t>
      </w:r>
      <w:r w:rsidR="00B32B16">
        <w:t>healthcare</w:t>
      </w:r>
      <w:r w:rsidR="00236DE7">
        <w:t xml:space="preserve"> services</w:t>
      </w:r>
      <w:r w:rsidR="00B32B16">
        <w:t xml:space="preserve">, and the </w:t>
      </w:r>
      <w:r w:rsidR="00236DE7">
        <w:t>local authority</w:t>
      </w:r>
      <w:r w:rsidR="00B32B16">
        <w:t xml:space="preserve">. </w:t>
      </w:r>
      <w:r w:rsidR="0074313D">
        <w:t>The Home Office (2009) states that p</w:t>
      </w:r>
      <w:r w:rsidR="00084F14">
        <w:t>artnership approaches are largely built on the premise that no single agency can deal with, or be responsible for dealing with, complex community safety and crime problems.</w:t>
      </w:r>
      <w:r w:rsidR="0074313D">
        <w:t xml:space="preserve"> </w:t>
      </w:r>
      <w:r w:rsidR="00B32B16">
        <w:t>Within this essay, I will be exploring the partnership approach and its effectiveness in preventing re-offending.</w:t>
      </w:r>
      <w:r w:rsidR="0074313D">
        <w:t xml:space="preserve"> </w:t>
      </w:r>
      <w:r w:rsidR="00B32B16">
        <w:t xml:space="preserve"> </w:t>
      </w:r>
    </w:p>
    <w:p w14:paraId="4D2BDF51" w14:textId="37DB381A" w:rsidR="00B2738F" w:rsidRDefault="00B2738F" w:rsidP="007E0317">
      <w:r>
        <w:tab/>
      </w:r>
      <w:r w:rsidR="006D67A2">
        <w:t xml:space="preserve">Partnership working can be effective in reducing re-offending </w:t>
      </w:r>
      <w:r w:rsidR="004B2AC3">
        <w:t xml:space="preserve">because it entails </w:t>
      </w:r>
      <w:r w:rsidR="006D67A2">
        <w:t xml:space="preserve">collecting information from multiple sources. </w:t>
      </w:r>
      <w:proofErr w:type="spellStart"/>
      <w:r>
        <w:t>Balloni</w:t>
      </w:r>
      <w:proofErr w:type="spellEnd"/>
      <w:r>
        <w:t xml:space="preserve"> and Sette (2020) state that through partnership efforts we </w:t>
      </w:r>
      <w:r w:rsidR="006D67A2">
        <w:t>can</w:t>
      </w:r>
      <w:r>
        <w:t xml:space="preserve"> gather information from agencies outside police jurisdiction </w:t>
      </w:r>
      <w:r w:rsidR="006D67A2">
        <w:t>and collate evidence to accurately manage offenders and thus reduce re-offending. They add that by assessing and synthesising information from agencies outside of law enforcement such as the NHS, probation services</w:t>
      </w:r>
      <w:r w:rsidR="00236DE7">
        <w:t>, local authorities and fire services</w:t>
      </w:r>
      <w:r w:rsidR="006D67A2">
        <w:t xml:space="preserve"> can work together to ensure that offenders are managed and supported. This support therefore will target different sector specialisms to allow for a more co-operative approach to reach a shared goal of reducing re-offending rates</w:t>
      </w:r>
      <w:r w:rsidR="00236DE7">
        <w:t xml:space="preserve">. This is the key to problem solving in policing </w:t>
      </w:r>
      <w:r w:rsidR="00236DE7" w:rsidRPr="00236DE7">
        <w:t>(Farrell, 2022)</w:t>
      </w:r>
      <w:r w:rsidR="00236DE7">
        <w:t xml:space="preserve">. </w:t>
      </w:r>
    </w:p>
    <w:p w14:paraId="29945663" w14:textId="52FF7382" w:rsidR="00AA3B6C" w:rsidRDefault="00AA3B6C" w:rsidP="007E0317">
      <w:r>
        <w:tab/>
        <w:t xml:space="preserve">This approach promotes stronger leadership due to the shared vision among partnerships, and a clear strategy to reduce re-offending. </w:t>
      </w:r>
      <w:r w:rsidRPr="00AA3B6C">
        <w:t>Home Office (2009) found that the partnership approach was effective in reducing the recidivism of first-time violent offenders</w:t>
      </w:r>
      <w:r>
        <w:t xml:space="preserve"> as a result. The report outlines that there is </w:t>
      </w:r>
      <w:r w:rsidR="00BD69B1">
        <w:t xml:space="preserve">an advantage to collaboration as it </w:t>
      </w:r>
      <w:r>
        <w:t xml:space="preserve">allows for a more cohesive approach to </w:t>
      </w:r>
      <w:r w:rsidR="00BD69B1">
        <w:t xml:space="preserve">a </w:t>
      </w:r>
      <w:r>
        <w:t>shared aim</w:t>
      </w:r>
      <w:r w:rsidR="00BD69B1">
        <w:t xml:space="preserve"> which in this case is lower offending rates. The shared norms and values allow appointed members of each partnership agency to express their opinions on reducing recidivism. Therefore, outlining why the partnership approach is the most effective proposition</w:t>
      </w:r>
      <w:r w:rsidR="00EA08E6">
        <w:t xml:space="preserve"> </w:t>
      </w:r>
      <w:r w:rsidR="00EA08E6" w:rsidRPr="00EA08E6">
        <w:t>(Rogers and Gravelle, 2011)</w:t>
      </w:r>
      <w:r w:rsidR="00EA08E6">
        <w:t>.</w:t>
      </w:r>
    </w:p>
    <w:p w14:paraId="6F4EC547" w14:textId="0CF41C4C" w:rsidR="0074313D" w:rsidRDefault="0074313D" w:rsidP="007E0317">
      <w:r>
        <w:tab/>
      </w:r>
      <w:r w:rsidR="00BB0921">
        <w:t xml:space="preserve">Corcoran and Fox (2012) conducted a study into the effectiveness of partnership working in the ‘Chestnut Centre’ which was a programme conducted in the West Midlands </w:t>
      </w:r>
      <w:r w:rsidR="007F5478">
        <w:t xml:space="preserve">to reintegrate offenders. </w:t>
      </w:r>
      <w:r w:rsidR="00BB0921">
        <w:t xml:space="preserve">The intention of the pilot scheme was to support these women to find housing, jobs, financial aid and tackle their addictions after being released from custody. </w:t>
      </w:r>
      <w:r w:rsidR="007F5478">
        <w:t xml:space="preserve">Therefore, reviewing the effectiveness of the partnership approach in reducing re-offending. The scheme outlined the key benefits of partnership working namely allowing for any gaps in knowledge or understanding to be accounted for. By allowing several agencies to collaborate we can also allow for each sector to take responsibility for their specialist roles, thus we develop a more holistic approach to issues. </w:t>
      </w:r>
      <w:r w:rsidR="00E046E6">
        <w:t xml:space="preserve">This scheme also explained the benefit of continuity between the shared services. The managers of each </w:t>
      </w:r>
      <w:r w:rsidR="00E046E6">
        <w:lastRenderedPageBreak/>
        <w:t xml:space="preserve">service would sit in on each other’s meetings to share information about the females and therefore do everything they could to ensure they stayed on track. </w:t>
      </w:r>
    </w:p>
    <w:p w14:paraId="593EDDA9" w14:textId="6C11D96A" w:rsidR="0030201C" w:rsidRDefault="0011004C" w:rsidP="007E0317">
      <w:r>
        <w:tab/>
      </w:r>
      <w:r w:rsidR="00B60D75">
        <w:t xml:space="preserve">Another study was conducted </w:t>
      </w:r>
      <w:r w:rsidR="00B80920">
        <w:t xml:space="preserve">by </w:t>
      </w:r>
      <w:r w:rsidR="00B80920" w:rsidRPr="00B80920">
        <w:t>Barton and Valero-Silva</w:t>
      </w:r>
      <w:r w:rsidR="00B80920">
        <w:t xml:space="preserve"> (2013) </w:t>
      </w:r>
      <w:r w:rsidR="00B60D75">
        <w:t xml:space="preserve">in Nottingham which presents the benefits of partnership working in correlation with reduced re-offending rates. </w:t>
      </w:r>
      <w:r w:rsidR="00423C29">
        <w:t xml:space="preserve">The study focused on Nottingham City Homes housing agency that was responsible for the daily management of approximately 29,000 rented homes. </w:t>
      </w:r>
      <w:r w:rsidR="00B80920">
        <w:t>They provided a range of services including repairs, maintenance, tenancy management, rent collection and tackling anti-social behaviour. The study was conducted to evaluate the impact of installing new and secure windows and doors in NCH homes because of a recent influx of burglaries in the area. This pilot scheme utilised the collaboration of multiple agencies such as housing, police officers and fire and rescue services that all shared the same aim</w:t>
      </w:r>
      <w:r w:rsidR="0030201C">
        <w:t>. Namely</w:t>
      </w:r>
      <w:r w:rsidR="00B80920">
        <w:t xml:space="preserve"> to reduce </w:t>
      </w:r>
      <w:r w:rsidR="0030201C">
        <w:t xml:space="preserve">criminalisation (burglaries) in the area and to </w:t>
      </w:r>
      <w:r w:rsidR="00B80920">
        <w:t xml:space="preserve">improve the standard and </w:t>
      </w:r>
      <w:r w:rsidR="0030201C">
        <w:t xml:space="preserve">subsequent </w:t>
      </w:r>
      <w:r w:rsidR="00B80920">
        <w:t xml:space="preserve">fire safety </w:t>
      </w:r>
      <w:r w:rsidR="0030201C">
        <w:t>of</w:t>
      </w:r>
      <w:r w:rsidR="00B80920">
        <w:t xml:space="preserve"> NCH properties. </w:t>
      </w:r>
      <w:r w:rsidR="0030201C">
        <w:t xml:space="preserve">As a result of the partnership approach, the listed agencies decided to propose the new windows and doors to reduce the number of burglaries. </w:t>
      </w:r>
    </w:p>
    <w:p w14:paraId="67CC2AAA" w14:textId="17C83C25" w:rsidR="00CA0E23" w:rsidRDefault="0030201C" w:rsidP="0030201C">
      <w:r>
        <w:tab/>
      </w:r>
      <w:r w:rsidR="008416E8">
        <w:t>I</w:t>
      </w:r>
      <w:r>
        <w:t>t is clear from the findings of this case study that as a direct result of installing the new windows/doors, burglary rates in the area had decreased by 42%. The case study also concluded that “…the proportion of burglars successfully gaining entry by forcing the window halved</w:t>
      </w:r>
      <w:r w:rsidR="00CA0E23">
        <w:t>… from 30% to 15%.” (</w:t>
      </w:r>
      <w:r w:rsidR="00CA0E23" w:rsidRPr="00CA0E23">
        <w:t>Barton and Valero-Silva 2013)</w:t>
      </w:r>
      <w:r w:rsidR="008416E8">
        <w:t xml:space="preserve"> </w:t>
      </w:r>
      <w:r w:rsidR="00CA0E23">
        <w:t>Overall, the case study concludes that partnership working provides an effective way of reducing crime in areas and it has a positive impact overall.</w:t>
      </w:r>
      <w:r w:rsidR="008416E8">
        <w:t xml:space="preserve"> </w:t>
      </w:r>
    </w:p>
    <w:p w14:paraId="4C232135" w14:textId="01C5B158" w:rsidR="008416E8" w:rsidRDefault="008416E8" w:rsidP="0030201C">
      <w:r>
        <w:tab/>
      </w:r>
      <w:r w:rsidR="00C1009A">
        <w:t xml:space="preserve">Partnership working also develops the police understanding of crimes that affect minorities such as hate crimes. </w:t>
      </w:r>
      <w:r w:rsidR="008A59D0">
        <w:t>Through examining why hate crimes occur and supporting those who are victimised by such crimes, the police can develop a deeper understanding and therefore allowing minority groups to trust law enforcement more</w:t>
      </w:r>
      <w:r w:rsidR="00EA08E6">
        <w:t xml:space="preserve"> </w:t>
      </w:r>
      <w:r w:rsidR="00EA08E6" w:rsidRPr="00EA08E6">
        <w:t>(Peck, 2015)</w:t>
      </w:r>
      <w:r w:rsidR="008A59D0">
        <w:t xml:space="preserve">. The police will achieve further openness and transparency by understanding the impact of racism and subsequent racism fuelled violence on wider communities. Alternatively, the transparency allows for other partner agencies to realise the restrictions and powers of law enforcement and thus allowing them to support victims in other ways that the police cannot fulfil </w:t>
      </w:r>
      <w:r w:rsidR="008A59D0" w:rsidRPr="008A59D0">
        <w:t>(College of Policing, 2020)</w:t>
      </w:r>
      <w:r w:rsidR="008A59D0">
        <w:t xml:space="preserve">. Outlining why the partnership approach is effective at reducing recidivism by engaging with communities. </w:t>
      </w:r>
    </w:p>
    <w:p w14:paraId="4F3CECE7" w14:textId="66F8C5E9" w:rsidR="00E046E6" w:rsidRDefault="00E046E6" w:rsidP="007E0317">
      <w:r>
        <w:tab/>
      </w:r>
      <w:r w:rsidR="004B2AC3">
        <w:t>To summarise, the partnership approach is most effective when agencies work collaboratively and cohesively whilst tackling issues such as crime and disorder. Different agencies have different expertise that can be useful when attempting to solve problem</w:t>
      </w:r>
      <w:r w:rsidR="00D83472">
        <w:t>s and</w:t>
      </w:r>
      <w:r w:rsidR="004B2AC3">
        <w:t xml:space="preserve"> I believe that by implementing a collaborative approach</w:t>
      </w:r>
      <w:r w:rsidR="00D83472">
        <w:t>,</w:t>
      </w:r>
      <w:r w:rsidR="004B2AC3">
        <w:t xml:space="preserve"> we can better understand issues and tackle them from different angles</w:t>
      </w:r>
      <w:r w:rsidR="00EA08E6">
        <w:t xml:space="preserve"> </w:t>
      </w:r>
      <w:r w:rsidR="00EA08E6" w:rsidRPr="00EA08E6">
        <w:t>(McCarthy and O’Neill, 2014)</w:t>
      </w:r>
      <w:r w:rsidR="004B2AC3">
        <w:t>. High offending rates in particular areas can be a direct result from poor socio-economic factors and these factors cannot be solved by law enforcement alone</w:t>
      </w:r>
      <w:r w:rsidR="00EA08E6">
        <w:t xml:space="preserve"> (Walters, 2017)</w:t>
      </w:r>
      <w:r w:rsidR="004B2AC3">
        <w:t xml:space="preserve">. With the collaboration of other agencies, crime and disorder can be </w:t>
      </w:r>
      <w:r w:rsidR="00D83472">
        <w:t xml:space="preserve">apprehended sooner and in theory the partnership approach would be most effective at reducing re-offending rates over time.  </w:t>
      </w:r>
    </w:p>
    <w:p w14:paraId="5278F1E5" w14:textId="77777777" w:rsidR="0096347D" w:rsidRDefault="0096347D" w:rsidP="007E0317"/>
    <w:p w14:paraId="19E13503" w14:textId="1C818874" w:rsidR="0048345A" w:rsidRPr="00B22B26" w:rsidRDefault="0048345A" w:rsidP="007E0317">
      <w:pPr>
        <w:rPr>
          <w:i/>
          <w:iCs/>
        </w:rPr>
      </w:pPr>
      <w:r w:rsidRPr="00B22B26">
        <w:rPr>
          <w:i/>
          <w:iCs/>
        </w:rPr>
        <w:t>967 words</w:t>
      </w:r>
    </w:p>
    <w:p w14:paraId="58EA34BF" w14:textId="77777777" w:rsidR="0096347D" w:rsidRDefault="0096347D" w:rsidP="007E0317"/>
    <w:p w14:paraId="2D39DE15" w14:textId="77777777" w:rsidR="001144AC" w:rsidRDefault="001144AC" w:rsidP="007E0317"/>
    <w:p w14:paraId="2D73FA63" w14:textId="77777777" w:rsidR="001144AC" w:rsidRDefault="001144AC" w:rsidP="007E0317"/>
    <w:p w14:paraId="1B20D61F" w14:textId="77777777" w:rsidR="00002EF0" w:rsidRDefault="00002EF0" w:rsidP="00B22B26">
      <w:bookmarkStart w:id="1" w:name="_Hlk149146424"/>
    </w:p>
    <w:p w14:paraId="71050DB3" w14:textId="2D867AC6" w:rsidR="00002EF0" w:rsidRDefault="00002EF0" w:rsidP="00B22B26">
      <w:pPr>
        <w:rPr>
          <w:u w:val="single"/>
        </w:rPr>
      </w:pPr>
      <w:r>
        <w:rPr>
          <w:u w:val="single"/>
        </w:rPr>
        <w:lastRenderedPageBreak/>
        <w:t>References</w:t>
      </w:r>
    </w:p>
    <w:p w14:paraId="3CD84DF5" w14:textId="77777777" w:rsidR="00002EF0" w:rsidRPr="00002EF0" w:rsidRDefault="00002EF0" w:rsidP="00B22B26">
      <w:pPr>
        <w:rPr>
          <w:u w:val="single"/>
        </w:rPr>
      </w:pPr>
    </w:p>
    <w:bookmarkEnd w:id="1"/>
    <w:p w14:paraId="035FBF6B" w14:textId="7A42D57D" w:rsidR="00F85B97" w:rsidRDefault="00B22B26" w:rsidP="00B22B26">
      <w:r>
        <w:t xml:space="preserve">Augusto </w:t>
      </w:r>
      <w:proofErr w:type="spellStart"/>
      <w:r>
        <w:t>Balloni</w:t>
      </w:r>
      <w:proofErr w:type="spellEnd"/>
      <w:r>
        <w:t xml:space="preserve"> and Raffaella Sette (2020). Handbook of research on trends and issues in crime prevention, rehabilitation, and victim support. Hershey, Pa Information Science Reference.</w:t>
      </w:r>
    </w:p>
    <w:p w14:paraId="5C574C00" w14:textId="104EE33F" w:rsidR="00B22B26" w:rsidRDefault="00B22B26" w:rsidP="00B22B26">
      <w:r>
        <w:t xml:space="preserve">Barton, H. and Valero-Silva, N. (2013). Policing in partnership: a case study in crime prevention. International Journal of Public Sector Management, 26(7), pp.543–553. </w:t>
      </w:r>
      <w:proofErr w:type="spellStart"/>
      <w:proofErr w:type="gramStart"/>
      <w:r>
        <w:t>doi:https</w:t>
      </w:r>
      <w:proofErr w:type="spellEnd"/>
      <w:r>
        <w:t>://doi.org/10.1108/ijpsm-12-2011-0131</w:t>
      </w:r>
      <w:proofErr w:type="gramEnd"/>
      <w:r>
        <w:t>.</w:t>
      </w:r>
    </w:p>
    <w:p w14:paraId="7E66EE44" w14:textId="3D70B031" w:rsidR="00B22B26" w:rsidRDefault="00B22B26" w:rsidP="00B22B26">
      <w:r>
        <w:t>College of Policing (2020). Partnership working. [online] College of Policing. Available at: https://www.college.police.uk/app/major-investigation-and-public-protection/hate-crime/partnership-working.</w:t>
      </w:r>
    </w:p>
    <w:p w14:paraId="319F0B7A" w14:textId="27242C82" w:rsidR="00B22B26" w:rsidRDefault="00B22B26" w:rsidP="00B22B26">
      <w:r>
        <w:t xml:space="preserve">Corcoran, M. and Fox, C. (2012). A seamless partnership? Developing mixed economy interventions in a non-custodial project for women. Criminology &amp; Criminal Justice, 13(3), pp.336–353. </w:t>
      </w:r>
      <w:proofErr w:type="spellStart"/>
      <w:proofErr w:type="gramStart"/>
      <w:r>
        <w:t>doi:https</w:t>
      </w:r>
      <w:proofErr w:type="spellEnd"/>
      <w:r>
        <w:t>://doi.org/10.1177/1748895812454750</w:t>
      </w:r>
      <w:proofErr w:type="gramEnd"/>
      <w:r>
        <w:t>.</w:t>
      </w:r>
    </w:p>
    <w:p w14:paraId="2767B65B" w14:textId="31CC2F80" w:rsidR="00B22B26" w:rsidRDefault="00B22B26" w:rsidP="00B22B26">
      <w:r>
        <w:t>Farrell, C. (2022). Policing &amp; Partnership Working – Why is this important. [online] Careers in Blue. Available at: http://careersinblue.co.uk/partnership-working-why-is-this-important/#:~:text=The%20Crime%20and%20Disorder%20Act [Accessed 10 Oct. 2023].</w:t>
      </w:r>
    </w:p>
    <w:p w14:paraId="2D58A2DC" w14:textId="014704CA" w:rsidR="00B22B26" w:rsidRDefault="00B22B26" w:rsidP="00B22B26">
      <w:r>
        <w:t>Home Office (2009) The effectiveness of partnership working in a crime and disorder context. Available at: https://assets.publishing.service.gov.uk/government/uploads/system/uploads/attachment_data/file/116549/horr52-report.pdf (Accessed: 22 September 2023).</w:t>
      </w:r>
    </w:p>
    <w:p w14:paraId="2C267621" w14:textId="1C8F7135" w:rsidR="00B22B26" w:rsidRDefault="00B22B26" w:rsidP="00B22B26">
      <w:r>
        <w:t xml:space="preserve">McCarthy, D. and O’Neill, M. (2014). The Police and Partnership Working: Reflections on Recent Research. Policing, [online] 8(3), pp.243–253. </w:t>
      </w:r>
      <w:proofErr w:type="spellStart"/>
      <w:proofErr w:type="gramStart"/>
      <w:r>
        <w:t>doi:https</w:t>
      </w:r>
      <w:proofErr w:type="spellEnd"/>
      <w:r>
        <w:t>://doi.org/10.1093/police/pau022</w:t>
      </w:r>
      <w:proofErr w:type="gramEnd"/>
      <w:r>
        <w:t>.</w:t>
      </w:r>
    </w:p>
    <w:p w14:paraId="4BD401CF" w14:textId="25E77AC5" w:rsidR="00B22B26" w:rsidRDefault="00B22B26" w:rsidP="00B22B26">
      <w:r>
        <w:t xml:space="preserve">Peck, J.H. (2015). Minority perceptions of the police: a state-of-the-art review. Policing: An International Journal of Police Strategies &amp; Management, 38(1), pp.173–203. </w:t>
      </w:r>
      <w:proofErr w:type="spellStart"/>
      <w:proofErr w:type="gramStart"/>
      <w:r>
        <w:t>doi:https</w:t>
      </w:r>
      <w:proofErr w:type="spellEnd"/>
      <w:r>
        <w:t>://doi.org/10.1108/pijpsm-01-2015-0001</w:t>
      </w:r>
      <w:proofErr w:type="gramEnd"/>
      <w:r>
        <w:t>.</w:t>
      </w:r>
    </w:p>
    <w:p w14:paraId="4C3B66EE" w14:textId="3C5DA3D8" w:rsidR="00B22B26" w:rsidRDefault="00B22B26" w:rsidP="00B22B26">
      <w:r>
        <w:t xml:space="preserve">Rogers, C. and Gravelle, J. (2011). Partnership working in the ‘Big Society’. Safer Communities, 10(2), pp.26–31. </w:t>
      </w:r>
      <w:proofErr w:type="spellStart"/>
      <w:proofErr w:type="gramStart"/>
      <w:r>
        <w:t>doi:https</w:t>
      </w:r>
      <w:proofErr w:type="spellEnd"/>
      <w:r>
        <w:t>://doi.org/10.5042/sc.2011.0183</w:t>
      </w:r>
      <w:proofErr w:type="gramEnd"/>
      <w:r>
        <w:t>.</w:t>
      </w:r>
    </w:p>
    <w:p w14:paraId="084E0E91" w14:textId="1E730E1E" w:rsidR="002F46FB" w:rsidRDefault="002F46FB" w:rsidP="002F46FB">
      <w:r>
        <w:t>The Crime and Disorder Act.</w:t>
      </w:r>
    </w:p>
    <w:p w14:paraId="217239E4" w14:textId="23CE2473" w:rsidR="00B22B26" w:rsidRDefault="00B22B26" w:rsidP="00B22B26">
      <w:r>
        <w:t xml:space="preserve">Walters, G.D. (2017). Modelling the criminal </w:t>
      </w:r>
      <w:r w:rsidR="005B5CC4">
        <w:t>lifestyle:</w:t>
      </w:r>
      <w:r>
        <w:t xml:space="preserve"> theorizing at the edge of chaos. Cham, Switzerland: Palgrave Macmillan.</w:t>
      </w:r>
    </w:p>
    <w:p w14:paraId="1CDA6C52" w14:textId="71D951FE" w:rsidR="00EA08E6" w:rsidRDefault="00EA08E6" w:rsidP="00EA08E6">
      <w:pPr>
        <w:pStyle w:val="ListParagraph"/>
      </w:pPr>
    </w:p>
    <w:p w14:paraId="31DA3A10" w14:textId="6AB61856" w:rsidR="00EA08E6" w:rsidRDefault="00EA08E6" w:rsidP="00EA08E6">
      <w:pPr>
        <w:pStyle w:val="ListParagraph"/>
      </w:pPr>
    </w:p>
    <w:p w14:paraId="525A648B" w14:textId="210C8F7A" w:rsidR="00EA08E6" w:rsidRDefault="00EA08E6" w:rsidP="00EA08E6">
      <w:pPr>
        <w:pStyle w:val="ListParagraph"/>
      </w:pPr>
    </w:p>
    <w:p w14:paraId="7AA7229D" w14:textId="78D2361F" w:rsidR="008A59D0" w:rsidRDefault="008A59D0" w:rsidP="008A59D0">
      <w:pPr>
        <w:pStyle w:val="ListParagraph"/>
      </w:pPr>
    </w:p>
    <w:p w14:paraId="62D8C628" w14:textId="7A3D9953" w:rsidR="00F72E38" w:rsidRDefault="00F72E38" w:rsidP="00F72E38">
      <w:pPr>
        <w:pStyle w:val="ListParagraph"/>
      </w:pPr>
    </w:p>
    <w:p w14:paraId="2FA84286" w14:textId="0FA7D308" w:rsidR="00BB0921" w:rsidRDefault="00BB0921" w:rsidP="00BB0921">
      <w:pPr>
        <w:pStyle w:val="ListParagraph"/>
      </w:pPr>
    </w:p>
    <w:p w14:paraId="7B56C667" w14:textId="3F8BE955" w:rsidR="00236DE7" w:rsidRDefault="00236DE7" w:rsidP="00236DE7">
      <w:pPr>
        <w:pStyle w:val="ListParagraph"/>
      </w:pPr>
    </w:p>
    <w:p w14:paraId="0E2CA761" w14:textId="71C67198" w:rsidR="00236DE7" w:rsidRDefault="00236DE7" w:rsidP="00236DE7">
      <w:pPr>
        <w:pStyle w:val="ListParagraph"/>
      </w:pPr>
    </w:p>
    <w:p w14:paraId="0BD70A66" w14:textId="01C0FA48" w:rsidR="00206BA4" w:rsidRDefault="00206BA4" w:rsidP="00206BA4">
      <w:pPr>
        <w:pStyle w:val="ListParagraph"/>
      </w:pPr>
    </w:p>
    <w:sectPr w:rsidR="00206BA4">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35C3B9FA" w14:textId="77777777" w:rsidR="00B13027" w:rsidRDefault="00B13027" w:rsidP="00770EA9">
      <w:pPr>
        <w:spacing w:after="0" w:line="240" w:lineRule="auto"/>
      </w:pPr>
      <w:r>
        <w:separator/>
      </w:r>
    </w:p>
  </w:endnote>
  <w:endnote w:type="continuationSeparator" w:id="0">
    <w:p w14:paraId="2E21BD83" w14:textId="77777777" w:rsidR="00B13027" w:rsidRDefault="00B13027" w:rsidP="00770EA9">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Courier New">
    <w:panose1 w:val="02070309020205020404"/>
    <w:charset w:val="00"/>
    <w:family w:val="modern"/>
    <w:pitch w:val="fixed"/>
    <w:sig w:usb0="E0002E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Calibri Light">
    <w:panose1 w:val="020F0302020204030204"/>
    <w:charset w:val="00"/>
    <w:family w:val="swiss"/>
    <w:pitch w:val="variable"/>
    <w:sig w:usb0="E4002E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07DD3890" w14:textId="77777777" w:rsidR="00B13027" w:rsidRDefault="00B13027" w:rsidP="00770EA9">
      <w:pPr>
        <w:spacing w:after="0" w:line="240" w:lineRule="auto"/>
      </w:pPr>
      <w:r>
        <w:separator/>
      </w:r>
    </w:p>
  </w:footnote>
  <w:footnote w:type="continuationSeparator" w:id="0">
    <w:p w14:paraId="55EF6602" w14:textId="77777777" w:rsidR="00B13027" w:rsidRDefault="00B13027" w:rsidP="00770EA9">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0921358"/>
    <w:multiLevelType w:val="hybridMultilevel"/>
    <w:tmpl w:val="4D4E0D1E"/>
    <w:lvl w:ilvl="0" w:tplc="5AD89A12">
      <w:numFmt w:val="bullet"/>
      <w:lvlText w:val="•"/>
      <w:lvlJc w:val="left"/>
      <w:pPr>
        <w:ind w:left="1080" w:hanging="720"/>
      </w:pPr>
      <w:rPr>
        <w:rFonts w:ascii="Calibri" w:eastAsiaTheme="minorHAnsi"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08671301"/>
    <w:multiLevelType w:val="hybridMultilevel"/>
    <w:tmpl w:val="A2423E30"/>
    <w:lvl w:ilvl="0" w:tplc="5AD89A12">
      <w:numFmt w:val="bullet"/>
      <w:lvlText w:val="•"/>
      <w:lvlJc w:val="left"/>
      <w:pPr>
        <w:ind w:left="1440" w:hanging="720"/>
      </w:pPr>
      <w:rPr>
        <w:rFonts w:ascii="Calibri" w:eastAsiaTheme="minorHAnsi"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27AA6D6A"/>
    <w:multiLevelType w:val="hybridMultilevel"/>
    <w:tmpl w:val="5DAAA584"/>
    <w:lvl w:ilvl="0" w:tplc="B8368FFC">
      <w:numFmt w:val="bullet"/>
      <w:lvlText w:val="•"/>
      <w:lvlJc w:val="left"/>
      <w:pPr>
        <w:ind w:left="1080" w:hanging="720"/>
      </w:pPr>
      <w:rPr>
        <w:rFonts w:ascii="Calibri" w:eastAsiaTheme="minorHAnsi"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3E295A66"/>
    <w:multiLevelType w:val="hybridMultilevel"/>
    <w:tmpl w:val="67F8017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42D231CF"/>
    <w:multiLevelType w:val="hybridMultilevel"/>
    <w:tmpl w:val="2158899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4C732E07"/>
    <w:multiLevelType w:val="hybridMultilevel"/>
    <w:tmpl w:val="1C1E055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4D504148"/>
    <w:multiLevelType w:val="hybridMultilevel"/>
    <w:tmpl w:val="9B4ACC52"/>
    <w:lvl w:ilvl="0" w:tplc="5AD89A12">
      <w:numFmt w:val="bullet"/>
      <w:lvlText w:val="•"/>
      <w:lvlJc w:val="left"/>
      <w:pPr>
        <w:ind w:left="1080" w:hanging="720"/>
      </w:pPr>
      <w:rPr>
        <w:rFonts w:ascii="Calibri" w:eastAsiaTheme="minorHAnsi"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54DF2B28"/>
    <w:multiLevelType w:val="hybridMultilevel"/>
    <w:tmpl w:val="6A5E0FB4"/>
    <w:lvl w:ilvl="0" w:tplc="5AD89A12">
      <w:numFmt w:val="bullet"/>
      <w:lvlText w:val="•"/>
      <w:lvlJc w:val="left"/>
      <w:pPr>
        <w:ind w:left="1440" w:hanging="720"/>
      </w:pPr>
      <w:rPr>
        <w:rFonts w:ascii="Calibri" w:eastAsiaTheme="minorHAnsi" w:hAnsi="Calibri" w:cs="Calibri"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8" w15:restartNumberingAfterBreak="0">
    <w:nsid w:val="568F6830"/>
    <w:multiLevelType w:val="hybridMultilevel"/>
    <w:tmpl w:val="9C82D6B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5B081A46"/>
    <w:multiLevelType w:val="hybridMultilevel"/>
    <w:tmpl w:val="4AD4263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695C465A"/>
    <w:multiLevelType w:val="hybridMultilevel"/>
    <w:tmpl w:val="3B0E03AE"/>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1" w15:restartNumberingAfterBreak="0">
    <w:nsid w:val="6F3E61BA"/>
    <w:multiLevelType w:val="hybridMultilevel"/>
    <w:tmpl w:val="EFF4150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72AD14E4"/>
    <w:multiLevelType w:val="hybridMultilevel"/>
    <w:tmpl w:val="33E8AB8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177577854">
    <w:abstractNumId w:val="5"/>
  </w:num>
  <w:num w:numId="2" w16cid:durableId="309601117">
    <w:abstractNumId w:val="12"/>
  </w:num>
  <w:num w:numId="3" w16cid:durableId="1460563515">
    <w:abstractNumId w:val="0"/>
  </w:num>
  <w:num w:numId="4" w16cid:durableId="1511069288">
    <w:abstractNumId w:val="7"/>
  </w:num>
  <w:num w:numId="5" w16cid:durableId="827745875">
    <w:abstractNumId w:val="6"/>
  </w:num>
  <w:num w:numId="6" w16cid:durableId="938949141">
    <w:abstractNumId w:val="10"/>
  </w:num>
  <w:num w:numId="7" w16cid:durableId="1433235476">
    <w:abstractNumId w:val="11"/>
  </w:num>
  <w:num w:numId="8" w16cid:durableId="1329941957">
    <w:abstractNumId w:val="4"/>
  </w:num>
  <w:num w:numId="9" w16cid:durableId="243875838">
    <w:abstractNumId w:val="3"/>
  </w:num>
  <w:num w:numId="10" w16cid:durableId="493837383">
    <w:abstractNumId w:val="8"/>
  </w:num>
  <w:num w:numId="11" w16cid:durableId="1458447807">
    <w:abstractNumId w:val="9"/>
  </w:num>
  <w:num w:numId="12" w16cid:durableId="334308880">
    <w:abstractNumId w:val="2"/>
  </w:num>
  <w:num w:numId="13" w16cid:durableId="995383254">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8"/>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C7D32"/>
    <w:rsid w:val="00002EF0"/>
    <w:rsid w:val="00006D15"/>
    <w:rsid w:val="00012E63"/>
    <w:rsid w:val="000164C4"/>
    <w:rsid w:val="000173E3"/>
    <w:rsid w:val="00033850"/>
    <w:rsid w:val="0004292B"/>
    <w:rsid w:val="000570A7"/>
    <w:rsid w:val="00084F14"/>
    <w:rsid w:val="000A13B2"/>
    <w:rsid w:val="0011004C"/>
    <w:rsid w:val="001144AC"/>
    <w:rsid w:val="00125DE1"/>
    <w:rsid w:val="001610DE"/>
    <w:rsid w:val="00183E36"/>
    <w:rsid w:val="0018707A"/>
    <w:rsid w:val="00197CE2"/>
    <w:rsid w:val="001B4BFC"/>
    <w:rsid w:val="001E39A1"/>
    <w:rsid w:val="00206BA4"/>
    <w:rsid w:val="00236DE7"/>
    <w:rsid w:val="00255A31"/>
    <w:rsid w:val="002753E4"/>
    <w:rsid w:val="00287460"/>
    <w:rsid w:val="002A685D"/>
    <w:rsid w:val="002B1AA3"/>
    <w:rsid w:val="002B7AD3"/>
    <w:rsid w:val="002E1C70"/>
    <w:rsid w:val="002E5D9B"/>
    <w:rsid w:val="002F46FB"/>
    <w:rsid w:val="003002A1"/>
    <w:rsid w:val="0030201C"/>
    <w:rsid w:val="00317993"/>
    <w:rsid w:val="003202ED"/>
    <w:rsid w:val="0034393F"/>
    <w:rsid w:val="00364CB5"/>
    <w:rsid w:val="0037109B"/>
    <w:rsid w:val="003A069C"/>
    <w:rsid w:val="003C2DBB"/>
    <w:rsid w:val="003C359E"/>
    <w:rsid w:val="003F526C"/>
    <w:rsid w:val="003F6749"/>
    <w:rsid w:val="003F6DAE"/>
    <w:rsid w:val="00411810"/>
    <w:rsid w:val="00417672"/>
    <w:rsid w:val="00423C29"/>
    <w:rsid w:val="0048345A"/>
    <w:rsid w:val="00484EC5"/>
    <w:rsid w:val="00493BC7"/>
    <w:rsid w:val="004B2AC3"/>
    <w:rsid w:val="004D2D38"/>
    <w:rsid w:val="005230F3"/>
    <w:rsid w:val="0058004C"/>
    <w:rsid w:val="0058737B"/>
    <w:rsid w:val="00593CD1"/>
    <w:rsid w:val="005A5997"/>
    <w:rsid w:val="005B5CC4"/>
    <w:rsid w:val="005E0F77"/>
    <w:rsid w:val="005E2ADB"/>
    <w:rsid w:val="005F0E9A"/>
    <w:rsid w:val="005F4EF7"/>
    <w:rsid w:val="006062C5"/>
    <w:rsid w:val="006158F1"/>
    <w:rsid w:val="006645A4"/>
    <w:rsid w:val="00685C73"/>
    <w:rsid w:val="006906A3"/>
    <w:rsid w:val="006B21A0"/>
    <w:rsid w:val="006C3F32"/>
    <w:rsid w:val="006C7D32"/>
    <w:rsid w:val="006D67A2"/>
    <w:rsid w:val="0070493C"/>
    <w:rsid w:val="00731A10"/>
    <w:rsid w:val="0074313D"/>
    <w:rsid w:val="00747FE0"/>
    <w:rsid w:val="00762E76"/>
    <w:rsid w:val="007649DC"/>
    <w:rsid w:val="00770EA9"/>
    <w:rsid w:val="00776666"/>
    <w:rsid w:val="00781CF1"/>
    <w:rsid w:val="007823D5"/>
    <w:rsid w:val="00791962"/>
    <w:rsid w:val="00796CCF"/>
    <w:rsid w:val="007B3489"/>
    <w:rsid w:val="007D630F"/>
    <w:rsid w:val="007E004A"/>
    <w:rsid w:val="007E0317"/>
    <w:rsid w:val="007F31D0"/>
    <w:rsid w:val="007F5478"/>
    <w:rsid w:val="0081131A"/>
    <w:rsid w:val="008365A7"/>
    <w:rsid w:val="0084012D"/>
    <w:rsid w:val="008416E8"/>
    <w:rsid w:val="008A59D0"/>
    <w:rsid w:val="008A79BB"/>
    <w:rsid w:val="008C30AC"/>
    <w:rsid w:val="008C741E"/>
    <w:rsid w:val="008D1FC4"/>
    <w:rsid w:val="008E275A"/>
    <w:rsid w:val="008E51F3"/>
    <w:rsid w:val="008E5EEB"/>
    <w:rsid w:val="008F68F9"/>
    <w:rsid w:val="0093182F"/>
    <w:rsid w:val="00953B4F"/>
    <w:rsid w:val="0096347D"/>
    <w:rsid w:val="00963F1D"/>
    <w:rsid w:val="00982015"/>
    <w:rsid w:val="00A071C9"/>
    <w:rsid w:val="00A14560"/>
    <w:rsid w:val="00A332A1"/>
    <w:rsid w:val="00A437FA"/>
    <w:rsid w:val="00AA3B6C"/>
    <w:rsid w:val="00B000B0"/>
    <w:rsid w:val="00B13027"/>
    <w:rsid w:val="00B22B26"/>
    <w:rsid w:val="00B25F8A"/>
    <w:rsid w:val="00B2738F"/>
    <w:rsid w:val="00B32B16"/>
    <w:rsid w:val="00B60D75"/>
    <w:rsid w:val="00B80920"/>
    <w:rsid w:val="00B86179"/>
    <w:rsid w:val="00BB0921"/>
    <w:rsid w:val="00BD69B1"/>
    <w:rsid w:val="00BE2BBC"/>
    <w:rsid w:val="00BE7EC7"/>
    <w:rsid w:val="00C05963"/>
    <w:rsid w:val="00C1009A"/>
    <w:rsid w:val="00C11A75"/>
    <w:rsid w:val="00C14E60"/>
    <w:rsid w:val="00C23DB8"/>
    <w:rsid w:val="00C332BF"/>
    <w:rsid w:val="00C41752"/>
    <w:rsid w:val="00C4666B"/>
    <w:rsid w:val="00C46B81"/>
    <w:rsid w:val="00C76B98"/>
    <w:rsid w:val="00C93F57"/>
    <w:rsid w:val="00CA0E23"/>
    <w:rsid w:val="00CA23DB"/>
    <w:rsid w:val="00CF1505"/>
    <w:rsid w:val="00CF2D51"/>
    <w:rsid w:val="00CF3090"/>
    <w:rsid w:val="00D114DF"/>
    <w:rsid w:val="00D46460"/>
    <w:rsid w:val="00D83472"/>
    <w:rsid w:val="00D835EE"/>
    <w:rsid w:val="00DA45BD"/>
    <w:rsid w:val="00DA477C"/>
    <w:rsid w:val="00DB756F"/>
    <w:rsid w:val="00DD23E5"/>
    <w:rsid w:val="00E046E6"/>
    <w:rsid w:val="00E207EC"/>
    <w:rsid w:val="00E80362"/>
    <w:rsid w:val="00E87690"/>
    <w:rsid w:val="00EA08E6"/>
    <w:rsid w:val="00EA5BA8"/>
    <w:rsid w:val="00EB585D"/>
    <w:rsid w:val="00EE6D02"/>
    <w:rsid w:val="00EF2319"/>
    <w:rsid w:val="00F648D4"/>
    <w:rsid w:val="00F72E38"/>
    <w:rsid w:val="00F73694"/>
    <w:rsid w:val="00F85B97"/>
    <w:rsid w:val="00F944B0"/>
    <w:rsid w:val="00FA2BA1"/>
    <w:rsid w:val="00FA39FB"/>
    <w:rsid w:val="00FF3488"/>
    <w:rsid w:val="00FF659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4A381EB"/>
  <w15:chartTrackingRefBased/>
  <w15:docId w15:val="{CF034BB3-1F28-43F3-9011-A1A8975DA93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F73694"/>
    <w:pPr>
      <w:ind w:left="720"/>
      <w:contextualSpacing/>
    </w:pPr>
  </w:style>
  <w:style w:type="character" w:styleId="Hyperlink">
    <w:name w:val="Hyperlink"/>
    <w:basedOn w:val="DefaultParagraphFont"/>
    <w:uiPriority w:val="99"/>
    <w:unhideWhenUsed/>
    <w:rsid w:val="00F73694"/>
    <w:rPr>
      <w:color w:val="0563C1" w:themeColor="hyperlink"/>
      <w:u w:val="single"/>
    </w:rPr>
  </w:style>
  <w:style w:type="character" w:styleId="UnresolvedMention">
    <w:name w:val="Unresolved Mention"/>
    <w:basedOn w:val="DefaultParagraphFont"/>
    <w:uiPriority w:val="99"/>
    <w:semiHidden/>
    <w:unhideWhenUsed/>
    <w:rsid w:val="00F73694"/>
    <w:rPr>
      <w:color w:val="605E5C"/>
      <w:shd w:val="clear" w:color="auto" w:fill="E1DFDD"/>
    </w:rPr>
  </w:style>
  <w:style w:type="paragraph" w:styleId="Header">
    <w:name w:val="header"/>
    <w:basedOn w:val="Normal"/>
    <w:link w:val="HeaderChar"/>
    <w:uiPriority w:val="99"/>
    <w:unhideWhenUsed/>
    <w:rsid w:val="00770EA9"/>
    <w:pPr>
      <w:tabs>
        <w:tab w:val="center" w:pos="4513"/>
        <w:tab w:val="right" w:pos="9026"/>
      </w:tabs>
      <w:spacing w:after="0" w:line="240" w:lineRule="auto"/>
    </w:pPr>
  </w:style>
  <w:style w:type="character" w:customStyle="1" w:styleId="HeaderChar">
    <w:name w:val="Header Char"/>
    <w:basedOn w:val="DefaultParagraphFont"/>
    <w:link w:val="Header"/>
    <w:uiPriority w:val="99"/>
    <w:rsid w:val="00770EA9"/>
  </w:style>
  <w:style w:type="paragraph" w:styleId="Footer">
    <w:name w:val="footer"/>
    <w:basedOn w:val="Normal"/>
    <w:link w:val="FooterChar"/>
    <w:uiPriority w:val="99"/>
    <w:unhideWhenUsed/>
    <w:rsid w:val="00770EA9"/>
    <w:pPr>
      <w:tabs>
        <w:tab w:val="center" w:pos="4513"/>
        <w:tab w:val="right" w:pos="9026"/>
      </w:tabs>
      <w:spacing w:after="0" w:line="240" w:lineRule="auto"/>
    </w:pPr>
  </w:style>
  <w:style w:type="character" w:customStyle="1" w:styleId="FooterChar">
    <w:name w:val="Footer Char"/>
    <w:basedOn w:val="DefaultParagraphFont"/>
    <w:link w:val="Footer"/>
    <w:uiPriority w:val="99"/>
    <w:rsid w:val="00770EA9"/>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5" Type="http://schemas.openxmlformats.org/officeDocument/2006/relationships/webSettings" Target="webSettings.xml"/><Relationship Id="rId4" Type="http://schemas.openxmlformats.org/officeDocument/2006/relationships/settings" Target="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15ABAE5-933D-46F1-ADFC-CD5BD3466C2D}">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10633</TotalTime>
  <Pages>12</Pages>
  <Words>5590</Words>
  <Characters>31864</Characters>
  <Application>Microsoft Office Word</Application>
  <DocSecurity>0</DocSecurity>
  <Lines>265</Lines>
  <Paragraphs>74</Paragraphs>
  <ScaleCrop>false</ScaleCrop>
  <HeadingPairs>
    <vt:vector size="2" baseType="variant">
      <vt:variant>
        <vt:lpstr>Title</vt:lpstr>
      </vt:variant>
      <vt:variant>
        <vt:i4>1</vt:i4>
      </vt:variant>
    </vt:vector>
  </HeadingPairs>
  <TitlesOfParts>
    <vt:vector size="1" baseType="lpstr">
      <vt:lpstr/>
    </vt:vector>
  </TitlesOfParts>
  <Company>South Wales Police</Company>
  <LinksUpToDate>false</LinksUpToDate>
  <CharactersWithSpaces>37380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Jenkins,Sophie swp8304</dc:creator>
  <cp:keywords/>
  <dc:description/>
  <cp:lastModifiedBy>Jenkins,Sophie swp8304</cp:lastModifiedBy>
  <cp:revision>41</cp:revision>
  <dcterms:created xsi:type="dcterms:W3CDTF">2023-07-10T11:11:00Z</dcterms:created>
  <dcterms:modified xsi:type="dcterms:W3CDTF">2023-10-25T16:14:00Z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MSIP_Label_66cf8fe5-b7b7-4df7-b38d-1c61ac2f6639_Enabled">
    <vt:lpwstr>true</vt:lpwstr>
  </property>
  <property fmtid="{D5CDD505-2E9C-101B-9397-08002B2CF9AE}" pid="3" name="MSIP_Label_66cf8fe5-b7b7-4df7-b38d-1c61ac2f6639_SetDate">
    <vt:lpwstr>2023-07-10T11:11:26Z</vt:lpwstr>
  </property>
  <property fmtid="{D5CDD505-2E9C-101B-9397-08002B2CF9AE}" pid="4" name="MSIP_Label_66cf8fe5-b7b7-4df7-b38d-1c61ac2f6639_Method">
    <vt:lpwstr>Standard</vt:lpwstr>
  </property>
  <property fmtid="{D5CDD505-2E9C-101B-9397-08002B2CF9AE}" pid="5" name="MSIP_Label_66cf8fe5-b7b7-4df7-b38d-1c61ac2f6639_Name">
    <vt:lpwstr>66cf8fe5-b7b7-4df7-b38d-1c61ac2f6639</vt:lpwstr>
  </property>
  <property fmtid="{D5CDD505-2E9C-101B-9397-08002B2CF9AE}" pid="6" name="MSIP_Label_66cf8fe5-b7b7-4df7-b38d-1c61ac2f6639_SiteId">
    <vt:lpwstr>270c2f4d-fd0c-4f08-92a9-e5bdd8a87e09</vt:lpwstr>
  </property>
  <property fmtid="{D5CDD505-2E9C-101B-9397-08002B2CF9AE}" pid="7" name="MSIP_Label_66cf8fe5-b7b7-4df7-b38d-1c61ac2f6639_ActionId">
    <vt:lpwstr>241c113d-8bf2-42e7-a4cc-59b7b6632f9b</vt:lpwstr>
  </property>
  <property fmtid="{D5CDD505-2E9C-101B-9397-08002B2CF9AE}" pid="8" name="MSIP_Label_66cf8fe5-b7b7-4df7-b38d-1c61ac2f6639_ContentBits">
    <vt:lpwstr>0</vt:lpwstr>
  </property>
</Properties>
</file>