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B6F7F" w14:textId="77777777" w:rsidR="00D47A38" w:rsidRDefault="00D47A38" w:rsidP="00D47A3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Student Name.                                               Student Number </w:t>
      </w:r>
      <w:r>
        <w:rPr>
          <w:rStyle w:val="eop"/>
          <w:rFonts w:ascii="Calibri" w:hAnsi="Calibri" w:cs="Calibri"/>
          <w:sz w:val="22"/>
          <w:szCs w:val="22"/>
        </w:rPr>
        <w:t> </w:t>
      </w:r>
    </w:p>
    <w:p w14:paraId="53612218" w14:textId="77777777" w:rsidR="00D47A38" w:rsidRDefault="00D47A38" w:rsidP="00D47A3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Kelly Williams                                                  2238313</w:t>
      </w:r>
      <w:r>
        <w:rPr>
          <w:rStyle w:val="eop"/>
          <w:rFonts w:ascii="Calibri" w:hAnsi="Calibri" w:cs="Calibri"/>
          <w:sz w:val="22"/>
          <w:szCs w:val="22"/>
        </w:rPr>
        <w:t> </w:t>
      </w:r>
    </w:p>
    <w:p w14:paraId="5065CD15" w14:textId="77777777" w:rsidR="00D47A38" w:rsidRDefault="00D47A38" w:rsidP="00D47A3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C797AB7" w14:textId="77777777" w:rsidR="00D47A38" w:rsidRDefault="00D47A38" w:rsidP="00D47A3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B65A164" w14:textId="77777777" w:rsidR="00D47A38" w:rsidRDefault="00D47A38" w:rsidP="00D47A3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Criminal Law cover page </w:t>
      </w:r>
      <w:r>
        <w:rPr>
          <w:rStyle w:val="eop"/>
          <w:rFonts w:ascii="Calibri" w:hAnsi="Calibri" w:cs="Calibri"/>
          <w:sz w:val="22"/>
          <w:szCs w:val="22"/>
        </w:rPr>
        <w:t> </w:t>
      </w:r>
    </w:p>
    <w:p w14:paraId="54ED23D0" w14:textId="77777777" w:rsidR="00D47A38" w:rsidRDefault="00D47A38" w:rsidP="00D47A3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883BC07" w14:textId="4FE864DC" w:rsidR="00D47A38" w:rsidRDefault="00D47A38" w:rsidP="00D47A3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1/ Homicide </w:t>
      </w:r>
      <w:r>
        <w:rPr>
          <w:rStyle w:val="eop"/>
          <w:rFonts w:ascii="Calibri" w:hAnsi="Calibri" w:cs="Calibri"/>
          <w:sz w:val="22"/>
          <w:szCs w:val="22"/>
        </w:rPr>
        <w:t>(Page 2-4)</w:t>
      </w:r>
    </w:p>
    <w:p w14:paraId="60D12DBC" w14:textId="7FF891CE" w:rsidR="00D47A38" w:rsidRDefault="00D47A38" w:rsidP="00D47A3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2/ Scenario</w:t>
      </w:r>
      <w:r>
        <w:rPr>
          <w:rStyle w:val="eop"/>
          <w:rFonts w:ascii="Calibri" w:hAnsi="Calibri" w:cs="Calibri"/>
          <w:sz w:val="22"/>
          <w:szCs w:val="22"/>
        </w:rPr>
        <w:t> </w:t>
      </w:r>
      <w:r>
        <w:rPr>
          <w:rStyle w:val="eop"/>
          <w:rFonts w:ascii="Calibri" w:hAnsi="Calibri" w:cs="Calibri"/>
          <w:sz w:val="22"/>
          <w:szCs w:val="22"/>
        </w:rPr>
        <w:t>(Page 5-7)</w:t>
      </w:r>
    </w:p>
    <w:p w14:paraId="53D4734A" w14:textId="5B99F0EF" w:rsidR="00D47A38" w:rsidRDefault="00D47A38" w:rsidP="00D47A3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3/ References </w:t>
      </w:r>
      <w:r>
        <w:rPr>
          <w:rStyle w:val="eop"/>
          <w:rFonts w:ascii="Calibri" w:hAnsi="Calibri" w:cs="Calibri"/>
          <w:sz w:val="22"/>
          <w:szCs w:val="22"/>
        </w:rPr>
        <w:t>(Page 8)</w:t>
      </w:r>
    </w:p>
    <w:p w14:paraId="1857D09A" w14:textId="77777777" w:rsidR="00D47A38" w:rsidRDefault="00D47A38" w:rsidP="00D47A3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BEA5AF0" w14:textId="77777777" w:rsidR="00D47A38" w:rsidRDefault="00D47A38" w:rsidP="00D47A3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8AFB5D3" w14:textId="77777777" w:rsidR="00D47A38" w:rsidRDefault="00D47A38" w:rsidP="00D47A3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F16EA1D" w14:textId="6A022041" w:rsidR="00D47A38" w:rsidRDefault="00D47A38" w:rsidP="00D47A3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D20161A" w14:textId="77777777" w:rsidR="00D47A38" w:rsidRDefault="00D47A38" w:rsidP="00D47A3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2FCCCCB" w14:textId="77777777" w:rsidR="00D47A38" w:rsidRDefault="00D47A38" w:rsidP="00D47A3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A43DCF2" w14:textId="77777777" w:rsidR="00DB5823" w:rsidRDefault="00DB5823" w:rsidP="3EA1E846">
      <w:pPr>
        <w:rPr>
          <w:b/>
          <w:bCs/>
        </w:rPr>
      </w:pPr>
    </w:p>
    <w:p w14:paraId="08EAFED7" w14:textId="77777777" w:rsidR="00DB5823" w:rsidRDefault="00DB5823" w:rsidP="3EA1E846">
      <w:pPr>
        <w:rPr>
          <w:b/>
          <w:bCs/>
        </w:rPr>
      </w:pPr>
    </w:p>
    <w:p w14:paraId="237268EB" w14:textId="77777777" w:rsidR="00DB5823" w:rsidRDefault="00DB5823" w:rsidP="3EA1E846">
      <w:pPr>
        <w:rPr>
          <w:b/>
          <w:bCs/>
        </w:rPr>
      </w:pPr>
    </w:p>
    <w:p w14:paraId="7DFB08D5" w14:textId="77777777" w:rsidR="00DB5823" w:rsidRDefault="00DB5823" w:rsidP="3EA1E846">
      <w:pPr>
        <w:rPr>
          <w:b/>
          <w:bCs/>
        </w:rPr>
      </w:pPr>
    </w:p>
    <w:p w14:paraId="5E4076E4" w14:textId="77777777" w:rsidR="00DB5823" w:rsidRDefault="00DB5823" w:rsidP="3EA1E846">
      <w:pPr>
        <w:rPr>
          <w:b/>
          <w:bCs/>
        </w:rPr>
      </w:pPr>
    </w:p>
    <w:p w14:paraId="170671E0" w14:textId="77777777" w:rsidR="00DB5823" w:rsidRDefault="00DB5823" w:rsidP="3EA1E846">
      <w:pPr>
        <w:rPr>
          <w:b/>
          <w:bCs/>
        </w:rPr>
      </w:pPr>
    </w:p>
    <w:p w14:paraId="7DC68768" w14:textId="77777777" w:rsidR="00DB5823" w:rsidRDefault="00DB5823" w:rsidP="3EA1E846">
      <w:pPr>
        <w:rPr>
          <w:b/>
          <w:bCs/>
        </w:rPr>
      </w:pPr>
    </w:p>
    <w:p w14:paraId="3DF2F8A8" w14:textId="77777777" w:rsidR="00DB5823" w:rsidRDefault="00DB5823" w:rsidP="3EA1E846">
      <w:pPr>
        <w:rPr>
          <w:b/>
          <w:bCs/>
        </w:rPr>
      </w:pPr>
    </w:p>
    <w:p w14:paraId="29888524" w14:textId="77777777" w:rsidR="00DB5823" w:rsidRDefault="00DB5823" w:rsidP="3EA1E846">
      <w:pPr>
        <w:rPr>
          <w:b/>
          <w:bCs/>
        </w:rPr>
      </w:pPr>
    </w:p>
    <w:p w14:paraId="47911A1A" w14:textId="77777777" w:rsidR="00DB5823" w:rsidRDefault="00DB5823" w:rsidP="3EA1E846">
      <w:pPr>
        <w:rPr>
          <w:b/>
          <w:bCs/>
        </w:rPr>
      </w:pPr>
    </w:p>
    <w:p w14:paraId="25D4361B" w14:textId="77777777" w:rsidR="00DB5823" w:rsidRDefault="00DB5823" w:rsidP="3EA1E846">
      <w:pPr>
        <w:rPr>
          <w:b/>
          <w:bCs/>
        </w:rPr>
      </w:pPr>
    </w:p>
    <w:p w14:paraId="16DE015E" w14:textId="77777777" w:rsidR="00DB5823" w:rsidRDefault="00DB5823" w:rsidP="3EA1E846">
      <w:pPr>
        <w:rPr>
          <w:b/>
          <w:bCs/>
        </w:rPr>
      </w:pPr>
    </w:p>
    <w:p w14:paraId="06BEE571" w14:textId="77777777" w:rsidR="00DB5823" w:rsidRDefault="00DB5823" w:rsidP="3EA1E846">
      <w:pPr>
        <w:rPr>
          <w:b/>
          <w:bCs/>
        </w:rPr>
      </w:pPr>
    </w:p>
    <w:p w14:paraId="30BCD824" w14:textId="77777777" w:rsidR="00DB5823" w:rsidRDefault="00DB5823" w:rsidP="3EA1E846">
      <w:pPr>
        <w:rPr>
          <w:b/>
          <w:bCs/>
        </w:rPr>
      </w:pPr>
    </w:p>
    <w:p w14:paraId="7E43DE0E" w14:textId="77777777" w:rsidR="00D47A38" w:rsidRDefault="00D47A38" w:rsidP="3EA1E846">
      <w:pPr>
        <w:rPr>
          <w:b/>
          <w:bCs/>
        </w:rPr>
      </w:pPr>
    </w:p>
    <w:p w14:paraId="7E0FC38C" w14:textId="77777777" w:rsidR="00DB5823" w:rsidRDefault="00DB5823" w:rsidP="3EA1E846">
      <w:pPr>
        <w:rPr>
          <w:b/>
          <w:bCs/>
        </w:rPr>
      </w:pPr>
    </w:p>
    <w:p w14:paraId="1C81DBAB" w14:textId="77777777" w:rsidR="00DB5823" w:rsidRDefault="00DB5823" w:rsidP="3EA1E846">
      <w:pPr>
        <w:rPr>
          <w:b/>
          <w:bCs/>
        </w:rPr>
      </w:pPr>
    </w:p>
    <w:p w14:paraId="4EE8EF09" w14:textId="77777777" w:rsidR="00DB5823" w:rsidRDefault="00DB5823" w:rsidP="3EA1E846">
      <w:pPr>
        <w:rPr>
          <w:b/>
          <w:bCs/>
        </w:rPr>
      </w:pPr>
    </w:p>
    <w:p w14:paraId="20AB7572" w14:textId="3CD4E884" w:rsidR="3EA1E846" w:rsidRDefault="3EA1E846" w:rsidP="3EA1E846">
      <w:r w:rsidRPr="3EA1E846">
        <w:rPr>
          <w:b/>
          <w:bCs/>
        </w:rPr>
        <w:lastRenderedPageBreak/>
        <w:t>Criminal Law</w:t>
      </w:r>
    </w:p>
    <w:p w14:paraId="1434E19B" w14:textId="4BD47D35" w:rsidR="3EA1E846" w:rsidRDefault="3EA1E846" w:rsidP="3EA1E846"/>
    <w:p w14:paraId="0CFD6A59" w14:textId="29A4FFDA" w:rsidR="3E7ADBBD" w:rsidRDefault="3EA1E846" w:rsidP="3E7ADBBD">
      <w:r>
        <w:t xml:space="preserve">  The question of whether changes are needed to the law of homicide and second </w:t>
      </w:r>
      <w:r>
        <w:t>–</w:t>
      </w:r>
      <w:r>
        <w:t xml:space="preserve"> degree murder is a complex one that has been debated by legal scholars and practitioners for many years. Some will argue that the law should be changed to supply greater clarity and consistency, while others argue that the current law is sufficient and that changes could have unintended consequences. One area where changes might be needed is the definition of second </w:t>
      </w:r>
      <w:r>
        <w:t>–</w:t>
      </w:r>
      <w:r>
        <w:t xml:space="preserve"> degree murder which is defined as a murder that is not premeditated or planned but is committed with intent to kill or cause grievous bodily harm. Some argue that this definition is too broad and could lead to unjust convictions, particularly in cases where an individual did not intend to kill or cause harm. Another area where changes might be needed is in the sentencing guidelines for second </w:t>
      </w:r>
      <w:r>
        <w:t>–</w:t>
      </w:r>
      <w:r>
        <w:t xml:space="preserve"> degree murder. Currently, the sentence for second </w:t>
      </w:r>
      <w:r>
        <w:t>–</w:t>
      </w:r>
      <w:r>
        <w:t xml:space="preserve"> degree murder is life imprisonment with a minimum term of 15 years. However, there is no clear guidance on how judges should decide the minimum term which has led to inconsistency in sentencing. </w:t>
      </w:r>
    </w:p>
    <w:p w14:paraId="68792614" w14:textId="08952D01" w:rsidR="3E7ADBBD" w:rsidRDefault="3EA1E846" w:rsidP="3E7ADBBD">
      <w:r>
        <w:t xml:space="preserve">  Homicide reform is a topic that has been debated by legal scholars, policymakers, and the public for many years. With the goal of ensuring that the criminal justice system is fair and just, experts have suggested a variety of potential reforms, including changes to the men</w:t>
      </w:r>
      <w:r>
        <w:t>’</w:t>
      </w:r>
      <w:r>
        <w:t>s rea requirements for homicide offenses, the introduction of new defences, and the creation of new homicide offenses. Other reforms include changes to sentencing guidelines, the introduction of alternative forms of punishment, and increased resources for mental health and substance abuse treatment. While there is no one-sized-fits-all solution to the problem of homicide, this is a critical issue that deserves careful consideration and thoughtful debate. Overall, homicide reform is a prominent issue that raises many complex legal and ethical questions. As society continues to evolve, it is likely that the debate over homicide reform will likely continue to be an important topic of discussion.</w:t>
      </w:r>
    </w:p>
    <w:p w14:paraId="79F39F4B" w14:textId="1728807A" w:rsidR="3E7ADBBD" w:rsidRDefault="3EA1E846" w:rsidP="3E7ADBBD">
      <w:r w:rsidRPr="3EA1E846">
        <w:t xml:space="preserve">  This matter is currently relevant because supreme court has reviewed the </w:t>
      </w:r>
      <w:proofErr w:type="spellStart"/>
      <w:r w:rsidRPr="3EA1E846">
        <w:t>Jogee</w:t>
      </w:r>
      <w:proofErr w:type="spellEnd"/>
      <w:r w:rsidRPr="3EA1E846">
        <w:t xml:space="preserve"> case, which has limited accessory liability, also known as the prosecutor's friend. However, the inadequate law of homicide remains. In the </w:t>
      </w:r>
      <w:proofErr w:type="spellStart"/>
      <w:r w:rsidRPr="3EA1E846">
        <w:t>Jogee</w:t>
      </w:r>
      <w:proofErr w:type="spellEnd"/>
      <w:r w:rsidRPr="3EA1E846">
        <w:t xml:space="preserve"> case, two men were convicted of murder under the doctrine of joint enterprise. This doctrine allowed for a person to be convicted of a crime if they foresaw that someone else might commit the crime, even if they did not intend for the crime to occur. The supreme courts ruled that this doctrine was incorrect and revised the law on joint enterprise. The courts held that a person could only be convicted of a crime or aided in the commission of the crime. The </w:t>
      </w:r>
      <w:proofErr w:type="spellStart"/>
      <w:r w:rsidRPr="3EA1E846">
        <w:t>Jogee</w:t>
      </w:r>
      <w:proofErr w:type="spellEnd"/>
      <w:r w:rsidRPr="3EA1E846">
        <w:t xml:space="preserve"> case has been seen as a meaningful change to the law of joint enterprise and it has been widely discussed and debated in the UK legal community. The case has been seen as a notable change to the law of joint enterprise, which had previously been used to convict individuals for crimes they did not commit or intend to commit. The supreme </w:t>
      </w:r>
      <w:proofErr w:type="spellStart"/>
      <w:r w:rsidRPr="3EA1E846">
        <w:t>courts</w:t>
      </w:r>
      <w:proofErr w:type="spellEnd"/>
      <w:r w:rsidRPr="3EA1E846">
        <w:t xml:space="preserve"> decision in the </w:t>
      </w:r>
      <w:proofErr w:type="spellStart"/>
      <w:r w:rsidRPr="3EA1E846">
        <w:t>Jogee</w:t>
      </w:r>
      <w:proofErr w:type="spellEnd"/>
      <w:r w:rsidRPr="3EA1E846">
        <w:t xml:space="preserve"> case has been praised by some as a step towards a fairer criminal justice system, while others have criticized the decision for being too lenient on criminals. The </w:t>
      </w:r>
      <w:proofErr w:type="spellStart"/>
      <w:r w:rsidRPr="3EA1E846">
        <w:t>Jogee</w:t>
      </w:r>
      <w:proofErr w:type="spellEnd"/>
      <w:r w:rsidRPr="3EA1E846">
        <w:t xml:space="preserve"> case has also raised questions about the role of the courts in revising the law and extent to which the courts </w:t>
      </w:r>
      <w:r w:rsidRPr="3EA1E846">
        <w:lastRenderedPageBreak/>
        <w:t>should be involved in changing the law. This case has been seen as an important case in the development of criminal law in the UK. The case has highlighted the need for reform of the law on joint enterprise, which has been criticized for being too broad and leading to unjust convictions. The Supreme court</w:t>
      </w:r>
      <w:r w:rsidRPr="3EA1E846">
        <w:t>’</w:t>
      </w:r>
      <w:r w:rsidRPr="3EA1E846">
        <w:t xml:space="preserve">s decision in the </w:t>
      </w:r>
      <w:proofErr w:type="spellStart"/>
      <w:r w:rsidRPr="3EA1E846">
        <w:t>Jogee</w:t>
      </w:r>
      <w:proofErr w:type="spellEnd"/>
      <w:r w:rsidRPr="3EA1E846">
        <w:t xml:space="preserve"> case has been seen as a step towards a more just and fair criminal justice system, but it has also raised questions about the role of the courts in changing the law. Some legal scholars have argued that the courts should be more involved in revising the law, while others have argued that this should be left to the legislature, overall the </w:t>
      </w:r>
      <w:proofErr w:type="spellStart"/>
      <w:r w:rsidRPr="3EA1E846">
        <w:t>Jogee</w:t>
      </w:r>
      <w:proofErr w:type="spellEnd"/>
      <w:r w:rsidRPr="3EA1E846">
        <w:t xml:space="preserve"> case has been important development in the law of joint enterprise in the </w:t>
      </w:r>
      <w:proofErr w:type="gramStart"/>
      <w:r w:rsidRPr="3EA1E846">
        <w:t>UK,  following</w:t>
      </w:r>
      <w:proofErr w:type="gramEnd"/>
      <w:r w:rsidRPr="3EA1E846">
        <w:t xml:space="preserve"> the supreme </w:t>
      </w:r>
      <w:proofErr w:type="spellStart"/>
      <w:r w:rsidRPr="3EA1E846">
        <w:t>courts</w:t>
      </w:r>
      <w:proofErr w:type="spellEnd"/>
      <w:r w:rsidRPr="3EA1E846">
        <w:t xml:space="preserve"> decision in the case, the crown prosecution service ( CPS) issued new guidelines on joint enterprise prosecutions.  The guidelines state that a person can only be prosecution for a crime if they had the intent to commit the crime. The guidelines also say that the prosecution most prove beyond a reasonable doubt that the defendant had necessary intent or aided in the commission of the crime. The </w:t>
      </w:r>
      <w:proofErr w:type="spellStart"/>
      <w:r w:rsidRPr="3EA1E846">
        <w:t>Jogee</w:t>
      </w:r>
      <w:proofErr w:type="spellEnd"/>
      <w:r w:rsidRPr="3EA1E846">
        <w:t xml:space="preserve"> case has also led to review and revision of other areas of criminal law, including the law on secondary liability and the men</w:t>
      </w:r>
      <w:r w:rsidRPr="3EA1E846">
        <w:t>’</w:t>
      </w:r>
      <w:r w:rsidRPr="3EA1E846">
        <w:t xml:space="preserve">s rea (mental element) needed for criminal </w:t>
      </w:r>
      <w:proofErr w:type="gramStart"/>
      <w:r w:rsidRPr="3EA1E846">
        <w:t>liability</w:t>
      </w:r>
      <w:proofErr w:type="gramEnd"/>
      <w:r w:rsidRPr="3EA1E846">
        <w:t xml:space="preserve"> </w:t>
      </w:r>
    </w:p>
    <w:p w14:paraId="4AC98E08" w14:textId="4CF7077C" w:rsidR="4E53F8D3" w:rsidRDefault="28CAA549" w:rsidP="28CAA549">
      <w:r w:rsidRPr="28CAA549">
        <w:t xml:space="preserve">Placing all the information said in this assignment, the essence is the law of homicide is in a dire mess, which was put gracefully by the law commission in its own 2006 report. The dilemma is that the law lacks a logical or defensible framework. And it does not ring with common sense </w:t>
      </w:r>
      <w:r w:rsidRPr="28CAA549">
        <w:t>–</w:t>
      </w:r>
      <w:r w:rsidRPr="28CAA549">
        <w:t xml:space="preserve"> and this area of murder, manslaughter and infanticide is based on an unstable groundwork. If there is any situation in which the law should speak clearly without using tricky language or avoiding the issue, it is important to emphasize this change and the signific it holds. It</w:t>
      </w:r>
      <w:r w:rsidRPr="28CAA549">
        <w:t>’</w:t>
      </w:r>
      <w:r w:rsidRPr="28CAA549">
        <w:t>s crucial to be aware of the impact our actions can have on others, and to take responsibility for creating a positive environment. Whether it is making significant changes in the current law or advocating for larger changes in society. When trying to find a resolution to the problem of Homicide it is important to find the root cause of the problem. It needs to straight forward and easy to understand the current split offences of first-degree murder and second-degree murder. Then manslaughter will remain the same as before although it needs to be more precisely defined or more narrowly limited. What constitutes murder under the law? It is craned out or perpetrated in when someone unlawfully kills another person with an intention to kill that person with an intention to kill that person or to do them serious harm. And that second element is an extremely significant element which means that someone who believed with justification that no one would be killed by their actions and is placed in the same offence category.</w:t>
      </w:r>
    </w:p>
    <w:p w14:paraId="09A2C41D" w14:textId="67B6D19D" w:rsidR="4E53F8D3" w:rsidRDefault="635B464B" w:rsidP="4E53F8D3">
      <w:r w:rsidRPr="635B464B">
        <w:t xml:space="preserve"> Overall, the question of whether change is needed to the law of homicide and second-degree murder is a complex one that requires careful consideration and debate. Any changes to the law should be made with the goal of improving the fairness and consistency of the </w:t>
      </w:r>
      <w:proofErr w:type="spellStart"/>
      <w:r w:rsidRPr="635B464B">
        <w:t>Crimmel</w:t>
      </w:r>
      <w:proofErr w:type="spellEnd"/>
      <w:r w:rsidRPr="635B464B">
        <w:t xml:space="preserve"> justice system, while also protecting the rights of victims and </w:t>
      </w:r>
      <w:proofErr w:type="spellStart"/>
      <w:r w:rsidRPr="635B464B">
        <w:t>Defendents</w:t>
      </w:r>
      <w:proofErr w:type="spellEnd"/>
      <w:r w:rsidRPr="635B464B">
        <w:t xml:space="preserve">. The UK and WALES legal system is based on a combination of common law and statutory law, with a strong emphasis on parliamentary sovereignty. Homicide reform is a complex and contentious issue that has been debated by legal scholars, policymakers, and the public for many years. While there is no one-size-fits-all solution to the problem of homicide, many experts agree that reform is necessary to ensure that the criminal justice system is </w:t>
      </w:r>
      <w:r w:rsidRPr="635B464B">
        <w:lastRenderedPageBreak/>
        <w:t xml:space="preserve">fair and just. Some areas of reform include changes to the men's rea requirements for homicide offenses, the introduction of new defences, and the creation of new homicide offenses such as </w:t>
      </w:r>
      <w:r w:rsidRPr="635B464B">
        <w:t>“</w:t>
      </w:r>
      <w:r w:rsidRPr="635B464B">
        <w:t>reckless homicide</w:t>
      </w:r>
      <w:r w:rsidRPr="635B464B">
        <w:t>”</w:t>
      </w:r>
      <w:r w:rsidRPr="635B464B">
        <w:t xml:space="preserve"> or </w:t>
      </w:r>
      <w:r w:rsidRPr="635B464B">
        <w:t>“</w:t>
      </w:r>
      <w:r w:rsidRPr="635B464B">
        <w:t>negligent homicide</w:t>
      </w:r>
      <w:r w:rsidRPr="635B464B">
        <w:t>”</w:t>
      </w:r>
      <w:r w:rsidRPr="635B464B">
        <w:t>. Other reforms include changes to sentencing guidelines, the introduction of alternative forms of punishment such as restorative justice, and increased resources for mental health and substance abuse treatment. The success of any homicide reform efforts will depend on a variety of factors, including the political climate, public opinion, and the willingness of lawmakers to act. However, homicide reform is a prominent issue that deserves careful consideration and thoughtful debate. The success of any homicide reform efforts will depend on a variety of factors, including the willingness of lawmakers to act, public opinion, and the effectiveness of proposed reforms in addressing the underlying issues. While it may take time to see significant changes, it is important to continue to work towards a fair and just criminal justice system that is responsive to the needs of all members of society. It is important to remember that the legal system is designed to be deliberate and cautious in making changes, particularly when it comes to issues, it is important to continue to advocate for change and to engage in thoughtful debate and discussion about protentional reforms. The success of any homicide reform efforts will depend on a variety of factors, including the willingness of lawmakers to act, public opinion, and the effectiveness of proposed reforms in addressing the underlying issue. While it may take time to see significant changes, it is important to continue to work towards a fair and just criminal justice system that is responsive to the needs of all members of society.</w:t>
      </w:r>
    </w:p>
    <w:p w14:paraId="5641FDFC" w14:textId="7C92FDB3" w:rsidR="635B464B" w:rsidRDefault="635B464B" w:rsidP="635B464B"/>
    <w:p w14:paraId="4C04F09B" w14:textId="77777777" w:rsidR="00DB5823" w:rsidRDefault="00DB5823" w:rsidP="635B464B"/>
    <w:p w14:paraId="3966BE42" w14:textId="77777777" w:rsidR="00DB5823" w:rsidRDefault="00DB5823" w:rsidP="635B464B"/>
    <w:p w14:paraId="00AD37C2" w14:textId="77777777" w:rsidR="00DB5823" w:rsidRDefault="00DB5823" w:rsidP="635B464B"/>
    <w:p w14:paraId="1D0F3B26" w14:textId="77777777" w:rsidR="00DB5823" w:rsidRDefault="00DB5823" w:rsidP="635B464B"/>
    <w:p w14:paraId="3FC8B595" w14:textId="77777777" w:rsidR="00DB5823" w:rsidRDefault="00DB5823" w:rsidP="635B464B"/>
    <w:p w14:paraId="7E6B1FEA" w14:textId="77777777" w:rsidR="00DB5823" w:rsidRDefault="00DB5823" w:rsidP="635B464B"/>
    <w:p w14:paraId="1800E281" w14:textId="77777777" w:rsidR="00DB5823" w:rsidRDefault="00DB5823" w:rsidP="635B464B"/>
    <w:p w14:paraId="5552AB73" w14:textId="77777777" w:rsidR="00DB5823" w:rsidRDefault="00DB5823" w:rsidP="635B464B"/>
    <w:p w14:paraId="0654AEB7" w14:textId="77777777" w:rsidR="00DB5823" w:rsidRDefault="00DB5823" w:rsidP="635B464B"/>
    <w:p w14:paraId="3A578070" w14:textId="77777777" w:rsidR="00DB5823" w:rsidRDefault="00DB5823" w:rsidP="635B464B"/>
    <w:p w14:paraId="42892DB3" w14:textId="77777777" w:rsidR="00DB5823" w:rsidRDefault="00DB5823" w:rsidP="635B464B"/>
    <w:p w14:paraId="71D67549" w14:textId="77777777" w:rsidR="00DB5823" w:rsidRDefault="00DB5823" w:rsidP="635B464B"/>
    <w:p w14:paraId="68BE7FCD" w14:textId="50E85940" w:rsidR="3EA1E846" w:rsidRDefault="3EA1E846" w:rsidP="3EA1E846">
      <w:r w:rsidRPr="3EA1E846">
        <w:rPr>
          <w:b/>
          <w:bCs/>
        </w:rPr>
        <w:lastRenderedPageBreak/>
        <w:t>Scenario Analysis</w:t>
      </w:r>
    </w:p>
    <w:p w14:paraId="516C8FA0" w14:textId="23909C0D" w:rsidR="635B464B" w:rsidRDefault="3EA1E846" w:rsidP="635B464B">
      <w:pPr>
        <w:spacing w:after="160"/>
        <w:rPr>
          <w:rFonts w:ascii="Calibri" w:eastAsia="Calibri" w:hAnsi="Calibri" w:cs="Calibri"/>
        </w:rPr>
      </w:pPr>
      <w:r w:rsidRPr="3EA1E846">
        <w:rPr>
          <w:rFonts w:ascii="Calibri" w:eastAsia="Calibri" w:hAnsi="Calibri" w:cs="Calibri"/>
        </w:rPr>
        <w:t xml:space="preserve">The scenario described involves several different legal concepts, including theft, grievous bodily harm (GBH), and property damage. The individual had the Intention to take something as they formed a mental intent to take someone else’s property without their permission. They committed theft because they followed through with their intent and took the handbag without permission. Also, the individual committed spiking as they spiked someone’s drink causing them to become disoriented and hallucinated. While under the influence of the spiked drink, the spiked individual caused grievous bodily harm (GBH) to another person by inflicting serious physical injuries and committed property damage. This is because while under the influence of the spiked drink, the individual also caused damage to the </w:t>
      </w:r>
      <w:proofErr w:type="gramStart"/>
      <w:r w:rsidRPr="3EA1E846">
        <w:rPr>
          <w:rFonts w:ascii="Calibri" w:eastAsia="Calibri" w:hAnsi="Calibri" w:cs="Calibri"/>
        </w:rPr>
        <w:t>property</w:t>
      </w:r>
      <w:proofErr w:type="gramEnd"/>
      <w:r w:rsidRPr="3EA1E846">
        <w:rPr>
          <w:rFonts w:ascii="Calibri" w:eastAsia="Calibri" w:hAnsi="Calibri" w:cs="Calibri"/>
        </w:rPr>
        <w:t xml:space="preserve"> </w:t>
      </w:r>
    </w:p>
    <w:p w14:paraId="71DDC1C3" w14:textId="4FDF5B39" w:rsidR="635B464B" w:rsidRDefault="3EA1E846" w:rsidP="635B464B">
      <w:pPr>
        <w:spacing w:after="160"/>
        <w:rPr>
          <w:rFonts w:ascii="Calibri" w:eastAsia="Calibri" w:hAnsi="Calibri" w:cs="Calibri"/>
        </w:rPr>
      </w:pPr>
      <w:r w:rsidRPr="3EA1E846">
        <w:rPr>
          <w:rFonts w:ascii="Calibri" w:eastAsia="Calibri" w:hAnsi="Calibri" w:cs="Calibri"/>
        </w:rPr>
        <w:t xml:space="preserve">  To understand how the concepts apply to the scenario, I'm going to break it down into smaller parts. First, I am going to look at the concept of men’s rea. This is a Latin term that refers to the mental element of a crime. In other words, it is the mental state that is required for someone to be guilty of a crime. Men’s rea can take different forms depending on the crime in question. In the scenario described, the men’s rea is the intention to take someone else’s property without permission. This is the first step in the sequence of events. The individual forms the intention to take something, and then follows through with that intention by taking the property without permission. Next, let us look at the concept of Actus reus, this is another Latin term that refers to the physical element of a crime. In other words, it is the actual act that is committed that constitutes the crime. Actus reus can take different forms depending on the crime in question. In the scenario described, the actus reus occurs in several different steps. This is the act of individual spikes someone’s drink. This is an act that causes harm to another person and could potentially be considered assault. When the person who was spiked becomes disoriented and had hallucination this is an example of harm caused by the spiked drink. Finally, while under the influence of the spiked drink, the individual causes GBH and property damage, respectively. There are several legal defences that could be potentially by used in the scenario like described. </w:t>
      </w:r>
    </w:p>
    <w:p w14:paraId="2A956599" w14:textId="0C236F4F" w:rsidR="635B464B" w:rsidRDefault="3EA1E846" w:rsidP="635B464B">
      <w:pPr>
        <w:spacing w:after="160"/>
        <w:rPr>
          <w:rFonts w:ascii="Calibri" w:eastAsia="Calibri" w:hAnsi="Calibri" w:cs="Calibri"/>
        </w:rPr>
      </w:pPr>
      <w:r w:rsidRPr="3EA1E846">
        <w:rPr>
          <w:rFonts w:ascii="Calibri" w:eastAsia="Calibri" w:hAnsi="Calibri" w:cs="Calibri"/>
        </w:rPr>
        <w:t xml:space="preserve">  Spiking is illegal under current laws under the Sexual Offences Act 2003 which makes it an offence to administer a substance to another person without their consent. The Sexual Offences Act 2003 is a law in the United Kingdom that sets out the rules and regulations surrounding sexual offenses. The act covers a wide range of topics, but overall, the act is designed to protect individuals from sexual harm and to ensure that those who commit sexual offenses are held accountable for their action. This defence could be used if the individual who spiked someone’s drink believed that they wore doing something else and did not intend to cause harm. For example, if they thought they were adding sugar to a drink instead of hallucinogenic substance, they could argue that they did not have the men’s rea needed for the crime (meaning no intention behind the act).  With </w:t>
      </w:r>
      <w:proofErr w:type="gramStart"/>
      <w:r w:rsidRPr="3EA1E846">
        <w:rPr>
          <w:rFonts w:ascii="Calibri" w:eastAsia="Calibri" w:hAnsi="Calibri" w:cs="Calibri"/>
        </w:rPr>
        <w:t>this being said Leon’s</w:t>
      </w:r>
      <w:proofErr w:type="gramEnd"/>
      <w:r w:rsidRPr="3EA1E846">
        <w:rPr>
          <w:rFonts w:ascii="Calibri" w:eastAsia="Calibri" w:hAnsi="Calibri" w:cs="Calibri"/>
        </w:rPr>
        <w:t xml:space="preserve"> act against the Sexual Offences 2003. Drink spiking carries a sentence of up to 10 years. Also, a legal claim could be placed against Leon to pay to recover damage from harm that Harriet suffered </w:t>
      </w:r>
      <w:proofErr w:type="gramStart"/>
      <w:r w:rsidRPr="3EA1E846">
        <w:rPr>
          <w:rFonts w:ascii="Calibri" w:eastAsia="Calibri" w:hAnsi="Calibri" w:cs="Calibri"/>
        </w:rPr>
        <w:t>as a result of</w:t>
      </w:r>
      <w:proofErr w:type="gramEnd"/>
      <w:r w:rsidRPr="3EA1E846">
        <w:rPr>
          <w:rFonts w:ascii="Calibri" w:eastAsia="Calibri" w:hAnsi="Calibri" w:cs="Calibri"/>
        </w:rPr>
        <w:t xml:space="preserve"> Leon and this could include compensation for any injuries or loses that Harriet sustained, as well as the damage property and any emotional distress that </w:t>
      </w:r>
      <w:r w:rsidRPr="3EA1E846">
        <w:rPr>
          <w:rFonts w:ascii="Calibri" w:eastAsia="Calibri" w:hAnsi="Calibri" w:cs="Calibri"/>
        </w:rPr>
        <w:lastRenderedPageBreak/>
        <w:t xml:space="preserve">Harriet experienced. Leon could use Duress as a defence which could be used if the individual who committed the crime (Leon) says they were forced to do so by someone's, or they did not have a choice in the matter. For example, if they did not spike Harriet's drink, they could argue that they were acting under duress. Leon can also say he never added anything to </w:t>
      </w:r>
      <w:proofErr w:type="spellStart"/>
      <w:r w:rsidRPr="3EA1E846">
        <w:rPr>
          <w:rFonts w:ascii="Calibri" w:eastAsia="Calibri" w:hAnsi="Calibri" w:cs="Calibri"/>
        </w:rPr>
        <w:t>Harriets</w:t>
      </w:r>
      <w:proofErr w:type="spellEnd"/>
      <w:r w:rsidRPr="3EA1E846">
        <w:rPr>
          <w:rFonts w:ascii="Calibri" w:eastAsia="Calibri" w:hAnsi="Calibri" w:cs="Calibri"/>
        </w:rPr>
        <w:t xml:space="preserve"> drink.</w:t>
      </w:r>
    </w:p>
    <w:p w14:paraId="1E7EC3E8" w14:textId="598F9ECF" w:rsidR="3EA1E846" w:rsidRDefault="3EA1E846" w:rsidP="3EA1E846">
      <w:pPr>
        <w:spacing w:after="160"/>
        <w:rPr>
          <w:rFonts w:ascii="Calibri" w:eastAsia="Calibri" w:hAnsi="Calibri" w:cs="Calibri"/>
        </w:rPr>
      </w:pPr>
    </w:p>
    <w:p w14:paraId="3B85F7F0" w14:textId="04C22BCC" w:rsidR="635B464B" w:rsidRDefault="3EA1E846" w:rsidP="635B464B">
      <w:pPr>
        <w:spacing w:after="160"/>
        <w:rPr>
          <w:rFonts w:ascii="Calibri" w:eastAsia="Calibri" w:hAnsi="Calibri" w:cs="Calibri"/>
        </w:rPr>
      </w:pPr>
      <w:r w:rsidRPr="3EA1E846">
        <w:rPr>
          <w:rFonts w:ascii="Calibri" w:eastAsia="Calibri" w:hAnsi="Calibri" w:cs="Calibri"/>
        </w:rPr>
        <w:t xml:space="preserve"> </w:t>
      </w:r>
      <w:proofErr w:type="spellStart"/>
      <w:r w:rsidRPr="3EA1E846">
        <w:rPr>
          <w:rFonts w:ascii="Calibri" w:eastAsia="Calibri" w:hAnsi="Calibri" w:cs="Calibri"/>
        </w:rPr>
        <w:t>Harriets</w:t>
      </w:r>
      <w:proofErr w:type="spellEnd"/>
      <w:r w:rsidRPr="3EA1E846">
        <w:rPr>
          <w:rFonts w:ascii="Calibri" w:eastAsia="Calibri" w:hAnsi="Calibri" w:cs="Calibri"/>
        </w:rPr>
        <w:t xml:space="preserve"> Act in the scenario could be charged with GBH under Section 20 of the Offences Against the Person Act 1861 which defines the offense of causing grievous bodily harm (GBH) with intent.  This can include situations where a person intentionally or recklessly causes significant injury to another person, by inflicting significant harm. The maximum penalty for this offense is life imprisonment. </w:t>
      </w:r>
    </w:p>
    <w:p w14:paraId="3278A79F" w14:textId="0F08BB4D" w:rsidR="635B464B" w:rsidRDefault="3EA1E846" w:rsidP="635B464B">
      <w:pPr>
        <w:spacing w:after="160"/>
        <w:rPr>
          <w:rFonts w:ascii="Calibri" w:eastAsia="Calibri" w:hAnsi="Calibri" w:cs="Calibri"/>
        </w:rPr>
      </w:pPr>
      <w:r w:rsidRPr="3EA1E846">
        <w:rPr>
          <w:rFonts w:ascii="Calibri" w:eastAsia="Calibri" w:hAnsi="Calibri" w:cs="Calibri"/>
        </w:rPr>
        <w:t xml:space="preserve">Harriet could use self-defence as her defence. This defence could be used if the individual who caused GBH believed that they were acting in self-defence. For example, if they believed that the person who they harmed were about to attack them, they could argue that they were acting to protect themselves. Due to being spiked and hallucinating when they caused grievous bodily harm (GBH) with intent, Harriet may be able to use the legal defence of if a person has been spiked with drugs or alcohol, the defendant would either need to show that they believed that they were in imminent danger of harm because of being spiked.  The defendant may can use the legal defence of insanity because of the hallucinations. The defendant needs to show the disorder caused them to not understand the nature and quality of their </w:t>
      </w:r>
      <w:proofErr w:type="gramStart"/>
      <w:r w:rsidRPr="3EA1E846">
        <w:rPr>
          <w:rFonts w:ascii="Calibri" w:eastAsia="Calibri" w:hAnsi="Calibri" w:cs="Calibri"/>
        </w:rPr>
        <w:t>actions</w:t>
      </w:r>
      <w:proofErr w:type="gramEnd"/>
      <w:r w:rsidRPr="3EA1E846">
        <w:rPr>
          <w:rFonts w:ascii="Calibri" w:eastAsia="Calibri" w:hAnsi="Calibri" w:cs="Calibri"/>
        </w:rPr>
        <w:t xml:space="preserve"> </w:t>
      </w:r>
    </w:p>
    <w:p w14:paraId="09AC392F" w14:textId="0DCDC121" w:rsidR="635B464B" w:rsidRDefault="635B464B" w:rsidP="635B464B">
      <w:pPr>
        <w:spacing w:after="160"/>
        <w:rPr>
          <w:rFonts w:ascii="Calibri" w:eastAsia="Calibri" w:hAnsi="Calibri" w:cs="Calibri"/>
        </w:rPr>
      </w:pPr>
      <w:r w:rsidRPr="635B464B">
        <w:rPr>
          <w:rFonts w:ascii="Calibri" w:eastAsia="Calibri" w:hAnsi="Calibri" w:cs="Calibri"/>
        </w:rPr>
        <w:t xml:space="preserve"> </w:t>
      </w:r>
    </w:p>
    <w:p w14:paraId="24843C4A" w14:textId="0CC6099E" w:rsidR="635B464B" w:rsidRDefault="3EA1E846" w:rsidP="635B464B">
      <w:pPr>
        <w:spacing w:after="160"/>
        <w:rPr>
          <w:rFonts w:ascii="Calibri" w:eastAsia="Calibri" w:hAnsi="Calibri" w:cs="Calibri"/>
        </w:rPr>
      </w:pPr>
      <w:r w:rsidRPr="3EA1E846">
        <w:rPr>
          <w:rFonts w:ascii="Calibri" w:eastAsia="Calibri" w:hAnsi="Calibri" w:cs="Calibri"/>
        </w:rPr>
        <w:t xml:space="preserve">The Criminal Damage Act 1971 is a UK law that sets out the offence of criminal damage.  This law makes it a criminal </w:t>
      </w:r>
      <w:proofErr w:type="spellStart"/>
      <w:r w:rsidRPr="3EA1E846">
        <w:rPr>
          <w:rFonts w:ascii="Calibri" w:eastAsia="Calibri" w:hAnsi="Calibri" w:cs="Calibri"/>
        </w:rPr>
        <w:t>offese</w:t>
      </w:r>
      <w:proofErr w:type="spellEnd"/>
      <w:r w:rsidRPr="3EA1E846">
        <w:rPr>
          <w:rFonts w:ascii="Calibri" w:eastAsia="Calibri" w:hAnsi="Calibri" w:cs="Calibri"/>
        </w:rPr>
        <w:t xml:space="preserve"> to intentionally or recklessly damage property belonging to another person without lawful excuse. The law also makes it an offense to damage property with intent to endanger life or with intent to cause damage that is likely to endanger life.  Due to Harriet’s state of mind due to be spiked, if Harriet were found guilty of GBH and criminal damage, the sentence or punishment would be maximum 10 years imprisonment but </w:t>
      </w:r>
      <w:proofErr w:type="spellStart"/>
      <w:r w:rsidRPr="3EA1E846">
        <w:rPr>
          <w:rFonts w:ascii="Calibri" w:eastAsia="Calibri" w:hAnsi="Calibri" w:cs="Calibri"/>
        </w:rPr>
        <w:t>depening</w:t>
      </w:r>
      <w:proofErr w:type="spellEnd"/>
      <w:r w:rsidRPr="3EA1E846">
        <w:rPr>
          <w:rFonts w:ascii="Calibri" w:eastAsia="Calibri" w:hAnsi="Calibri" w:cs="Calibri"/>
        </w:rPr>
        <w:t xml:space="preserve"> on the specific circumstances which we know she never knew she was spiked, and her mental state was in question so the court would consider all the circumstances of the case before figuring out a suitable sentence. In some cases, a community order or a suspended sentence may be right, while in other cases, a custodial sentence may be </w:t>
      </w:r>
      <w:proofErr w:type="gramStart"/>
      <w:r w:rsidRPr="3EA1E846">
        <w:rPr>
          <w:rFonts w:ascii="Calibri" w:eastAsia="Calibri" w:hAnsi="Calibri" w:cs="Calibri"/>
        </w:rPr>
        <w:t>necessary</w:t>
      </w:r>
      <w:proofErr w:type="gramEnd"/>
      <w:r w:rsidRPr="3EA1E846">
        <w:rPr>
          <w:rFonts w:ascii="Calibri" w:eastAsia="Calibri" w:hAnsi="Calibri" w:cs="Calibri"/>
        </w:rPr>
        <w:t xml:space="preserve">   </w:t>
      </w:r>
    </w:p>
    <w:p w14:paraId="6744D5CF" w14:textId="051748C8" w:rsidR="635B464B" w:rsidRDefault="3EA1E846" w:rsidP="635B464B">
      <w:pPr>
        <w:spacing w:after="160"/>
        <w:rPr>
          <w:rFonts w:ascii="Calibri" w:eastAsia="Calibri" w:hAnsi="Calibri" w:cs="Calibri"/>
        </w:rPr>
      </w:pPr>
      <w:r w:rsidRPr="3EA1E846">
        <w:rPr>
          <w:rFonts w:ascii="Calibri" w:eastAsia="Calibri" w:hAnsi="Calibri" w:cs="Calibri"/>
        </w:rPr>
        <w:t xml:space="preserve">Under Section 27 (1) of the Theft Act 1968, Paula knowingly allowed herself to carry a conveyance without consent from Christine by taking Christine’s designer bag. This act deals with the offense of theft and Paula could be charged with theft under this section. The sentence for this act depends on the circumstances of the case, including the value of the designer bag and whether there were any aggravating factors, a community order or a fine may be appropriate.  However, if the value is high could receive a custodial sentence. </w:t>
      </w:r>
    </w:p>
    <w:p w14:paraId="5CC20F7A" w14:textId="4ED6ED41" w:rsidR="635B464B" w:rsidRDefault="635B464B" w:rsidP="635B464B">
      <w:pPr>
        <w:spacing w:after="160"/>
        <w:rPr>
          <w:rFonts w:ascii="Calibri" w:eastAsia="Calibri" w:hAnsi="Calibri" w:cs="Calibri"/>
        </w:rPr>
      </w:pPr>
    </w:p>
    <w:p w14:paraId="7F6E1DB0" w14:textId="77B0D159" w:rsidR="635B464B" w:rsidRDefault="3EA1E846" w:rsidP="635B464B">
      <w:pPr>
        <w:spacing w:after="160"/>
        <w:rPr>
          <w:rFonts w:ascii="Calibri" w:eastAsia="Calibri" w:hAnsi="Calibri" w:cs="Calibri"/>
        </w:rPr>
      </w:pPr>
      <w:r w:rsidRPr="3EA1E846">
        <w:rPr>
          <w:rFonts w:ascii="Calibri" w:eastAsia="Calibri" w:hAnsi="Calibri" w:cs="Calibri"/>
        </w:rPr>
        <w:lastRenderedPageBreak/>
        <w:t xml:space="preserve">  Ghosh (1982</w:t>
      </w:r>
      <w:proofErr w:type="gramStart"/>
      <w:r w:rsidRPr="3EA1E846">
        <w:rPr>
          <w:rFonts w:ascii="Calibri" w:eastAsia="Calibri" w:hAnsi="Calibri" w:cs="Calibri"/>
        </w:rPr>
        <w:t>)  is</w:t>
      </w:r>
      <w:proofErr w:type="gramEnd"/>
      <w:r w:rsidRPr="3EA1E846">
        <w:rPr>
          <w:rFonts w:ascii="Calibri" w:eastAsia="Calibri" w:hAnsi="Calibri" w:cs="Calibri"/>
        </w:rPr>
        <w:t xml:space="preserve"> often cited in discussions of the men’s rea requirement for </w:t>
      </w:r>
      <w:proofErr w:type="spellStart"/>
      <w:r w:rsidRPr="3EA1E846">
        <w:rPr>
          <w:rFonts w:ascii="Calibri" w:eastAsia="Calibri" w:hAnsi="Calibri" w:cs="Calibri"/>
        </w:rPr>
        <w:t>Crimmel</w:t>
      </w:r>
      <w:proofErr w:type="spellEnd"/>
      <w:r w:rsidRPr="3EA1E846">
        <w:rPr>
          <w:rFonts w:ascii="Calibri" w:eastAsia="Calibri" w:hAnsi="Calibri" w:cs="Calibri"/>
        </w:rPr>
        <w:t xml:space="preserve"> offences, particularly in cases where the defendant’s state of mind is in question. A (a juvenile) v r (1978) is often cited in discussions of the men’s rea requirement for </w:t>
      </w:r>
      <w:proofErr w:type="spellStart"/>
      <w:r w:rsidRPr="3EA1E846">
        <w:rPr>
          <w:rFonts w:ascii="Calibri" w:eastAsia="Calibri" w:hAnsi="Calibri" w:cs="Calibri"/>
        </w:rPr>
        <w:t>Crimmel</w:t>
      </w:r>
      <w:proofErr w:type="spellEnd"/>
      <w:r w:rsidRPr="3EA1E846">
        <w:rPr>
          <w:rFonts w:ascii="Calibri" w:eastAsia="Calibri" w:hAnsi="Calibri" w:cs="Calibri"/>
        </w:rPr>
        <w:t xml:space="preserve"> offenses. Men’s rea and actus reus are two important legal concepts that are used to decide whether someone has committed a crime. Men’s rea refers to the mental element of a crime, while actus reus refers to the physical element of a crime. Men's rea and actus reus are two important concepts in criminal law. Actus reus refers to physical element of a crime, or the act that is committed. Men's rea refers to the mental element of a crime, or the intention or knowledge of wrongdoing. Both men's rea and actus must be present to prove </w:t>
      </w:r>
      <w:proofErr w:type="spellStart"/>
      <w:r w:rsidRPr="3EA1E846">
        <w:rPr>
          <w:rFonts w:ascii="Calibri" w:eastAsia="Calibri" w:hAnsi="Calibri" w:cs="Calibri"/>
        </w:rPr>
        <w:t>Crimmel</w:t>
      </w:r>
      <w:proofErr w:type="spellEnd"/>
      <w:r w:rsidRPr="3EA1E846">
        <w:rPr>
          <w:rFonts w:ascii="Calibri" w:eastAsia="Calibri" w:hAnsi="Calibri" w:cs="Calibri"/>
        </w:rPr>
        <w:t xml:space="preserve"> liability. This means that the prosecution must prove that the defendant committed a </w:t>
      </w:r>
      <w:proofErr w:type="spellStart"/>
      <w:r w:rsidRPr="3EA1E846">
        <w:rPr>
          <w:rFonts w:ascii="Calibri" w:eastAsia="Calibri" w:hAnsi="Calibri" w:cs="Calibri"/>
        </w:rPr>
        <w:t>Crimmel</w:t>
      </w:r>
      <w:proofErr w:type="spellEnd"/>
      <w:r w:rsidRPr="3EA1E846">
        <w:rPr>
          <w:rFonts w:ascii="Calibri" w:eastAsia="Calibri" w:hAnsi="Calibri" w:cs="Calibri"/>
        </w:rPr>
        <w:t xml:space="preserve"> act (actus reus) and had the intention or knowledge of wrongdoing (men's rea) The importance of actus reus and men's rea lies in the fact that they supply a framework for figuring out when someone should be held criminally liable. For example, if someone accidentally causes harm to another person, they may not be held criminally liable because they did not have the intention or knowledge of wrongdoing but does not actually commit a </w:t>
      </w:r>
      <w:proofErr w:type="spellStart"/>
      <w:r w:rsidRPr="3EA1E846">
        <w:rPr>
          <w:rFonts w:ascii="Calibri" w:eastAsia="Calibri" w:hAnsi="Calibri" w:cs="Calibri"/>
        </w:rPr>
        <w:t>Crimmel</w:t>
      </w:r>
      <w:proofErr w:type="spellEnd"/>
      <w:r w:rsidRPr="3EA1E846">
        <w:rPr>
          <w:rFonts w:ascii="Calibri" w:eastAsia="Calibri" w:hAnsi="Calibri" w:cs="Calibri"/>
        </w:rPr>
        <w:t xml:space="preserve"> act, they may not be held criminally liable because there is no actus reus.  Overall, the concepts of men's rea and actus reus are essential to the criminal justice system because they help ensure that people are only held criminally liable when they have both the intention or knowledge of wrongdoing and commit a criminal act. </w:t>
      </w:r>
    </w:p>
    <w:p w14:paraId="49240596" w14:textId="3470D91E" w:rsidR="3EA1E846" w:rsidRDefault="3EA1E846" w:rsidP="3EA1E846">
      <w:pPr>
        <w:spacing w:after="160"/>
        <w:rPr>
          <w:rFonts w:ascii="Calibri" w:eastAsia="Calibri" w:hAnsi="Calibri" w:cs="Calibri"/>
        </w:rPr>
      </w:pPr>
    </w:p>
    <w:p w14:paraId="7EE1F31C" w14:textId="77777777" w:rsidR="00DB5823" w:rsidRDefault="00DB5823" w:rsidP="3EA1E846">
      <w:pPr>
        <w:spacing w:after="160"/>
        <w:rPr>
          <w:rFonts w:ascii="Calibri" w:eastAsia="Calibri" w:hAnsi="Calibri" w:cs="Calibri"/>
        </w:rPr>
      </w:pPr>
    </w:p>
    <w:p w14:paraId="39059B86" w14:textId="77777777" w:rsidR="00DB5823" w:rsidRDefault="00DB5823" w:rsidP="3EA1E846">
      <w:pPr>
        <w:spacing w:after="160"/>
        <w:rPr>
          <w:rFonts w:ascii="Calibri" w:eastAsia="Calibri" w:hAnsi="Calibri" w:cs="Calibri"/>
        </w:rPr>
      </w:pPr>
    </w:p>
    <w:p w14:paraId="66CB0E4A" w14:textId="77777777" w:rsidR="00DB5823" w:rsidRDefault="00DB5823" w:rsidP="3EA1E846">
      <w:pPr>
        <w:spacing w:after="160"/>
        <w:rPr>
          <w:rFonts w:ascii="Calibri" w:eastAsia="Calibri" w:hAnsi="Calibri" w:cs="Calibri"/>
        </w:rPr>
      </w:pPr>
    </w:p>
    <w:p w14:paraId="13807EE3" w14:textId="77777777" w:rsidR="00DB5823" w:rsidRDefault="00DB5823" w:rsidP="3EA1E846">
      <w:pPr>
        <w:spacing w:after="160"/>
        <w:rPr>
          <w:rFonts w:ascii="Calibri" w:eastAsia="Calibri" w:hAnsi="Calibri" w:cs="Calibri"/>
        </w:rPr>
      </w:pPr>
    </w:p>
    <w:p w14:paraId="1B83DDF9" w14:textId="77777777" w:rsidR="00DB5823" w:rsidRDefault="00DB5823" w:rsidP="3EA1E846">
      <w:pPr>
        <w:spacing w:after="160"/>
        <w:rPr>
          <w:rFonts w:ascii="Calibri" w:eastAsia="Calibri" w:hAnsi="Calibri" w:cs="Calibri"/>
        </w:rPr>
      </w:pPr>
    </w:p>
    <w:p w14:paraId="418A9278" w14:textId="77777777" w:rsidR="00DB5823" w:rsidRDefault="00DB5823" w:rsidP="3EA1E846">
      <w:pPr>
        <w:spacing w:after="160"/>
        <w:rPr>
          <w:rFonts w:ascii="Calibri" w:eastAsia="Calibri" w:hAnsi="Calibri" w:cs="Calibri"/>
        </w:rPr>
      </w:pPr>
    </w:p>
    <w:p w14:paraId="3A829720" w14:textId="77777777" w:rsidR="00DB5823" w:rsidRDefault="00DB5823" w:rsidP="3EA1E846">
      <w:pPr>
        <w:spacing w:after="160"/>
        <w:rPr>
          <w:rFonts w:ascii="Calibri" w:eastAsia="Calibri" w:hAnsi="Calibri" w:cs="Calibri"/>
        </w:rPr>
      </w:pPr>
    </w:p>
    <w:p w14:paraId="1298E070" w14:textId="77777777" w:rsidR="00DB5823" w:rsidRDefault="00DB5823" w:rsidP="3EA1E846">
      <w:pPr>
        <w:spacing w:after="160"/>
        <w:rPr>
          <w:rFonts w:ascii="Calibri" w:eastAsia="Calibri" w:hAnsi="Calibri" w:cs="Calibri"/>
        </w:rPr>
      </w:pPr>
    </w:p>
    <w:p w14:paraId="7025600F" w14:textId="77777777" w:rsidR="00DB5823" w:rsidRDefault="00DB5823" w:rsidP="3EA1E846">
      <w:pPr>
        <w:spacing w:after="160"/>
        <w:rPr>
          <w:rFonts w:ascii="Calibri" w:eastAsia="Calibri" w:hAnsi="Calibri" w:cs="Calibri"/>
        </w:rPr>
      </w:pPr>
    </w:p>
    <w:p w14:paraId="78815891" w14:textId="77777777" w:rsidR="00DB5823" w:rsidRDefault="00DB5823" w:rsidP="3EA1E846">
      <w:pPr>
        <w:spacing w:after="160"/>
        <w:rPr>
          <w:rFonts w:ascii="Calibri" w:eastAsia="Calibri" w:hAnsi="Calibri" w:cs="Calibri"/>
        </w:rPr>
      </w:pPr>
    </w:p>
    <w:p w14:paraId="60D1A036" w14:textId="77777777" w:rsidR="00DB5823" w:rsidRDefault="00DB5823" w:rsidP="3EA1E846">
      <w:pPr>
        <w:spacing w:after="160"/>
        <w:rPr>
          <w:rFonts w:ascii="Calibri" w:eastAsia="Calibri" w:hAnsi="Calibri" w:cs="Calibri"/>
        </w:rPr>
      </w:pPr>
    </w:p>
    <w:p w14:paraId="38CB7DEC" w14:textId="77777777" w:rsidR="00DB5823" w:rsidRDefault="00DB5823" w:rsidP="3EA1E846">
      <w:pPr>
        <w:spacing w:after="160"/>
        <w:rPr>
          <w:rFonts w:ascii="Calibri" w:eastAsia="Calibri" w:hAnsi="Calibri" w:cs="Calibri"/>
        </w:rPr>
      </w:pPr>
    </w:p>
    <w:p w14:paraId="3843EB92" w14:textId="77777777" w:rsidR="00DB5823" w:rsidRDefault="00DB5823" w:rsidP="3EA1E846">
      <w:pPr>
        <w:spacing w:after="160"/>
        <w:rPr>
          <w:rFonts w:ascii="Calibri" w:eastAsia="Calibri" w:hAnsi="Calibri" w:cs="Calibri"/>
        </w:rPr>
      </w:pPr>
    </w:p>
    <w:p w14:paraId="41804959" w14:textId="77777777" w:rsidR="00DB5823" w:rsidRDefault="00DB5823" w:rsidP="3EA1E846">
      <w:pPr>
        <w:spacing w:after="160"/>
        <w:rPr>
          <w:rFonts w:ascii="Calibri" w:eastAsia="Calibri" w:hAnsi="Calibri" w:cs="Calibri"/>
        </w:rPr>
      </w:pPr>
    </w:p>
    <w:p w14:paraId="25128784" w14:textId="11C4C910" w:rsidR="3EA1E846" w:rsidRDefault="3EA1E846" w:rsidP="3EA1E846">
      <w:pPr>
        <w:spacing w:after="160"/>
        <w:rPr>
          <w:rFonts w:ascii="Calibri" w:eastAsia="Calibri" w:hAnsi="Calibri" w:cs="Calibri"/>
        </w:rPr>
      </w:pPr>
    </w:p>
    <w:p w14:paraId="702B1E59" w14:textId="260D4923" w:rsidR="3EA1E846" w:rsidRDefault="3EA1E846" w:rsidP="3EA1E846">
      <w:pPr>
        <w:spacing w:after="160"/>
        <w:rPr>
          <w:rFonts w:ascii="Calibri" w:eastAsia="Calibri" w:hAnsi="Calibri" w:cs="Calibri"/>
          <w:sz w:val="22"/>
          <w:szCs w:val="22"/>
        </w:rPr>
      </w:pPr>
      <w:r w:rsidRPr="3EA1E846">
        <w:rPr>
          <w:rFonts w:ascii="Calibri" w:eastAsia="Calibri" w:hAnsi="Calibri" w:cs="Calibri"/>
          <w:b/>
          <w:bCs/>
          <w:sz w:val="22"/>
          <w:szCs w:val="22"/>
        </w:rPr>
        <w:lastRenderedPageBreak/>
        <w:t>References</w:t>
      </w:r>
      <w:r w:rsidRPr="3EA1E846">
        <w:rPr>
          <w:rFonts w:ascii="Calibri" w:eastAsia="Calibri" w:hAnsi="Calibri" w:cs="Calibri"/>
          <w:sz w:val="22"/>
          <w:szCs w:val="22"/>
        </w:rPr>
        <w:t xml:space="preserve"> </w:t>
      </w:r>
    </w:p>
    <w:p w14:paraId="1EBAB49C" w14:textId="44320C7F" w:rsidR="3EA1E846" w:rsidRDefault="3EA1E846" w:rsidP="3EA1E846">
      <w:pPr>
        <w:spacing w:after="160"/>
        <w:rPr>
          <w:rFonts w:ascii="Calibri" w:eastAsia="Calibri" w:hAnsi="Calibri" w:cs="Calibri"/>
          <w:sz w:val="22"/>
          <w:szCs w:val="22"/>
        </w:rPr>
      </w:pPr>
      <w:r w:rsidRPr="3EA1E846">
        <w:rPr>
          <w:rFonts w:ascii="Calibri" w:eastAsia="Calibri" w:hAnsi="Calibri" w:cs="Calibri"/>
          <w:sz w:val="22"/>
          <w:szCs w:val="22"/>
        </w:rPr>
        <w:t xml:space="preserve">“Criminal Law: Doctrine, Application and practice” by Paul H. Robinson and </w:t>
      </w:r>
      <w:proofErr w:type="spellStart"/>
      <w:r w:rsidRPr="3EA1E846">
        <w:rPr>
          <w:rFonts w:ascii="Calibri" w:eastAsia="Calibri" w:hAnsi="Calibri" w:cs="Calibri"/>
          <w:sz w:val="22"/>
          <w:szCs w:val="22"/>
        </w:rPr>
        <w:t>Micheal</w:t>
      </w:r>
      <w:proofErr w:type="spellEnd"/>
      <w:r w:rsidRPr="3EA1E846">
        <w:rPr>
          <w:rFonts w:ascii="Calibri" w:eastAsia="Calibri" w:hAnsi="Calibri" w:cs="Calibri"/>
          <w:sz w:val="22"/>
          <w:szCs w:val="22"/>
        </w:rPr>
        <w:t xml:space="preserve"> T. Cahill (2006), west Academic publishing.</w:t>
      </w:r>
    </w:p>
    <w:p w14:paraId="698D0B44" w14:textId="7547E121" w:rsidR="3EA1E846" w:rsidRDefault="3EA1E846" w:rsidP="3EA1E846">
      <w:pPr>
        <w:spacing w:after="160"/>
        <w:rPr>
          <w:rFonts w:ascii="Calibri" w:eastAsia="Calibri" w:hAnsi="Calibri" w:cs="Calibri"/>
          <w:sz w:val="22"/>
          <w:szCs w:val="22"/>
        </w:rPr>
      </w:pPr>
      <w:r w:rsidRPr="3EA1E846">
        <w:rPr>
          <w:rFonts w:ascii="Calibri" w:eastAsia="Calibri" w:hAnsi="Calibri" w:cs="Calibri"/>
          <w:sz w:val="22"/>
          <w:szCs w:val="22"/>
        </w:rPr>
        <w:t xml:space="preserve">“Criminal Law: Cases and Materials” by John Kaplan, Robert Weisberg, and </w:t>
      </w:r>
      <w:proofErr w:type="spellStart"/>
      <w:r w:rsidRPr="3EA1E846">
        <w:rPr>
          <w:rFonts w:ascii="Calibri" w:eastAsia="Calibri" w:hAnsi="Calibri" w:cs="Calibri"/>
          <w:sz w:val="22"/>
          <w:szCs w:val="22"/>
        </w:rPr>
        <w:t>Guyora</w:t>
      </w:r>
      <w:proofErr w:type="spellEnd"/>
      <w:r w:rsidRPr="3EA1E846">
        <w:rPr>
          <w:rFonts w:ascii="Calibri" w:eastAsia="Calibri" w:hAnsi="Calibri" w:cs="Calibri"/>
          <w:sz w:val="22"/>
          <w:szCs w:val="22"/>
        </w:rPr>
        <w:t xml:space="preserve"> Binder (2018) Wolters Kluwer.</w:t>
      </w:r>
    </w:p>
    <w:p w14:paraId="73D86911" w14:textId="6B4E66DC" w:rsidR="3EA1E846" w:rsidRDefault="3EA1E846" w:rsidP="3EA1E846">
      <w:pPr>
        <w:spacing w:after="160"/>
        <w:rPr>
          <w:rFonts w:ascii="Calibri" w:eastAsia="Calibri" w:hAnsi="Calibri" w:cs="Calibri"/>
          <w:sz w:val="22"/>
          <w:szCs w:val="22"/>
        </w:rPr>
      </w:pPr>
      <w:r w:rsidRPr="3EA1E846">
        <w:rPr>
          <w:rFonts w:ascii="Calibri" w:eastAsia="Calibri" w:hAnsi="Calibri" w:cs="Calibri"/>
          <w:sz w:val="22"/>
          <w:szCs w:val="22"/>
        </w:rPr>
        <w:t xml:space="preserve">Ghosh (1982) EWCA CRIM2, (1987) QB 1053 in text citation (Ghosh (1982) </w:t>
      </w:r>
    </w:p>
    <w:p w14:paraId="44331DA4" w14:textId="35BD4A02" w:rsidR="3EA1E846" w:rsidRDefault="3EA1E846" w:rsidP="3EA1E846">
      <w:pPr>
        <w:spacing w:after="160"/>
        <w:rPr>
          <w:rFonts w:ascii="Calibri" w:eastAsia="Calibri" w:hAnsi="Calibri" w:cs="Calibri"/>
          <w:sz w:val="22"/>
          <w:szCs w:val="22"/>
        </w:rPr>
      </w:pPr>
      <w:proofErr w:type="spellStart"/>
      <w:r w:rsidRPr="3EA1E846">
        <w:rPr>
          <w:rFonts w:ascii="Calibri" w:eastAsia="Calibri" w:hAnsi="Calibri" w:cs="Calibri"/>
          <w:sz w:val="22"/>
          <w:szCs w:val="22"/>
        </w:rPr>
        <w:t>Jogee</w:t>
      </w:r>
      <w:proofErr w:type="spellEnd"/>
      <w:r w:rsidRPr="3EA1E846">
        <w:rPr>
          <w:rFonts w:ascii="Calibri" w:eastAsia="Calibri" w:hAnsi="Calibri" w:cs="Calibri"/>
          <w:sz w:val="22"/>
          <w:szCs w:val="22"/>
        </w:rPr>
        <w:t xml:space="preserve"> case refers to the UK supreme court case of R v </w:t>
      </w:r>
      <w:proofErr w:type="spellStart"/>
      <w:r w:rsidRPr="3EA1E846">
        <w:rPr>
          <w:rFonts w:ascii="Calibri" w:eastAsia="Calibri" w:hAnsi="Calibri" w:cs="Calibri"/>
          <w:sz w:val="22"/>
          <w:szCs w:val="22"/>
        </w:rPr>
        <w:t>Jogee</w:t>
      </w:r>
      <w:proofErr w:type="spellEnd"/>
      <w:r w:rsidRPr="3EA1E846">
        <w:rPr>
          <w:rFonts w:ascii="Calibri" w:eastAsia="Calibri" w:hAnsi="Calibri" w:cs="Calibri"/>
          <w:sz w:val="22"/>
          <w:szCs w:val="22"/>
        </w:rPr>
        <w:t xml:space="preserve"> (2016) UKSC8, which revised to law on joint enterprise in criminal law.</w:t>
      </w:r>
    </w:p>
    <w:p w14:paraId="3C1CA68D" w14:textId="01690A39" w:rsidR="3EA1E846" w:rsidRDefault="3EA1E846" w:rsidP="3EA1E846">
      <w:pPr>
        <w:spacing w:after="160"/>
        <w:rPr>
          <w:rFonts w:ascii="Calibri" w:eastAsia="Calibri" w:hAnsi="Calibri" w:cs="Calibri"/>
          <w:sz w:val="22"/>
          <w:szCs w:val="22"/>
        </w:rPr>
      </w:pPr>
      <w:r w:rsidRPr="3EA1E846">
        <w:rPr>
          <w:rFonts w:ascii="Calibri" w:eastAsia="Calibri" w:hAnsi="Calibri" w:cs="Calibri"/>
          <w:sz w:val="22"/>
          <w:szCs w:val="22"/>
        </w:rPr>
        <w:t xml:space="preserve">Journal of criminal law and criminology, the Harvard law </w:t>
      </w:r>
      <w:proofErr w:type="gramStart"/>
      <w:r w:rsidRPr="3EA1E846">
        <w:rPr>
          <w:rFonts w:ascii="Calibri" w:eastAsia="Calibri" w:hAnsi="Calibri" w:cs="Calibri"/>
          <w:sz w:val="22"/>
          <w:szCs w:val="22"/>
        </w:rPr>
        <w:t>reviews</w:t>
      </w:r>
      <w:proofErr w:type="gramEnd"/>
      <w:r w:rsidRPr="3EA1E846">
        <w:rPr>
          <w:rFonts w:ascii="Calibri" w:eastAsia="Calibri" w:hAnsi="Calibri" w:cs="Calibri"/>
          <w:sz w:val="22"/>
          <w:szCs w:val="22"/>
        </w:rPr>
        <w:t xml:space="preserve"> </w:t>
      </w:r>
    </w:p>
    <w:p w14:paraId="0BF985C9" w14:textId="0AA97A51" w:rsidR="3EA1E846" w:rsidRDefault="3EA1E846" w:rsidP="3EA1E846">
      <w:pPr>
        <w:spacing w:after="160"/>
        <w:rPr>
          <w:rFonts w:ascii="Calibri" w:eastAsia="Calibri" w:hAnsi="Calibri" w:cs="Calibri"/>
          <w:sz w:val="22"/>
          <w:szCs w:val="22"/>
        </w:rPr>
      </w:pPr>
      <w:r w:rsidRPr="3EA1E846">
        <w:rPr>
          <w:rFonts w:ascii="Calibri" w:eastAsia="Calibri" w:hAnsi="Calibri" w:cs="Calibri"/>
          <w:sz w:val="22"/>
          <w:szCs w:val="22"/>
        </w:rPr>
        <w:t>“Law Reform” by Michael Zander (2018), Oxford University Press.</w:t>
      </w:r>
    </w:p>
    <w:p w14:paraId="458D163A" w14:textId="0B4145E9" w:rsidR="3EA1E846" w:rsidRDefault="3EA1E846" w:rsidP="3EA1E846">
      <w:pPr>
        <w:spacing w:after="160"/>
        <w:rPr>
          <w:rFonts w:ascii="Calibri" w:eastAsia="Calibri" w:hAnsi="Calibri" w:cs="Calibri"/>
          <w:sz w:val="22"/>
          <w:szCs w:val="22"/>
        </w:rPr>
      </w:pPr>
      <w:r w:rsidRPr="3EA1E846">
        <w:rPr>
          <w:rFonts w:ascii="Calibri" w:eastAsia="Calibri" w:hAnsi="Calibri" w:cs="Calibri"/>
          <w:sz w:val="22"/>
          <w:szCs w:val="22"/>
        </w:rPr>
        <w:t xml:space="preserve">“Law Reform in Developing and Transitional States” by P.N Bhagwati and M.C. Bhagwati </w:t>
      </w:r>
    </w:p>
    <w:p w14:paraId="0350D03E" w14:textId="4C212622" w:rsidR="3EA1E846" w:rsidRDefault="3EA1E846" w:rsidP="3EA1E846">
      <w:pPr>
        <w:spacing w:after="160"/>
        <w:rPr>
          <w:rFonts w:ascii="Calibri" w:eastAsia="Calibri" w:hAnsi="Calibri" w:cs="Calibri"/>
          <w:sz w:val="22"/>
          <w:szCs w:val="22"/>
        </w:rPr>
      </w:pPr>
      <w:r w:rsidRPr="3EA1E846">
        <w:rPr>
          <w:rFonts w:ascii="Calibri" w:eastAsia="Calibri" w:hAnsi="Calibri" w:cs="Calibri"/>
          <w:sz w:val="22"/>
          <w:szCs w:val="22"/>
        </w:rPr>
        <w:t>(2018)</w:t>
      </w:r>
    </w:p>
    <w:p w14:paraId="51B59054" w14:textId="7BB89BC5" w:rsidR="3EA1E846" w:rsidRDefault="3EA1E846" w:rsidP="3EA1E846">
      <w:pPr>
        <w:spacing w:after="160"/>
        <w:rPr>
          <w:rFonts w:ascii="Calibri" w:eastAsia="Calibri" w:hAnsi="Calibri" w:cs="Calibri"/>
          <w:sz w:val="22"/>
          <w:szCs w:val="22"/>
        </w:rPr>
      </w:pPr>
      <w:r w:rsidRPr="3EA1E846">
        <w:rPr>
          <w:rFonts w:ascii="Calibri" w:eastAsia="Calibri" w:hAnsi="Calibri" w:cs="Calibri"/>
          <w:sz w:val="22"/>
          <w:szCs w:val="22"/>
        </w:rPr>
        <w:t xml:space="preserve">“The politics of Law Reform’ by David M. Engel and frank W. Munger (2016) Oxford University </w:t>
      </w:r>
    </w:p>
    <w:p w14:paraId="4EE65A63" w14:textId="4FCEB023" w:rsidR="3EA1E846" w:rsidRDefault="3EA1E846" w:rsidP="3EA1E846">
      <w:pPr>
        <w:spacing w:after="160"/>
        <w:rPr>
          <w:rFonts w:ascii="Calibri" w:eastAsia="Calibri" w:hAnsi="Calibri" w:cs="Calibri"/>
          <w:sz w:val="22"/>
          <w:szCs w:val="22"/>
        </w:rPr>
      </w:pPr>
      <w:r w:rsidRPr="3EA1E846">
        <w:rPr>
          <w:rFonts w:ascii="Calibri" w:eastAsia="Calibri" w:hAnsi="Calibri" w:cs="Calibri"/>
          <w:sz w:val="22"/>
          <w:szCs w:val="22"/>
        </w:rPr>
        <w:t xml:space="preserve">Scarcity studios – </w:t>
      </w:r>
      <w:hyperlink r:id="rId6">
        <w:r w:rsidRPr="3EA1E846">
          <w:rPr>
            <w:rStyle w:val="Hyperlink"/>
            <w:rFonts w:ascii="Calibri" w:eastAsia="Calibri" w:hAnsi="Calibri" w:cs="Calibri"/>
            <w:sz w:val="22"/>
            <w:szCs w:val="22"/>
          </w:rPr>
          <w:t>https://www</w:t>
        </w:r>
      </w:hyperlink>
      <w:r w:rsidRPr="3EA1E846">
        <w:rPr>
          <w:rFonts w:ascii="Calibri" w:eastAsia="Calibri" w:hAnsi="Calibri" w:cs="Calibri"/>
          <w:sz w:val="22"/>
          <w:szCs w:val="22"/>
        </w:rPr>
        <w:t xml:space="preserve">.Operations.co.uk </w:t>
      </w:r>
    </w:p>
    <w:p w14:paraId="555538F3" w14:textId="7F34EF87" w:rsidR="3EA1E846" w:rsidRDefault="3EA1E846" w:rsidP="3EA1E846">
      <w:pPr>
        <w:spacing w:after="160"/>
        <w:rPr>
          <w:rFonts w:ascii="Calibri" w:eastAsia="Calibri" w:hAnsi="Calibri" w:cs="Calibri"/>
          <w:sz w:val="22"/>
          <w:szCs w:val="22"/>
        </w:rPr>
      </w:pPr>
      <w:r w:rsidRPr="3EA1E846">
        <w:rPr>
          <w:rFonts w:ascii="Calibri" w:eastAsia="Calibri" w:hAnsi="Calibri" w:cs="Calibri"/>
          <w:sz w:val="22"/>
          <w:szCs w:val="22"/>
        </w:rPr>
        <w:t xml:space="preserve">SCOTUS blog, Law 360 </w:t>
      </w:r>
    </w:p>
    <w:p w14:paraId="2EAC9D2F" w14:textId="67DDBE39" w:rsidR="3EA1E846" w:rsidRDefault="3EA1E846" w:rsidP="3EA1E846">
      <w:pPr>
        <w:spacing w:after="160"/>
        <w:rPr>
          <w:rFonts w:ascii="Calibri" w:eastAsia="Calibri" w:hAnsi="Calibri" w:cs="Calibri"/>
          <w:sz w:val="22"/>
          <w:szCs w:val="22"/>
        </w:rPr>
      </w:pPr>
      <w:r w:rsidRPr="3EA1E846">
        <w:rPr>
          <w:rFonts w:ascii="Calibri" w:eastAsia="Calibri" w:hAnsi="Calibri" w:cs="Calibri"/>
          <w:sz w:val="22"/>
          <w:szCs w:val="22"/>
        </w:rPr>
        <w:t xml:space="preserve">Smith. J. (2019). The men’s rea and actus reus of theft and GBH </w:t>
      </w:r>
      <w:proofErr w:type="spellStart"/>
      <w:r w:rsidRPr="3EA1E846">
        <w:rPr>
          <w:rFonts w:ascii="Calibri" w:eastAsia="Calibri" w:hAnsi="Calibri" w:cs="Calibri"/>
          <w:sz w:val="22"/>
          <w:szCs w:val="22"/>
        </w:rPr>
        <w:t>crinmal</w:t>
      </w:r>
      <w:proofErr w:type="spellEnd"/>
      <w:r w:rsidRPr="3EA1E846">
        <w:rPr>
          <w:rFonts w:ascii="Calibri" w:eastAsia="Calibri" w:hAnsi="Calibri" w:cs="Calibri"/>
          <w:sz w:val="22"/>
          <w:szCs w:val="22"/>
        </w:rPr>
        <w:t xml:space="preserve"> Law review, 7 (2) 45-60 </w:t>
      </w:r>
    </w:p>
    <w:p w14:paraId="7E2BDB3C" w14:textId="6C975E8D" w:rsidR="3EA1E846" w:rsidRDefault="3EA1E846" w:rsidP="3EA1E846">
      <w:pPr>
        <w:spacing w:after="160"/>
        <w:rPr>
          <w:rFonts w:ascii="Calibri" w:eastAsia="Calibri" w:hAnsi="Calibri" w:cs="Calibri"/>
          <w:sz w:val="22"/>
          <w:szCs w:val="22"/>
        </w:rPr>
      </w:pPr>
      <w:r w:rsidRPr="3EA1E846">
        <w:rPr>
          <w:rFonts w:ascii="Calibri" w:eastAsia="Calibri" w:hAnsi="Calibri" w:cs="Calibri"/>
          <w:sz w:val="22"/>
          <w:szCs w:val="22"/>
        </w:rPr>
        <w:t>Yale law journal</w:t>
      </w:r>
    </w:p>
    <w:p w14:paraId="78133403" w14:textId="6240290D" w:rsidR="3EA1E846" w:rsidRDefault="3EA1E846" w:rsidP="3EA1E846">
      <w:pPr>
        <w:spacing w:after="160"/>
        <w:rPr>
          <w:rFonts w:ascii="Calibri" w:eastAsia="Calibri" w:hAnsi="Calibri" w:cs="Calibri"/>
        </w:rPr>
      </w:pPr>
    </w:p>
    <w:p w14:paraId="73E4D753" w14:textId="540BB565" w:rsidR="635B464B" w:rsidRDefault="635B464B" w:rsidP="635B464B">
      <w:pPr>
        <w:spacing w:after="160"/>
        <w:rPr>
          <w:rFonts w:ascii="Calibri" w:eastAsia="Calibri" w:hAnsi="Calibri" w:cs="Calibri"/>
        </w:rPr>
      </w:pPr>
    </w:p>
    <w:p w14:paraId="4F7758AB" w14:textId="0C0723DF" w:rsidR="635B464B" w:rsidRDefault="635B464B" w:rsidP="635B464B"/>
    <w:sectPr w:rsidR="635B464B">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C08B7" w14:textId="77777777" w:rsidR="00A32122" w:rsidRDefault="00A32122" w:rsidP="00DB5823">
      <w:pPr>
        <w:spacing w:after="0" w:line="240" w:lineRule="auto"/>
      </w:pPr>
      <w:r>
        <w:separator/>
      </w:r>
    </w:p>
  </w:endnote>
  <w:endnote w:type="continuationSeparator" w:id="0">
    <w:p w14:paraId="15059652" w14:textId="77777777" w:rsidR="00A32122" w:rsidRDefault="00A32122" w:rsidP="00DB5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Brush Script MT">
    <w:panose1 w:val="03060802040406070304"/>
    <w:charset w:val="86"/>
    <w:family w:val="script"/>
    <w:pitch w:val="variable"/>
    <w:sig w:usb0="00000001" w:usb1="080E0000" w:usb2="00000010" w:usb3="00000000" w:csb0="0025003B"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92823" w14:textId="1B4AB219" w:rsidR="00DB5823" w:rsidRDefault="00DB5823">
    <w:pPr>
      <w:pStyle w:val="Foot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F38E8" w14:textId="77777777" w:rsidR="00A32122" w:rsidRDefault="00A32122" w:rsidP="00DB5823">
      <w:pPr>
        <w:spacing w:after="0" w:line="240" w:lineRule="auto"/>
      </w:pPr>
      <w:r>
        <w:separator/>
      </w:r>
    </w:p>
  </w:footnote>
  <w:footnote w:type="continuationSeparator" w:id="0">
    <w:p w14:paraId="426BE694" w14:textId="77777777" w:rsidR="00A32122" w:rsidRDefault="00A32122" w:rsidP="00DB582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B9lTd48HAAmhs5" int2:id="tYs1UKDJ">
      <int2:state int2:value="Rejected" int2:type="AugLoop_Text_Critique"/>
    </int2:textHash>
    <int2:entireDocument int2:id="28uG16vu">
      <int2:extLst>
        <oel:ext uri="E302BA01-7950-474C-9AD3-286E660C40A8">
          <int2:similaritySummary int2:version="1" int2:runId="1688050445470" int2:tilesCheckedInThisRun="0" int2:totalNumOfTiles="6" int2:similarityAnnotationCount="0" int2:numWords="1521"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5E5787A5-1ACA63DA 68792614-0252E8D8 17F2EC38-7544E791 5B0467E3-2AC06C25 79F39F4B-4F504A10 028BC473-59F11C61 0B0319B0-5731947F 584D9483-7744FED6 09A2C41D-0C949B58"/>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38A33D"/>
    <w:rsid w:val="00A32122"/>
    <w:rsid w:val="00D47A38"/>
    <w:rsid w:val="00DB5823"/>
    <w:rsid w:val="0157C516"/>
    <w:rsid w:val="023A69D8"/>
    <w:rsid w:val="0AE00854"/>
    <w:rsid w:val="28CAA549"/>
    <w:rsid w:val="3E7ADBBD"/>
    <w:rsid w:val="3EA1E846"/>
    <w:rsid w:val="444DA66E"/>
    <w:rsid w:val="45E43644"/>
    <w:rsid w:val="4E53F8D3"/>
    <w:rsid w:val="635B464B"/>
    <w:rsid w:val="6983883F"/>
    <w:rsid w:val="6D38A33D"/>
    <w:rsid w:val="79E442BE"/>
    <w:rsid w:val="7A10F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00854"/>
  <w15:chartTrackingRefBased/>
  <w15:docId w15:val="{4BA224C7-DD2D-41B4-8A19-A1A21CCD7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E7ADBBD"/>
    <w:pPr>
      <w:spacing w:after="240"/>
    </w:pPr>
    <w:rPr>
      <w:rFonts w:ascii="Corbel"/>
      <w:sz w:val="24"/>
      <w:szCs w:val="24"/>
    </w:rPr>
  </w:style>
  <w:style w:type="paragraph" w:styleId="Heading1">
    <w:name w:val="heading 1"/>
    <w:basedOn w:val="Normal"/>
    <w:next w:val="Normal"/>
    <w:link w:val="Heading1Char"/>
    <w:uiPriority w:val="9"/>
    <w:qFormat/>
    <w:rsid w:val="3E7ADBBD"/>
    <w:pPr>
      <w:keepNext/>
      <w:keepLines/>
      <w:spacing w:before="480" w:after="80"/>
      <w:outlineLvl w:val="0"/>
    </w:pPr>
    <w:rPr>
      <w:b/>
      <w:bCs/>
      <w:color w:val="86328B"/>
      <w:sz w:val="42"/>
      <w:szCs w:val="42"/>
    </w:rPr>
  </w:style>
  <w:style w:type="paragraph" w:styleId="Heading2">
    <w:name w:val="heading 2"/>
    <w:basedOn w:val="Normal"/>
    <w:next w:val="Normal"/>
    <w:link w:val="Heading2Char"/>
    <w:uiPriority w:val="9"/>
    <w:unhideWhenUsed/>
    <w:qFormat/>
    <w:rsid w:val="3E7ADBBD"/>
    <w:pPr>
      <w:keepNext/>
      <w:keepLines/>
      <w:spacing w:before="240" w:after="80"/>
      <w:outlineLvl w:val="1"/>
    </w:pPr>
    <w:rPr>
      <w:b/>
      <w:bCs/>
      <w:color w:val="86328B"/>
      <w:sz w:val="32"/>
      <w:szCs w:val="32"/>
    </w:rPr>
  </w:style>
  <w:style w:type="paragraph" w:styleId="Heading3">
    <w:name w:val="heading 3"/>
    <w:basedOn w:val="Normal"/>
    <w:next w:val="Normal"/>
    <w:link w:val="Heading3Char"/>
    <w:uiPriority w:val="9"/>
    <w:unhideWhenUsed/>
    <w:qFormat/>
    <w:rsid w:val="3E7ADBBD"/>
    <w:pPr>
      <w:keepNext/>
      <w:keepLines/>
      <w:spacing w:before="240" w:after="80"/>
      <w:outlineLvl w:val="2"/>
    </w:pPr>
    <w:rPr>
      <w:b/>
      <w:bCs/>
      <w:color w:val="86328B"/>
      <w:sz w:val="30"/>
      <w:szCs w:val="30"/>
    </w:rPr>
  </w:style>
  <w:style w:type="paragraph" w:styleId="Heading4">
    <w:name w:val="heading 4"/>
    <w:basedOn w:val="Normal"/>
    <w:next w:val="Normal"/>
    <w:link w:val="Heading4Char"/>
    <w:uiPriority w:val="9"/>
    <w:unhideWhenUsed/>
    <w:qFormat/>
    <w:rsid w:val="3E7ADBBD"/>
    <w:pPr>
      <w:keepNext/>
      <w:keepLines/>
      <w:spacing w:before="240" w:after="80"/>
      <w:outlineLvl w:val="3"/>
    </w:pPr>
    <w:rPr>
      <w:b/>
      <w:bCs/>
      <w:color w:val="86328B"/>
      <w:sz w:val="29"/>
      <w:szCs w:val="29"/>
    </w:rPr>
  </w:style>
  <w:style w:type="paragraph" w:styleId="Heading5">
    <w:name w:val="heading 5"/>
    <w:basedOn w:val="Normal"/>
    <w:next w:val="Normal"/>
    <w:link w:val="Heading5Char"/>
    <w:uiPriority w:val="9"/>
    <w:unhideWhenUsed/>
    <w:qFormat/>
    <w:rsid w:val="3E7ADBBD"/>
    <w:pPr>
      <w:keepNext/>
      <w:keepLines/>
      <w:spacing w:before="240" w:after="80"/>
      <w:outlineLvl w:val="4"/>
    </w:pPr>
    <w:rPr>
      <w:b/>
      <w:bCs/>
      <w:color w:val="86328B"/>
      <w:sz w:val="28"/>
      <w:szCs w:val="28"/>
    </w:rPr>
  </w:style>
  <w:style w:type="paragraph" w:styleId="Heading6">
    <w:name w:val="heading 6"/>
    <w:basedOn w:val="Normal"/>
    <w:next w:val="Normal"/>
    <w:link w:val="Heading6Char"/>
    <w:uiPriority w:val="9"/>
    <w:unhideWhenUsed/>
    <w:qFormat/>
    <w:rsid w:val="3E7ADBBD"/>
    <w:pPr>
      <w:keepNext/>
      <w:keepLines/>
      <w:spacing w:before="240" w:after="80"/>
      <w:outlineLvl w:val="5"/>
    </w:pPr>
    <w:rPr>
      <w:b/>
      <w:bCs/>
      <w:color w:val="86328B"/>
      <w:sz w:val="27"/>
      <w:szCs w:val="27"/>
    </w:rPr>
  </w:style>
  <w:style w:type="paragraph" w:styleId="Heading7">
    <w:name w:val="heading 7"/>
    <w:basedOn w:val="Normal"/>
    <w:next w:val="Normal"/>
    <w:link w:val="Heading7Char"/>
    <w:uiPriority w:val="9"/>
    <w:unhideWhenUsed/>
    <w:qFormat/>
    <w:rsid w:val="3E7ADBBD"/>
    <w:pPr>
      <w:keepNext/>
      <w:keepLines/>
      <w:spacing w:before="240" w:after="80"/>
      <w:outlineLvl w:val="6"/>
    </w:pPr>
    <w:rPr>
      <w:b/>
      <w:bCs/>
      <w:color w:val="86328B"/>
      <w:sz w:val="26"/>
      <w:szCs w:val="26"/>
    </w:rPr>
  </w:style>
  <w:style w:type="paragraph" w:styleId="Heading8">
    <w:name w:val="heading 8"/>
    <w:basedOn w:val="Normal"/>
    <w:next w:val="Normal"/>
    <w:link w:val="Heading8Char"/>
    <w:uiPriority w:val="9"/>
    <w:unhideWhenUsed/>
    <w:qFormat/>
    <w:rsid w:val="3E7ADBBD"/>
    <w:pPr>
      <w:keepNext/>
      <w:keepLines/>
      <w:spacing w:before="240" w:after="80"/>
      <w:outlineLvl w:val="7"/>
    </w:pPr>
    <w:rPr>
      <w:b/>
      <w:bCs/>
      <w:color w:val="86328B"/>
      <w:sz w:val="25"/>
      <w:szCs w:val="25"/>
    </w:rPr>
  </w:style>
  <w:style w:type="paragraph" w:styleId="Heading9">
    <w:name w:val="heading 9"/>
    <w:basedOn w:val="Normal"/>
    <w:next w:val="Normal"/>
    <w:link w:val="Heading9Char"/>
    <w:uiPriority w:val="9"/>
    <w:unhideWhenUsed/>
    <w:qFormat/>
    <w:rsid w:val="3E7ADBBD"/>
    <w:pPr>
      <w:keepNext/>
      <w:keepLines/>
      <w:spacing w:before="240" w:after="80"/>
      <w:outlineLvl w:val="8"/>
    </w:pPr>
    <w:rPr>
      <w:b/>
      <w:bCs/>
      <w:color w:val="86328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E7ADBBD"/>
    <w:pPr>
      <w:spacing w:after="160"/>
    </w:pPr>
    <w:rPr>
      <w:rFonts w:ascii="Brush Script MT"/>
      <w:b/>
      <w:bCs/>
      <w:color w:val="86328B"/>
      <w:sz w:val="80"/>
      <w:szCs w:val="80"/>
    </w:rPr>
  </w:style>
  <w:style w:type="paragraph" w:styleId="Subtitle">
    <w:name w:val="Subtitle"/>
    <w:basedOn w:val="Normal"/>
    <w:next w:val="Normal"/>
    <w:link w:val="SubtitleChar"/>
    <w:uiPriority w:val="11"/>
    <w:qFormat/>
    <w:rsid w:val="3E7ADBBD"/>
    <w:pPr>
      <w:spacing w:after="480"/>
    </w:pPr>
    <w:rPr>
      <w:rFonts w:ascii="Brush Script MT"/>
      <w:sz w:val="52"/>
      <w:szCs w:val="52"/>
    </w:rPr>
  </w:style>
  <w:style w:type="paragraph" w:styleId="Quote">
    <w:name w:val="Quote"/>
    <w:basedOn w:val="Normal"/>
    <w:next w:val="Normal"/>
    <w:link w:val="QuoteChar"/>
    <w:uiPriority w:val="29"/>
    <w:qFormat/>
    <w:rsid w:val="3E7ADBBD"/>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E7ADBBD"/>
    <w:pPr>
      <w:spacing w:before="360" w:after="360"/>
      <w:ind w:left="864" w:right="864"/>
      <w:jc w:val="center"/>
    </w:pPr>
    <w:rPr>
      <w:i/>
      <w:iCs/>
      <w:color w:val="4472C4" w:themeColor="accent1"/>
    </w:rPr>
  </w:style>
  <w:style w:type="paragraph" w:styleId="ListParagraph">
    <w:name w:val="List Paragraph"/>
    <w:basedOn w:val="Normal"/>
    <w:uiPriority w:val="34"/>
    <w:qFormat/>
    <w:rsid w:val="3E7ADBBD"/>
    <w:pPr>
      <w:ind w:hanging="360"/>
      <w:contextualSpacing/>
    </w:pPr>
  </w:style>
  <w:style w:type="character" w:customStyle="1" w:styleId="Heading1Char">
    <w:name w:val="Heading 1 Char"/>
    <w:basedOn w:val="DefaultParagraphFont"/>
    <w:link w:val="Heading1"/>
    <w:uiPriority w:val="9"/>
    <w:rsid w:val="3E7ADBBD"/>
    <w:rPr>
      <w:rFonts w:ascii="Corbel"/>
      <w:b/>
      <w:bCs/>
      <w:i w:val="0"/>
      <w:iCs w:val="0"/>
      <w:color w:val="86328B"/>
      <w:sz w:val="42"/>
      <w:szCs w:val="42"/>
      <w:u w:val="none"/>
    </w:rPr>
  </w:style>
  <w:style w:type="character" w:customStyle="1" w:styleId="Heading2Char">
    <w:name w:val="Heading 2 Char"/>
    <w:basedOn w:val="DefaultParagraphFont"/>
    <w:link w:val="Heading2"/>
    <w:uiPriority w:val="9"/>
    <w:rsid w:val="3E7ADBBD"/>
    <w:rPr>
      <w:rFonts w:ascii="Corbel"/>
      <w:b/>
      <w:bCs/>
      <w:i w:val="0"/>
      <w:iCs w:val="0"/>
      <w:color w:val="86328B"/>
      <w:sz w:val="32"/>
      <w:szCs w:val="32"/>
      <w:u w:val="none"/>
    </w:rPr>
  </w:style>
  <w:style w:type="character" w:customStyle="1" w:styleId="Heading3Char">
    <w:name w:val="Heading 3 Char"/>
    <w:basedOn w:val="DefaultParagraphFont"/>
    <w:link w:val="Heading3"/>
    <w:uiPriority w:val="9"/>
    <w:rsid w:val="3E7ADBBD"/>
    <w:rPr>
      <w:rFonts w:ascii="Corbel"/>
      <w:b/>
      <w:bCs/>
      <w:i w:val="0"/>
      <w:iCs w:val="0"/>
      <w:color w:val="86328B"/>
      <w:sz w:val="30"/>
      <w:szCs w:val="30"/>
      <w:u w:val="none"/>
    </w:rPr>
  </w:style>
  <w:style w:type="character" w:customStyle="1" w:styleId="Heading4Char">
    <w:name w:val="Heading 4 Char"/>
    <w:basedOn w:val="DefaultParagraphFont"/>
    <w:link w:val="Heading4"/>
    <w:uiPriority w:val="9"/>
    <w:rsid w:val="3E7ADBBD"/>
    <w:rPr>
      <w:rFonts w:ascii="Corbel"/>
      <w:b/>
      <w:bCs/>
      <w:i w:val="0"/>
      <w:iCs w:val="0"/>
      <w:color w:val="86328B"/>
      <w:sz w:val="29"/>
      <w:szCs w:val="29"/>
      <w:u w:val="none"/>
    </w:rPr>
  </w:style>
  <w:style w:type="character" w:customStyle="1" w:styleId="Heading5Char">
    <w:name w:val="Heading 5 Char"/>
    <w:basedOn w:val="DefaultParagraphFont"/>
    <w:link w:val="Heading5"/>
    <w:uiPriority w:val="9"/>
    <w:rsid w:val="3E7ADBBD"/>
    <w:rPr>
      <w:rFonts w:ascii="Corbel"/>
      <w:b/>
      <w:bCs/>
      <w:i w:val="0"/>
      <w:iCs w:val="0"/>
      <w:color w:val="86328B"/>
      <w:sz w:val="28"/>
      <w:szCs w:val="28"/>
      <w:u w:val="none"/>
    </w:rPr>
  </w:style>
  <w:style w:type="character" w:customStyle="1" w:styleId="Heading6Char">
    <w:name w:val="Heading 6 Char"/>
    <w:basedOn w:val="DefaultParagraphFont"/>
    <w:link w:val="Heading6"/>
    <w:uiPriority w:val="9"/>
    <w:rsid w:val="3E7ADBBD"/>
    <w:rPr>
      <w:rFonts w:ascii="Corbel"/>
      <w:b/>
      <w:bCs/>
      <w:i w:val="0"/>
      <w:iCs w:val="0"/>
      <w:color w:val="86328B"/>
      <w:sz w:val="27"/>
      <w:szCs w:val="27"/>
      <w:u w:val="none"/>
    </w:rPr>
  </w:style>
  <w:style w:type="character" w:customStyle="1" w:styleId="Heading7Char">
    <w:name w:val="Heading 7 Char"/>
    <w:basedOn w:val="DefaultParagraphFont"/>
    <w:link w:val="Heading7"/>
    <w:uiPriority w:val="9"/>
    <w:rsid w:val="3E7ADBBD"/>
    <w:rPr>
      <w:rFonts w:ascii="Corbel"/>
      <w:b/>
      <w:bCs/>
      <w:i w:val="0"/>
      <w:iCs w:val="0"/>
      <w:color w:val="86328B"/>
      <w:sz w:val="26"/>
      <w:szCs w:val="26"/>
      <w:u w:val="none"/>
    </w:rPr>
  </w:style>
  <w:style w:type="character" w:customStyle="1" w:styleId="Heading8Char">
    <w:name w:val="Heading 8 Char"/>
    <w:basedOn w:val="DefaultParagraphFont"/>
    <w:link w:val="Heading8"/>
    <w:uiPriority w:val="9"/>
    <w:rsid w:val="3E7ADBBD"/>
    <w:rPr>
      <w:rFonts w:ascii="Corbel"/>
      <w:b/>
      <w:bCs/>
      <w:i w:val="0"/>
      <w:iCs w:val="0"/>
      <w:color w:val="86328B"/>
      <w:sz w:val="25"/>
      <w:szCs w:val="25"/>
      <w:u w:val="none"/>
    </w:rPr>
  </w:style>
  <w:style w:type="character" w:customStyle="1" w:styleId="Heading9Char">
    <w:name w:val="Heading 9 Char"/>
    <w:basedOn w:val="DefaultParagraphFont"/>
    <w:link w:val="Heading9"/>
    <w:uiPriority w:val="9"/>
    <w:rsid w:val="3E7ADBBD"/>
    <w:rPr>
      <w:rFonts w:ascii="Corbel"/>
      <w:b/>
      <w:bCs/>
      <w:i w:val="0"/>
      <w:iCs w:val="0"/>
      <w:color w:val="86328B"/>
      <w:sz w:val="24"/>
      <w:szCs w:val="24"/>
      <w:u w:val="none"/>
    </w:rPr>
  </w:style>
  <w:style w:type="character" w:customStyle="1" w:styleId="TitleChar">
    <w:name w:val="Title Char"/>
    <w:basedOn w:val="DefaultParagraphFont"/>
    <w:link w:val="Title"/>
    <w:uiPriority w:val="10"/>
    <w:rsid w:val="3E7ADBBD"/>
    <w:rPr>
      <w:rFonts w:ascii="Brush Script MT"/>
      <w:b/>
      <w:bCs/>
      <w:i w:val="0"/>
      <w:iCs w:val="0"/>
      <w:color w:val="86328B"/>
      <w:sz w:val="80"/>
      <w:szCs w:val="80"/>
      <w:u w:val="none"/>
    </w:rPr>
  </w:style>
  <w:style w:type="character" w:customStyle="1" w:styleId="SubtitleChar">
    <w:name w:val="Subtitle Char"/>
    <w:basedOn w:val="DefaultParagraphFont"/>
    <w:link w:val="Subtitle"/>
    <w:uiPriority w:val="11"/>
    <w:rsid w:val="3E7ADBBD"/>
    <w:rPr>
      <w:rFonts w:ascii="Brush Script MT"/>
      <w:b w:val="0"/>
      <w:bCs w:val="0"/>
      <w:i w:val="0"/>
      <w:iCs w:val="0"/>
      <w:color w:val="auto"/>
      <w:sz w:val="52"/>
      <w:szCs w:val="52"/>
      <w:u w:val="none"/>
    </w:rPr>
  </w:style>
  <w:style w:type="character" w:customStyle="1" w:styleId="QuoteChar">
    <w:name w:val="Quote Char"/>
    <w:basedOn w:val="DefaultParagraphFont"/>
    <w:link w:val="Quote"/>
    <w:uiPriority w:val="29"/>
    <w:rsid w:val="3E7ADBBD"/>
    <w:rPr>
      <w:rFonts w:ascii="Corbel"/>
      <w:b w:val="0"/>
      <w:bCs w:val="0"/>
      <w:i/>
      <w:iCs/>
      <w:color w:val="404040" w:themeColor="text1" w:themeTint="BF"/>
      <w:sz w:val="24"/>
      <w:szCs w:val="24"/>
      <w:u w:val="none"/>
    </w:rPr>
  </w:style>
  <w:style w:type="character" w:customStyle="1" w:styleId="IntenseQuoteChar">
    <w:name w:val="Intense Quote Char"/>
    <w:basedOn w:val="DefaultParagraphFont"/>
    <w:link w:val="IntenseQuote"/>
    <w:uiPriority w:val="30"/>
    <w:rsid w:val="3E7ADBBD"/>
    <w:rPr>
      <w:rFonts w:ascii="Corbel"/>
      <w:b w:val="0"/>
      <w:bCs w:val="0"/>
      <w:i/>
      <w:iCs/>
      <w:color w:val="4472C4" w:themeColor="accent1"/>
      <w:sz w:val="24"/>
      <w:szCs w:val="24"/>
      <w:u w:val="none"/>
    </w:rPr>
  </w:style>
  <w:style w:type="paragraph" w:styleId="TOC1">
    <w:name w:val="toc 1"/>
    <w:basedOn w:val="Normal"/>
    <w:next w:val="Normal"/>
    <w:uiPriority w:val="39"/>
    <w:unhideWhenUsed/>
    <w:rsid w:val="3E7ADBBD"/>
    <w:pPr>
      <w:spacing w:after="100"/>
    </w:pPr>
  </w:style>
  <w:style w:type="paragraph" w:styleId="TOC2">
    <w:name w:val="toc 2"/>
    <w:basedOn w:val="Normal"/>
    <w:next w:val="Normal"/>
    <w:uiPriority w:val="39"/>
    <w:unhideWhenUsed/>
    <w:rsid w:val="3E7ADBBD"/>
    <w:pPr>
      <w:spacing w:after="100"/>
      <w:ind w:left="220"/>
    </w:pPr>
  </w:style>
  <w:style w:type="paragraph" w:styleId="TOC3">
    <w:name w:val="toc 3"/>
    <w:basedOn w:val="Normal"/>
    <w:next w:val="Normal"/>
    <w:uiPriority w:val="39"/>
    <w:unhideWhenUsed/>
    <w:rsid w:val="3E7ADBBD"/>
    <w:pPr>
      <w:spacing w:after="100"/>
      <w:ind w:left="440"/>
    </w:pPr>
  </w:style>
  <w:style w:type="paragraph" w:styleId="TOC4">
    <w:name w:val="toc 4"/>
    <w:basedOn w:val="Normal"/>
    <w:next w:val="Normal"/>
    <w:uiPriority w:val="39"/>
    <w:unhideWhenUsed/>
    <w:rsid w:val="3E7ADBBD"/>
    <w:pPr>
      <w:spacing w:after="100"/>
      <w:ind w:left="660"/>
    </w:pPr>
  </w:style>
  <w:style w:type="paragraph" w:styleId="TOC5">
    <w:name w:val="toc 5"/>
    <w:basedOn w:val="Normal"/>
    <w:next w:val="Normal"/>
    <w:uiPriority w:val="39"/>
    <w:unhideWhenUsed/>
    <w:rsid w:val="3E7ADBBD"/>
    <w:pPr>
      <w:spacing w:after="100"/>
      <w:ind w:left="880"/>
    </w:pPr>
  </w:style>
  <w:style w:type="paragraph" w:styleId="TOC6">
    <w:name w:val="toc 6"/>
    <w:basedOn w:val="Normal"/>
    <w:next w:val="Normal"/>
    <w:uiPriority w:val="39"/>
    <w:unhideWhenUsed/>
    <w:rsid w:val="3E7ADBBD"/>
    <w:pPr>
      <w:spacing w:after="100"/>
      <w:ind w:left="1100"/>
    </w:pPr>
  </w:style>
  <w:style w:type="paragraph" w:styleId="TOC7">
    <w:name w:val="toc 7"/>
    <w:basedOn w:val="Normal"/>
    <w:next w:val="Normal"/>
    <w:uiPriority w:val="39"/>
    <w:unhideWhenUsed/>
    <w:rsid w:val="3E7ADBBD"/>
    <w:pPr>
      <w:spacing w:after="100"/>
      <w:ind w:left="1320"/>
    </w:pPr>
  </w:style>
  <w:style w:type="paragraph" w:styleId="TOC8">
    <w:name w:val="toc 8"/>
    <w:basedOn w:val="Normal"/>
    <w:next w:val="Normal"/>
    <w:uiPriority w:val="39"/>
    <w:unhideWhenUsed/>
    <w:rsid w:val="3E7ADBBD"/>
    <w:pPr>
      <w:spacing w:after="100"/>
      <w:ind w:left="1540"/>
    </w:pPr>
  </w:style>
  <w:style w:type="paragraph" w:styleId="TOC9">
    <w:name w:val="toc 9"/>
    <w:basedOn w:val="Normal"/>
    <w:next w:val="Normal"/>
    <w:uiPriority w:val="39"/>
    <w:unhideWhenUsed/>
    <w:rsid w:val="3E7ADBBD"/>
    <w:pPr>
      <w:spacing w:after="100"/>
      <w:ind w:left="1760"/>
    </w:pPr>
  </w:style>
  <w:style w:type="paragraph" w:styleId="EndnoteText">
    <w:name w:val="endnote text"/>
    <w:basedOn w:val="Normal"/>
    <w:link w:val="EndnoteTextChar"/>
    <w:uiPriority w:val="99"/>
    <w:semiHidden/>
    <w:unhideWhenUsed/>
    <w:rsid w:val="3E7ADBBD"/>
    <w:pPr>
      <w:spacing w:after="0"/>
    </w:pPr>
    <w:rPr>
      <w:sz w:val="20"/>
      <w:szCs w:val="20"/>
    </w:rPr>
  </w:style>
  <w:style w:type="character" w:customStyle="1" w:styleId="EndnoteTextChar">
    <w:name w:val="Endnote Text Char"/>
    <w:basedOn w:val="DefaultParagraphFont"/>
    <w:link w:val="EndnoteText"/>
    <w:uiPriority w:val="99"/>
    <w:semiHidden/>
    <w:rsid w:val="3E7ADBBD"/>
    <w:rPr>
      <w:rFonts w:ascii="Corbel"/>
      <w:b w:val="0"/>
      <w:bCs w:val="0"/>
      <w:i w:val="0"/>
      <w:iCs w:val="0"/>
      <w:color w:val="auto"/>
      <w:sz w:val="20"/>
      <w:szCs w:val="20"/>
      <w:u w:val="none"/>
    </w:rPr>
  </w:style>
  <w:style w:type="paragraph" w:styleId="Footer">
    <w:name w:val="footer"/>
    <w:basedOn w:val="Normal"/>
    <w:link w:val="FooterChar"/>
    <w:uiPriority w:val="99"/>
    <w:unhideWhenUsed/>
    <w:rsid w:val="3E7ADBBD"/>
    <w:pPr>
      <w:tabs>
        <w:tab w:val="center" w:pos="4680"/>
        <w:tab w:val="right" w:pos="9360"/>
      </w:tabs>
      <w:spacing w:after="0"/>
    </w:pPr>
  </w:style>
  <w:style w:type="character" w:customStyle="1" w:styleId="FooterChar">
    <w:name w:val="Footer Char"/>
    <w:basedOn w:val="DefaultParagraphFont"/>
    <w:link w:val="Footer"/>
    <w:uiPriority w:val="99"/>
    <w:rsid w:val="3E7ADBBD"/>
    <w:rPr>
      <w:rFonts w:ascii="Corbel"/>
      <w:b w:val="0"/>
      <w:bCs w:val="0"/>
      <w:i w:val="0"/>
      <w:iCs w:val="0"/>
      <w:color w:val="auto"/>
      <w:sz w:val="24"/>
      <w:szCs w:val="24"/>
      <w:u w:val="none"/>
    </w:rPr>
  </w:style>
  <w:style w:type="paragraph" w:styleId="FootnoteText">
    <w:name w:val="footnote text"/>
    <w:basedOn w:val="Normal"/>
    <w:link w:val="FootnoteTextChar"/>
    <w:uiPriority w:val="99"/>
    <w:semiHidden/>
    <w:unhideWhenUsed/>
    <w:rsid w:val="3E7ADBBD"/>
    <w:pPr>
      <w:spacing w:after="0"/>
    </w:pPr>
    <w:rPr>
      <w:sz w:val="20"/>
      <w:szCs w:val="20"/>
    </w:rPr>
  </w:style>
  <w:style w:type="character" w:customStyle="1" w:styleId="FootnoteTextChar">
    <w:name w:val="Footnote Text Char"/>
    <w:basedOn w:val="DefaultParagraphFont"/>
    <w:link w:val="FootnoteText"/>
    <w:uiPriority w:val="99"/>
    <w:semiHidden/>
    <w:rsid w:val="3E7ADBBD"/>
    <w:rPr>
      <w:rFonts w:ascii="Corbel"/>
      <w:b w:val="0"/>
      <w:bCs w:val="0"/>
      <w:i w:val="0"/>
      <w:iCs w:val="0"/>
      <w:color w:val="auto"/>
      <w:sz w:val="20"/>
      <w:szCs w:val="20"/>
      <w:u w:val="none"/>
    </w:rPr>
  </w:style>
  <w:style w:type="paragraph" w:styleId="Header">
    <w:name w:val="header"/>
    <w:basedOn w:val="Normal"/>
    <w:link w:val="HeaderChar"/>
    <w:uiPriority w:val="99"/>
    <w:unhideWhenUsed/>
    <w:rsid w:val="3E7ADBBD"/>
    <w:pPr>
      <w:tabs>
        <w:tab w:val="center" w:pos="4680"/>
        <w:tab w:val="right" w:pos="9360"/>
      </w:tabs>
      <w:spacing w:after="0"/>
    </w:pPr>
  </w:style>
  <w:style w:type="character" w:customStyle="1" w:styleId="HeaderChar">
    <w:name w:val="Header Char"/>
    <w:basedOn w:val="DefaultParagraphFont"/>
    <w:link w:val="Header"/>
    <w:uiPriority w:val="99"/>
    <w:rsid w:val="3E7ADBBD"/>
    <w:rPr>
      <w:rFonts w:ascii="Corbel"/>
      <w:b w:val="0"/>
      <w:bCs w:val="0"/>
      <w:i w:val="0"/>
      <w:iCs w:val="0"/>
      <w:color w:val="auto"/>
      <w:sz w:val="24"/>
      <w:szCs w:val="24"/>
      <w:u w:val="none"/>
    </w:rPr>
  </w:style>
  <w:style w:type="character" w:styleId="Hyperlink">
    <w:name w:val="Hyperlink"/>
    <w:basedOn w:val="DefaultParagraphFont"/>
    <w:uiPriority w:val="99"/>
    <w:unhideWhenUsed/>
    <w:rPr>
      <w:color w:val="0563C1" w:themeColor="hyperlink"/>
      <w:u w:val="single"/>
    </w:rPr>
  </w:style>
  <w:style w:type="paragraph" w:customStyle="1" w:styleId="paragraph">
    <w:name w:val="paragraph"/>
    <w:basedOn w:val="Normal"/>
    <w:rsid w:val="00D47A3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D47A38"/>
  </w:style>
  <w:style w:type="character" w:customStyle="1" w:styleId="eop">
    <w:name w:val="eop"/>
    <w:basedOn w:val="DefaultParagraphFont"/>
    <w:rsid w:val="00D47A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673876">
      <w:bodyDiv w:val="1"/>
      <w:marLeft w:val="0"/>
      <w:marRight w:val="0"/>
      <w:marTop w:val="0"/>
      <w:marBottom w:val="0"/>
      <w:divBdr>
        <w:top w:val="none" w:sz="0" w:space="0" w:color="auto"/>
        <w:left w:val="none" w:sz="0" w:space="0" w:color="auto"/>
        <w:bottom w:val="none" w:sz="0" w:space="0" w:color="auto"/>
        <w:right w:val="none" w:sz="0" w:space="0" w:color="auto"/>
      </w:divBdr>
      <w:divsChild>
        <w:div w:id="1902402053">
          <w:marLeft w:val="0"/>
          <w:marRight w:val="0"/>
          <w:marTop w:val="0"/>
          <w:marBottom w:val="0"/>
          <w:divBdr>
            <w:top w:val="none" w:sz="0" w:space="0" w:color="auto"/>
            <w:left w:val="none" w:sz="0" w:space="0" w:color="auto"/>
            <w:bottom w:val="none" w:sz="0" w:space="0" w:color="auto"/>
            <w:right w:val="none" w:sz="0" w:space="0" w:color="auto"/>
          </w:divBdr>
        </w:div>
        <w:div w:id="387000829">
          <w:marLeft w:val="0"/>
          <w:marRight w:val="0"/>
          <w:marTop w:val="0"/>
          <w:marBottom w:val="0"/>
          <w:divBdr>
            <w:top w:val="none" w:sz="0" w:space="0" w:color="auto"/>
            <w:left w:val="none" w:sz="0" w:space="0" w:color="auto"/>
            <w:bottom w:val="none" w:sz="0" w:space="0" w:color="auto"/>
            <w:right w:val="none" w:sz="0" w:space="0" w:color="auto"/>
          </w:divBdr>
        </w:div>
        <w:div w:id="1777823042">
          <w:marLeft w:val="0"/>
          <w:marRight w:val="0"/>
          <w:marTop w:val="0"/>
          <w:marBottom w:val="0"/>
          <w:divBdr>
            <w:top w:val="none" w:sz="0" w:space="0" w:color="auto"/>
            <w:left w:val="none" w:sz="0" w:space="0" w:color="auto"/>
            <w:bottom w:val="none" w:sz="0" w:space="0" w:color="auto"/>
            <w:right w:val="none" w:sz="0" w:space="0" w:color="auto"/>
          </w:divBdr>
        </w:div>
        <w:div w:id="738215395">
          <w:marLeft w:val="0"/>
          <w:marRight w:val="0"/>
          <w:marTop w:val="0"/>
          <w:marBottom w:val="0"/>
          <w:divBdr>
            <w:top w:val="none" w:sz="0" w:space="0" w:color="auto"/>
            <w:left w:val="none" w:sz="0" w:space="0" w:color="auto"/>
            <w:bottom w:val="none" w:sz="0" w:space="0" w:color="auto"/>
            <w:right w:val="none" w:sz="0" w:space="0" w:color="auto"/>
          </w:divBdr>
        </w:div>
        <w:div w:id="647830329">
          <w:marLeft w:val="0"/>
          <w:marRight w:val="0"/>
          <w:marTop w:val="0"/>
          <w:marBottom w:val="0"/>
          <w:divBdr>
            <w:top w:val="none" w:sz="0" w:space="0" w:color="auto"/>
            <w:left w:val="none" w:sz="0" w:space="0" w:color="auto"/>
            <w:bottom w:val="none" w:sz="0" w:space="0" w:color="auto"/>
            <w:right w:val="none" w:sz="0" w:space="0" w:color="auto"/>
          </w:divBdr>
        </w:div>
        <w:div w:id="1601833229">
          <w:marLeft w:val="0"/>
          <w:marRight w:val="0"/>
          <w:marTop w:val="0"/>
          <w:marBottom w:val="0"/>
          <w:divBdr>
            <w:top w:val="none" w:sz="0" w:space="0" w:color="auto"/>
            <w:left w:val="none" w:sz="0" w:space="0" w:color="auto"/>
            <w:bottom w:val="none" w:sz="0" w:space="0" w:color="auto"/>
            <w:right w:val="none" w:sz="0" w:space="0" w:color="auto"/>
          </w:divBdr>
        </w:div>
        <w:div w:id="1002657413">
          <w:marLeft w:val="0"/>
          <w:marRight w:val="0"/>
          <w:marTop w:val="0"/>
          <w:marBottom w:val="0"/>
          <w:divBdr>
            <w:top w:val="none" w:sz="0" w:space="0" w:color="auto"/>
            <w:left w:val="none" w:sz="0" w:space="0" w:color="auto"/>
            <w:bottom w:val="none" w:sz="0" w:space="0" w:color="auto"/>
            <w:right w:val="none" w:sz="0" w:space="0" w:color="auto"/>
          </w:divBdr>
        </w:div>
        <w:div w:id="1482497669">
          <w:marLeft w:val="0"/>
          <w:marRight w:val="0"/>
          <w:marTop w:val="0"/>
          <w:marBottom w:val="0"/>
          <w:divBdr>
            <w:top w:val="none" w:sz="0" w:space="0" w:color="auto"/>
            <w:left w:val="none" w:sz="0" w:space="0" w:color="auto"/>
            <w:bottom w:val="none" w:sz="0" w:space="0" w:color="auto"/>
            <w:right w:val="none" w:sz="0" w:space="0" w:color="auto"/>
          </w:divBdr>
        </w:div>
        <w:div w:id="1988515602">
          <w:marLeft w:val="0"/>
          <w:marRight w:val="0"/>
          <w:marTop w:val="0"/>
          <w:marBottom w:val="0"/>
          <w:divBdr>
            <w:top w:val="none" w:sz="0" w:space="0" w:color="auto"/>
            <w:left w:val="none" w:sz="0" w:space="0" w:color="auto"/>
            <w:bottom w:val="none" w:sz="0" w:space="0" w:color="auto"/>
            <w:right w:val="none" w:sz="0" w:space="0" w:color="auto"/>
          </w:divBdr>
        </w:div>
        <w:div w:id="35084005">
          <w:marLeft w:val="0"/>
          <w:marRight w:val="0"/>
          <w:marTop w:val="0"/>
          <w:marBottom w:val="0"/>
          <w:divBdr>
            <w:top w:val="none" w:sz="0" w:space="0" w:color="auto"/>
            <w:left w:val="none" w:sz="0" w:space="0" w:color="auto"/>
            <w:bottom w:val="none" w:sz="0" w:space="0" w:color="auto"/>
            <w:right w:val="none" w:sz="0" w:space="0" w:color="auto"/>
          </w:divBdr>
        </w:div>
        <w:div w:id="1106802974">
          <w:marLeft w:val="0"/>
          <w:marRight w:val="0"/>
          <w:marTop w:val="0"/>
          <w:marBottom w:val="0"/>
          <w:divBdr>
            <w:top w:val="none" w:sz="0" w:space="0" w:color="auto"/>
            <w:left w:val="none" w:sz="0" w:space="0" w:color="auto"/>
            <w:bottom w:val="none" w:sz="0" w:space="0" w:color="auto"/>
            <w:right w:val="none" w:sz="0" w:space="0" w:color="auto"/>
          </w:divBdr>
        </w:div>
        <w:div w:id="716469396">
          <w:marLeft w:val="0"/>
          <w:marRight w:val="0"/>
          <w:marTop w:val="0"/>
          <w:marBottom w:val="0"/>
          <w:divBdr>
            <w:top w:val="none" w:sz="0" w:space="0" w:color="auto"/>
            <w:left w:val="none" w:sz="0" w:space="0" w:color="auto"/>
            <w:bottom w:val="none" w:sz="0" w:space="0" w:color="auto"/>
            <w:right w:val="none" w:sz="0" w:space="0" w:color="auto"/>
          </w:divBdr>
        </w:div>
        <w:div w:id="119148633">
          <w:marLeft w:val="0"/>
          <w:marRight w:val="0"/>
          <w:marTop w:val="0"/>
          <w:marBottom w:val="0"/>
          <w:divBdr>
            <w:top w:val="none" w:sz="0" w:space="0" w:color="auto"/>
            <w:left w:val="none" w:sz="0" w:space="0" w:color="auto"/>
            <w:bottom w:val="none" w:sz="0" w:space="0" w:color="auto"/>
            <w:right w:val="none" w:sz="0" w:space="0" w:color="auto"/>
          </w:divBdr>
        </w:div>
        <w:div w:id="805439009">
          <w:marLeft w:val="0"/>
          <w:marRight w:val="0"/>
          <w:marTop w:val="0"/>
          <w:marBottom w:val="0"/>
          <w:divBdr>
            <w:top w:val="none" w:sz="0" w:space="0" w:color="auto"/>
            <w:left w:val="none" w:sz="0" w:space="0" w:color="auto"/>
            <w:bottom w:val="none" w:sz="0" w:space="0" w:color="auto"/>
            <w:right w:val="none" w:sz="0" w:space="0" w:color="auto"/>
          </w:divBdr>
        </w:div>
        <w:div w:id="913012740">
          <w:marLeft w:val="0"/>
          <w:marRight w:val="0"/>
          <w:marTop w:val="0"/>
          <w:marBottom w:val="0"/>
          <w:divBdr>
            <w:top w:val="none" w:sz="0" w:space="0" w:color="auto"/>
            <w:left w:val="none" w:sz="0" w:space="0" w:color="auto"/>
            <w:bottom w:val="none" w:sz="0" w:space="0" w:color="auto"/>
            <w:right w:val="none" w:sz="0" w:space="0" w:color="auto"/>
          </w:divBdr>
        </w:div>
        <w:div w:id="18668676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 TargetMode="External"/><Relationship Id="rId5" Type="http://schemas.openxmlformats.org/officeDocument/2006/relationships/endnotes" Target="endnotes.xml"/><Relationship Id="rId10"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2787</Words>
  <Characters>15888</Characters>
  <Application>Microsoft Office Word</Application>
  <DocSecurity>0</DocSecurity>
  <Lines>132</Lines>
  <Paragraphs>37</Paragraphs>
  <ScaleCrop>false</ScaleCrop>
  <Company/>
  <LinksUpToDate>false</LinksUpToDate>
  <CharactersWithSpaces>18638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Heames</dc:creator>
  <cp:keywords/>
  <dc:description/>
  <cp:lastModifiedBy>Dyl G</cp:lastModifiedBy>
  <cp:revision>12</cp:revision>
  <dcterms:created xsi:type="dcterms:W3CDTF">2023-06-25T23:46:00Z</dcterms:created>
  <dcterms:modified xsi:type="dcterms:W3CDTF">2023-07-06T22:49:00Z</dcterms:modified>
</cp:coreProperties>
</file>