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0BFF" w:rsidRDefault="00A80BFF">
      <w:pPr>
        <w:jc w:val="center"/>
        <w:rPr>
          <w:rFonts w:cs="Times New Roman"/>
          <w:b/>
          <w:bCs/>
          <w:szCs w:val="24"/>
          <w:shd w:val="clear" w:color="auto" w:fill="FFFFFF"/>
        </w:rPr>
      </w:pPr>
    </w:p>
    <w:p w:rsidR="00A80BFF" w:rsidRDefault="00BC69F6">
      <w:pPr>
        <w:jc w:val="center"/>
        <w:rPr>
          <w:rFonts w:cs="Times New Roman"/>
          <w:b/>
          <w:bCs/>
          <w:szCs w:val="24"/>
          <w:shd w:val="clear" w:color="auto" w:fill="FFFFFF"/>
        </w:rPr>
      </w:pPr>
      <w:bookmarkStart w:id="0" w:name="_GoBack"/>
      <w:bookmarkEnd w:id="0"/>
      <w:r>
        <w:rPr>
          <w:rFonts w:cs="Times New Roman"/>
          <w:b/>
          <w:bCs/>
          <w:szCs w:val="24"/>
          <w:shd w:val="clear" w:color="auto" w:fill="FFFFFF"/>
        </w:rPr>
        <w:t>Criminal law</w:t>
      </w:r>
    </w:p>
    <w:p w:rsidR="00A80BFF" w:rsidRDefault="00A80BFF">
      <w:pPr>
        <w:jc w:val="center"/>
        <w:rPr>
          <w:rFonts w:cs="Times New Roman"/>
          <w:b/>
          <w:bCs/>
          <w:szCs w:val="24"/>
          <w:shd w:val="clear" w:color="auto" w:fill="FFFFFF"/>
        </w:rPr>
      </w:pPr>
    </w:p>
    <w:p w:rsidR="00A80BFF" w:rsidRDefault="00BC69F6">
      <w:pPr>
        <w:jc w:val="center"/>
        <w:rPr>
          <w:rFonts w:cs="Times New Roman"/>
          <w:b/>
          <w:bCs/>
          <w:szCs w:val="24"/>
        </w:rPr>
      </w:pPr>
      <w:r>
        <w:rPr>
          <w:rFonts w:cs="Times New Roman"/>
          <w:b/>
          <w:bCs/>
          <w:szCs w:val="24"/>
          <w:shd w:val="clear" w:color="auto" w:fill="FFFFFF"/>
        </w:rPr>
        <w:t>Tanzeel</w:t>
      </w:r>
    </w:p>
    <w:p w:rsidR="00A80BFF" w:rsidRDefault="00A80BFF">
      <w:pPr>
        <w:jc w:val="center"/>
        <w:rPr>
          <w:rFonts w:cs="Times New Roman"/>
          <w:b/>
          <w:bCs/>
          <w:szCs w:val="24"/>
        </w:rPr>
      </w:pPr>
    </w:p>
    <w:p w:rsidR="00A80BFF" w:rsidRDefault="00A80BFF">
      <w:pPr>
        <w:jc w:val="center"/>
        <w:rPr>
          <w:rFonts w:cs="Times New Roman"/>
          <w:b/>
          <w:bCs/>
          <w:szCs w:val="24"/>
        </w:rPr>
      </w:pPr>
    </w:p>
    <w:p w:rsidR="00A80BFF" w:rsidRDefault="00A80BFF">
      <w:pPr>
        <w:jc w:val="center"/>
        <w:rPr>
          <w:rFonts w:cs="Times New Roman"/>
          <w:b/>
          <w:bCs/>
          <w:szCs w:val="24"/>
        </w:rPr>
      </w:pPr>
    </w:p>
    <w:p w:rsidR="00A80BFF" w:rsidRDefault="00A80BFF">
      <w:pPr>
        <w:jc w:val="center"/>
        <w:rPr>
          <w:rFonts w:cs="Times New Roman"/>
          <w:b/>
          <w:bCs/>
          <w:szCs w:val="24"/>
        </w:rPr>
      </w:pPr>
    </w:p>
    <w:p w:rsidR="00A80BFF" w:rsidRDefault="00A80BFF">
      <w:pPr>
        <w:jc w:val="center"/>
        <w:rPr>
          <w:rFonts w:cs="Times New Roman"/>
          <w:b/>
          <w:bCs/>
          <w:szCs w:val="24"/>
        </w:rPr>
      </w:pPr>
    </w:p>
    <w:p w:rsidR="00A80BFF" w:rsidRDefault="00A80BFF">
      <w:pPr>
        <w:jc w:val="center"/>
        <w:rPr>
          <w:rFonts w:cs="Times New Roman"/>
          <w:b/>
          <w:bCs/>
          <w:szCs w:val="24"/>
        </w:rPr>
      </w:pPr>
    </w:p>
    <w:p w:rsidR="00A80BFF" w:rsidRDefault="00A80BFF">
      <w:pPr>
        <w:jc w:val="center"/>
        <w:rPr>
          <w:rFonts w:cs="Times New Roman"/>
          <w:b/>
          <w:bCs/>
          <w:szCs w:val="24"/>
        </w:rPr>
      </w:pPr>
    </w:p>
    <w:p w:rsidR="00A80BFF" w:rsidRDefault="00A80BFF">
      <w:pPr>
        <w:jc w:val="center"/>
        <w:rPr>
          <w:rFonts w:cs="Times New Roman"/>
          <w:b/>
          <w:bCs/>
          <w:szCs w:val="24"/>
        </w:rPr>
      </w:pPr>
    </w:p>
    <w:p w:rsidR="00A80BFF" w:rsidRDefault="00A80BFF">
      <w:pPr>
        <w:jc w:val="center"/>
        <w:rPr>
          <w:rFonts w:cs="Times New Roman"/>
          <w:b/>
          <w:bCs/>
          <w:szCs w:val="24"/>
        </w:rPr>
      </w:pPr>
    </w:p>
    <w:p w:rsidR="00A80BFF" w:rsidRDefault="00BC69F6">
      <w:pPr>
        <w:spacing w:line="259" w:lineRule="auto"/>
        <w:jc w:val="center"/>
        <w:rPr>
          <w:rFonts w:eastAsiaTheme="majorEastAsia" w:cstheme="majorBidi"/>
          <w:b/>
          <w:szCs w:val="32"/>
        </w:rPr>
      </w:pPr>
      <w:r>
        <w:br w:type="page"/>
      </w:r>
    </w:p>
    <w:sdt>
      <w:sdtPr>
        <w:rPr>
          <w:rFonts w:ascii="Times New Roman" w:eastAsiaTheme="minorHAnsi" w:hAnsi="Times New Roman" w:cstheme="minorBidi"/>
          <w:color w:val="auto"/>
          <w:kern w:val="2"/>
          <w:sz w:val="24"/>
          <w:szCs w:val="22"/>
          <w:lang w:val="en-GB"/>
          <w14:ligatures w14:val="standardContextual"/>
        </w:rPr>
        <w:id w:val="-855420623"/>
        <w:docPartObj>
          <w:docPartGallery w:val="Table of Contents"/>
          <w:docPartUnique/>
        </w:docPartObj>
      </w:sdtPr>
      <w:sdtEndPr>
        <w:rPr>
          <w:b/>
          <w:bCs/>
        </w:rPr>
      </w:sdtEndPr>
      <w:sdtContent>
        <w:p w:rsidR="00A80BFF" w:rsidRDefault="00BC69F6">
          <w:pPr>
            <w:pStyle w:val="TOCHeading1"/>
            <w:spacing w:line="480" w:lineRule="auto"/>
            <w:rPr>
              <w:rFonts w:ascii="Times New Roman" w:hAnsi="Times New Roman" w:cs="Times New Roman"/>
              <w:b/>
              <w:bCs/>
              <w:color w:val="auto"/>
              <w:sz w:val="24"/>
              <w:szCs w:val="24"/>
              <w:lang w:val="en-GB"/>
            </w:rPr>
          </w:pPr>
          <w:r>
            <w:rPr>
              <w:rFonts w:ascii="Times New Roman" w:hAnsi="Times New Roman" w:cs="Times New Roman"/>
              <w:b/>
              <w:bCs/>
              <w:color w:val="auto"/>
              <w:sz w:val="24"/>
              <w:szCs w:val="24"/>
              <w:lang w:val="en-GB"/>
            </w:rPr>
            <w:t>Table of Contents</w:t>
          </w:r>
        </w:p>
        <w:p w:rsidR="00A80BFF" w:rsidRDefault="00BC69F6">
          <w:pPr>
            <w:pStyle w:val="TOC1"/>
            <w:tabs>
              <w:tab w:val="right" w:leader="dot" w:pos="9144"/>
            </w:tabs>
          </w:pPr>
          <w:r>
            <w:rPr>
              <w:rFonts w:cs="Times New Roman"/>
              <w:szCs w:val="24"/>
            </w:rPr>
            <w:fldChar w:fldCharType="begin"/>
          </w:r>
          <w:r>
            <w:rPr>
              <w:rFonts w:cs="Times New Roman"/>
              <w:szCs w:val="24"/>
            </w:rPr>
            <w:instrText xml:space="preserve"> TOC \o "1-3" \h \z \u </w:instrText>
          </w:r>
          <w:r>
            <w:rPr>
              <w:rFonts w:cs="Times New Roman"/>
              <w:szCs w:val="24"/>
            </w:rPr>
            <w:fldChar w:fldCharType="separate"/>
          </w:r>
          <w:hyperlink w:anchor="_Toc32600" w:history="1">
            <w:r>
              <w:t>Introduction</w:t>
            </w:r>
            <w:r>
              <w:tab/>
            </w:r>
            <w:r>
              <w:fldChar w:fldCharType="begin"/>
            </w:r>
            <w:r>
              <w:instrText xml:space="preserve"> PAGEREF _Toc32600 \h </w:instrText>
            </w:r>
            <w:r>
              <w:fldChar w:fldCharType="separate"/>
            </w:r>
            <w:r>
              <w:t>3</w:t>
            </w:r>
            <w:r>
              <w:fldChar w:fldCharType="end"/>
            </w:r>
          </w:hyperlink>
        </w:p>
        <w:p w:rsidR="00A80BFF" w:rsidRDefault="00BC69F6">
          <w:pPr>
            <w:pStyle w:val="TOC2"/>
            <w:tabs>
              <w:tab w:val="right" w:leader="dot" w:pos="9144"/>
            </w:tabs>
          </w:pPr>
          <w:hyperlink w:anchor="_Toc31448" w:history="1">
            <w:r>
              <w:t>Recognition of Consent in UK Criminal Law</w:t>
            </w:r>
            <w:r>
              <w:tab/>
            </w:r>
            <w:r>
              <w:fldChar w:fldCharType="begin"/>
            </w:r>
            <w:r>
              <w:instrText xml:space="preserve"> PAGEREF _Toc31448 \h </w:instrText>
            </w:r>
            <w:r>
              <w:fldChar w:fldCharType="separate"/>
            </w:r>
            <w:r>
              <w:t>3</w:t>
            </w:r>
            <w:r>
              <w:fldChar w:fldCharType="end"/>
            </w:r>
          </w:hyperlink>
        </w:p>
        <w:p w:rsidR="00A80BFF" w:rsidRDefault="00BC69F6">
          <w:pPr>
            <w:pStyle w:val="TOC2"/>
            <w:tabs>
              <w:tab w:val="right" w:leader="dot" w:pos="9144"/>
            </w:tabs>
          </w:pPr>
          <w:hyperlink w:anchor="_Toc10578" w:history="1">
            <w:r>
              <w:t xml:space="preserve">Types of </w:t>
            </w:r>
            <w:r>
              <w:t>Offenses Where Consent is Acknowledged</w:t>
            </w:r>
            <w:r>
              <w:tab/>
            </w:r>
            <w:r>
              <w:fldChar w:fldCharType="begin"/>
            </w:r>
            <w:r>
              <w:instrText xml:space="preserve"> PAGEREF _Toc10578 \h </w:instrText>
            </w:r>
            <w:r>
              <w:fldChar w:fldCharType="separate"/>
            </w:r>
            <w:r>
              <w:t>4</w:t>
            </w:r>
            <w:r>
              <w:fldChar w:fldCharType="end"/>
            </w:r>
          </w:hyperlink>
        </w:p>
        <w:p w:rsidR="00A80BFF" w:rsidRDefault="00BC69F6">
          <w:pPr>
            <w:pStyle w:val="TOC2"/>
            <w:tabs>
              <w:tab w:val="right" w:leader="dot" w:pos="9144"/>
            </w:tabs>
          </w:pPr>
          <w:hyperlink w:anchor="_Toc20323" w:history="1">
            <w:r>
              <w:t>Basis for Permitting Consent</w:t>
            </w:r>
            <w:r>
              <w:tab/>
            </w:r>
            <w:r>
              <w:fldChar w:fldCharType="begin"/>
            </w:r>
            <w:r>
              <w:instrText xml:space="preserve"> PAGEREF _Toc20323 \h </w:instrText>
            </w:r>
            <w:r>
              <w:fldChar w:fldCharType="separate"/>
            </w:r>
            <w:r>
              <w:t>5</w:t>
            </w:r>
            <w:r>
              <w:fldChar w:fldCharType="end"/>
            </w:r>
          </w:hyperlink>
        </w:p>
        <w:p w:rsidR="00A80BFF" w:rsidRDefault="00BC69F6">
          <w:pPr>
            <w:pStyle w:val="TOC2"/>
            <w:tabs>
              <w:tab w:val="right" w:leader="dot" w:pos="9144"/>
            </w:tabs>
          </w:pPr>
          <w:hyperlink w:anchor="_Toc19294" w:history="1">
            <w:r>
              <w:t>Non-Recognition of Consent in Other Cases</w:t>
            </w:r>
            <w:r>
              <w:tab/>
            </w:r>
            <w:r>
              <w:fldChar w:fldCharType="begin"/>
            </w:r>
            <w:r>
              <w:instrText xml:space="preserve"> PAGEREF _Toc19294 \h </w:instrText>
            </w:r>
            <w:r>
              <w:fldChar w:fldCharType="separate"/>
            </w:r>
            <w:r>
              <w:t>6</w:t>
            </w:r>
            <w:r>
              <w:fldChar w:fldCharType="end"/>
            </w:r>
          </w:hyperlink>
        </w:p>
        <w:p w:rsidR="00A80BFF" w:rsidRDefault="00BC69F6">
          <w:pPr>
            <w:pStyle w:val="TOC2"/>
            <w:tabs>
              <w:tab w:val="right" w:leader="dot" w:pos="9144"/>
            </w:tabs>
          </w:pPr>
          <w:hyperlink w:anchor="_Toc17622" w:history="1">
            <w:r>
              <w:t>Analysis of Objections to Recognising Victim Consent</w:t>
            </w:r>
            <w:r>
              <w:tab/>
            </w:r>
            <w:r>
              <w:fldChar w:fldCharType="begin"/>
            </w:r>
            <w:r>
              <w:instrText xml:space="preserve"> PAGE</w:instrText>
            </w:r>
            <w:r>
              <w:instrText xml:space="preserve">REF _Toc17622 \h </w:instrText>
            </w:r>
            <w:r>
              <w:fldChar w:fldCharType="separate"/>
            </w:r>
            <w:r>
              <w:t>6</w:t>
            </w:r>
            <w:r>
              <w:fldChar w:fldCharType="end"/>
            </w:r>
          </w:hyperlink>
        </w:p>
        <w:p w:rsidR="00A80BFF" w:rsidRDefault="00BC69F6">
          <w:pPr>
            <w:pStyle w:val="TOC2"/>
            <w:tabs>
              <w:tab w:val="right" w:leader="dot" w:pos="9144"/>
            </w:tabs>
          </w:pPr>
          <w:hyperlink w:anchor="_Toc10341" w:history="1">
            <w:r>
              <w:t>Legal and Ethical Implications</w:t>
            </w:r>
            <w:r>
              <w:tab/>
            </w:r>
            <w:r>
              <w:fldChar w:fldCharType="begin"/>
            </w:r>
            <w:r>
              <w:instrText xml:space="preserve"> PAGEREF _Toc10341 \h </w:instrText>
            </w:r>
            <w:r>
              <w:fldChar w:fldCharType="separate"/>
            </w:r>
            <w:r>
              <w:t>7</w:t>
            </w:r>
            <w:r>
              <w:fldChar w:fldCharType="end"/>
            </w:r>
          </w:hyperlink>
        </w:p>
        <w:p w:rsidR="00A80BFF" w:rsidRDefault="00BC69F6">
          <w:pPr>
            <w:pStyle w:val="TOC1"/>
            <w:tabs>
              <w:tab w:val="right" w:leader="dot" w:pos="9144"/>
            </w:tabs>
          </w:pPr>
          <w:hyperlink w:anchor="_Toc1346" w:history="1">
            <w:r>
              <w:t>Conclusion</w:t>
            </w:r>
            <w:r>
              <w:tab/>
            </w:r>
            <w:r>
              <w:fldChar w:fldCharType="begin"/>
            </w:r>
            <w:r>
              <w:instrText xml:space="preserve"> PAGEREF _Toc1346 \h </w:instrText>
            </w:r>
            <w:r>
              <w:fldChar w:fldCharType="separate"/>
            </w:r>
            <w:r>
              <w:t>7</w:t>
            </w:r>
            <w:r>
              <w:fldChar w:fldCharType="end"/>
            </w:r>
          </w:hyperlink>
        </w:p>
        <w:p w:rsidR="00A80BFF" w:rsidRDefault="00BC69F6">
          <w:pPr>
            <w:pStyle w:val="TOC1"/>
            <w:tabs>
              <w:tab w:val="right" w:leader="dot" w:pos="9144"/>
            </w:tabs>
          </w:pPr>
          <w:hyperlink w:anchor="_Toc12731" w:history="1">
            <w:r>
              <w:t>Reference list</w:t>
            </w:r>
            <w:r>
              <w:tab/>
            </w:r>
            <w:r>
              <w:fldChar w:fldCharType="begin"/>
            </w:r>
            <w:r>
              <w:instrText xml:space="preserve"> PAGEREF _Toc12731 \h </w:instrText>
            </w:r>
            <w:r>
              <w:fldChar w:fldCharType="separate"/>
            </w:r>
            <w:r>
              <w:t>9</w:t>
            </w:r>
            <w:r>
              <w:fldChar w:fldCharType="end"/>
            </w:r>
          </w:hyperlink>
        </w:p>
        <w:p w:rsidR="00A80BFF" w:rsidRDefault="00BC69F6">
          <w:r>
            <w:rPr>
              <w:rFonts w:cs="Times New Roman"/>
              <w:bCs/>
              <w:szCs w:val="24"/>
            </w:rPr>
            <w:fldChar w:fldCharType="end"/>
          </w:r>
        </w:p>
      </w:sdtContent>
    </w:sdt>
    <w:p w:rsidR="00A80BFF" w:rsidRDefault="00BC69F6">
      <w:pPr>
        <w:rPr>
          <w:rFonts w:eastAsiaTheme="majorEastAsia" w:cstheme="majorBidi"/>
          <w:b/>
          <w:szCs w:val="32"/>
        </w:rPr>
      </w:pPr>
      <w:r>
        <w:br w:type="page"/>
      </w:r>
    </w:p>
    <w:p w:rsidR="00A80BFF" w:rsidRDefault="00BC69F6">
      <w:pPr>
        <w:pStyle w:val="Heading1"/>
      </w:pPr>
      <w:bookmarkStart w:id="1" w:name="_Toc32600"/>
      <w:r>
        <w:lastRenderedPageBreak/>
        <w:t>Introduction</w:t>
      </w:r>
      <w:bookmarkEnd w:id="1"/>
    </w:p>
    <w:p w:rsidR="00A80BFF" w:rsidRDefault="00BC69F6">
      <w:pPr>
        <w:ind w:firstLine="720"/>
        <w:jc w:val="both"/>
        <w:rPr>
          <w:lang w:val="en-US"/>
        </w:rPr>
      </w:pPr>
      <w:r>
        <w:rPr>
          <w:lang w:val="en-US"/>
        </w:rPr>
        <w:t xml:space="preserve">In UK </w:t>
      </w:r>
      <w:r>
        <w:rPr>
          <w:lang w:val="en-US"/>
        </w:rPr>
        <w:t>criminal law, the issue of consent as far as the victims of the crime are concerned is a bit complex because it would require adhering to the balance of individual liberties and societal responsibilities. The purpose of this essay is to determine whether t</w:t>
      </w:r>
      <w:r>
        <w:rPr>
          <w:lang w:val="en-US"/>
        </w:rPr>
        <w:t>he UK criminal law is based upon the inference that harm to the victim was agreed upon or not. To start with, the author pinpoints nodal areas as the fundamental pillars, which are decisive for the recognition of consent and provides examples where the lac</w:t>
      </w:r>
      <w:r>
        <w:rPr>
          <w:lang w:val="en-US"/>
        </w:rPr>
        <w:t>k of it is refuted while justifying their involvement. Thus, a comprehensive study is done to see the basis why the cases in which consent was applied seem to be valid points, whereas the cases that were not accepted for consent argue against its applicati</w:t>
      </w:r>
      <w:r>
        <w:rPr>
          <w:lang w:val="en-US"/>
        </w:rPr>
        <w:t>on in such instances. However, not to be left out, we will also examine the rationale behind the argument for accepting victim consent and also discuss the possible consequences of the doctrine of consent. Therefore, this examination is aimed at bringing a</w:t>
      </w:r>
      <w:r>
        <w:rPr>
          <w:lang w:val="en-US"/>
        </w:rPr>
        <w:t>ll the aspects of the issue of victim consent into the criminal law stream and hence assist legal practice and policy-making in extending services to victims of criminal offences</w:t>
      </w:r>
      <w:r>
        <w:t xml:space="preserve"> (Sznycer and Patrick, 2020).</w:t>
      </w:r>
    </w:p>
    <w:p w:rsidR="00A80BFF" w:rsidRDefault="00BC69F6">
      <w:pPr>
        <w:pStyle w:val="Heading2"/>
      </w:pPr>
      <w:bookmarkStart w:id="2" w:name="_Toc31448"/>
      <w:r>
        <w:t>Recognition of Consent in UK Criminal Law</w:t>
      </w:r>
      <w:bookmarkEnd w:id="2"/>
    </w:p>
    <w:p w:rsidR="00A80BFF" w:rsidRDefault="00BC69F6">
      <w:pPr>
        <w:ind w:firstLine="720"/>
        <w:jc w:val="both"/>
        <w:rPr>
          <w:lang w:val="en-US"/>
        </w:rPr>
      </w:pPr>
      <w:r>
        <w:rPr>
          <w:lang w:val="en-US"/>
        </w:rPr>
        <w:t>Simila</w:t>
      </w:r>
      <w:r>
        <w:rPr>
          <w:lang w:val="en-US"/>
        </w:rPr>
        <w:t>rly, UK law is based on the principle of autonomy that enables every person to make their own decisions about their body and the actions they may take. Nevertheless, this principle is not absolute, and it does have certain limitations in situations of self</w:t>
      </w:r>
      <w:r>
        <w:rPr>
          <w:lang w:val="en-US"/>
        </w:rPr>
        <w:t xml:space="preserve">-harm or participation in activities which may result in harm to oneself </w:t>
      </w:r>
      <w:r>
        <w:t>(Peterson, Karlawish and Largent, 2020).</w:t>
      </w:r>
    </w:p>
    <w:p w:rsidR="00A80BFF" w:rsidRDefault="00BC69F6">
      <w:pPr>
        <w:ind w:firstLine="720"/>
        <w:jc w:val="both"/>
      </w:pPr>
      <w:r>
        <w:t>Here, the law acknowledges the essence of informed decision-making and the ability to provide valid consent. For example, in medical settings,</w:t>
      </w:r>
      <w:r>
        <w:t xml:space="preserve"> the concept of informed consent </w:t>
      </w:r>
      <w:r>
        <w:lastRenderedPageBreak/>
        <w:t>requires healthcare providers to make sure that patients have a thorough comprehension of the risks, benefits, and alternatives related to a particular treatment or procedure. For instance, in the sports domain, players are</w:t>
      </w:r>
      <w:r>
        <w:t xml:space="preserve"> asked to sign waivers or consent forms highlighting the risks associated with some of the activities.</w:t>
      </w:r>
    </w:p>
    <w:p w:rsidR="00A80BFF" w:rsidRDefault="00BC69F6">
      <w:pPr>
        <w:ind w:firstLine="720"/>
        <w:jc w:val="both"/>
      </w:pPr>
      <w:r>
        <w:t>Also, the implication of consent in criminal law is predicated on the absence of coercion and duress. Although people can come to their own decision rega</w:t>
      </w:r>
      <w:r>
        <w:t>rding their participation in given activities, this choice becomes invalid by threats, manipulation, or other forms of undue influence. Similarly, the law establishes what sort of damage people can consent to, especially those of serious bodily harm or tho</w:t>
      </w:r>
      <w:r>
        <w:t>se acting against society (Newburn and Downes, 2022).</w:t>
      </w:r>
    </w:p>
    <w:p w:rsidR="00A80BFF" w:rsidRDefault="00BC69F6">
      <w:pPr>
        <w:pStyle w:val="Heading2"/>
      </w:pPr>
      <w:bookmarkStart w:id="3" w:name="_Toc10578"/>
      <w:r>
        <w:t>Types of Offenses Where Consent is Acknowledged</w:t>
      </w:r>
      <w:bookmarkEnd w:id="3"/>
    </w:p>
    <w:p w:rsidR="00A80BFF" w:rsidRDefault="00BC69F6">
      <w:pPr>
        <w:ind w:firstLine="720"/>
        <w:jc w:val="both"/>
      </w:pPr>
      <w:r>
        <w:t>UK criminal law includes these categories where the consent of a victim is recognised as a mitigating factor or as a complete defence. Another kind of cla</w:t>
      </w:r>
      <w:r>
        <w:t>ss includes consensual physical undertakings, predominantly sports in which athletes deliberately expose themselves to the danger of harm in compliance with the rules and regulations of the activity. For instance, in sports such as boxing or rugby, the par</w:t>
      </w:r>
      <w:r>
        <w:t>ticipants consent expressly to bodily harm acceptable as of the nature of the sport as regulated by governing bodies. Additionally, in a medical context, patients sign informed consent for some procedures that are harmful, such as surgery, medical experime</w:t>
      </w:r>
      <w:r>
        <w:t>nts, or convulsive electrotherapy for mental disorders (Monaghan, 2022).</w:t>
      </w:r>
    </w:p>
    <w:p w:rsidR="00A80BFF" w:rsidRDefault="00BC69F6">
      <w:pPr>
        <w:ind w:firstLine="720"/>
        <w:jc w:val="both"/>
      </w:pPr>
      <w:r>
        <w:t>In these examples, the law will abide by individual autonomy that permits people to make informed decisions about their bodies and actions, so long as they have provided free and full</w:t>
      </w:r>
      <w:r>
        <w:t xml:space="preserve"> informed consent. Nevertheless, the fact that consent does not absolve the individual or the entity from liability in all circumstances, and when the harm is greater than was reasonably consented to, or if the consent was obtained under duress or coercion</w:t>
      </w:r>
      <w:r>
        <w:t xml:space="preserve">, is a thing to </w:t>
      </w:r>
      <w:r>
        <w:lastRenderedPageBreak/>
        <w:t>remember. Therefore, if one uses consent in these contexts, it is important to ensure that its validity and applicability are carefully considered and interpreted by the law.</w:t>
      </w:r>
    </w:p>
    <w:p w:rsidR="00A80BFF" w:rsidRDefault="00BC69F6">
      <w:pPr>
        <w:pStyle w:val="Heading2"/>
      </w:pPr>
      <w:bookmarkStart w:id="4" w:name="_Toc20323"/>
      <w:r>
        <w:t>Basis for Permitting Consent</w:t>
      </w:r>
      <w:bookmarkEnd w:id="4"/>
    </w:p>
    <w:p w:rsidR="00A80BFF" w:rsidRDefault="00BC69F6">
      <w:pPr>
        <w:ind w:firstLine="720"/>
        <w:jc w:val="both"/>
        <w:rPr>
          <w:lang w:val="en-US"/>
        </w:rPr>
      </w:pPr>
      <w:r>
        <w:rPr>
          <w:lang w:val="en-US"/>
        </w:rPr>
        <w:t>The matter of giving consent under t</w:t>
      </w:r>
      <w:r>
        <w:rPr>
          <w:lang w:val="en-US"/>
        </w:rPr>
        <w:t xml:space="preserve">hese circumstances is based on an individual's autonomy and freedom which are two undeniable foundational principles. The sports governing bodies therefore should be responsible for providing regulations that will highlight what constitutes legitimate and </w:t>
      </w:r>
      <w:r>
        <w:rPr>
          <w:lang w:val="en-US"/>
        </w:rPr>
        <w:t>unacceptable consent practices. These guidelines allow for every participant to be aware that they are aware of the danger level associated with the activity and take a risk within the regulated framework. Such governing bodies achieve this by offering par</w:t>
      </w:r>
      <w:r>
        <w:rPr>
          <w:lang w:val="en-US"/>
        </w:rPr>
        <w:t>ticipants a complete set of information and making sure that rules are given and used to guarantee safety and fairness</w:t>
      </w:r>
      <w:r>
        <w:t xml:space="preserve"> (Chamberlain et al., 2019).</w:t>
      </w:r>
    </w:p>
    <w:p w:rsidR="00A80BFF" w:rsidRDefault="00BC69F6">
      <w:pPr>
        <w:ind w:firstLine="720"/>
        <w:jc w:val="both"/>
      </w:pPr>
      <w:r>
        <w:t xml:space="preserve">Additionally, in medical settings consent is the bedrock of ethical and legal practice. Doctors are expected </w:t>
      </w:r>
      <w:r>
        <w:t xml:space="preserve">to make sure that patients are given in-depth information about the risks, benefits, and alternatives regarding a treatment or procedure they are proposing. As a result, patients become more autonomous, and they consider their preferences and values while </w:t>
      </w:r>
      <w:r>
        <w:t>making decisions about their healthcare. Through informed consent, the medical profession validates patients' autonomy and guarantees that they have a say in the decision-making process which concerns their health. Overall, the bases of consent in both spo</w:t>
      </w:r>
      <w:r>
        <w:t>rting and medical contexts are similar in the sense that they both equate freedom of choice while maintaining responsible decision-making and safety.</w:t>
      </w:r>
    </w:p>
    <w:p w:rsidR="00A80BFF" w:rsidRDefault="00BC69F6">
      <w:pPr>
        <w:pStyle w:val="Heading2"/>
      </w:pPr>
      <w:bookmarkStart w:id="5" w:name="_Toc19294"/>
      <w:r>
        <w:t>Non-Recognition of Consent in Other Cases</w:t>
      </w:r>
      <w:bookmarkEnd w:id="5"/>
    </w:p>
    <w:p w:rsidR="00A80BFF" w:rsidRDefault="00BC69F6">
      <w:pPr>
        <w:ind w:firstLine="720"/>
        <w:jc w:val="both"/>
      </w:pPr>
      <w:r>
        <w:t>While consent must be respected in specific situations, UK crimi</w:t>
      </w:r>
      <w:r>
        <w:t xml:space="preserve">nal law nevertheless does not regard consent as a valid defence in cases of harm to the state or community </w:t>
      </w:r>
      <w:r>
        <w:lastRenderedPageBreak/>
        <w:t>morality. This approach is based because some deeds, though voluntarily carried out, are inevitably bad or against the accepted social behaviour. For</w:t>
      </w:r>
      <w:r>
        <w:t xml:space="preserve"> instance, such situations as assault or murder, which attack the most valuable rights of people, and lead to grave harm, are unacceptable for the law in terms of consent as a defence. Just like in drug trafficking and prostitution in which the involved ac</w:t>
      </w:r>
      <w:r>
        <w:t>tivities constitute a daunting threat to public safety and public health, consent no longer works as a mitigating factor. Through granting such protection to individuals as well as maintaining public order, laws dictate that some actions, whether consensua</w:t>
      </w:r>
      <w:r>
        <w:t>l or not, are thus unacceptable. Consent enjoys value in contexts where it promotes autonomy, and personal choice; however, the non-recognition of its authority in such cases serves as a reminder of the importance of respect for societal values and prevent</w:t>
      </w:r>
      <w:r>
        <w:t>ion of harm to people and community (McGlynn and Johnson, 2020).</w:t>
      </w:r>
    </w:p>
    <w:p w:rsidR="00A80BFF" w:rsidRDefault="00BC69F6">
      <w:pPr>
        <w:pStyle w:val="Heading2"/>
      </w:pPr>
      <w:bookmarkStart w:id="6" w:name="_Toc17622"/>
      <w:r>
        <w:t>Analysis of Objections to Recognising Victim Consent</w:t>
      </w:r>
      <w:bookmarkEnd w:id="6"/>
    </w:p>
    <w:p w:rsidR="00A80BFF" w:rsidRDefault="00BC69F6">
      <w:pPr>
        <w:ind w:firstLine="720"/>
        <w:jc w:val="both"/>
      </w:pPr>
      <w:r>
        <w:t xml:space="preserve">As for the role of a victim in criminal law, it's impossible not to think about different objections to the recognition of victim consent </w:t>
      </w:r>
      <w:r>
        <w:t>to harm. The big issue that is raised is regarding consent and whether it is voluntary at all, and of course this issue tends to appear when there is an imbalance of power or the consent is forced by internal or external forces. Such as the situation of tw</w:t>
      </w:r>
      <w:r>
        <w:t xml:space="preserve">o people whose domestic violence victims are afraid or manipulated by their abusers may feel intimidated to especially agree to harm, thus, rendering their consent unreliable. Besides this, it is possible to raise questions that the legalisation of sexual </w:t>
      </w:r>
      <w:r>
        <w:t xml:space="preserve">consent could unintentionally give a reason for doing something wrong, specifically, targeting victims who are easily being abused or manipulated. It is just by presenting these objections that the existence of plain consent does not guarantee its ethical </w:t>
      </w:r>
      <w:r>
        <w:t xml:space="preserve">acceptability or legality, which requires </w:t>
      </w:r>
      <w:r>
        <w:lastRenderedPageBreak/>
        <w:t>analysis in a case by case uncomplicatedly scrutinised conditions for consent to be abolished as a mere justification of trying to evade the law (Widanaralalage et al., 2022).</w:t>
      </w:r>
    </w:p>
    <w:p w:rsidR="00A80BFF" w:rsidRDefault="00BC69F6">
      <w:pPr>
        <w:pStyle w:val="Heading2"/>
      </w:pPr>
      <w:bookmarkStart w:id="7" w:name="_Toc10341"/>
      <w:r>
        <w:t>Legal and Ethical Implications</w:t>
      </w:r>
      <w:bookmarkEnd w:id="7"/>
    </w:p>
    <w:p w:rsidR="00A80BFF" w:rsidRDefault="00BC69F6">
      <w:pPr>
        <w:ind w:firstLine="720"/>
        <w:jc w:val="both"/>
      </w:pPr>
      <w:r>
        <w:t>In cons</w:t>
      </w:r>
      <w:r>
        <w:t>idering the legal and ethical complications associated with recognising victim consent to harm under the UK's criminal law, it is fundamental to weigh the liberties of the individual alongside community interests. This is setting up challenges such as powe</w:t>
      </w:r>
      <w:r>
        <w:t>r imbalances and coercion, which are aimed at making the consensual voluntary. Taking into account these as well as others the legal system has established checks and balances that it uses to adhere to the principles of justice and to protect everyone invo</w:t>
      </w:r>
      <w:r>
        <w:t>lved. Hence, while autonomy is considered as an advantage, measures for preventing abuses should also be present. Ultimately, discovering this fine balance between appreciating individual rights and promoting the overall welfare of society is integral to t</w:t>
      </w:r>
      <w:r>
        <w:t>he acknowledgement of consent in criminal lines of work (Elias and Paradies, 2021).</w:t>
      </w:r>
    </w:p>
    <w:p w:rsidR="00A80BFF" w:rsidRDefault="00BC69F6">
      <w:pPr>
        <w:pStyle w:val="Heading1"/>
      </w:pPr>
      <w:bookmarkStart w:id="8" w:name="_Toc1346"/>
      <w:r>
        <w:t>Conclusion</w:t>
      </w:r>
      <w:bookmarkEnd w:id="8"/>
    </w:p>
    <w:p w:rsidR="00A80BFF" w:rsidRDefault="00BC69F6">
      <w:pPr>
        <w:ind w:firstLine="720"/>
        <w:jc w:val="both"/>
      </w:pPr>
      <w:r>
        <w:t>In conclusion, in Britain, the question of whether a victim should be assigned blame for what happened to him in the criminal law is a complex issue that needs a</w:t>
      </w:r>
      <w:r>
        <w:t xml:space="preserve"> thorough assessment of the factors in view. The recognition of the consent is not unconditional and absolute, violations of public order and causing serious harm often override the consent.</w:t>
      </w:r>
    </w:p>
    <w:p w:rsidR="00A80BFF" w:rsidRDefault="00BC69F6">
      <w:pPr>
        <w:ind w:firstLine="720"/>
        <w:jc w:val="both"/>
      </w:pPr>
      <w:r>
        <w:t>The fundamentals of granting permission are based on the principl</w:t>
      </w:r>
      <w:r>
        <w:t>e of autonomy that envisages a person's capacity to legally govern him/herself. On the one side, questions are raised about the thoroughness and liberty of consent, whereas on the other some express their concerns about the ability to infringe the immunity</w:t>
      </w:r>
      <w:r>
        <w:t xml:space="preserve"> of weak-minded people through this approach.</w:t>
      </w:r>
    </w:p>
    <w:p w:rsidR="00A80BFF" w:rsidRDefault="00BC69F6">
      <w:pPr>
        <w:ind w:firstLine="720"/>
        <w:jc w:val="both"/>
      </w:pPr>
      <w:r>
        <w:lastRenderedPageBreak/>
        <w:t>In addition to this are the other research needs and discussions to be carried out as one has to determine if the criminal law recognition of consent will fairly balance the rights of individuals and those of s</w:t>
      </w:r>
      <w:r>
        <w:t>ociety. Such discussion should try to balance these elements as power relations, coercion, and vulnerability, so that consent is freely given and not obtained under undue pressure.</w:t>
      </w:r>
    </w:p>
    <w:p w:rsidR="00A80BFF" w:rsidRDefault="00BC69F6">
      <w:pPr>
        <w:ind w:firstLine="720"/>
        <w:jc w:val="both"/>
      </w:pPr>
      <w:r>
        <w:t>To conclude, a balanced strategy should be in place to establish a legal fr</w:t>
      </w:r>
      <w:r>
        <w:t>amework that safeguards both individual freedom and collective welfare, hence serving justice in general and ensuring the protection of all individuals in society.</w:t>
      </w:r>
    </w:p>
    <w:p w:rsidR="00A80BFF" w:rsidRDefault="00BC69F6">
      <w:pPr>
        <w:spacing w:line="259" w:lineRule="auto"/>
      </w:pPr>
      <w:r>
        <w:br w:type="page"/>
      </w:r>
    </w:p>
    <w:p w:rsidR="00A80BFF" w:rsidRDefault="00BC69F6">
      <w:pPr>
        <w:pStyle w:val="Heading1"/>
      </w:pPr>
      <w:bookmarkStart w:id="9" w:name="_Toc12731"/>
      <w:r>
        <w:lastRenderedPageBreak/>
        <w:t>Reference list</w:t>
      </w:r>
      <w:bookmarkEnd w:id="9"/>
    </w:p>
    <w:p w:rsidR="00A80BFF" w:rsidRDefault="00BC69F6">
      <w:pPr>
        <w:pStyle w:val="NormalWeb"/>
        <w:spacing w:before="0" w:beforeAutospacing="0" w:after="240" w:afterAutospacing="0" w:line="480" w:lineRule="auto"/>
        <w:ind w:left="720" w:hanging="720"/>
        <w:rPr>
          <w:lang w:val="en-GB"/>
        </w:rPr>
      </w:pPr>
      <w:r>
        <w:rPr>
          <w:lang w:val="en-GB"/>
        </w:rPr>
        <w:t xml:space="preserve">Chamberlain, P., Keppel-Palmer, M., Reardon, S. and Smith, T. (2019). It is criminal: The state of magistrates’ court reporting in England and Wales. </w:t>
      </w:r>
      <w:r>
        <w:rPr>
          <w:i/>
          <w:iCs/>
          <w:lang w:val="en-GB"/>
        </w:rPr>
        <w:t>Journalism</w:t>
      </w:r>
      <w:r>
        <w:rPr>
          <w:lang w:val="en-GB"/>
        </w:rPr>
        <w:t>, 22(9), p.146488491986804. doi:https://doi.org/10.1177/1464884919868049.</w:t>
      </w:r>
    </w:p>
    <w:p w:rsidR="00A80BFF" w:rsidRDefault="00BC69F6">
      <w:pPr>
        <w:pStyle w:val="NormalWeb"/>
        <w:spacing w:before="0" w:beforeAutospacing="0" w:after="240" w:afterAutospacing="0" w:line="480" w:lineRule="auto"/>
        <w:ind w:left="720" w:hanging="720"/>
        <w:rPr>
          <w:lang w:val="en-GB"/>
        </w:rPr>
      </w:pPr>
      <w:r>
        <w:rPr>
          <w:lang w:val="en-GB"/>
        </w:rPr>
        <w:t>Elias, A. and Paradies</w:t>
      </w:r>
      <w:r>
        <w:rPr>
          <w:lang w:val="en-GB"/>
        </w:rPr>
        <w:t xml:space="preserve">, Y. (2021). The costs of institutional racism and its ethical implications for healthcare. </w:t>
      </w:r>
      <w:r>
        <w:rPr>
          <w:i/>
          <w:iCs/>
          <w:lang w:val="en-GB"/>
        </w:rPr>
        <w:t>Journal of Bioethical Inquiry</w:t>
      </w:r>
      <w:r>
        <w:rPr>
          <w:lang w:val="en-GB"/>
        </w:rPr>
        <w:t>, [online] 18(1), pp.45–58. doi:https://doi.org/10.1007/s11673-020-10073-0.</w:t>
      </w:r>
    </w:p>
    <w:p w:rsidR="00A80BFF" w:rsidRDefault="00BC69F6">
      <w:pPr>
        <w:pStyle w:val="NormalWeb"/>
        <w:spacing w:before="0" w:beforeAutospacing="0" w:after="240" w:afterAutospacing="0" w:line="480" w:lineRule="auto"/>
        <w:ind w:left="720" w:hanging="720"/>
        <w:rPr>
          <w:lang w:val="en-GB"/>
        </w:rPr>
      </w:pPr>
      <w:r>
        <w:rPr>
          <w:lang w:val="en-GB"/>
        </w:rPr>
        <w:t>McGlynn, C. and Johnson, K. (2020). Criminalising cyberflas</w:t>
      </w:r>
      <w:r>
        <w:rPr>
          <w:lang w:val="en-GB"/>
        </w:rPr>
        <w:t xml:space="preserve">hing: Options for law reform. </w:t>
      </w:r>
      <w:r>
        <w:rPr>
          <w:i/>
          <w:iCs/>
          <w:lang w:val="en-GB"/>
        </w:rPr>
        <w:t>The Journal of Criminal Law</w:t>
      </w:r>
      <w:r>
        <w:rPr>
          <w:lang w:val="en-GB"/>
        </w:rPr>
        <w:t>, 85(3), p.002201832097230. doi:https://doi.org/10.1177/0022018320972306.</w:t>
      </w:r>
    </w:p>
    <w:p w:rsidR="00A80BFF" w:rsidRDefault="00BC69F6">
      <w:pPr>
        <w:pStyle w:val="NormalWeb"/>
        <w:spacing w:before="0" w:beforeAutospacing="0" w:after="240" w:afterAutospacing="0" w:line="480" w:lineRule="auto"/>
        <w:ind w:left="720" w:hanging="720"/>
        <w:rPr>
          <w:lang w:val="en-GB"/>
        </w:rPr>
      </w:pPr>
      <w:r>
        <w:rPr>
          <w:lang w:val="en-GB"/>
        </w:rPr>
        <w:t xml:space="preserve">Monaghan, N. (2022). </w:t>
      </w:r>
      <w:r>
        <w:rPr>
          <w:i/>
          <w:iCs/>
          <w:lang w:val="en-GB"/>
        </w:rPr>
        <w:t>Criminal Law Directions</w:t>
      </w:r>
      <w:r>
        <w:rPr>
          <w:lang w:val="en-GB"/>
        </w:rPr>
        <w:t xml:space="preserve">. [online] </w:t>
      </w:r>
      <w:r>
        <w:rPr>
          <w:i/>
          <w:iCs/>
          <w:lang w:val="en-GB"/>
        </w:rPr>
        <w:t>Google Books</w:t>
      </w:r>
      <w:r>
        <w:rPr>
          <w:lang w:val="en-GB"/>
        </w:rPr>
        <w:t>. Oxford University Press. Available at: https://doi.org/1</w:t>
      </w:r>
      <w:r>
        <w:rPr>
          <w:lang w:val="en-GB"/>
        </w:rPr>
        <w:t>0.1080/15265161.2020.1863507.</w:t>
      </w:r>
    </w:p>
    <w:p w:rsidR="00A80BFF" w:rsidRDefault="00BC69F6">
      <w:pPr>
        <w:pStyle w:val="NormalWeb"/>
        <w:spacing w:before="0" w:beforeAutospacing="0" w:after="240" w:afterAutospacing="0" w:line="480" w:lineRule="auto"/>
        <w:ind w:left="720" w:hanging="720"/>
        <w:rPr>
          <w:lang w:val="en-GB"/>
        </w:rPr>
      </w:pPr>
      <w:r>
        <w:rPr>
          <w:lang w:val="en-GB"/>
        </w:rPr>
        <w:t xml:space="preserve">Newburn, T. and Downes, D. (2022). </w:t>
      </w:r>
      <w:r>
        <w:rPr>
          <w:i/>
          <w:iCs/>
          <w:lang w:val="en-GB"/>
        </w:rPr>
        <w:t>The Official History of Criminal Justice in England and Wales</w:t>
      </w:r>
      <w:r>
        <w:rPr>
          <w:lang w:val="en-GB"/>
        </w:rPr>
        <w:t>. doi:https://doi.org/10.4324/9781003330981.</w:t>
      </w:r>
    </w:p>
    <w:p w:rsidR="00A80BFF" w:rsidRDefault="00BC69F6">
      <w:pPr>
        <w:pStyle w:val="NormalWeb"/>
        <w:spacing w:before="0" w:beforeAutospacing="0" w:after="240" w:afterAutospacing="0" w:line="480" w:lineRule="auto"/>
        <w:ind w:left="720" w:hanging="720"/>
        <w:rPr>
          <w:lang w:val="en-GB"/>
        </w:rPr>
      </w:pPr>
      <w:r>
        <w:rPr>
          <w:lang w:val="en-GB"/>
        </w:rPr>
        <w:t>Peterson, A., Karlawish, J. and Largent, E. (2020). Supported decision making with pe</w:t>
      </w:r>
      <w:r>
        <w:rPr>
          <w:lang w:val="en-GB"/>
        </w:rPr>
        <w:t xml:space="preserve">ople at the margins of autonomy. </w:t>
      </w:r>
      <w:r>
        <w:rPr>
          <w:i/>
          <w:iCs/>
          <w:lang w:val="en-GB"/>
        </w:rPr>
        <w:t>The American Journal of Bioethics</w:t>
      </w:r>
      <w:r>
        <w:rPr>
          <w:lang w:val="en-GB"/>
        </w:rPr>
        <w:t>, 21(11), pp.1–21. doi:https://doi.org/10.1080/15265161.2020.1863507.</w:t>
      </w:r>
    </w:p>
    <w:p w:rsidR="00A80BFF" w:rsidRDefault="00BC69F6">
      <w:pPr>
        <w:pStyle w:val="NormalWeb"/>
        <w:spacing w:before="0" w:beforeAutospacing="0" w:after="240" w:afterAutospacing="0" w:line="480" w:lineRule="auto"/>
        <w:ind w:left="720" w:hanging="720"/>
        <w:rPr>
          <w:lang w:val="en-GB"/>
        </w:rPr>
      </w:pPr>
      <w:r>
        <w:rPr>
          <w:lang w:val="en-GB"/>
        </w:rPr>
        <w:t xml:space="preserve">Sznycer, D. and Patrick, C. (2020). The origins of criminal law. </w:t>
      </w:r>
      <w:r>
        <w:rPr>
          <w:i/>
          <w:iCs/>
          <w:lang w:val="en-GB"/>
        </w:rPr>
        <w:t>Nature Human Behaviour</w:t>
      </w:r>
      <w:r>
        <w:rPr>
          <w:lang w:val="en-GB"/>
        </w:rPr>
        <w:t>. doi:https://doi.org/10.1038/s41</w:t>
      </w:r>
      <w:r>
        <w:rPr>
          <w:lang w:val="en-GB"/>
        </w:rPr>
        <w:t>562-020-0827-8.</w:t>
      </w:r>
    </w:p>
    <w:p w:rsidR="00A80BFF" w:rsidRDefault="00BC69F6">
      <w:pPr>
        <w:pStyle w:val="NormalWeb"/>
        <w:spacing w:before="0" w:beforeAutospacing="0" w:after="240" w:afterAutospacing="0" w:line="480" w:lineRule="auto"/>
        <w:ind w:left="720" w:hanging="720"/>
      </w:pPr>
      <w:r>
        <w:rPr>
          <w:lang w:val="en-GB"/>
        </w:rPr>
        <w:lastRenderedPageBreak/>
        <w:t xml:space="preserve">Widanaralalage, B.K., Hine, B.A., Murphy, A.D. and Murji, K. (2022). ‘I didn’t feel i was a victim’: A phenomenological analysis of the experiences of male-on-male survivors of rape and sexual abuse. </w:t>
      </w:r>
      <w:r>
        <w:rPr>
          <w:i/>
          <w:iCs/>
          <w:lang w:val="en-GB"/>
        </w:rPr>
        <w:t>Victims &amp; Offenders</w:t>
      </w:r>
      <w:r>
        <w:rPr>
          <w:lang w:val="en-GB"/>
        </w:rPr>
        <w:t>, 17(8), pp.1–26. doi</w:t>
      </w:r>
      <w:r>
        <w:rPr>
          <w:lang w:val="en-GB"/>
        </w:rPr>
        <w:t>:https://doi.org/10.1080/15564886.2022.2069898.</w:t>
      </w:r>
    </w:p>
    <w:sectPr w:rsidR="00A80BFF">
      <w:headerReference w:type="default" r:id="rId6"/>
      <w:type w:val="continuous"/>
      <w:pgSz w:w="12240" w:h="15840"/>
      <w:pgMar w:top="1440" w:right="1440" w:bottom="1440" w:left="165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69F6" w:rsidRDefault="00BC69F6">
      <w:pPr>
        <w:spacing w:line="240" w:lineRule="auto"/>
      </w:pPr>
      <w:r>
        <w:separator/>
      </w:r>
    </w:p>
  </w:endnote>
  <w:endnote w:type="continuationSeparator" w:id="0">
    <w:p w:rsidR="00BC69F6" w:rsidRDefault="00BC69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等线 Light">
    <w:altName w:val="Segoe Print"/>
    <w:charset w:val="00"/>
    <w:family w:val="auto"/>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69F6" w:rsidRDefault="00BC69F6">
      <w:pPr>
        <w:spacing w:after="0"/>
      </w:pPr>
      <w:r>
        <w:separator/>
      </w:r>
    </w:p>
  </w:footnote>
  <w:footnote w:type="continuationSeparator" w:id="0">
    <w:p w:rsidR="00BC69F6" w:rsidRDefault="00BC69F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6554778"/>
      <w:docPartObj>
        <w:docPartGallery w:val="AutoText"/>
      </w:docPartObj>
    </w:sdtPr>
    <w:sdtEndPr/>
    <w:sdtContent>
      <w:p w:rsidR="00A80BFF" w:rsidRDefault="00BC69F6">
        <w:pPr>
          <w:pStyle w:val="Header"/>
          <w:jc w:val="right"/>
        </w:pPr>
        <w:r>
          <w:fldChar w:fldCharType="begin"/>
        </w:r>
        <w:r>
          <w:instrText xml:space="preserve"> PAGE   \* MERGEFORMAT </w:instrText>
        </w:r>
        <w:r>
          <w:fldChar w:fldCharType="separate"/>
        </w:r>
        <w:r w:rsidR="00B85E57">
          <w:rPr>
            <w:noProof/>
          </w:rPr>
          <w:t>3</w:t>
        </w:r>
        <w: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85F"/>
    <w:rsid w:val="000119F9"/>
    <w:rsid w:val="000A01B9"/>
    <w:rsid w:val="000F3594"/>
    <w:rsid w:val="001257F0"/>
    <w:rsid w:val="00284F52"/>
    <w:rsid w:val="00350020"/>
    <w:rsid w:val="00394351"/>
    <w:rsid w:val="003A7E2B"/>
    <w:rsid w:val="00672FBC"/>
    <w:rsid w:val="00673303"/>
    <w:rsid w:val="006B74F5"/>
    <w:rsid w:val="007E10B9"/>
    <w:rsid w:val="00866AAD"/>
    <w:rsid w:val="008C685F"/>
    <w:rsid w:val="0095398C"/>
    <w:rsid w:val="009960A7"/>
    <w:rsid w:val="00A21952"/>
    <w:rsid w:val="00A37818"/>
    <w:rsid w:val="00A80BFF"/>
    <w:rsid w:val="00AE2F9D"/>
    <w:rsid w:val="00B03584"/>
    <w:rsid w:val="00B85E57"/>
    <w:rsid w:val="00BA43C4"/>
    <w:rsid w:val="00BC69F6"/>
    <w:rsid w:val="00BE5510"/>
    <w:rsid w:val="00C32ECD"/>
    <w:rsid w:val="00C76842"/>
    <w:rsid w:val="00CD5FF5"/>
    <w:rsid w:val="00D74C98"/>
    <w:rsid w:val="00EE34F5"/>
    <w:rsid w:val="00F82A62"/>
    <w:rsid w:val="00F877F5"/>
    <w:rsid w:val="00FA5A9C"/>
    <w:rsid w:val="303156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D530CB"/>
  <w15:docId w15:val="{64F9C149-1A21-4344-A4C1-8E6B9CEB7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480" w:lineRule="auto"/>
    </w:pPr>
    <w:rPr>
      <w:rFonts w:ascii="Times New Roman" w:hAnsi="Times New Roman"/>
      <w:kern w:val="2"/>
      <w:sz w:val="24"/>
      <w:szCs w:val="22"/>
      <w:lang w:val="en-GB"/>
      <w14:ligatures w14:val="standardContextual"/>
    </w:rPr>
  </w:style>
  <w:style w:type="paragraph" w:styleId="Heading1">
    <w:name w:val="heading 1"/>
    <w:basedOn w:val="Normal"/>
    <w:next w:val="Normal"/>
    <w:link w:val="Heading1Char"/>
    <w:uiPriority w:val="9"/>
    <w:qFormat/>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semiHidden/>
    <w:unhideWhenUsed/>
    <w:qFormat/>
    <w:pPr>
      <w:spacing w:before="100" w:beforeAutospacing="1" w:after="100" w:afterAutospacing="1" w:line="240" w:lineRule="auto"/>
    </w:pPr>
    <w:rPr>
      <w:rFonts w:eastAsia="Times New Roman" w:cs="Times New Roman"/>
      <w:kern w:val="0"/>
      <w:szCs w:val="24"/>
      <w:lang w:val="en-US"/>
      <w14:ligatures w14:val="non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40"/>
    </w:pPr>
  </w:style>
  <w:style w:type="character" w:customStyle="1" w:styleId="Heading1Char">
    <w:name w:val="Heading 1 Char"/>
    <w:basedOn w:val="DefaultParagraphFont"/>
    <w:link w:val="Heading1"/>
    <w:uiPriority w:val="9"/>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Pr>
      <w:rFonts w:ascii="Times New Roman" w:eastAsiaTheme="majorEastAsia" w:hAnsi="Times New Roman" w:cstheme="majorBidi"/>
      <w:b/>
      <w:sz w:val="24"/>
      <w:szCs w:val="26"/>
      <w:lang w:val="en-GB"/>
    </w:rPr>
  </w:style>
  <w:style w:type="paragraph" w:customStyle="1" w:styleId="TOCHeading1">
    <w:name w:val="TOC Heading1"/>
    <w:basedOn w:val="Heading1"/>
    <w:next w:val="Normal"/>
    <w:uiPriority w:val="39"/>
    <w:unhideWhenUsed/>
    <w:qFormat/>
    <w:pPr>
      <w:spacing w:line="259" w:lineRule="auto"/>
      <w:outlineLvl w:val="9"/>
    </w:pPr>
    <w:rPr>
      <w:rFonts w:asciiTheme="majorHAnsi" w:hAnsiTheme="majorHAnsi"/>
      <w:b w:val="0"/>
      <w:color w:val="2F5496" w:themeColor="accent1" w:themeShade="BF"/>
      <w:kern w:val="0"/>
      <w:sz w:val="32"/>
      <w:lang w:val="en-US"/>
      <w14:ligatures w14:val="none"/>
    </w:rPr>
  </w:style>
  <w:style w:type="character" w:customStyle="1" w:styleId="HeaderChar">
    <w:name w:val="Header Char"/>
    <w:basedOn w:val="DefaultParagraphFont"/>
    <w:link w:val="Header"/>
    <w:uiPriority w:val="99"/>
    <w:rPr>
      <w:rFonts w:ascii="Times New Roman" w:hAnsi="Times New Roman"/>
      <w:sz w:val="24"/>
      <w:lang w:val="en-GB"/>
    </w:rPr>
  </w:style>
  <w:style w:type="character" w:customStyle="1" w:styleId="FooterChar">
    <w:name w:val="Footer Char"/>
    <w:basedOn w:val="DefaultParagraphFont"/>
    <w:link w:val="Footer"/>
    <w:uiPriority w:val="99"/>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1884</Words>
  <Characters>10744</Characters>
  <Application>Microsoft Office Word</Application>
  <DocSecurity>0</DocSecurity>
  <Lines>89</Lines>
  <Paragraphs>25</Paragraphs>
  <ScaleCrop>false</ScaleCrop>
  <Company/>
  <LinksUpToDate>false</LinksUpToDate>
  <CharactersWithSpaces>12603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Windows User</cp:lastModifiedBy>
  <cp:revision>2</cp:revision>
  <cp:lastPrinted>2024-03-18T21:12:00Z</cp:lastPrinted>
  <dcterms:created xsi:type="dcterms:W3CDTF">2024-03-18T18:27:00Z</dcterms:created>
  <dcterms:modified xsi:type="dcterms:W3CDTF">2024-03-19T10:37:00Z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1244524a-68df-406a-809b-fde7665c8831</vt:lpwstr>
  </property>
  <property fmtid="{D5CDD505-2E9C-101B-9397-08002B2CF9AE}" pid="3" name="KSOProductBuildVer">
    <vt:lpwstr>2057-12.2.0.13489</vt:lpwstr>
  </property>
  <property fmtid="{D5CDD505-2E9C-101B-9397-08002B2CF9AE}" pid="4" name="ICV">
    <vt:lpwstr>D0887EFDBC024E45BF753EE02DB45B8E_12</vt:lpwstr>
  </property>
</Properties>
</file>