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4DE34" w14:textId="0CE3E080" w:rsidR="006B4681" w:rsidRDefault="006B4681" w:rsidP="00197212">
      <w:pPr>
        <w:jc w:val="center"/>
        <w:rPr>
          <w:b/>
          <w:sz w:val="40"/>
        </w:rPr>
      </w:pPr>
      <w:r>
        <w:rPr>
          <w:b/>
          <w:noProof/>
          <w:sz w:val="40"/>
        </w:rPr>
        <w:drawing>
          <wp:inline distT="0" distB="0" distL="0" distR="0" wp14:anchorId="1D2842A7" wp14:editId="499BDB7A">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0662ECE4" w14:textId="0124AF47" w:rsidR="005B5F4A" w:rsidRDefault="005B5F4A" w:rsidP="00FD0426">
      <w:pPr>
        <w:jc w:val="center"/>
        <w:rPr>
          <w:b/>
          <w:sz w:val="40"/>
        </w:rPr>
      </w:pPr>
      <w:r>
        <w:rPr>
          <w:b/>
          <w:sz w:val="40"/>
        </w:rPr>
        <w:t>University of Wales Trinity Saint David</w:t>
      </w:r>
    </w:p>
    <w:p w14:paraId="4F1F7E3C" w14:textId="1052C571" w:rsidR="00BD17E4" w:rsidRDefault="006B4A8E" w:rsidP="00FD0426">
      <w:pPr>
        <w:jc w:val="center"/>
        <w:rPr>
          <w:b/>
          <w:sz w:val="40"/>
        </w:rPr>
      </w:pPr>
      <w:r w:rsidRPr="00A00FDF">
        <w:rPr>
          <w:b/>
          <w:sz w:val="40"/>
        </w:rPr>
        <w:t>International Financial Ma</w:t>
      </w:r>
      <w:r w:rsidR="005B5F4A">
        <w:rPr>
          <w:b/>
          <w:sz w:val="40"/>
        </w:rPr>
        <w:t>nagement</w:t>
      </w:r>
    </w:p>
    <w:p w14:paraId="526D449C" w14:textId="1340224D" w:rsidR="005B5F4A" w:rsidRDefault="005B5F4A" w:rsidP="00FD0426">
      <w:pPr>
        <w:jc w:val="center"/>
        <w:rPr>
          <w:b/>
          <w:sz w:val="40"/>
        </w:rPr>
      </w:pPr>
      <w:r>
        <w:rPr>
          <w:b/>
          <w:sz w:val="40"/>
        </w:rPr>
        <w:t xml:space="preserve">Assignment </w:t>
      </w:r>
      <w:r w:rsidR="004A1390">
        <w:rPr>
          <w:b/>
          <w:sz w:val="40"/>
        </w:rPr>
        <w:t>2</w:t>
      </w:r>
    </w:p>
    <w:p w14:paraId="1E70A576" w14:textId="16A9831E" w:rsidR="004A1390" w:rsidRPr="00A00FDF" w:rsidRDefault="004A1390" w:rsidP="00FD0426">
      <w:pPr>
        <w:jc w:val="center"/>
        <w:rPr>
          <w:b/>
          <w:sz w:val="40"/>
        </w:rPr>
      </w:pPr>
      <w:r>
        <w:rPr>
          <w:b/>
          <w:sz w:val="40"/>
        </w:rPr>
        <w:t>Group report on BP PLC</w:t>
      </w:r>
    </w:p>
    <w:p w14:paraId="063A903A" w14:textId="0BE5C225" w:rsidR="00345390" w:rsidRDefault="005B5F4A" w:rsidP="00FD0426">
      <w:r>
        <w:tab/>
      </w:r>
      <w:r>
        <w:tab/>
      </w:r>
      <w:r>
        <w:tab/>
      </w:r>
      <w:r>
        <w:tab/>
      </w:r>
      <w:r>
        <w:tab/>
      </w:r>
    </w:p>
    <w:p w14:paraId="0855BCF8" w14:textId="5C3F1A0F" w:rsidR="006B4681" w:rsidRDefault="006B4681" w:rsidP="00FD0426"/>
    <w:p w14:paraId="371A25B0" w14:textId="77777777" w:rsidR="006B4681" w:rsidRDefault="006B4681" w:rsidP="00FD0426"/>
    <w:p w14:paraId="3ECD395A" w14:textId="4EE35131" w:rsidR="00CE46EB" w:rsidRPr="00CE46EB" w:rsidRDefault="006B4681" w:rsidP="00CE46EB">
      <w:pPr>
        <w:rPr>
          <w:sz w:val="28"/>
          <w:szCs w:val="28"/>
          <w:lang w:val="en-GB"/>
        </w:rPr>
      </w:pPr>
      <w:r w:rsidRPr="006B4681">
        <w:rPr>
          <w:sz w:val="28"/>
          <w:szCs w:val="28"/>
        </w:rPr>
        <w:t>Student</w:t>
      </w:r>
      <w:r w:rsidR="004A1390">
        <w:rPr>
          <w:sz w:val="28"/>
          <w:szCs w:val="28"/>
        </w:rPr>
        <w:t>s</w:t>
      </w:r>
      <w:r w:rsidRPr="006B4681">
        <w:rPr>
          <w:sz w:val="28"/>
          <w:szCs w:val="28"/>
        </w:rPr>
        <w:t xml:space="preserve">: </w:t>
      </w:r>
      <w:r w:rsidR="00CE46EB" w:rsidRPr="00CE46EB">
        <w:rPr>
          <w:sz w:val="28"/>
          <w:szCs w:val="28"/>
          <w:lang w:val="en-GB"/>
        </w:rPr>
        <w:t>Daniel Mihai (1917723)</w:t>
      </w:r>
      <w:r w:rsidR="00CE46EB" w:rsidRPr="00CE46EB">
        <w:rPr>
          <w:sz w:val="28"/>
          <w:szCs w:val="28"/>
          <w:lang w:val="en-GB"/>
        </w:rPr>
        <w:tab/>
      </w:r>
      <w:r w:rsidR="00CE46EB" w:rsidRPr="00CE46EB">
        <w:rPr>
          <w:sz w:val="28"/>
          <w:szCs w:val="28"/>
          <w:lang w:val="en-GB"/>
        </w:rPr>
        <w:tab/>
      </w:r>
    </w:p>
    <w:p w14:paraId="621DFD4C" w14:textId="77777777" w:rsidR="00CE46EB" w:rsidRPr="00CE46EB" w:rsidRDefault="00CE46EB" w:rsidP="00CE46EB">
      <w:pPr>
        <w:rPr>
          <w:sz w:val="28"/>
          <w:szCs w:val="28"/>
          <w:lang w:val="en-GB"/>
        </w:rPr>
      </w:pPr>
      <w:r w:rsidRPr="00CE46EB">
        <w:rPr>
          <w:sz w:val="28"/>
          <w:szCs w:val="28"/>
          <w:lang w:val="en-GB"/>
        </w:rPr>
        <w:t>Georgi Dimitrov (1917423)</w:t>
      </w:r>
      <w:r w:rsidRPr="00CE46EB">
        <w:rPr>
          <w:sz w:val="28"/>
          <w:szCs w:val="28"/>
          <w:lang w:val="en-GB"/>
        </w:rPr>
        <w:tab/>
      </w:r>
      <w:r w:rsidRPr="00CE46EB">
        <w:rPr>
          <w:sz w:val="28"/>
          <w:szCs w:val="28"/>
          <w:lang w:val="en-GB"/>
        </w:rPr>
        <w:tab/>
      </w:r>
      <w:r w:rsidRPr="00CE46EB">
        <w:rPr>
          <w:sz w:val="28"/>
          <w:szCs w:val="28"/>
          <w:lang w:val="en-GB"/>
        </w:rPr>
        <w:tab/>
      </w:r>
      <w:r w:rsidRPr="00CE46EB">
        <w:rPr>
          <w:sz w:val="28"/>
          <w:szCs w:val="28"/>
          <w:lang w:val="en-GB"/>
        </w:rPr>
        <w:tab/>
      </w:r>
      <w:r w:rsidRPr="00CE46EB">
        <w:rPr>
          <w:sz w:val="28"/>
          <w:szCs w:val="28"/>
          <w:lang w:val="en-GB"/>
        </w:rPr>
        <w:tab/>
      </w:r>
      <w:r w:rsidRPr="00CE46EB">
        <w:rPr>
          <w:sz w:val="28"/>
          <w:szCs w:val="28"/>
          <w:lang w:val="en-GB"/>
        </w:rPr>
        <w:tab/>
      </w:r>
    </w:p>
    <w:p w14:paraId="338B3104" w14:textId="77777777" w:rsidR="00CE46EB" w:rsidRPr="00CE46EB" w:rsidRDefault="00CE46EB" w:rsidP="00CE46EB">
      <w:pPr>
        <w:rPr>
          <w:sz w:val="28"/>
          <w:szCs w:val="28"/>
          <w:lang w:val="en-GB"/>
        </w:rPr>
      </w:pPr>
      <w:r w:rsidRPr="00CE46EB">
        <w:rPr>
          <w:sz w:val="28"/>
          <w:szCs w:val="28"/>
          <w:lang w:val="en-GB"/>
        </w:rPr>
        <w:t xml:space="preserve">Mariana </w:t>
      </w:r>
      <w:proofErr w:type="spellStart"/>
      <w:r w:rsidRPr="00CE46EB">
        <w:rPr>
          <w:sz w:val="28"/>
          <w:szCs w:val="28"/>
          <w:lang w:val="en-GB"/>
        </w:rPr>
        <w:t>Zaharia</w:t>
      </w:r>
      <w:proofErr w:type="spellEnd"/>
      <w:r w:rsidRPr="00CE46EB">
        <w:rPr>
          <w:sz w:val="28"/>
          <w:szCs w:val="28"/>
          <w:lang w:val="en-GB"/>
        </w:rPr>
        <w:t xml:space="preserve"> (1917341)</w:t>
      </w:r>
    </w:p>
    <w:p w14:paraId="7DE42936" w14:textId="77777777" w:rsidR="00CE46EB" w:rsidRPr="00CE46EB" w:rsidRDefault="00CE46EB" w:rsidP="00CE46EB">
      <w:pPr>
        <w:rPr>
          <w:sz w:val="28"/>
          <w:szCs w:val="28"/>
          <w:lang w:val="en-GB"/>
        </w:rPr>
      </w:pPr>
      <w:r w:rsidRPr="00CE46EB">
        <w:rPr>
          <w:sz w:val="28"/>
          <w:szCs w:val="28"/>
          <w:lang w:val="en-GB"/>
        </w:rPr>
        <w:t xml:space="preserve">Mihaela </w:t>
      </w:r>
      <w:proofErr w:type="spellStart"/>
      <w:r w:rsidRPr="00CE46EB">
        <w:rPr>
          <w:sz w:val="28"/>
          <w:szCs w:val="28"/>
          <w:lang w:val="en-GB"/>
        </w:rPr>
        <w:t>Musat</w:t>
      </w:r>
      <w:proofErr w:type="spellEnd"/>
      <w:r w:rsidRPr="00CE46EB">
        <w:rPr>
          <w:sz w:val="28"/>
          <w:szCs w:val="28"/>
          <w:lang w:val="en-GB"/>
        </w:rPr>
        <w:t xml:space="preserve"> (1915928)</w:t>
      </w:r>
    </w:p>
    <w:p w14:paraId="21D25938" w14:textId="77777777" w:rsidR="00CE46EB" w:rsidRDefault="00CE46EB" w:rsidP="00CE46EB">
      <w:pPr>
        <w:rPr>
          <w:sz w:val="28"/>
          <w:szCs w:val="28"/>
          <w:lang w:val="en-GB"/>
        </w:rPr>
      </w:pPr>
      <w:r w:rsidRPr="00CE46EB">
        <w:rPr>
          <w:sz w:val="28"/>
          <w:szCs w:val="28"/>
          <w:lang w:val="en-GB"/>
        </w:rPr>
        <w:t>Tzvetan Petrov (1917249)</w:t>
      </w:r>
    </w:p>
    <w:p w14:paraId="5780B5E8" w14:textId="77777777" w:rsidR="00CE46EB" w:rsidRDefault="00CE46EB" w:rsidP="00CE46EB">
      <w:pPr>
        <w:rPr>
          <w:sz w:val="28"/>
          <w:szCs w:val="28"/>
          <w:lang w:val="en-GB"/>
        </w:rPr>
      </w:pPr>
    </w:p>
    <w:p w14:paraId="7BD7927A" w14:textId="1DB58374" w:rsidR="006B4681" w:rsidRPr="006B4681" w:rsidRDefault="006B4681" w:rsidP="00CE46EB">
      <w:pPr>
        <w:rPr>
          <w:sz w:val="28"/>
          <w:szCs w:val="28"/>
        </w:rPr>
      </w:pPr>
      <w:r w:rsidRPr="006B4681">
        <w:rPr>
          <w:sz w:val="28"/>
          <w:szCs w:val="28"/>
        </w:rPr>
        <w:t xml:space="preserve">Lecturer: Dr. Taye </w:t>
      </w:r>
      <w:proofErr w:type="spellStart"/>
      <w:r w:rsidRPr="006B4681">
        <w:rPr>
          <w:sz w:val="28"/>
          <w:szCs w:val="28"/>
        </w:rPr>
        <w:t>Osadiya</w:t>
      </w:r>
      <w:proofErr w:type="spellEnd"/>
      <w:r w:rsidRPr="006B4681">
        <w:rPr>
          <w:sz w:val="28"/>
          <w:szCs w:val="28"/>
        </w:rPr>
        <w:t xml:space="preserve"> – t.osadiya@uwtsd.ac.uk</w:t>
      </w:r>
    </w:p>
    <w:p w14:paraId="0FBBBF0A" w14:textId="77777777" w:rsidR="00345390" w:rsidRDefault="00345390" w:rsidP="00FD0426"/>
    <w:p w14:paraId="309C9E6D" w14:textId="77777777" w:rsidR="00345390" w:rsidRDefault="00345390" w:rsidP="00FD0426"/>
    <w:p w14:paraId="0376937E" w14:textId="77777777" w:rsidR="00345390" w:rsidRDefault="00345390" w:rsidP="00FD0426"/>
    <w:p w14:paraId="7704FEB8" w14:textId="1F629ECD" w:rsidR="00345390" w:rsidRDefault="00345390" w:rsidP="00FD0426">
      <w:r>
        <w:br w:type="page"/>
      </w:r>
    </w:p>
    <w:sdt>
      <w:sdtPr>
        <w:id w:val="-2060928030"/>
        <w:docPartObj>
          <w:docPartGallery w:val="Table of Contents"/>
          <w:docPartUnique/>
        </w:docPartObj>
      </w:sdtPr>
      <w:sdtEndPr>
        <w:rPr>
          <w:rFonts w:ascii="Times New Roman" w:eastAsiaTheme="minorHAnsi" w:hAnsi="Times New Roman" w:cs="Times New Roman"/>
          <w:b/>
          <w:bCs/>
          <w:noProof/>
          <w:color w:val="auto"/>
          <w:sz w:val="24"/>
          <w:szCs w:val="24"/>
        </w:rPr>
      </w:sdtEndPr>
      <w:sdtContent>
        <w:p w14:paraId="13917CCE" w14:textId="54685BC0" w:rsidR="004A1390" w:rsidRPr="004A1390" w:rsidRDefault="004A1390">
          <w:pPr>
            <w:pStyle w:val="TOCHeading"/>
            <w:rPr>
              <w:rFonts w:ascii="Times New Roman" w:hAnsi="Times New Roman" w:cs="Times New Roman"/>
              <w:color w:val="000000" w:themeColor="text1"/>
            </w:rPr>
          </w:pPr>
          <w:r w:rsidRPr="004A1390">
            <w:rPr>
              <w:rFonts w:ascii="Times New Roman" w:hAnsi="Times New Roman" w:cs="Times New Roman"/>
              <w:color w:val="000000" w:themeColor="text1"/>
            </w:rPr>
            <w:t>Contents</w:t>
          </w:r>
        </w:p>
        <w:p w14:paraId="1AEE907C" w14:textId="42694C33"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03023722" w:history="1">
            <w:r w:rsidRPr="00ED3EF9">
              <w:rPr>
                <w:rStyle w:val="Hyperlink"/>
                <w:noProof/>
              </w:rPr>
              <w:t>Introduction</w:t>
            </w:r>
            <w:r>
              <w:rPr>
                <w:noProof/>
                <w:webHidden/>
              </w:rPr>
              <w:tab/>
            </w:r>
            <w:r>
              <w:rPr>
                <w:noProof/>
                <w:webHidden/>
              </w:rPr>
              <w:fldChar w:fldCharType="begin"/>
            </w:r>
            <w:r>
              <w:rPr>
                <w:noProof/>
                <w:webHidden/>
              </w:rPr>
              <w:instrText xml:space="preserve"> PAGEREF _Toc103023722 \h </w:instrText>
            </w:r>
            <w:r>
              <w:rPr>
                <w:noProof/>
                <w:webHidden/>
              </w:rPr>
            </w:r>
            <w:r>
              <w:rPr>
                <w:noProof/>
                <w:webHidden/>
              </w:rPr>
              <w:fldChar w:fldCharType="separate"/>
            </w:r>
            <w:r>
              <w:rPr>
                <w:noProof/>
                <w:webHidden/>
              </w:rPr>
              <w:t>2</w:t>
            </w:r>
            <w:r>
              <w:rPr>
                <w:noProof/>
                <w:webHidden/>
              </w:rPr>
              <w:fldChar w:fldCharType="end"/>
            </w:r>
          </w:hyperlink>
        </w:p>
        <w:p w14:paraId="4D299E71" w14:textId="20AC1C5C"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3" w:history="1">
            <w:r w:rsidRPr="00ED3EF9">
              <w:rPr>
                <w:rStyle w:val="Hyperlink"/>
                <w:noProof/>
              </w:rPr>
              <w:t>Sources of finance</w:t>
            </w:r>
            <w:r>
              <w:rPr>
                <w:noProof/>
                <w:webHidden/>
              </w:rPr>
              <w:tab/>
            </w:r>
            <w:r>
              <w:rPr>
                <w:noProof/>
                <w:webHidden/>
              </w:rPr>
              <w:fldChar w:fldCharType="begin"/>
            </w:r>
            <w:r>
              <w:rPr>
                <w:noProof/>
                <w:webHidden/>
              </w:rPr>
              <w:instrText xml:space="preserve"> PAGEREF _Toc103023723 \h </w:instrText>
            </w:r>
            <w:r>
              <w:rPr>
                <w:noProof/>
                <w:webHidden/>
              </w:rPr>
            </w:r>
            <w:r>
              <w:rPr>
                <w:noProof/>
                <w:webHidden/>
              </w:rPr>
              <w:fldChar w:fldCharType="separate"/>
            </w:r>
            <w:r>
              <w:rPr>
                <w:noProof/>
                <w:webHidden/>
              </w:rPr>
              <w:t>2</w:t>
            </w:r>
            <w:r>
              <w:rPr>
                <w:noProof/>
                <w:webHidden/>
              </w:rPr>
              <w:fldChar w:fldCharType="end"/>
            </w:r>
          </w:hyperlink>
        </w:p>
        <w:p w14:paraId="50B03422" w14:textId="7D066A21"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4" w:history="1">
            <w:r w:rsidRPr="00ED3EF9">
              <w:rPr>
                <w:rStyle w:val="Hyperlink"/>
                <w:noProof/>
              </w:rPr>
              <w:t>Capital Structure</w:t>
            </w:r>
            <w:r>
              <w:rPr>
                <w:noProof/>
                <w:webHidden/>
              </w:rPr>
              <w:tab/>
            </w:r>
            <w:r>
              <w:rPr>
                <w:noProof/>
                <w:webHidden/>
              </w:rPr>
              <w:fldChar w:fldCharType="begin"/>
            </w:r>
            <w:r>
              <w:rPr>
                <w:noProof/>
                <w:webHidden/>
              </w:rPr>
              <w:instrText xml:space="preserve"> PAGEREF _Toc103023724 \h </w:instrText>
            </w:r>
            <w:r>
              <w:rPr>
                <w:noProof/>
                <w:webHidden/>
              </w:rPr>
            </w:r>
            <w:r>
              <w:rPr>
                <w:noProof/>
                <w:webHidden/>
              </w:rPr>
              <w:fldChar w:fldCharType="separate"/>
            </w:r>
            <w:r>
              <w:rPr>
                <w:noProof/>
                <w:webHidden/>
              </w:rPr>
              <w:t>2</w:t>
            </w:r>
            <w:r>
              <w:rPr>
                <w:noProof/>
                <w:webHidden/>
              </w:rPr>
              <w:fldChar w:fldCharType="end"/>
            </w:r>
          </w:hyperlink>
        </w:p>
        <w:p w14:paraId="12CCE973" w14:textId="1E7B864D"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5" w:history="1">
            <w:r w:rsidRPr="00ED3EF9">
              <w:rPr>
                <w:rStyle w:val="Hyperlink"/>
                <w:noProof/>
              </w:rPr>
              <w:t>Managing business environmental financial risk</w:t>
            </w:r>
            <w:r>
              <w:rPr>
                <w:noProof/>
                <w:webHidden/>
              </w:rPr>
              <w:tab/>
            </w:r>
            <w:r>
              <w:rPr>
                <w:noProof/>
                <w:webHidden/>
              </w:rPr>
              <w:fldChar w:fldCharType="begin"/>
            </w:r>
            <w:r>
              <w:rPr>
                <w:noProof/>
                <w:webHidden/>
              </w:rPr>
              <w:instrText xml:space="preserve"> PAGEREF _Toc103023725 \h </w:instrText>
            </w:r>
            <w:r>
              <w:rPr>
                <w:noProof/>
                <w:webHidden/>
              </w:rPr>
            </w:r>
            <w:r>
              <w:rPr>
                <w:noProof/>
                <w:webHidden/>
              </w:rPr>
              <w:fldChar w:fldCharType="separate"/>
            </w:r>
            <w:r>
              <w:rPr>
                <w:noProof/>
                <w:webHidden/>
              </w:rPr>
              <w:t>2</w:t>
            </w:r>
            <w:r>
              <w:rPr>
                <w:noProof/>
                <w:webHidden/>
              </w:rPr>
              <w:fldChar w:fldCharType="end"/>
            </w:r>
          </w:hyperlink>
        </w:p>
        <w:p w14:paraId="5A24A63C" w14:textId="3DAC7755"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6" w:history="1">
            <w:r w:rsidRPr="00ED3EF9">
              <w:rPr>
                <w:rStyle w:val="Hyperlink"/>
                <w:noProof/>
              </w:rPr>
              <w:t>Managing foreign exchange risk</w:t>
            </w:r>
            <w:r>
              <w:rPr>
                <w:noProof/>
                <w:webHidden/>
              </w:rPr>
              <w:tab/>
            </w:r>
            <w:r>
              <w:rPr>
                <w:noProof/>
                <w:webHidden/>
              </w:rPr>
              <w:fldChar w:fldCharType="begin"/>
            </w:r>
            <w:r>
              <w:rPr>
                <w:noProof/>
                <w:webHidden/>
              </w:rPr>
              <w:instrText xml:space="preserve"> PAGEREF _Toc103023726 \h </w:instrText>
            </w:r>
            <w:r>
              <w:rPr>
                <w:noProof/>
                <w:webHidden/>
              </w:rPr>
            </w:r>
            <w:r>
              <w:rPr>
                <w:noProof/>
                <w:webHidden/>
              </w:rPr>
              <w:fldChar w:fldCharType="separate"/>
            </w:r>
            <w:r>
              <w:rPr>
                <w:noProof/>
                <w:webHidden/>
              </w:rPr>
              <w:t>2</w:t>
            </w:r>
            <w:r>
              <w:rPr>
                <w:noProof/>
                <w:webHidden/>
              </w:rPr>
              <w:fldChar w:fldCharType="end"/>
            </w:r>
          </w:hyperlink>
        </w:p>
        <w:p w14:paraId="4B0A343F" w14:textId="648559CF"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7" w:history="1">
            <w:r w:rsidRPr="00ED3EF9">
              <w:rPr>
                <w:rStyle w:val="Hyperlink"/>
                <w:noProof/>
              </w:rPr>
              <w:t>Working Capital</w:t>
            </w:r>
            <w:r>
              <w:rPr>
                <w:noProof/>
                <w:webHidden/>
              </w:rPr>
              <w:tab/>
            </w:r>
            <w:r>
              <w:rPr>
                <w:noProof/>
                <w:webHidden/>
              </w:rPr>
              <w:fldChar w:fldCharType="begin"/>
            </w:r>
            <w:r>
              <w:rPr>
                <w:noProof/>
                <w:webHidden/>
              </w:rPr>
              <w:instrText xml:space="preserve"> PAGEREF _Toc103023727 \h </w:instrText>
            </w:r>
            <w:r>
              <w:rPr>
                <w:noProof/>
                <w:webHidden/>
              </w:rPr>
            </w:r>
            <w:r>
              <w:rPr>
                <w:noProof/>
                <w:webHidden/>
              </w:rPr>
              <w:fldChar w:fldCharType="separate"/>
            </w:r>
            <w:r>
              <w:rPr>
                <w:noProof/>
                <w:webHidden/>
              </w:rPr>
              <w:t>2</w:t>
            </w:r>
            <w:r>
              <w:rPr>
                <w:noProof/>
                <w:webHidden/>
              </w:rPr>
              <w:fldChar w:fldCharType="end"/>
            </w:r>
          </w:hyperlink>
        </w:p>
        <w:p w14:paraId="618336AB" w14:textId="73F55CE2"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8" w:history="1">
            <w:r w:rsidRPr="00ED3EF9">
              <w:rPr>
                <w:rStyle w:val="Hyperlink"/>
                <w:noProof/>
              </w:rPr>
              <w:t>Conclusion</w:t>
            </w:r>
            <w:r>
              <w:rPr>
                <w:noProof/>
                <w:webHidden/>
              </w:rPr>
              <w:tab/>
            </w:r>
            <w:r>
              <w:rPr>
                <w:noProof/>
                <w:webHidden/>
              </w:rPr>
              <w:fldChar w:fldCharType="begin"/>
            </w:r>
            <w:r>
              <w:rPr>
                <w:noProof/>
                <w:webHidden/>
              </w:rPr>
              <w:instrText xml:space="preserve"> PAGEREF _Toc103023728 \h </w:instrText>
            </w:r>
            <w:r>
              <w:rPr>
                <w:noProof/>
                <w:webHidden/>
              </w:rPr>
            </w:r>
            <w:r>
              <w:rPr>
                <w:noProof/>
                <w:webHidden/>
              </w:rPr>
              <w:fldChar w:fldCharType="separate"/>
            </w:r>
            <w:r>
              <w:rPr>
                <w:noProof/>
                <w:webHidden/>
              </w:rPr>
              <w:t>2</w:t>
            </w:r>
            <w:r>
              <w:rPr>
                <w:noProof/>
                <w:webHidden/>
              </w:rPr>
              <w:fldChar w:fldCharType="end"/>
            </w:r>
          </w:hyperlink>
        </w:p>
        <w:p w14:paraId="01D5198A" w14:textId="2F0B742F" w:rsidR="004A1390" w:rsidRDefault="004A1390">
          <w:pPr>
            <w:pStyle w:val="TOC1"/>
            <w:tabs>
              <w:tab w:val="right" w:leader="dot" w:pos="9350"/>
            </w:tabs>
            <w:rPr>
              <w:rFonts w:asciiTheme="minorHAnsi" w:eastAsiaTheme="minorEastAsia" w:hAnsiTheme="minorHAnsi" w:cstheme="minorBidi"/>
              <w:noProof/>
              <w:sz w:val="22"/>
              <w:szCs w:val="22"/>
              <w:lang w:val="en-GB" w:eastAsia="en-GB"/>
            </w:rPr>
          </w:pPr>
          <w:hyperlink w:anchor="_Toc103023729" w:history="1">
            <w:r w:rsidRPr="00ED3EF9">
              <w:rPr>
                <w:rStyle w:val="Hyperlink"/>
                <w:noProof/>
              </w:rPr>
              <w:t>References</w:t>
            </w:r>
            <w:r>
              <w:rPr>
                <w:noProof/>
                <w:webHidden/>
              </w:rPr>
              <w:tab/>
            </w:r>
            <w:r>
              <w:rPr>
                <w:noProof/>
                <w:webHidden/>
              </w:rPr>
              <w:fldChar w:fldCharType="begin"/>
            </w:r>
            <w:r>
              <w:rPr>
                <w:noProof/>
                <w:webHidden/>
              </w:rPr>
              <w:instrText xml:space="preserve"> PAGEREF _Toc103023729 \h </w:instrText>
            </w:r>
            <w:r>
              <w:rPr>
                <w:noProof/>
                <w:webHidden/>
              </w:rPr>
            </w:r>
            <w:r>
              <w:rPr>
                <w:noProof/>
                <w:webHidden/>
              </w:rPr>
              <w:fldChar w:fldCharType="separate"/>
            </w:r>
            <w:r>
              <w:rPr>
                <w:noProof/>
                <w:webHidden/>
              </w:rPr>
              <w:t>2</w:t>
            </w:r>
            <w:r>
              <w:rPr>
                <w:noProof/>
                <w:webHidden/>
              </w:rPr>
              <w:fldChar w:fldCharType="end"/>
            </w:r>
          </w:hyperlink>
        </w:p>
        <w:p w14:paraId="4F6DB34A" w14:textId="6574FF05" w:rsidR="004A1390" w:rsidRDefault="004A1390">
          <w:r>
            <w:rPr>
              <w:b/>
              <w:bCs/>
              <w:noProof/>
            </w:rPr>
            <w:fldChar w:fldCharType="end"/>
          </w:r>
        </w:p>
      </w:sdtContent>
    </w:sdt>
    <w:p w14:paraId="2572E402" w14:textId="43A1E9C8" w:rsidR="004A1390" w:rsidRDefault="004A1390" w:rsidP="00FD0426"/>
    <w:p w14:paraId="35927B51" w14:textId="77777777" w:rsidR="004A1390" w:rsidRDefault="004A1390" w:rsidP="00FD0426"/>
    <w:p w14:paraId="67E6C004" w14:textId="57D347FC" w:rsidR="006629C9" w:rsidRDefault="00102589" w:rsidP="00102589">
      <w:pPr>
        <w:pStyle w:val="Heading1"/>
      </w:pPr>
      <w:bookmarkStart w:id="0" w:name="_Toc103023722"/>
      <w:r>
        <w:t>Introduction</w:t>
      </w:r>
      <w:bookmarkEnd w:id="0"/>
    </w:p>
    <w:p w14:paraId="5F7D6802" w14:textId="3B882126" w:rsidR="00740E7F" w:rsidRPr="00740E7F" w:rsidRDefault="00740E7F" w:rsidP="00740E7F">
      <w:r>
        <w:t xml:space="preserve">In this report we are going to critically </w:t>
      </w:r>
      <w:proofErr w:type="spellStart"/>
      <w:r w:rsidR="0014301B">
        <w:t>analyse</w:t>
      </w:r>
      <w:proofErr w:type="spellEnd"/>
      <w:r w:rsidR="0014301B">
        <w:t xml:space="preserve"> and evaluate BP plc. One of the seven “supermajors” in the oil and gas sector</w:t>
      </w:r>
      <w:r w:rsidR="006C6309">
        <w:t>. T</w:t>
      </w:r>
      <w:r w:rsidR="0014301B">
        <w:t xml:space="preserve">hey have </w:t>
      </w:r>
      <w:r w:rsidR="006C6309">
        <w:t xml:space="preserve">vertical integration of its supply chain, meaning they operate in all levels of the oil and gas industry from research and </w:t>
      </w:r>
      <w:r w:rsidR="006C6309" w:rsidRPr="006C6309">
        <w:rPr>
          <w:shd w:val="clear" w:color="auto" w:fill="FFFFFF"/>
        </w:rPr>
        <w:t>exploration</w:t>
      </w:r>
      <w:r w:rsidR="006C6309" w:rsidRPr="006C6309">
        <w:rPr>
          <w:color w:val="202122"/>
          <w:shd w:val="clear" w:color="auto" w:fill="FFFFFF"/>
        </w:rPr>
        <w:t> </w:t>
      </w:r>
      <w:r w:rsidR="006C6309">
        <w:rPr>
          <w:color w:val="202122"/>
          <w:shd w:val="clear" w:color="auto" w:fill="FFFFFF"/>
        </w:rPr>
        <w:t>to</w:t>
      </w:r>
      <w:r w:rsidR="006C6309" w:rsidRPr="006C6309">
        <w:rPr>
          <w:color w:val="202122"/>
          <w:shd w:val="clear" w:color="auto" w:fill="FFFFFF"/>
        </w:rPr>
        <w:t> </w:t>
      </w:r>
      <w:r w:rsidR="006C6309" w:rsidRPr="006C6309">
        <w:rPr>
          <w:shd w:val="clear" w:color="auto" w:fill="FFFFFF"/>
        </w:rPr>
        <w:t>extraction</w:t>
      </w:r>
      <w:r w:rsidR="006C6309" w:rsidRPr="006C6309">
        <w:rPr>
          <w:color w:val="202122"/>
          <w:shd w:val="clear" w:color="auto" w:fill="FFFFFF"/>
        </w:rPr>
        <w:t>, </w:t>
      </w:r>
      <w:r w:rsidR="006C6309" w:rsidRPr="006C6309">
        <w:rPr>
          <w:shd w:val="clear" w:color="auto" w:fill="FFFFFF"/>
        </w:rPr>
        <w:t>refining</w:t>
      </w:r>
      <w:r w:rsidR="006C6309" w:rsidRPr="006C6309">
        <w:rPr>
          <w:color w:val="202122"/>
          <w:shd w:val="clear" w:color="auto" w:fill="FFFFFF"/>
        </w:rPr>
        <w:t>, </w:t>
      </w:r>
      <w:r w:rsidR="006C6309" w:rsidRPr="006C6309">
        <w:rPr>
          <w:shd w:val="clear" w:color="auto" w:fill="FFFFFF"/>
        </w:rPr>
        <w:t>distribution and marketing</w:t>
      </w:r>
      <w:r w:rsidR="006C6309" w:rsidRPr="006C6309">
        <w:rPr>
          <w:color w:val="202122"/>
          <w:shd w:val="clear" w:color="auto" w:fill="FFFFFF"/>
        </w:rPr>
        <w:t>, </w:t>
      </w:r>
      <w:r w:rsidR="006C6309" w:rsidRPr="006C6309">
        <w:rPr>
          <w:shd w:val="clear" w:color="auto" w:fill="FFFFFF"/>
        </w:rPr>
        <w:t>power generation</w:t>
      </w:r>
      <w:r w:rsidR="006C6309" w:rsidRPr="006C6309">
        <w:rPr>
          <w:color w:val="202122"/>
          <w:shd w:val="clear" w:color="auto" w:fill="FFFFFF"/>
        </w:rPr>
        <w:t>, and </w:t>
      </w:r>
      <w:r w:rsidR="006C6309" w:rsidRPr="006C6309">
        <w:rPr>
          <w:shd w:val="clear" w:color="auto" w:fill="FFFFFF"/>
        </w:rPr>
        <w:t>trading</w:t>
      </w:r>
      <w:r w:rsidR="006C6309">
        <w:t xml:space="preserve">. Business with such a wide range of activities </w:t>
      </w:r>
      <w:proofErr w:type="gramStart"/>
      <w:r w:rsidR="006C6309">
        <w:t>definitely faces</w:t>
      </w:r>
      <w:proofErr w:type="gramEnd"/>
      <w:r w:rsidR="006C6309">
        <w:t xml:space="preserve"> many risks, challenges and opportunities. </w:t>
      </w:r>
    </w:p>
    <w:p w14:paraId="7278A415" w14:textId="02CA264A" w:rsidR="00076059" w:rsidRDefault="00076059" w:rsidP="00161F05">
      <w:pPr>
        <w:pStyle w:val="Heading1"/>
      </w:pPr>
      <w:bookmarkStart w:id="1" w:name="_Toc103023723"/>
      <w:r>
        <w:t>Sources of finance</w:t>
      </w:r>
      <w:bookmarkEnd w:id="1"/>
      <w:r w:rsidR="004F7AC1">
        <w:t xml:space="preserve"> – Mariana </w:t>
      </w:r>
      <w:proofErr w:type="spellStart"/>
      <w:r w:rsidR="004F7AC1">
        <w:t>Zaharia</w:t>
      </w:r>
      <w:proofErr w:type="spellEnd"/>
    </w:p>
    <w:p w14:paraId="2E91A151" w14:textId="77777777" w:rsidR="00A11AE0" w:rsidRDefault="00A11AE0" w:rsidP="00A11AE0">
      <w:r>
        <w:t xml:space="preserve">The company’s balance sheet lists the sources of finance that the company has opted for. The long-term sources are those on which the company pays annual interest and the repayment period for such loans is longer than a year. The total long-term liabilities are 120,891 for 2019, which increased to 122,287 in the year 2020. The table below represents the changes in figures for long-term sources during the year.   </w:t>
      </w:r>
    </w:p>
    <w:p w14:paraId="23E668CF" w14:textId="77777777" w:rsidR="00A11AE0" w:rsidRDefault="00A11AE0" w:rsidP="00A11AE0">
      <w:r>
        <w:rPr>
          <w:noProof/>
        </w:rPr>
        <w:lastRenderedPageBreak/>
        <w:drawing>
          <wp:inline distT="0" distB="0" distL="0" distR="0" wp14:anchorId="723EC139" wp14:editId="6C878C7C">
            <wp:extent cx="4572000" cy="2743200"/>
            <wp:effectExtent l="0" t="0" r="0" b="0"/>
            <wp:docPr id="1" name="Chart 1">
              <a:extLst xmlns:a="http://schemas.openxmlformats.org/drawingml/2006/main">
                <a:ext uri="{FF2B5EF4-FFF2-40B4-BE49-F238E27FC236}">
                  <a16:creationId xmlns:a16="http://schemas.microsoft.com/office/drawing/2014/main" id="{D8B2A2A0-0DE6-41F9-78B6-397DE21410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Grid"/>
        <w:tblW w:w="0" w:type="auto"/>
        <w:tblLook w:val="04A0" w:firstRow="1" w:lastRow="0" w:firstColumn="1" w:lastColumn="0" w:noHBand="0" w:noVBand="1"/>
      </w:tblPr>
      <w:tblGrid>
        <w:gridCol w:w="5320"/>
        <w:gridCol w:w="960"/>
        <w:gridCol w:w="960"/>
        <w:gridCol w:w="1053"/>
      </w:tblGrid>
      <w:tr w:rsidR="00A11AE0" w:rsidRPr="00A14057" w14:paraId="54AA30C2" w14:textId="77777777" w:rsidTr="004A2055">
        <w:trPr>
          <w:trHeight w:val="290"/>
        </w:trPr>
        <w:tc>
          <w:tcPr>
            <w:tcW w:w="5320" w:type="dxa"/>
            <w:noWrap/>
            <w:hideMark/>
          </w:tcPr>
          <w:p w14:paraId="594F9282" w14:textId="77777777" w:rsidR="00A11AE0" w:rsidRPr="00A14057" w:rsidRDefault="00A11AE0" w:rsidP="004A2055">
            <w:pPr>
              <w:spacing w:line="360" w:lineRule="auto"/>
              <w:jc w:val="both"/>
              <w:rPr>
                <w:b/>
                <w:bCs/>
              </w:rPr>
            </w:pPr>
            <w:r>
              <w:rPr>
                <w:b/>
                <w:bCs/>
              </w:rPr>
              <w:t>Long-term debts</w:t>
            </w:r>
          </w:p>
        </w:tc>
        <w:tc>
          <w:tcPr>
            <w:tcW w:w="960" w:type="dxa"/>
            <w:noWrap/>
            <w:hideMark/>
          </w:tcPr>
          <w:p w14:paraId="5CB45FBD" w14:textId="77777777" w:rsidR="00A11AE0" w:rsidRPr="00A14057" w:rsidRDefault="00A11AE0" w:rsidP="004A2055">
            <w:pPr>
              <w:spacing w:line="360" w:lineRule="auto"/>
              <w:jc w:val="both"/>
              <w:rPr>
                <w:b/>
                <w:bCs/>
              </w:rPr>
            </w:pPr>
            <w:r w:rsidRPr="00A14057">
              <w:rPr>
                <w:b/>
                <w:bCs/>
              </w:rPr>
              <w:t>2020</w:t>
            </w:r>
          </w:p>
        </w:tc>
        <w:tc>
          <w:tcPr>
            <w:tcW w:w="960" w:type="dxa"/>
            <w:noWrap/>
            <w:hideMark/>
          </w:tcPr>
          <w:p w14:paraId="0EC9BFB0" w14:textId="77777777" w:rsidR="00A11AE0" w:rsidRPr="00A14057" w:rsidRDefault="00A11AE0" w:rsidP="004A2055">
            <w:pPr>
              <w:spacing w:line="360" w:lineRule="auto"/>
              <w:jc w:val="both"/>
              <w:rPr>
                <w:b/>
                <w:bCs/>
              </w:rPr>
            </w:pPr>
            <w:r w:rsidRPr="00A14057">
              <w:rPr>
                <w:b/>
                <w:bCs/>
              </w:rPr>
              <w:t>2019</w:t>
            </w:r>
          </w:p>
        </w:tc>
        <w:tc>
          <w:tcPr>
            <w:tcW w:w="960" w:type="dxa"/>
            <w:noWrap/>
            <w:hideMark/>
          </w:tcPr>
          <w:p w14:paraId="6CCB773C" w14:textId="77777777" w:rsidR="00A11AE0" w:rsidRPr="00A14057" w:rsidRDefault="00A11AE0" w:rsidP="004A2055">
            <w:pPr>
              <w:spacing w:line="360" w:lineRule="auto"/>
              <w:jc w:val="both"/>
              <w:rPr>
                <w:b/>
                <w:bCs/>
              </w:rPr>
            </w:pPr>
            <w:r w:rsidRPr="00A14057">
              <w:rPr>
                <w:b/>
                <w:bCs/>
              </w:rPr>
              <w:t>Change%</w:t>
            </w:r>
          </w:p>
        </w:tc>
      </w:tr>
      <w:tr w:rsidR="00A11AE0" w:rsidRPr="00A14057" w14:paraId="697ED1D0" w14:textId="77777777" w:rsidTr="004A2055">
        <w:trPr>
          <w:trHeight w:val="290"/>
        </w:trPr>
        <w:tc>
          <w:tcPr>
            <w:tcW w:w="5320" w:type="dxa"/>
            <w:noWrap/>
            <w:hideMark/>
          </w:tcPr>
          <w:p w14:paraId="201D54FA" w14:textId="77777777" w:rsidR="00A11AE0" w:rsidRPr="00A14057" w:rsidRDefault="00A11AE0" w:rsidP="004A2055">
            <w:pPr>
              <w:spacing w:line="360" w:lineRule="auto"/>
              <w:jc w:val="both"/>
            </w:pPr>
            <w:r w:rsidRPr="00A14057">
              <w:t>Lease liabilities</w:t>
            </w:r>
          </w:p>
        </w:tc>
        <w:tc>
          <w:tcPr>
            <w:tcW w:w="960" w:type="dxa"/>
            <w:noWrap/>
            <w:hideMark/>
          </w:tcPr>
          <w:p w14:paraId="2051ADC6" w14:textId="77777777" w:rsidR="00A11AE0" w:rsidRPr="00A14057" w:rsidRDefault="00A11AE0" w:rsidP="004A2055">
            <w:pPr>
              <w:spacing w:line="360" w:lineRule="auto"/>
              <w:jc w:val="both"/>
            </w:pPr>
            <w:r w:rsidRPr="00A14057">
              <w:t>7,329</w:t>
            </w:r>
          </w:p>
        </w:tc>
        <w:tc>
          <w:tcPr>
            <w:tcW w:w="960" w:type="dxa"/>
            <w:noWrap/>
            <w:hideMark/>
          </w:tcPr>
          <w:p w14:paraId="78844C2F" w14:textId="77777777" w:rsidR="00A11AE0" w:rsidRPr="00A14057" w:rsidRDefault="00A11AE0" w:rsidP="004A2055">
            <w:pPr>
              <w:spacing w:line="360" w:lineRule="auto"/>
              <w:jc w:val="both"/>
            </w:pPr>
            <w:r w:rsidRPr="00A14057">
              <w:t>7,655</w:t>
            </w:r>
          </w:p>
        </w:tc>
        <w:tc>
          <w:tcPr>
            <w:tcW w:w="960" w:type="dxa"/>
            <w:noWrap/>
            <w:hideMark/>
          </w:tcPr>
          <w:p w14:paraId="066B9D51" w14:textId="77777777" w:rsidR="00A11AE0" w:rsidRPr="00A14057" w:rsidRDefault="00A11AE0" w:rsidP="004A2055">
            <w:pPr>
              <w:spacing w:line="360" w:lineRule="auto"/>
              <w:jc w:val="both"/>
            </w:pPr>
            <w:r w:rsidRPr="00A14057">
              <w:t>-4.26%</w:t>
            </w:r>
          </w:p>
        </w:tc>
      </w:tr>
      <w:tr w:rsidR="00A11AE0" w:rsidRPr="00A14057" w14:paraId="5F27BF86" w14:textId="77777777" w:rsidTr="004A2055">
        <w:trPr>
          <w:trHeight w:val="290"/>
        </w:trPr>
        <w:tc>
          <w:tcPr>
            <w:tcW w:w="5320" w:type="dxa"/>
            <w:noWrap/>
            <w:hideMark/>
          </w:tcPr>
          <w:p w14:paraId="41440AE7" w14:textId="77777777" w:rsidR="00A11AE0" w:rsidRPr="00A14057" w:rsidRDefault="00A11AE0" w:rsidP="004A2055">
            <w:pPr>
              <w:spacing w:line="360" w:lineRule="auto"/>
              <w:jc w:val="both"/>
            </w:pPr>
            <w:r w:rsidRPr="00A14057">
              <w:t>Accruals</w:t>
            </w:r>
          </w:p>
        </w:tc>
        <w:tc>
          <w:tcPr>
            <w:tcW w:w="960" w:type="dxa"/>
            <w:noWrap/>
            <w:hideMark/>
          </w:tcPr>
          <w:p w14:paraId="6A6320CC" w14:textId="77777777" w:rsidR="00A11AE0" w:rsidRPr="00A14057" w:rsidRDefault="00A11AE0" w:rsidP="004A2055">
            <w:pPr>
              <w:spacing w:line="360" w:lineRule="auto"/>
              <w:jc w:val="both"/>
            </w:pPr>
            <w:r w:rsidRPr="00A14057">
              <w:t>852</w:t>
            </w:r>
          </w:p>
        </w:tc>
        <w:tc>
          <w:tcPr>
            <w:tcW w:w="960" w:type="dxa"/>
            <w:noWrap/>
            <w:hideMark/>
          </w:tcPr>
          <w:p w14:paraId="77EE2CFD" w14:textId="77777777" w:rsidR="00A11AE0" w:rsidRPr="00A14057" w:rsidRDefault="00A11AE0" w:rsidP="004A2055">
            <w:pPr>
              <w:spacing w:line="360" w:lineRule="auto"/>
              <w:jc w:val="both"/>
            </w:pPr>
            <w:r w:rsidRPr="00A14057">
              <w:t>996</w:t>
            </w:r>
          </w:p>
        </w:tc>
        <w:tc>
          <w:tcPr>
            <w:tcW w:w="960" w:type="dxa"/>
            <w:noWrap/>
            <w:hideMark/>
          </w:tcPr>
          <w:p w14:paraId="0740E1EC" w14:textId="77777777" w:rsidR="00A11AE0" w:rsidRPr="00A14057" w:rsidRDefault="00A11AE0" w:rsidP="004A2055">
            <w:pPr>
              <w:spacing w:line="360" w:lineRule="auto"/>
              <w:jc w:val="both"/>
            </w:pPr>
            <w:r w:rsidRPr="00A14057">
              <w:t>-14.46%</w:t>
            </w:r>
          </w:p>
        </w:tc>
      </w:tr>
      <w:tr w:rsidR="00A11AE0" w:rsidRPr="00A14057" w14:paraId="210E4B56" w14:textId="77777777" w:rsidTr="004A2055">
        <w:trPr>
          <w:trHeight w:val="290"/>
        </w:trPr>
        <w:tc>
          <w:tcPr>
            <w:tcW w:w="5320" w:type="dxa"/>
            <w:noWrap/>
            <w:hideMark/>
          </w:tcPr>
          <w:p w14:paraId="12EB58A4" w14:textId="77777777" w:rsidR="00A11AE0" w:rsidRPr="00A14057" w:rsidRDefault="00A11AE0" w:rsidP="004A2055">
            <w:pPr>
              <w:spacing w:line="360" w:lineRule="auto"/>
              <w:jc w:val="both"/>
            </w:pPr>
            <w:r w:rsidRPr="00A14057">
              <w:t>Derivative financial instruments</w:t>
            </w:r>
          </w:p>
        </w:tc>
        <w:tc>
          <w:tcPr>
            <w:tcW w:w="960" w:type="dxa"/>
            <w:noWrap/>
            <w:hideMark/>
          </w:tcPr>
          <w:p w14:paraId="69B440B3" w14:textId="77777777" w:rsidR="00A11AE0" w:rsidRPr="00A14057" w:rsidRDefault="00A11AE0" w:rsidP="004A2055">
            <w:pPr>
              <w:spacing w:line="360" w:lineRule="auto"/>
              <w:jc w:val="both"/>
            </w:pPr>
            <w:r w:rsidRPr="00A14057">
              <w:t>5,404</w:t>
            </w:r>
          </w:p>
        </w:tc>
        <w:tc>
          <w:tcPr>
            <w:tcW w:w="960" w:type="dxa"/>
            <w:noWrap/>
            <w:hideMark/>
          </w:tcPr>
          <w:p w14:paraId="43230AEA" w14:textId="77777777" w:rsidR="00A11AE0" w:rsidRPr="00A14057" w:rsidRDefault="00A11AE0" w:rsidP="004A2055">
            <w:pPr>
              <w:spacing w:line="360" w:lineRule="auto"/>
              <w:jc w:val="both"/>
            </w:pPr>
            <w:r w:rsidRPr="00A14057">
              <w:t>5,537</w:t>
            </w:r>
          </w:p>
        </w:tc>
        <w:tc>
          <w:tcPr>
            <w:tcW w:w="960" w:type="dxa"/>
            <w:noWrap/>
            <w:hideMark/>
          </w:tcPr>
          <w:p w14:paraId="32667E76" w14:textId="77777777" w:rsidR="00A11AE0" w:rsidRPr="00A14057" w:rsidRDefault="00A11AE0" w:rsidP="004A2055">
            <w:pPr>
              <w:spacing w:line="360" w:lineRule="auto"/>
              <w:jc w:val="both"/>
            </w:pPr>
            <w:r w:rsidRPr="00A14057">
              <w:t>-2.40%</w:t>
            </w:r>
          </w:p>
        </w:tc>
      </w:tr>
      <w:tr w:rsidR="00A11AE0" w:rsidRPr="00A14057" w14:paraId="3373FBEF" w14:textId="77777777" w:rsidTr="004A2055">
        <w:trPr>
          <w:trHeight w:val="290"/>
        </w:trPr>
        <w:tc>
          <w:tcPr>
            <w:tcW w:w="5320" w:type="dxa"/>
            <w:noWrap/>
            <w:hideMark/>
          </w:tcPr>
          <w:p w14:paraId="3C6CED3F" w14:textId="77777777" w:rsidR="00A11AE0" w:rsidRPr="00A14057" w:rsidRDefault="00A11AE0" w:rsidP="004A2055">
            <w:pPr>
              <w:spacing w:line="360" w:lineRule="auto"/>
              <w:jc w:val="both"/>
            </w:pPr>
            <w:r w:rsidRPr="00A14057">
              <w:t>Other payables</w:t>
            </w:r>
          </w:p>
        </w:tc>
        <w:tc>
          <w:tcPr>
            <w:tcW w:w="960" w:type="dxa"/>
            <w:noWrap/>
            <w:hideMark/>
          </w:tcPr>
          <w:p w14:paraId="39D65CE8" w14:textId="77777777" w:rsidR="00A11AE0" w:rsidRPr="00A14057" w:rsidRDefault="00A11AE0" w:rsidP="004A2055">
            <w:pPr>
              <w:spacing w:line="360" w:lineRule="auto"/>
              <w:jc w:val="both"/>
            </w:pPr>
            <w:r w:rsidRPr="00A14057">
              <w:t>12,112</w:t>
            </w:r>
          </w:p>
        </w:tc>
        <w:tc>
          <w:tcPr>
            <w:tcW w:w="960" w:type="dxa"/>
            <w:noWrap/>
            <w:hideMark/>
          </w:tcPr>
          <w:p w14:paraId="6FB71402" w14:textId="77777777" w:rsidR="00A11AE0" w:rsidRPr="00A14057" w:rsidRDefault="00A11AE0" w:rsidP="004A2055">
            <w:pPr>
              <w:spacing w:line="360" w:lineRule="auto"/>
              <w:jc w:val="both"/>
            </w:pPr>
            <w:r w:rsidRPr="00A14057">
              <w:t>12,626</w:t>
            </w:r>
          </w:p>
        </w:tc>
        <w:tc>
          <w:tcPr>
            <w:tcW w:w="960" w:type="dxa"/>
            <w:noWrap/>
            <w:hideMark/>
          </w:tcPr>
          <w:p w14:paraId="5D8787DC" w14:textId="77777777" w:rsidR="00A11AE0" w:rsidRPr="00A14057" w:rsidRDefault="00A11AE0" w:rsidP="004A2055">
            <w:pPr>
              <w:spacing w:line="360" w:lineRule="auto"/>
              <w:jc w:val="both"/>
            </w:pPr>
            <w:r w:rsidRPr="00A14057">
              <w:t>-4.07%</w:t>
            </w:r>
          </w:p>
        </w:tc>
      </w:tr>
      <w:tr w:rsidR="00A11AE0" w:rsidRPr="00A14057" w14:paraId="4B75429C" w14:textId="77777777" w:rsidTr="004A2055">
        <w:trPr>
          <w:trHeight w:val="290"/>
        </w:trPr>
        <w:tc>
          <w:tcPr>
            <w:tcW w:w="5320" w:type="dxa"/>
            <w:noWrap/>
            <w:hideMark/>
          </w:tcPr>
          <w:p w14:paraId="0394C0B7" w14:textId="77777777" w:rsidR="00A11AE0" w:rsidRPr="00A14057" w:rsidRDefault="00A11AE0" w:rsidP="004A2055">
            <w:pPr>
              <w:spacing w:line="360" w:lineRule="auto"/>
              <w:jc w:val="both"/>
            </w:pPr>
            <w:r w:rsidRPr="00A14057">
              <w:t>Finance debt</w:t>
            </w:r>
          </w:p>
        </w:tc>
        <w:tc>
          <w:tcPr>
            <w:tcW w:w="960" w:type="dxa"/>
            <w:noWrap/>
            <w:hideMark/>
          </w:tcPr>
          <w:p w14:paraId="7CB1EB7E" w14:textId="77777777" w:rsidR="00A11AE0" w:rsidRPr="00A14057" w:rsidRDefault="00A11AE0" w:rsidP="004A2055">
            <w:pPr>
              <w:spacing w:line="360" w:lineRule="auto"/>
              <w:jc w:val="both"/>
            </w:pPr>
            <w:r w:rsidRPr="00A14057">
              <w:t>63,305</w:t>
            </w:r>
          </w:p>
        </w:tc>
        <w:tc>
          <w:tcPr>
            <w:tcW w:w="960" w:type="dxa"/>
            <w:noWrap/>
            <w:hideMark/>
          </w:tcPr>
          <w:p w14:paraId="50A437C2" w14:textId="77777777" w:rsidR="00A11AE0" w:rsidRPr="00A14057" w:rsidRDefault="00A11AE0" w:rsidP="004A2055">
            <w:pPr>
              <w:spacing w:line="360" w:lineRule="auto"/>
              <w:jc w:val="both"/>
            </w:pPr>
            <w:r w:rsidRPr="00A14057">
              <w:t>57,237</w:t>
            </w:r>
          </w:p>
        </w:tc>
        <w:tc>
          <w:tcPr>
            <w:tcW w:w="960" w:type="dxa"/>
            <w:noWrap/>
            <w:hideMark/>
          </w:tcPr>
          <w:p w14:paraId="46FBF866" w14:textId="77777777" w:rsidR="00A11AE0" w:rsidRPr="00A14057" w:rsidRDefault="00A11AE0" w:rsidP="004A2055">
            <w:pPr>
              <w:spacing w:line="360" w:lineRule="auto"/>
              <w:jc w:val="both"/>
            </w:pPr>
            <w:r w:rsidRPr="00A14057">
              <w:t>10.60%</w:t>
            </w:r>
          </w:p>
        </w:tc>
      </w:tr>
      <w:tr w:rsidR="00A11AE0" w:rsidRPr="00A14057" w14:paraId="1DEE9286" w14:textId="77777777" w:rsidTr="004A2055">
        <w:trPr>
          <w:trHeight w:val="290"/>
        </w:trPr>
        <w:tc>
          <w:tcPr>
            <w:tcW w:w="5320" w:type="dxa"/>
            <w:noWrap/>
            <w:hideMark/>
          </w:tcPr>
          <w:p w14:paraId="6C89478A" w14:textId="77777777" w:rsidR="00A11AE0" w:rsidRPr="00A14057" w:rsidRDefault="00A11AE0" w:rsidP="004A2055">
            <w:pPr>
              <w:spacing w:line="360" w:lineRule="auto"/>
              <w:jc w:val="both"/>
            </w:pPr>
            <w:r w:rsidRPr="00A14057">
              <w:t>Deferred tax liabilities</w:t>
            </w:r>
          </w:p>
        </w:tc>
        <w:tc>
          <w:tcPr>
            <w:tcW w:w="960" w:type="dxa"/>
            <w:noWrap/>
            <w:hideMark/>
          </w:tcPr>
          <w:p w14:paraId="698A7669" w14:textId="77777777" w:rsidR="00A11AE0" w:rsidRPr="00A14057" w:rsidRDefault="00A11AE0" w:rsidP="004A2055">
            <w:pPr>
              <w:spacing w:line="360" w:lineRule="auto"/>
              <w:jc w:val="both"/>
            </w:pPr>
            <w:r w:rsidRPr="00A14057">
              <w:t>6,831</w:t>
            </w:r>
          </w:p>
        </w:tc>
        <w:tc>
          <w:tcPr>
            <w:tcW w:w="960" w:type="dxa"/>
            <w:noWrap/>
            <w:hideMark/>
          </w:tcPr>
          <w:p w14:paraId="7FED8EF4" w14:textId="77777777" w:rsidR="00A11AE0" w:rsidRPr="00A14057" w:rsidRDefault="00A11AE0" w:rsidP="004A2055">
            <w:pPr>
              <w:spacing w:line="360" w:lineRule="auto"/>
              <w:jc w:val="both"/>
            </w:pPr>
            <w:r w:rsidRPr="00A14057">
              <w:t>9,750</w:t>
            </w:r>
          </w:p>
        </w:tc>
        <w:tc>
          <w:tcPr>
            <w:tcW w:w="960" w:type="dxa"/>
            <w:noWrap/>
            <w:hideMark/>
          </w:tcPr>
          <w:p w14:paraId="57922DA9" w14:textId="77777777" w:rsidR="00A11AE0" w:rsidRPr="00A14057" w:rsidRDefault="00A11AE0" w:rsidP="004A2055">
            <w:pPr>
              <w:spacing w:line="360" w:lineRule="auto"/>
              <w:jc w:val="both"/>
            </w:pPr>
            <w:r w:rsidRPr="00A14057">
              <w:t>-29.94%</w:t>
            </w:r>
          </w:p>
        </w:tc>
      </w:tr>
      <w:tr w:rsidR="00A11AE0" w:rsidRPr="00A14057" w14:paraId="180D2736" w14:textId="77777777" w:rsidTr="004A2055">
        <w:trPr>
          <w:trHeight w:val="290"/>
        </w:trPr>
        <w:tc>
          <w:tcPr>
            <w:tcW w:w="5320" w:type="dxa"/>
            <w:noWrap/>
            <w:hideMark/>
          </w:tcPr>
          <w:p w14:paraId="6477E842" w14:textId="77777777" w:rsidR="00A11AE0" w:rsidRPr="00A14057" w:rsidRDefault="00A11AE0" w:rsidP="004A2055">
            <w:pPr>
              <w:spacing w:line="360" w:lineRule="auto"/>
              <w:jc w:val="both"/>
            </w:pPr>
            <w:r w:rsidRPr="00A14057">
              <w:t>Provisions</w:t>
            </w:r>
          </w:p>
        </w:tc>
        <w:tc>
          <w:tcPr>
            <w:tcW w:w="960" w:type="dxa"/>
            <w:noWrap/>
            <w:hideMark/>
          </w:tcPr>
          <w:p w14:paraId="6716140D" w14:textId="77777777" w:rsidR="00A11AE0" w:rsidRPr="00A14057" w:rsidRDefault="00A11AE0" w:rsidP="004A2055">
            <w:pPr>
              <w:spacing w:line="360" w:lineRule="auto"/>
              <w:jc w:val="both"/>
            </w:pPr>
            <w:r w:rsidRPr="00A14057">
              <w:t>17,200</w:t>
            </w:r>
          </w:p>
        </w:tc>
        <w:tc>
          <w:tcPr>
            <w:tcW w:w="960" w:type="dxa"/>
            <w:noWrap/>
            <w:hideMark/>
          </w:tcPr>
          <w:p w14:paraId="550C1C06" w14:textId="77777777" w:rsidR="00A11AE0" w:rsidRPr="00A14057" w:rsidRDefault="00A11AE0" w:rsidP="004A2055">
            <w:pPr>
              <w:spacing w:line="360" w:lineRule="auto"/>
              <w:jc w:val="both"/>
            </w:pPr>
            <w:r w:rsidRPr="00A14057">
              <w:t>18,498</w:t>
            </w:r>
          </w:p>
        </w:tc>
        <w:tc>
          <w:tcPr>
            <w:tcW w:w="960" w:type="dxa"/>
            <w:noWrap/>
            <w:hideMark/>
          </w:tcPr>
          <w:p w14:paraId="4C9C0232" w14:textId="77777777" w:rsidR="00A11AE0" w:rsidRPr="00A14057" w:rsidRDefault="00A11AE0" w:rsidP="004A2055">
            <w:pPr>
              <w:spacing w:line="360" w:lineRule="auto"/>
              <w:jc w:val="both"/>
            </w:pPr>
            <w:r w:rsidRPr="00A14057">
              <w:t>-7.02%</w:t>
            </w:r>
          </w:p>
        </w:tc>
      </w:tr>
    </w:tbl>
    <w:p w14:paraId="4BA5FD6F" w14:textId="77777777" w:rsidR="00A11AE0" w:rsidRDefault="00A11AE0" w:rsidP="00A11AE0">
      <w:r>
        <w:t xml:space="preserve">The above table depicts how the company’s long-term sources of funds have changed between 2019 and 2020. The long-term obligations were reduced for the company BP in 2020 in all the sources except the financial debt, which has increased by 10.6%. </w:t>
      </w:r>
      <w:proofErr w:type="gramStart"/>
      <w:r>
        <w:t>It can be seen that the</w:t>
      </w:r>
      <w:proofErr w:type="gramEnd"/>
      <w:r>
        <w:t xml:space="preserve"> financial debt was $75,237 million in 2019, which increased to $63,305 million in the year 2020. The lease liabilities saw a decline in the company as it has declined by 4.26%. The highest reduction has been in the deferred tax liabilities, 29.94%. The accruals were down by 14.5% in 2020 (Annual report 2021, p.158). </w:t>
      </w:r>
    </w:p>
    <w:p w14:paraId="39F87BB8" w14:textId="77777777" w:rsidR="00A11AE0" w:rsidRPr="0002697A" w:rsidRDefault="00A11AE0" w:rsidP="00A11AE0">
      <w:pPr>
        <w:rPr>
          <w:b/>
          <w:bCs/>
        </w:rPr>
      </w:pPr>
      <w:r w:rsidRPr="0002697A">
        <w:rPr>
          <w:b/>
          <w:bCs/>
        </w:rPr>
        <w:t>Equity source of financing</w:t>
      </w:r>
    </w:p>
    <w:p w14:paraId="0CAF0702" w14:textId="77777777" w:rsidR="00A11AE0" w:rsidRDefault="00A11AE0" w:rsidP="00A11AE0">
      <w:r>
        <w:t>In the equity source of financing, the shares are allotted to the investors. Each share represents an amount, and the shares are divided into the total amount that the investor wants to invest (</w:t>
      </w:r>
      <w:proofErr w:type="spellStart"/>
      <w:r>
        <w:t>Codjia</w:t>
      </w:r>
      <w:proofErr w:type="spellEnd"/>
      <w:r>
        <w:t xml:space="preserve"> 2017). The equity value for the business of BP was $100,708 million in the year 2019, which </w:t>
      </w:r>
      <w:r>
        <w:lastRenderedPageBreak/>
        <w:t>declined to the tune of $85,568 in the year 2020. The equity source of financing in the company can be analyzed using the table below-</w:t>
      </w:r>
    </w:p>
    <w:p w14:paraId="31AC7DF1" w14:textId="77777777" w:rsidR="00A11AE0" w:rsidRDefault="00A11AE0" w:rsidP="00A11AE0">
      <w:r>
        <w:rPr>
          <w:noProof/>
        </w:rPr>
        <w:drawing>
          <wp:inline distT="0" distB="0" distL="0" distR="0" wp14:anchorId="272556BA" wp14:editId="5E7CE3C7">
            <wp:extent cx="4568372" cy="2702379"/>
            <wp:effectExtent l="0" t="0" r="3810" b="3175"/>
            <wp:docPr id="3" name="Chart 3">
              <a:extLst xmlns:a="http://schemas.openxmlformats.org/drawingml/2006/main">
                <a:ext uri="{FF2B5EF4-FFF2-40B4-BE49-F238E27FC236}">
                  <a16:creationId xmlns:a16="http://schemas.microsoft.com/office/drawing/2014/main" id="{49ADA764-7AEB-F942-E24C-60EEC2ACAA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Grid"/>
        <w:tblW w:w="0" w:type="auto"/>
        <w:tblLook w:val="04A0" w:firstRow="1" w:lastRow="0" w:firstColumn="1" w:lastColumn="0" w:noHBand="0" w:noVBand="1"/>
      </w:tblPr>
      <w:tblGrid>
        <w:gridCol w:w="5320"/>
        <w:gridCol w:w="960"/>
        <w:gridCol w:w="960"/>
        <w:gridCol w:w="1141"/>
      </w:tblGrid>
      <w:tr w:rsidR="00A11AE0" w:rsidRPr="00456FCA" w14:paraId="52F6C1DB" w14:textId="77777777" w:rsidTr="004A2055">
        <w:trPr>
          <w:trHeight w:val="290"/>
        </w:trPr>
        <w:tc>
          <w:tcPr>
            <w:tcW w:w="5320" w:type="dxa"/>
            <w:noWrap/>
            <w:hideMark/>
          </w:tcPr>
          <w:p w14:paraId="41685274" w14:textId="77777777" w:rsidR="00A11AE0" w:rsidRPr="00456FCA" w:rsidRDefault="00A11AE0" w:rsidP="004A2055">
            <w:pPr>
              <w:spacing w:line="360" w:lineRule="auto"/>
              <w:jc w:val="both"/>
              <w:rPr>
                <w:b/>
                <w:bCs/>
              </w:rPr>
            </w:pPr>
            <w:r w:rsidRPr="00456FCA">
              <w:rPr>
                <w:b/>
                <w:bCs/>
              </w:rPr>
              <w:t>Equity</w:t>
            </w:r>
          </w:p>
        </w:tc>
        <w:tc>
          <w:tcPr>
            <w:tcW w:w="960" w:type="dxa"/>
            <w:noWrap/>
            <w:hideMark/>
          </w:tcPr>
          <w:p w14:paraId="5A30060E" w14:textId="77777777" w:rsidR="00A11AE0" w:rsidRPr="00456FCA" w:rsidRDefault="00A11AE0" w:rsidP="004A2055">
            <w:pPr>
              <w:spacing w:line="360" w:lineRule="auto"/>
              <w:jc w:val="both"/>
              <w:rPr>
                <w:b/>
                <w:bCs/>
              </w:rPr>
            </w:pPr>
            <w:r w:rsidRPr="00456FCA">
              <w:rPr>
                <w:b/>
                <w:bCs/>
              </w:rPr>
              <w:t>2020</w:t>
            </w:r>
          </w:p>
        </w:tc>
        <w:tc>
          <w:tcPr>
            <w:tcW w:w="960" w:type="dxa"/>
            <w:noWrap/>
            <w:hideMark/>
          </w:tcPr>
          <w:p w14:paraId="7F651FB9" w14:textId="77777777" w:rsidR="00A11AE0" w:rsidRPr="00456FCA" w:rsidRDefault="00A11AE0" w:rsidP="004A2055">
            <w:pPr>
              <w:spacing w:line="360" w:lineRule="auto"/>
              <w:jc w:val="both"/>
              <w:rPr>
                <w:b/>
                <w:bCs/>
              </w:rPr>
            </w:pPr>
            <w:r w:rsidRPr="00456FCA">
              <w:rPr>
                <w:b/>
                <w:bCs/>
              </w:rPr>
              <w:t>2019</w:t>
            </w:r>
          </w:p>
        </w:tc>
        <w:tc>
          <w:tcPr>
            <w:tcW w:w="960" w:type="dxa"/>
            <w:noWrap/>
            <w:hideMark/>
          </w:tcPr>
          <w:p w14:paraId="657EF7D6" w14:textId="77777777" w:rsidR="00A11AE0" w:rsidRPr="00456FCA" w:rsidRDefault="00A11AE0" w:rsidP="004A2055">
            <w:pPr>
              <w:spacing w:line="360" w:lineRule="auto"/>
              <w:jc w:val="both"/>
              <w:rPr>
                <w:b/>
                <w:bCs/>
              </w:rPr>
            </w:pPr>
            <w:r w:rsidRPr="00456FCA">
              <w:rPr>
                <w:b/>
                <w:bCs/>
              </w:rPr>
              <w:t>Changes%</w:t>
            </w:r>
          </w:p>
        </w:tc>
      </w:tr>
      <w:tr w:rsidR="00A11AE0" w:rsidRPr="00456FCA" w14:paraId="4DB6BAE4" w14:textId="77777777" w:rsidTr="004A2055">
        <w:trPr>
          <w:trHeight w:val="290"/>
        </w:trPr>
        <w:tc>
          <w:tcPr>
            <w:tcW w:w="5320" w:type="dxa"/>
            <w:noWrap/>
            <w:hideMark/>
          </w:tcPr>
          <w:p w14:paraId="5F77C4B9" w14:textId="77777777" w:rsidR="00A11AE0" w:rsidRPr="00456FCA" w:rsidRDefault="00A11AE0" w:rsidP="004A2055">
            <w:pPr>
              <w:spacing w:line="360" w:lineRule="auto"/>
              <w:jc w:val="both"/>
            </w:pPr>
            <w:r w:rsidRPr="00456FCA">
              <w:t>bp shareholders’ equity</w:t>
            </w:r>
          </w:p>
        </w:tc>
        <w:tc>
          <w:tcPr>
            <w:tcW w:w="960" w:type="dxa"/>
            <w:noWrap/>
            <w:hideMark/>
          </w:tcPr>
          <w:p w14:paraId="10C2E911" w14:textId="77777777" w:rsidR="00A11AE0" w:rsidRPr="00456FCA" w:rsidRDefault="00A11AE0" w:rsidP="004A2055">
            <w:pPr>
              <w:spacing w:line="360" w:lineRule="auto"/>
              <w:jc w:val="both"/>
            </w:pPr>
            <w:r w:rsidRPr="00456FCA">
              <w:t>71,250</w:t>
            </w:r>
          </w:p>
        </w:tc>
        <w:tc>
          <w:tcPr>
            <w:tcW w:w="960" w:type="dxa"/>
            <w:noWrap/>
            <w:hideMark/>
          </w:tcPr>
          <w:p w14:paraId="2073EE52" w14:textId="77777777" w:rsidR="00A11AE0" w:rsidRPr="00456FCA" w:rsidRDefault="00A11AE0" w:rsidP="004A2055">
            <w:pPr>
              <w:spacing w:line="360" w:lineRule="auto"/>
              <w:jc w:val="both"/>
            </w:pPr>
            <w:r w:rsidRPr="00456FCA">
              <w:t>98,412</w:t>
            </w:r>
          </w:p>
        </w:tc>
        <w:tc>
          <w:tcPr>
            <w:tcW w:w="960" w:type="dxa"/>
            <w:noWrap/>
            <w:hideMark/>
          </w:tcPr>
          <w:p w14:paraId="1A8A7BA9" w14:textId="77777777" w:rsidR="00A11AE0" w:rsidRPr="00456FCA" w:rsidRDefault="00A11AE0" w:rsidP="004A2055">
            <w:pPr>
              <w:spacing w:line="360" w:lineRule="auto"/>
              <w:jc w:val="both"/>
            </w:pPr>
            <w:r w:rsidRPr="00456FCA">
              <w:t>-27.60%</w:t>
            </w:r>
          </w:p>
        </w:tc>
      </w:tr>
      <w:tr w:rsidR="00A11AE0" w:rsidRPr="00456FCA" w14:paraId="2C679B30" w14:textId="77777777" w:rsidTr="004A2055">
        <w:trPr>
          <w:trHeight w:val="290"/>
        </w:trPr>
        <w:tc>
          <w:tcPr>
            <w:tcW w:w="5320" w:type="dxa"/>
            <w:noWrap/>
            <w:hideMark/>
          </w:tcPr>
          <w:p w14:paraId="762C9504" w14:textId="77777777" w:rsidR="00A11AE0" w:rsidRPr="00456FCA" w:rsidRDefault="00A11AE0" w:rsidP="004A2055">
            <w:pPr>
              <w:spacing w:line="360" w:lineRule="auto"/>
              <w:jc w:val="both"/>
            </w:pPr>
            <w:r w:rsidRPr="00456FCA">
              <w:t>Non-controlling interests</w:t>
            </w:r>
          </w:p>
        </w:tc>
        <w:tc>
          <w:tcPr>
            <w:tcW w:w="960" w:type="dxa"/>
            <w:noWrap/>
            <w:hideMark/>
          </w:tcPr>
          <w:p w14:paraId="275DB2A4" w14:textId="77777777" w:rsidR="00A11AE0" w:rsidRPr="00456FCA" w:rsidRDefault="00A11AE0" w:rsidP="004A2055">
            <w:pPr>
              <w:spacing w:line="360" w:lineRule="auto"/>
              <w:jc w:val="both"/>
            </w:pPr>
            <w:r w:rsidRPr="00456FCA">
              <w:t>14,318</w:t>
            </w:r>
          </w:p>
        </w:tc>
        <w:tc>
          <w:tcPr>
            <w:tcW w:w="960" w:type="dxa"/>
            <w:noWrap/>
            <w:hideMark/>
          </w:tcPr>
          <w:p w14:paraId="509AFE8A" w14:textId="77777777" w:rsidR="00A11AE0" w:rsidRPr="00456FCA" w:rsidRDefault="00A11AE0" w:rsidP="004A2055">
            <w:pPr>
              <w:spacing w:line="360" w:lineRule="auto"/>
              <w:jc w:val="both"/>
            </w:pPr>
            <w:r w:rsidRPr="00456FCA">
              <w:t>2,296</w:t>
            </w:r>
          </w:p>
        </w:tc>
        <w:tc>
          <w:tcPr>
            <w:tcW w:w="960" w:type="dxa"/>
            <w:noWrap/>
            <w:hideMark/>
          </w:tcPr>
          <w:p w14:paraId="6523E07A" w14:textId="77777777" w:rsidR="00A11AE0" w:rsidRPr="00456FCA" w:rsidRDefault="00A11AE0" w:rsidP="004A2055">
            <w:pPr>
              <w:spacing w:line="360" w:lineRule="auto"/>
              <w:jc w:val="both"/>
            </w:pPr>
            <w:r w:rsidRPr="00456FCA">
              <w:t>523.61%</w:t>
            </w:r>
          </w:p>
        </w:tc>
      </w:tr>
      <w:tr w:rsidR="00A11AE0" w:rsidRPr="00456FCA" w14:paraId="530EDBB6" w14:textId="77777777" w:rsidTr="004A2055">
        <w:trPr>
          <w:trHeight w:val="290"/>
        </w:trPr>
        <w:tc>
          <w:tcPr>
            <w:tcW w:w="5320" w:type="dxa"/>
            <w:noWrap/>
            <w:hideMark/>
          </w:tcPr>
          <w:p w14:paraId="1DB94560" w14:textId="77777777" w:rsidR="00A11AE0" w:rsidRPr="00456FCA" w:rsidRDefault="00A11AE0" w:rsidP="004A2055">
            <w:pPr>
              <w:spacing w:line="360" w:lineRule="auto"/>
              <w:jc w:val="both"/>
            </w:pPr>
            <w:r w:rsidRPr="00456FCA">
              <w:t>Total equity</w:t>
            </w:r>
          </w:p>
        </w:tc>
        <w:tc>
          <w:tcPr>
            <w:tcW w:w="960" w:type="dxa"/>
            <w:noWrap/>
            <w:hideMark/>
          </w:tcPr>
          <w:p w14:paraId="67A72B8B" w14:textId="77777777" w:rsidR="00A11AE0" w:rsidRPr="00456FCA" w:rsidRDefault="00A11AE0" w:rsidP="004A2055">
            <w:pPr>
              <w:spacing w:line="360" w:lineRule="auto"/>
              <w:jc w:val="both"/>
            </w:pPr>
            <w:r w:rsidRPr="00456FCA">
              <w:t>85,568</w:t>
            </w:r>
          </w:p>
        </w:tc>
        <w:tc>
          <w:tcPr>
            <w:tcW w:w="960" w:type="dxa"/>
            <w:noWrap/>
            <w:hideMark/>
          </w:tcPr>
          <w:p w14:paraId="133E7221" w14:textId="77777777" w:rsidR="00A11AE0" w:rsidRPr="00456FCA" w:rsidRDefault="00A11AE0" w:rsidP="004A2055">
            <w:pPr>
              <w:spacing w:line="360" w:lineRule="auto"/>
              <w:jc w:val="both"/>
            </w:pPr>
            <w:r w:rsidRPr="00456FCA">
              <w:t>100,708</w:t>
            </w:r>
          </w:p>
        </w:tc>
        <w:tc>
          <w:tcPr>
            <w:tcW w:w="960" w:type="dxa"/>
            <w:noWrap/>
            <w:hideMark/>
          </w:tcPr>
          <w:p w14:paraId="5DAD0E6A" w14:textId="77777777" w:rsidR="00A11AE0" w:rsidRPr="00456FCA" w:rsidRDefault="00A11AE0" w:rsidP="004A2055">
            <w:pPr>
              <w:spacing w:line="360" w:lineRule="auto"/>
              <w:jc w:val="both"/>
            </w:pPr>
            <w:r w:rsidRPr="00456FCA">
              <w:t>-15.03%</w:t>
            </w:r>
          </w:p>
        </w:tc>
      </w:tr>
    </w:tbl>
    <w:p w14:paraId="7C0FC1D6" w14:textId="77777777" w:rsidR="00A11AE0" w:rsidRDefault="00A11AE0" w:rsidP="00A11AE0">
      <w:r>
        <w:t>The table shows that the share capital is down by 27%. It means that the company had a buyback during the year, and its strategy is to increase its focus on debt funding so that the profits for the equity shareholders can be maximized. When the unit of shares in circulation is reduced, the profit availability per unit of share or the company’s EPS will increase. The company is thus striving to meet the objective of shareholders’ wealth maximization through this initiative. The NCIS during the period has increased by 524%, which means that the company has purchased some businesses or had some subsidiaries during the period. The balance will increase as the business acquires smaller firms (</w:t>
      </w:r>
      <w:proofErr w:type="spellStart"/>
      <w:r>
        <w:t>Codjia</w:t>
      </w:r>
      <w:proofErr w:type="spellEnd"/>
      <w:r>
        <w:t xml:space="preserve"> 2017). </w:t>
      </w:r>
    </w:p>
    <w:p w14:paraId="038C1E17" w14:textId="77777777" w:rsidR="00A11AE0" w:rsidRDefault="00A11AE0" w:rsidP="00A11AE0">
      <w:r>
        <w:t xml:space="preserve">Other than that, the current liabilities for the business of BP plc stand at $72,202 million during the year 2019, which has declined to $59750 million in 2020. This means that the current liabilities are decreasing, which will increase the company’s current ratio. BP PLC will have more funds to pay expenses as its current assets are </w:t>
      </w:r>
      <w:proofErr w:type="spellStart"/>
      <w:r>
        <w:t>favourable</w:t>
      </w:r>
      <w:proofErr w:type="spellEnd"/>
      <w:r>
        <w:t xml:space="preserve">. </w:t>
      </w:r>
    </w:p>
    <w:p w14:paraId="316B08D6" w14:textId="77777777" w:rsidR="00A11AE0" w:rsidRDefault="00A11AE0" w:rsidP="00A11AE0">
      <w:r>
        <w:lastRenderedPageBreak/>
        <w:t xml:space="preserve">To the company, it is recommended that it keep reducing the business’s long-term liabilities and borrow through equity. Because looking at its state of profits, the profits were $4190 million in 2019, which turned into losses of $20729 million in 2020 (Annual report 2021, p.155). If the funds are still raised through the source of the long-term debt, the interest expenses will keep increasing. However, in the case of equity source of financing, the company is not obliged to pay dividends regularly, and these are to be paid only when profits are made. For more risk projects and to improve the state of financial problems, the equity should be raised by BP PLC.   </w:t>
      </w:r>
    </w:p>
    <w:p w14:paraId="26308601" w14:textId="77777777" w:rsidR="00A11AE0" w:rsidRPr="00A11AE0" w:rsidRDefault="00A11AE0" w:rsidP="00A11AE0"/>
    <w:p w14:paraId="089CDF2A" w14:textId="1E63AD27" w:rsidR="00076059" w:rsidRDefault="00076059" w:rsidP="00161F05">
      <w:pPr>
        <w:pStyle w:val="Heading1"/>
      </w:pPr>
      <w:bookmarkStart w:id="2" w:name="_Toc103023724"/>
      <w:r>
        <w:t>Capital Structure</w:t>
      </w:r>
      <w:bookmarkEnd w:id="2"/>
      <w:r w:rsidR="004F7AC1">
        <w:t xml:space="preserve"> – Tzvetan Petrov</w:t>
      </w:r>
    </w:p>
    <w:p w14:paraId="32610333" w14:textId="77777777" w:rsidR="00A11AE0" w:rsidRDefault="00A11AE0" w:rsidP="00A11AE0">
      <w:r>
        <w:t xml:space="preserve">BP Plc is an oil and gas company that operates on a fully integrated basis. The company's operations are divided into three categories: upstream, downstream, and Rosneft. Within the Upstream division are all elements of oil and gas exploration and production (including field development and production), as well as midstream transportation, storage, and processing (including refining). In the downstream phase of the supply chain, customers include wholesalers and retailers as well as the government (Nguyen et al., 2021). The Downstream section is responsible for the production and marketing of crude oil, as well as the provision of petrochemical products and services. The company's Rosneft division </w:t>
      </w:r>
      <w:proofErr w:type="gramStart"/>
      <w:r>
        <w:t>is in charge of</w:t>
      </w:r>
      <w:proofErr w:type="gramEnd"/>
      <w:r>
        <w:t xml:space="preserve"> making investments.</w:t>
      </w:r>
    </w:p>
    <w:p w14:paraId="4EC48BC6" w14:textId="77777777" w:rsidR="00A11AE0" w:rsidRDefault="00A11AE0" w:rsidP="00A11AE0">
      <w:r>
        <w:t xml:space="preserve">BP possesses cumulative preference shares worth £1 each and 9 percent cumulative preference shares worth £1 each, which combined amount for 8 percent of the company's entire share capital, </w:t>
      </w:r>
      <w:proofErr w:type="gramStart"/>
      <w:r>
        <w:t>with the exception of</w:t>
      </w:r>
      <w:proofErr w:type="gramEnd"/>
      <w:r>
        <w:t xml:space="preserve"> its common shares, which are worth US$0.25 per share. When it comes to core economic currencies, the US dollar is by far the most important, as shown by the cash flow of the BP group in the cash flow (Chen and Zhang, 2021). It is stated in US dollars that BP's cash flow is generated. BP's core commodity, oil, is valued on US dollars on a global scale, which explains why the company is in this position. In the case of BP, oil is the most significant commodity.</w:t>
      </w:r>
    </w:p>
    <w:p w14:paraId="6533195F" w14:textId="77777777" w:rsidR="00A11AE0" w:rsidRDefault="00A11AE0" w:rsidP="00A11AE0">
      <w:r>
        <w:t xml:space="preserve">As a result, they are required to compile their financial statements in United States dollars, as BP's functional currency is the US dollar, and as ordinary shares are priced in US dollars, </w:t>
      </w:r>
      <w:proofErr w:type="gramStart"/>
      <w:r>
        <w:t>as a result of</w:t>
      </w:r>
      <w:proofErr w:type="gramEnd"/>
      <w:r>
        <w:t xml:space="preserve"> the above. The potential for businesses to give a more accurate picture of their firm will assist investors in judging the profitability of their enterprise. The company's stock is listed on the </w:t>
      </w:r>
      <w:r>
        <w:lastRenderedPageBreak/>
        <w:t>London Shares Exchange, which is the world's biggest trading arena for publicly traded firms and where a significant amount of its stock is traded (Nguyen et al., 2021). General public investors, as well as institutional investors, may acquire and sell ordinary shares of BP on the Frankfurt Stock Exchange, which is situated in Germany and is accessible to both individuals and institutions.</w:t>
      </w:r>
    </w:p>
    <w:p w14:paraId="746147AC" w14:textId="77777777" w:rsidR="00A11AE0" w:rsidRDefault="00A11AE0" w:rsidP="00A11AE0">
      <w:r>
        <w:t xml:space="preserve">Because BP's cash inflows and outflows are outpacing one another, the firm has been forced to take on more debt </w:t>
      </w:r>
      <w:proofErr w:type="gramStart"/>
      <w:r>
        <w:t>in order to</w:t>
      </w:r>
      <w:proofErr w:type="gramEnd"/>
      <w:r>
        <w:t xml:space="preserve"> stay up with the speed of its operations, which has increased its debt burden (Chen and Zhang, 2021). To put it another way, according to the company's financial documents, the company's long-term debts were $51.7 billion at the conclusion of the fiscal year under consideration. Accordingly, </w:t>
      </w:r>
      <w:proofErr w:type="gramStart"/>
      <w:r>
        <w:t>despite the fact that</w:t>
      </w:r>
      <w:proofErr w:type="gramEnd"/>
      <w:r>
        <w:t xml:space="preserve"> the company's net income has been decreasing consistently since 2014, the value of the company's shareholders' equity has been eroding at an alarming pace over the same time. </w:t>
      </w:r>
      <w:proofErr w:type="gramStart"/>
      <w:r>
        <w:t>As a consequence</w:t>
      </w:r>
      <w:proofErr w:type="gramEnd"/>
      <w:r>
        <w:t>, the company's debt-to-capital ratio climbed from 29.9 percent in 2014 to 35 percent last year, representing an increase of more than 20 percentage points over the previous three years in debt-to-capital proportion.</w:t>
      </w:r>
    </w:p>
    <w:p w14:paraId="53077C7B" w14:textId="77777777" w:rsidR="00A11AE0" w:rsidRDefault="00A11AE0" w:rsidP="00A11AE0">
      <w:r>
        <w:t xml:space="preserve">Profitability at BP has declined significantly in recent years, according to the corporation, when compared to prior year's figures. Thus, the debt-to-EBITDA ratio of the firm jumped from 1.36 percent in 2014 to 3.66 percent in 2016, </w:t>
      </w:r>
      <w:proofErr w:type="gramStart"/>
      <w:r>
        <w:t>despite the fact that</w:t>
      </w:r>
      <w:proofErr w:type="gramEnd"/>
      <w:r>
        <w:t xml:space="preserve"> long-term debt increased by just a little amount during the same time period. Since that time, the company has seen an increase in market capitalization, going from approximately $1.1 billion to more than $1.7 billion in the same period (Nguyen et al., 2021). When the interest coverage ratio is less than one, it indicates that the firm will almost certainly be unable to repay its interest payments from operating income, placing the company's debt holders at danger if commodity prices do not rebound quickly following a slump.</w:t>
      </w:r>
    </w:p>
    <w:p w14:paraId="3F4DDBD0" w14:textId="77777777" w:rsidR="00A11AE0" w:rsidRPr="00A11AE0" w:rsidRDefault="00A11AE0" w:rsidP="00A11AE0"/>
    <w:p w14:paraId="3EE3FA35" w14:textId="45E7D4B3" w:rsidR="00076059" w:rsidRDefault="00076059" w:rsidP="00161F05">
      <w:pPr>
        <w:pStyle w:val="Heading1"/>
      </w:pPr>
      <w:bookmarkStart w:id="3" w:name="_Toc103023725"/>
      <w:r>
        <w:t>Managing business environmental financial risk</w:t>
      </w:r>
      <w:bookmarkEnd w:id="3"/>
      <w:r>
        <w:t xml:space="preserve"> </w:t>
      </w:r>
      <w:r w:rsidR="004F7AC1">
        <w:t>– Daniel Mihai</w:t>
      </w:r>
    </w:p>
    <w:p w14:paraId="3256906D" w14:textId="77777777" w:rsidR="00A11AE0" w:rsidRPr="00A11AE0" w:rsidRDefault="00A11AE0" w:rsidP="00A11AE0">
      <w:pPr>
        <w:autoSpaceDE w:val="0"/>
        <w:autoSpaceDN w:val="0"/>
        <w:adjustRightInd w:val="0"/>
        <w:spacing w:before="0" w:after="0"/>
        <w:rPr>
          <w:color w:val="000000"/>
          <w:lang w:val="en-GB"/>
        </w:rPr>
      </w:pPr>
      <w:r w:rsidRPr="00A11AE0">
        <w:rPr>
          <w:color w:val="000000"/>
          <w:lang w:val="en-GB"/>
        </w:rPr>
        <w:t xml:space="preserve">As stated by </w:t>
      </w:r>
      <w:proofErr w:type="spellStart"/>
      <w:r w:rsidRPr="00A11AE0">
        <w:rPr>
          <w:color w:val="000000"/>
          <w:lang w:val="en-GB"/>
        </w:rPr>
        <w:t>Fedoryshyna</w:t>
      </w:r>
      <w:proofErr w:type="spellEnd"/>
      <w:r w:rsidRPr="00A11AE0">
        <w:rPr>
          <w:color w:val="000000"/>
          <w:lang w:val="en-GB"/>
        </w:rPr>
        <w:t xml:space="preserve"> and </w:t>
      </w:r>
      <w:proofErr w:type="spellStart"/>
      <w:r w:rsidRPr="00A11AE0">
        <w:rPr>
          <w:color w:val="000000"/>
          <w:lang w:val="en-GB"/>
        </w:rPr>
        <w:t>Todosiychuk</w:t>
      </w:r>
      <w:proofErr w:type="spellEnd"/>
      <w:r w:rsidRPr="00A11AE0">
        <w:rPr>
          <w:color w:val="000000"/>
          <w:lang w:val="en-GB"/>
        </w:rPr>
        <w:t xml:space="preserve"> (2019), financial risk is the type of uncertainty that arises due to the financial environment of the business organisation. This risk arises due to the instability of losses in the financial market that will impact the profitability of the business organisation. BP plc is one of the biggest oil and gas companies that is operating across the globe. </w:t>
      </w:r>
      <w:proofErr w:type="gramStart"/>
      <w:r w:rsidRPr="00A11AE0">
        <w:rPr>
          <w:color w:val="000000"/>
          <w:lang w:val="en-GB"/>
        </w:rPr>
        <w:t>Thus</w:t>
      </w:r>
      <w:proofErr w:type="gramEnd"/>
      <w:r w:rsidRPr="00A11AE0">
        <w:rPr>
          <w:color w:val="000000"/>
          <w:lang w:val="en-GB"/>
        </w:rPr>
        <w:t xml:space="preserve"> international operation presents the company with many financial risks that vary as per the degree of threats from different markets. Understanding the technique that can be used in </w:t>
      </w:r>
      <w:r w:rsidRPr="00A11AE0">
        <w:rPr>
          <w:color w:val="000000"/>
          <w:lang w:val="en-GB"/>
        </w:rPr>
        <w:lastRenderedPageBreak/>
        <w:t xml:space="preserve">mitigating the financial risk increases the approach of the company in making better business operations by using the financial information over the past operational years (van der Graaf, 2018). </w:t>
      </w:r>
      <w:proofErr w:type="gramStart"/>
      <w:r w:rsidRPr="00A11AE0">
        <w:rPr>
          <w:color w:val="000000"/>
          <w:lang w:val="en-GB"/>
        </w:rPr>
        <w:t>Therefore</w:t>
      </w:r>
      <w:proofErr w:type="gramEnd"/>
      <w:r w:rsidRPr="00A11AE0">
        <w:rPr>
          <w:color w:val="000000"/>
          <w:lang w:val="en-GB"/>
        </w:rPr>
        <w:t xml:space="preserve"> the strategies that are adopted by BP Plc in managing its financial risk are: </w:t>
      </w:r>
    </w:p>
    <w:p w14:paraId="3DEF838F" w14:textId="77777777" w:rsidR="00A11AE0" w:rsidRPr="00A11AE0" w:rsidRDefault="00A11AE0" w:rsidP="00A11AE0">
      <w:pPr>
        <w:autoSpaceDE w:val="0"/>
        <w:autoSpaceDN w:val="0"/>
        <w:adjustRightInd w:val="0"/>
        <w:spacing w:before="0" w:after="0"/>
        <w:rPr>
          <w:color w:val="000000"/>
          <w:lang w:val="en-GB"/>
        </w:rPr>
      </w:pPr>
      <w:r w:rsidRPr="00A11AE0">
        <w:rPr>
          <w:b/>
          <w:bCs/>
          <w:color w:val="000000"/>
          <w:lang w:val="en-GB"/>
        </w:rPr>
        <w:t xml:space="preserve">Maintaining emergency funds: </w:t>
      </w:r>
      <w:r w:rsidRPr="00A11AE0">
        <w:rPr>
          <w:color w:val="000000"/>
          <w:lang w:val="en-GB"/>
        </w:rPr>
        <w:t xml:space="preserve">making adequate emergency funds helps in mitigating the financial risks that may arise out of uncertainty. </w:t>
      </w:r>
      <w:proofErr w:type="gramStart"/>
      <w:r w:rsidRPr="00A11AE0">
        <w:rPr>
          <w:color w:val="000000"/>
          <w:lang w:val="en-GB"/>
        </w:rPr>
        <w:t>Thus</w:t>
      </w:r>
      <w:proofErr w:type="gramEnd"/>
      <w:r w:rsidRPr="00A11AE0">
        <w:rPr>
          <w:color w:val="000000"/>
          <w:lang w:val="en-GB"/>
        </w:rPr>
        <w:t xml:space="preserve"> BP makes sufficient emergency or contingency funds to properly operate in difficult times. One example of this can be understood as the contribution that has been laid down by the BP Foundation during the pandemic of around USD 2 million through its extra funds to increase the CSR response (van Der Graaf, 2018; BP PLC, 2020). </w:t>
      </w:r>
    </w:p>
    <w:p w14:paraId="2896D640" w14:textId="77777777" w:rsidR="00A11AE0" w:rsidRPr="00A11AE0" w:rsidRDefault="00A11AE0" w:rsidP="00A11AE0">
      <w:pPr>
        <w:autoSpaceDE w:val="0"/>
        <w:autoSpaceDN w:val="0"/>
        <w:adjustRightInd w:val="0"/>
        <w:spacing w:before="0" w:after="0"/>
        <w:rPr>
          <w:color w:val="000000"/>
          <w:lang w:val="en-GB"/>
        </w:rPr>
      </w:pPr>
      <w:r w:rsidRPr="00A11AE0">
        <w:rPr>
          <w:b/>
          <w:bCs/>
          <w:color w:val="000000"/>
          <w:lang w:val="en-GB"/>
        </w:rPr>
        <w:t xml:space="preserve">Risk identification and internal communication: </w:t>
      </w:r>
      <w:r w:rsidRPr="00A11AE0">
        <w:rPr>
          <w:color w:val="000000"/>
          <w:lang w:val="en-GB"/>
        </w:rPr>
        <w:t xml:space="preserve">to control any risk it is very important to correctly identify the intensity of risk and how it could impact the operations of the organisation. The research and development department help in providing market knowledge and statistics that can be used in enhancing the value of risk management decision of the organisation. </w:t>
      </w:r>
      <w:proofErr w:type="gramStart"/>
      <w:r w:rsidRPr="00A11AE0">
        <w:rPr>
          <w:color w:val="000000"/>
          <w:lang w:val="en-GB"/>
        </w:rPr>
        <w:t>Thus</w:t>
      </w:r>
      <w:proofErr w:type="gramEnd"/>
      <w:r w:rsidRPr="00A11AE0">
        <w:rPr>
          <w:color w:val="000000"/>
          <w:lang w:val="en-GB"/>
        </w:rPr>
        <w:t xml:space="preserve"> BP Plc uses various risk models to make sure that effective analysis of the environmental situation can be done. One of the most frequently used models is the financial risk model which explains the potentiality of risk in investments and business opportunities (Colas et al., 2019). </w:t>
      </w:r>
    </w:p>
    <w:p w14:paraId="60E1FCA8" w14:textId="5348C33D" w:rsidR="00A11AE0" w:rsidRDefault="00A11AE0" w:rsidP="00A11AE0">
      <w:pPr>
        <w:rPr>
          <w:color w:val="000000"/>
          <w:lang w:val="en-GB"/>
        </w:rPr>
      </w:pPr>
      <w:r w:rsidRPr="00A11AE0">
        <w:rPr>
          <w:b/>
          <w:bCs/>
          <w:color w:val="000000"/>
          <w:lang w:val="en-GB"/>
        </w:rPr>
        <w:t xml:space="preserve">Effective working capital management: </w:t>
      </w:r>
      <w:r w:rsidRPr="00A11AE0">
        <w:rPr>
          <w:color w:val="000000"/>
          <w:lang w:val="en-GB"/>
        </w:rPr>
        <w:t>to manage the liquidity risk it is important for the organisation to manage working capital effectively by making sure that the business has enough</w:t>
      </w:r>
    </w:p>
    <w:p w14:paraId="5B2A4C5F" w14:textId="77777777" w:rsidR="00EE049E" w:rsidRPr="00EE049E" w:rsidRDefault="00EE049E" w:rsidP="00EE049E">
      <w:pPr>
        <w:autoSpaceDE w:val="0"/>
        <w:autoSpaceDN w:val="0"/>
        <w:adjustRightInd w:val="0"/>
        <w:spacing w:before="0" w:after="0"/>
        <w:jc w:val="left"/>
        <w:rPr>
          <w:color w:val="000000"/>
          <w:lang w:val="en-GB"/>
        </w:rPr>
      </w:pPr>
      <w:r w:rsidRPr="00EE049E">
        <w:rPr>
          <w:color w:val="000000"/>
          <w:lang w:val="en-GB"/>
        </w:rPr>
        <w:t xml:space="preserve">current assets so that current liabilities can be completely paid off. The management of credibility is important as at the time of financial risk, this can be used in paying for the operational expenses of the company. </w:t>
      </w:r>
      <w:proofErr w:type="gramStart"/>
      <w:r w:rsidRPr="00EE049E">
        <w:rPr>
          <w:color w:val="000000"/>
          <w:lang w:val="en-GB"/>
        </w:rPr>
        <w:t>Therefore</w:t>
      </w:r>
      <w:proofErr w:type="gramEnd"/>
      <w:r w:rsidRPr="00EE049E">
        <w:rPr>
          <w:color w:val="000000"/>
          <w:lang w:val="en-GB"/>
        </w:rPr>
        <w:t xml:space="preserve"> this will result in effective management of liquidity in the company (Colas et al., 2019). </w:t>
      </w:r>
    </w:p>
    <w:p w14:paraId="00C0BFFF" w14:textId="77777777" w:rsidR="00EE049E" w:rsidRPr="00EE049E" w:rsidRDefault="00EE049E" w:rsidP="00EE049E">
      <w:pPr>
        <w:autoSpaceDE w:val="0"/>
        <w:autoSpaceDN w:val="0"/>
        <w:adjustRightInd w:val="0"/>
        <w:spacing w:before="0" w:after="0"/>
        <w:jc w:val="left"/>
        <w:rPr>
          <w:color w:val="000000"/>
          <w:lang w:val="en-GB"/>
        </w:rPr>
      </w:pPr>
      <w:r w:rsidRPr="00EE049E">
        <w:rPr>
          <w:b/>
          <w:bCs/>
          <w:color w:val="000000"/>
          <w:lang w:val="en-GB"/>
        </w:rPr>
        <w:t xml:space="preserve">Ensuring business operations: </w:t>
      </w:r>
      <w:r w:rsidRPr="00EE049E">
        <w:rPr>
          <w:color w:val="000000"/>
          <w:lang w:val="en-GB"/>
        </w:rPr>
        <w:t xml:space="preserve">insurance is one of the major risk management tools that help in mitigating risk so that the organisation can be operated effectively, at the time of financial risk insurance can be used to make payments for the </w:t>
      </w:r>
      <w:proofErr w:type="gramStart"/>
      <w:r w:rsidRPr="00EE049E">
        <w:rPr>
          <w:color w:val="000000"/>
          <w:lang w:val="en-GB"/>
        </w:rPr>
        <w:t>losses</w:t>
      </w:r>
      <w:proofErr w:type="gramEnd"/>
      <w:r w:rsidRPr="00EE049E">
        <w:rPr>
          <w:color w:val="000000"/>
          <w:lang w:val="en-GB"/>
        </w:rPr>
        <w:t xml:space="preserve"> other uncertainties so that actual loss to the company can be minimised. BP has been actively involved in taking insurance for its people and process to make sure that financial risk diverted from these areas can be managed effectively without impacting the operations of the company majorly. Protecting workers and processes from the risk is helping BP in saving the cost that will be needed to re-route the operations (van Der Graaf, 2018). </w:t>
      </w:r>
    </w:p>
    <w:p w14:paraId="2976DA9F" w14:textId="7D9237D4" w:rsidR="00EE049E" w:rsidRPr="00EE049E" w:rsidRDefault="00EE049E" w:rsidP="00EE049E">
      <w:r w:rsidRPr="00EE049E">
        <w:rPr>
          <w:b/>
          <w:bCs/>
          <w:color w:val="000000"/>
          <w:lang w:val="en-GB"/>
        </w:rPr>
        <w:lastRenderedPageBreak/>
        <w:t xml:space="preserve">Calculating risk and reward ratio: </w:t>
      </w:r>
      <w:r w:rsidRPr="00EE049E">
        <w:rPr>
          <w:color w:val="000000"/>
          <w:lang w:val="en-GB"/>
        </w:rPr>
        <w:t xml:space="preserve">by making use of key performance indicators, BP mitigates the financial risk as the ratios help in making an effective calculation about the financial position of the company and how much cash resources are available to the company better financial decisions can be taken. one of the important ratios here is to calculate the return on assets to know the effectiveness of using the asset to generate returns </w:t>
      </w:r>
      <w:proofErr w:type="spellStart"/>
      <w:r w:rsidRPr="00EE049E">
        <w:rPr>
          <w:color w:val="000000"/>
          <w:lang w:val="en-GB"/>
        </w:rPr>
        <w:t>Fedoryshyna</w:t>
      </w:r>
      <w:proofErr w:type="spellEnd"/>
      <w:r w:rsidRPr="00EE049E">
        <w:rPr>
          <w:color w:val="000000"/>
          <w:lang w:val="en-GB"/>
        </w:rPr>
        <w:t xml:space="preserve"> and </w:t>
      </w:r>
      <w:proofErr w:type="spellStart"/>
      <w:r w:rsidRPr="00EE049E">
        <w:rPr>
          <w:color w:val="000000"/>
          <w:lang w:val="en-GB"/>
        </w:rPr>
        <w:t>Todosiychuk</w:t>
      </w:r>
      <w:proofErr w:type="spellEnd"/>
      <w:r w:rsidRPr="00EE049E">
        <w:rPr>
          <w:color w:val="000000"/>
          <w:lang w:val="en-GB"/>
        </w:rPr>
        <w:t>, 2019).</w:t>
      </w:r>
    </w:p>
    <w:p w14:paraId="0F8BF587" w14:textId="3B9B3430" w:rsidR="00076059" w:rsidRDefault="00076059" w:rsidP="00161F05">
      <w:pPr>
        <w:pStyle w:val="Heading1"/>
      </w:pPr>
      <w:bookmarkStart w:id="4" w:name="_Toc103023726"/>
      <w:r>
        <w:t>Managing foreign exchange risk</w:t>
      </w:r>
      <w:bookmarkEnd w:id="4"/>
      <w:r w:rsidR="004F7AC1">
        <w:t xml:space="preserve"> – Georgi Dimitrov</w:t>
      </w:r>
    </w:p>
    <w:p w14:paraId="1686C7E5" w14:textId="77777777" w:rsidR="004F7AC1" w:rsidRDefault="004F7AC1" w:rsidP="004F7AC1">
      <w:r>
        <w:t xml:space="preserve">Any MNC, like BP is exposed to foreign exchange risk. The more transactions involving buying and/or selling currencies, the higher the risk. Any changes in foreign exchange rates can undermine profitability and lead to losses. The effects related to the forex rate changes would include a change in the income from subsidiaries, the cost of materials when importing from abroad, and the value of foreign assets and liabilities. It would also affect the financial viability of any foreign operations and the appraisal and acceptability of possible investment projects as the future currency changes might have a great impact on the Net Present Value. </w:t>
      </w:r>
    </w:p>
    <w:p w14:paraId="4BAF5330" w14:textId="77777777" w:rsidR="004F7AC1" w:rsidRDefault="004F7AC1" w:rsidP="004F7AC1">
      <w:r>
        <w:t xml:space="preserve">Due to the nature of BP’s business – the energy sector, the risk for the company is enormous, as is the volatility of the stock market. More precisely Oil and Gas as financial instruments are very volatile and the price movements </w:t>
      </w:r>
      <w:proofErr w:type="gramStart"/>
      <w:r>
        <w:t>in a given</w:t>
      </w:r>
      <w:proofErr w:type="gramEnd"/>
      <w:r>
        <w:t xml:space="preserve"> unit of time could be much higher than the movement of any currency pair. This hides even greater risks for multi-subsidiary MNC like BP. We can classify them in three major groups:</w:t>
      </w:r>
    </w:p>
    <w:p w14:paraId="20173EB8" w14:textId="77777777" w:rsidR="004F7AC1" w:rsidRDefault="004F7AC1" w:rsidP="004F7AC1">
      <w:pPr>
        <w:pStyle w:val="ListParagraph"/>
        <w:numPr>
          <w:ilvl w:val="0"/>
          <w:numId w:val="3"/>
        </w:numPr>
        <w:suppressAutoHyphens/>
        <w:autoSpaceDN w:val="0"/>
        <w:spacing w:before="0" w:after="160"/>
        <w:jc w:val="left"/>
      </w:pPr>
      <w:r>
        <w:t>Transaction risk – this risk focuses more on the future transactions that will occur within the next reporting period. (</w:t>
      </w:r>
      <w:proofErr w:type="spellStart"/>
      <w:r>
        <w:t>Levich</w:t>
      </w:r>
      <w:proofErr w:type="spellEnd"/>
      <w:r>
        <w:t>, 1998) This is the risk that a company takes when entering in a transaction requiring dealing with foreign currency, as the value in the home currency will vary due to the price movements.</w:t>
      </w:r>
    </w:p>
    <w:p w14:paraId="36CDC9FF" w14:textId="77777777" w:rsidR="004F7AC1" w:rsidRDefault="004F7AC1" w:rsidP="004F7AC1">
      <w:pPr>
        <w:pStyle w:val="ListParagraph"/>
        <w:numPr>
          <w:ilvl w:val="0"/>
          <w:numId w:val="3"/>
        </w:numPr>
        <w:suppressAutoHyphens/>
        <w:autoSpaceDN w:val="0"/>
        <w:spacing w:before="0" w:after="160"/>
        <w:jc w:val="left"/>
      </w:pPr>
      <w:r>
        <w:t xml:space="preserve">Translation risk – this is the risk associated with translating the historical financial information from one currency to another in the company’s book. There are two elements of this risk – The balance sheet effect and </w:t>
      </w:r>
      <w:proofErr w:type="gramStart"/>
      <w:r>
        <w:t>The</w:t>
      </w:r>
      <w:proofErr w:type="gramEnd"/>
      <w:r>
        <w:t xml:space="preserve"> profit and loss account effect. Both effects show that even though a profit is achieved when translated it might reveal a loss, states Arnold in </w:t>
      </w:r>
      <w:r>
        <w:rPr>
          <w:i/>
          <w:iCs/>
        </w:rPr>
        <w:t>Corporate Financial Management</w:t>
      </w:r>
      <w:r>
        <w:t xml:space="preserve">. </w:t>
      </w:r>
    </w:p>
    <w:p w14:paraId="0FCB1B79" w14:textId="77777777" w:rsidR="004F7AC1" w:rsidRDefault="004F7AC1" w:rsidP="004F7AC1">
      <w:pPr>
        <w:pStyle w:val="ListParagraph"/>
        <w:numPr>
          <w:ilvl w:val="0"/>
          <w:numId w:val="3"/>
        </w:numPr>
        <w:suppressAutoHyphens/>
        <w:autoSpaceDN w:val="0"/>
        <w:spacing w:before="0" w:after="160"/>
        <w:jc w:val="left"/>
      </w:pPr>
      <w:r>
        <w:t xml:space="preserve">Economic risk – it can be direct and </w:t>
      </w:r>
      <w:proofErr w:type="gramStart"/>
      <w:r>
        <w:t>indirect</w:t>
      </w:r>
      <w:proofErr w:type="gramEnd"/>
      <w:r>
        <w:t xml:space="preserve"> and it represents probably the most impactful exposure of the three. It can affect the discounted cash flows and the value of </w:t>
      </w:r>
      <w:r>
        <w:lastRenderedPageBreak/>
        <w:t>the company may decline. It can be a risk from the government policies, intervention, or other factor.</w:t>
      </w:r>
    </w:p>
    <w:p w14:paraId="7DE9B0A5" w14:textId="77777777" w:rsidR="004F7AC1" w:rsidRDefault="004F7AC1" w:rsidP="004F7AC1">
      <w:r>
        <w:t xml:space="preserve">One can say that these risks are normal and are part of how the exchange rates are determined with two main theories – the interest rate </w:t>
      </w:r>
      <w:proofErr w:type="gramStart"/>
      <w:r>
        <w:t>parity(</w:t>
      </w:r>
      <w:proofErr w:type="gramEnd"/>
      <w:r>
        <w:t xml:space="preserve">IRP) and the purchasing power parity(PPP). As </w:t>
      </w:r>
      <w:proofErr w:type="gramStart"/>
      <w:r>
        <w:t>Arnold(</w:t>
      </w:r>
      <w:proofErr w:type="gramEnd"/>
      <w:r>
        <w:t>2013) says that the IRP theory is true when the difference between forward and spot exchange rates are equal to the differential between interest rates available in two currencies.</w:t>
      </w:r>
    </w:p>
    <w:p w14:paraId="092A92EB" w14:textId="77777777" w:rsidR="004F7AC1" w:rsidRDefault="004F7AC1" w:rsidP="004F7AC1">
      <w:r>
        <w:t xml:space="preserve">The following techniques would help BP’s financial managers to </w:t>
      </w:r>
      <w:proofErr w:type="spellStart"/>
      <w:r>
        <w:t>minimise</w:t>
      </w:r>
      <w:proofErr w:type="spellEnd"/>
      <w:r>
        <w:t>, mitigate and/or avoid any forex risks associated with the company’s activities:</w:t>
      </w:r>
    </w:p>
    <w:p w14:paraId="41530748" w14:textId="77777777" w:rsidR="004F7AC1" w:rsidRDefault="004F7AC1" w:rsidP="004F7AC1">
      <w:pPr>
        <w:pStyle w:val="ListParagraph"/>
        <w:numPr>
          <w:ilvl w:val="0"/>
          <w:numId w:val="4"/>
        </w:numPr>
        <w:suppressAutoHyphens/>
        <w:autoSpaceDN w:val="0"/>
        <w:spacing w:before="0" w:after="160"/>
        <w:jc w:val="left"/>
      </w:pPr>
      <w:r>
        <w:t xml:space="preserve">Invoice in the home currency – easiest, but might not be suitable, as the risk is just passed to the customer, </w:t>
      </w:r>
    </w:p>
    <w:p w14:paraId="294B1AB1" w14:textId="77777777" w:rsidR="004F7AC1" w:rsidRDefault="004F7AC1" w:rsidP="004F7AC1">
      <w:pPr>
        <w:pStyle w:val="ListParagraph"/>
        <w:numPr>
          <w:ilvl w:val="0"/>
          <w:numId w:val="4"/>
        </w:numPr>
        <w:suppressAutoHyphens/>
        <w:autoSpaceDN w:val="0"/>
        <w:spacing w:before="0" w:after="160"/>
        <w:jc w:val="left"/>
      </w:pPr>
      <w:r>
        <w:t>Leading and lagging – paying earlier or deliberately delaying a payment after due date</w:t>
      </w:r>
    </w:p>
    <w:p w14:paraId="414BC15B" w14:textId="77777777" w:rsidR="004F7AC1" w:rsidRDefault="004F7AC1" w:rsidP="004F7AC1">
      <w:pPr>
        <w:pStyle w:val="ListParagraph"/>
        <w:numPr>
          <w:ilvl w:val="0"/>
          <w:numId w:val="4"/>
        </w:numPr>
        <w:suppressAutoHyphens/>
        <w:autoSpaceDN w:val="0"/>
        <w:spacing w:before="0" w:after="160"/>
        <w:jc w:val="left"/>
      </w:pPr>
      <w:r>
        <w:t>Netting – very useful and the multilateral netting, I would say, is a MUST in for a company from the scale of BP with a central treasury, for transparency and ease of control. The company settles intra-</w:t>
      </w:r>
      <w:proofErr w:type="spellStart"/>
      <w:r>
        <w:t>organisational</w:t>
      </w:r>
      <w:proofErr w:type="spellEnd"/>
      <w:r>
        <w:t xml:space="preserve"> currency debts for the net amount owed rather than the gross amount. </w:t>
      </w:r>
    </w:p>
    <w:p w14:paraId="12459DB9" w14:textId="77777777" w:rsidR="004F7AC1" w:rsidRDefault="004F7AC1" w:rsidP="004F7AC1">
      <w:pPr>
        <w:pStyle w:val="ListParagraph"/>
        <w:numPr>
          <w:ilvl w:val="0"/>
          <w:numId w:val="4"/>
        </w:numPr>
        <w:suppressAutoHyphens/>
        <w:autoSpaceDN w:val="0"/>
        <w:spacing w:before="0" w:after="160"/>
        <w:jc w:val="left"/>
      </w:pPr>
      <w:r>
        <w:t xml:space="preserve">Matching – similar to </w:t>
      </w:r>
      <w:proofErr w:type="gramStart"/>
      <w:r>
        <w:t>netting, but</w:t>
      </w:r>
      <w:proofErr w:type="gramEnd"/>
      <w:r>
        <w:t xml:space="preserve"> can be used for intra-group transactions and those involving external third parties.</w:t>
      </w:r>
    </w:p>
    <w:p w14:paraId="13C077A2" w14:textId="2EC04380" w:rsidR="004F7AC1" w:rsidRDefault="004F7AC1" w:rsidP="004F7AC1">
      <w:pPr>
        <w:pStyle w:val="ListParagraph"/>
        <w:numPr>
          <w:ilvl w:val="0"/>
          <w:numId w:val="4"/>
        </w:numPr>
        <w:suppressAutoHyphens/>
        <w:autoSpaceDN w:val="0"/>
        <w:spacing w:before="0" w:after="160"/>
        <w:jc w:val="left"/>
      </w:pPr>
      <w:r>
        <w:t>Forward market hedge</w:t>
      </w:r>
      <w:r w:rsidR="00A26AF5">
        <w:t xml:space="preserve"> – widely used technique </w:t>
      </w:r>
    </w:p>
    <w:p w14:paraId="59BA48E2" w14:textId="561CAF08" w:rsidR="004F7AC1" w:rsidRDefault="004F7AC1" w:rsidP="004F7AC1">
      <w:pPr>
        <w:pStyle w:val="ListParagraph"/>
        <w:numPr>
          <w:ilvl w:val="0"/>
          <w:numId w:val="4"/>
        </w:numPr>
        <w:suppressAutoHyphens/>
        <w:autoSpaceDN w:val="0"/>
        <w:spacing w:before="0" w:after="160"/>
        <w:jc w:val="left"/>
      </w:pPr>
      <w:r>
        <w:t xml:space="preserve">Money market hedge </w:t>
      </w:r>
    </w:p>
    <w:p w14:paraId="5A8AE76F" w14:textId="77777777" w:rsidR="004F7AC1" w:rsidRDefault="004F7AC1" w:rsidP="004F7AC1">
      <w:pPr>
        <w:pStyle w:val="ListParagraph"/>
        <w:numPr>
          <w:ilvl w:val="0"/>
          <w:numId w:val="4"/>
        </w:numPr>
        <w:suppressAutoHyphens/>
        <w:autoSpaceDN w:val="0"/>
        <w:spacing w:before="0" w:after="160"/>
        <w:jc w:val="left"/>
      </w:pPr>
      <w:r>
        <w:t>Futures hedge</w:t>
      </w:r>
    </w:p>
    <w:p w14:paraId="1DDD654B" w14:textId="77777777" w:rsidR="004F7AC1" w:rsidRDefault="004F7AC1" w:rsidP="004F7AC1">
      <w:pPr>
        <w:pStyle w:val="ListParagraph"/>
        <w:numPr>
          <w:ilvl w:val="0"/>
          <w:numId w:val="4"/>
        </w:numPr>
        <w:suppressAutoHyphens/>
        <w:autoSpaceDN w:val="0"/>
        <w:spacing w:before="0" w:after="160"/>
        <w:jc w:val="left"/>
      </w:pPr>
      <w:r>
        <w:t>Currency options hedge</w:t>
      </w:r>
    </w:p>
    <w:p w14:paraId="5183AB29" w14:textId="3F640BF5" w:rsidR="004F7AC1" w:rsidRDefault="004F7AC1" w:rsidP="004F7AC1">
      <w:r>
        <w:t>Some of the abovementioned techniques require more kno</w:t>
      </w:r>
      <w:r w:rsidR="00A26AF5">
        <w:t xml:space="preserve">wledge to be successfully used. </w:t>
      </w:r>
      <w:proofErr w:type="gramStart"/>
      <w:r w:rsidR="00A26AF5">
        <w:t>However</w:t>
      </w:r>
      <w:proofErr w:type="gramEnd"/>
      <w:r w:rsidR="00A26AF5">
        <w:t xml:space="preserve"> they can be</w:t>
      </w:r>
      <w:r>
        <w:t xml:space="preserve"> incredibly useful in </w:t>
      </w:r>
      <w:r w:rsidR="003369A3">
        <w:t>managing the foreign exchange risks</w:t>
      </w:r>
      <w:r>
        <w:t>.</w:t>
      </w:r>
      <w:r w:rsidR="003369A3">
        <w:t xml:space="preserve"> Determining the forex rates is very important </w:t>
      </w:r>
      <w:r w:rsidR="006E1036">
        <w:t>and combining the risk managing techniques</w:t>
      </w:r>
      <w:r>
        <w:t xml:space="preserve"> with a technical and/or fundamental analysis can</w:t>
      </w:r>
      <w:r w:rsidR="006E1036">
        <w:t xml:space="preserve"> help</w:t>
      </w:r>
      <w:r>
        <w:t xml:space="preserve"> </w:t>
      </w:r>
      <w:proofErr w:type="spellStart"/>
      <w:r w:rsidR="006E1036">
        <w:t>minimising</w:t>
      </w:r>
      <w:proofErr w:type="spellEnd"/>
      <w:r w:rsidR="006E1036">
        <w:t xml:space="preserve"> the</w:t>
      </w:r>
      <w:r>
        <w:t xml:space="preserve"> risk. There is one more channel of exposure to risk according to </w:t>
      </w:r>
      <w:proofErr w:type="spellStart"/>
      <w:proofErr w:type="gramStart"/>
      <w:r>
        <w:t>Levich</w:t>
      </w:r>
      <w:proofErr w:type="spellEnd"/>
      <w:r>
        <w:t>(</w:t>
      </w:r>
      <w:proofErr w:type="gramEnd"/>
      <w:r>
        <w:t>1998) and this is the time dimension.</w:t>
      </w:r>
      <w:r w:rsidR="006E1036" w:rsidRPr="006E1036">
        <w:t xml:space="preserve"> </w:t>
      </w:r>
      <w:r w:rsidR="006E1036">
        <w:t>For example, debt holders may prefer hedging, while equity holders – not.</w:t>
      </w:r>
      <w:r>
        <w:t xml:space="preserve"> Timing is crucial in managing foreign exchange risk, as prices change constantly. Every random walk or every tick of a price movement can lead to a profit or a loss for BP PLC. The energy market, which is so much dependent on the geopolitical situation, is </w:t>
      </w:r>
      <w:r>
        <w:lastRenderedPageBreak/>
        <w:t xml:space="preserve">a very dynamic and volatile place, where risk is great and requires a lot of attention to detail. </w:t>
      </w:r>
      <w:proofErr w:type="gramStart"/>
      <w:r>
        <w:t>Therefore</w:t>
      </w:r>
      <w:proofErr w:type="gramEnd"/>
      <w:r>
        <w:t xml:space="preserve"> a diversified portfolio and </w:t>
      </w:r>
      <w:r w:rsidR="006E1036">
        <w:t>implementation</w:t>
      </w:r>
      <w:r>
        <w:t xml:space="preserve"> </w:t>
      </w:r>
      <w:r w:rsidR="006E1036">
        <w:t xml:space="preserve">of </w:t>
      </w:r>
      <w:r>
        <w:t xml:space="preserve">different methods of reducing or removing the risk should be devised. </w:t>
      </w:r>
      <w:proofErr w:type="spellStart"/>
      <w:r w:rsidR="00A26AF5">
        <w:t>Prioritising</w:t>
      </w:r>
      <w:proofErr w:type="spellEnd"/>
      <w:r w:rsidR="00A26AF5">
        <w:t xml:space="preserve"> accordingly to</w:t>
      </w:r>
      <w:r>
        <w:t xml:space="preserve"> the shareholder’s risk sensitivity</w:t>
      </w:r>
      <w:r w:rsidR="00A26AF5">
        <w:t>,</w:t>
      </w:r>
      <w:r>
        <w:t xml:space="preserve"> considering the capital structure</w:t>
      </w:r>
      <w:r w:rsidR="00A26AF5">
        <w:t xml:space="preserve"> and all the other risks that we have mentioned earlier. </w:t>
      </w:r>
    </w:p>
    <w:p w14:paraId="4C2DDD12" w14:textId="77777777" w:rsidR="004F7AC1" w:rsidRPr="004F7AC1" w:rsidRDefault="004F7AC1" w:rsidP="004F7AC1"/>
    <w:p w14:paraId="237CB84F" w14:textId="7C7CA15A" w:rsidR="00076059" w:rsidRDefault="00076059" w:rsidP="00076059">
      <w:pPr>
        <w:pStyle w:val="Heading1"/>
      </w:pPr>
      <w:bookmarkStart w:id="5" w:name="_Toc103023727"/>
      <w:r>
        <w:t>Working Capital</w:t>
      </w:r>
      <w:bookmarkEnd w:id="5"/>
      <w:r w:rsidR="004F7AC1">
        <w:t xml:space="preserve"> – Mihaela </w:t>
      </w:r>
      <w:proofErr w:type="spellStart"/>
      <w:r w:rsidR="004F7AC1">
        <w:t>Musat</w:t>
      </w:r>
      <w:proofErr w:type="spellEnd"/>
    </w:p>
    <w:p w14:paraId="3B1EB4FF" w14:textId="77777777" w:rsidR="004F7AC1" w:rsidRPr="001E03AE" w:rsidRDefault="004F7AC1" w:rsidP="004F7AC1">
      <w:r w:rsidRPr="001E03AE">
        <w:t xml:space="preserve">The concept of working capital in the theoretical sense mainly represents the differentiation approach between current assets and current liabilities that is initiated for considering the accounting growth initiatives of business in a supportive and developing manner. </w:t>
      </w:r>
    </w:p>
    <w:p w14:paraId="241261F8" w14:textId="77777777" w:rsidR="004F7AC1" w:rsidRPr="001E03AE" w:rsidRDefault="004F7AC1" w:rsidP="004F7AC1">
      <w:r w:rsidRPr="001E03AE">
        <w:t xml:space="preserve">Working capital= Current assets - Current Liabilities </w:t>
      </w:r>
    </w:p>
    <w:p w14:paraId="70453DEF" w14:textId="77777777" w:rsidR="004F7AC1" w:rsidRPr="001E03AE" w:rsidRDefault="004F7AC1" w:rsidP="004F7AC1">
      <w:r w:rsidRPr="001E03AE">
        <w:t xml:space="preserve">Working capital policies are policies that cover </w:t>
      </w:r>
      <w:r>
        <w:t xml:space="preserve">the </w:t>
      </w:r>
      <w:r w:rsidRPr="001E03AE">
        <w:t>level of investment in working capital and its components and financing of working capital.</w:t>
      </w:r>
      <w:r>
        <w:t xml:space="preserve"> They </w:t>
      </w:r>
      <w:r w:rsidRPr="001E03AE">
        <w:t xml:space="preserve">should </w:t>
      </w:r>
      <w:proofErr w:type="gramStart"/>
      <w:r w:rsidRPr="001E03AE">
        <w:t>take into account</w:t>
      </w:r>
      <w:proofErr w:type="gramEnd"/>
      <w:r w:rsidRPr="001E03AE">
        <w:t xml:space="preserve"> of the nature of business, credit policy, seasonal factors</w:t>
      </w:r>
      <w:r>
        <w:t>,</w:t>
      </w:r>
      <w:r w:rsidRPr="001E03AE">
        <w:t xml:space="preserve"> and manufacturing period.</w:t>
      </w:r>
    </w:p>
    <w:p w14:paraId="2B65E7AC" w14:textId="77777777" w:rsidR="004F7AC1" w:rsidRPr="001E03AE" w:rsidRDefault="004F7AC1" w:rsidP="004F7AC1">
      <w:r w:rsidRPr="001E03AE">
        <w:t xml:space="preserve">For individual </w:t>
      </w:r>
      <w:r>
        <w:t>businesses</w:t>
      </w:r>
      <w:r w:rsidRPr="001E03AE">
        <w:t xml:space="preserve"> the presence of working capital is initiated for considering a proper amount of financial feasibility support with the initiative of which a proper formulated growth including </w:t>
      </w:r>
      <w:proofErr w:type="spellStart"/>
      <w:r w:rsidRPr="001E03AE">
        <w:t>optimised</w:t>
      </w:r>
      <w:proofErr w:type="spellEnd"/>
      <w:r w:rsidRPr="001E03AE">
        <w:t xml:space="preserve"> processing can also be managed as well (Azmi et al., 2019). It also allows the management to initiate basic operating compatibility support also with the initiative of which the probable business opportunity including some of the basic operating </w:t>
      </w:r>
      <w:proofErr w:type="spellStart"/>
      <w:r w:rsidRPr="001E03AE">
        <w:t>optimised</w:t>
      </w:r>
      <w:proofErr w:type="spellEnd"/>
      <w:r w:rsidRPr="001E03AE">
        <w:t xml:space="preserve"> growth can also be formulated in an effective basis. According to the present operating approach, in the business BP the presence of working capital is supportively noticed </w:t>
      </w:r>
      <w:r>
        <w:t>which</w:t>
      </w:r>
      <w:r w:rsidRPr="001E03AE">
        <w:t xml:space="preserve"> indicates the financial growth including operating </w:t>
      </w:r>
      <w:proofErr w:type="spellStart"/>
      <w:r w:rsidRPr="001E03AE">
        <w:t>optimised</w:t>
      </w:r>
      <w:proofErr w:type="spellEnd"/>
      <w:r w:rsidRPr="001E03AE">
        <w:t xml:space="preserve"> formulation in an efficient and sustainable basis.</w:t>
      </w:r>
    </w:p>
    <w:p w14:paraId="7F75700C" w14:textId="77777777" w:rsidR="004F7AC1" w:rsidRPr="001E03AE" w:rsidRDefault="004F7AC1" w:rsidP="004F7AC1">
      <w:r w:rsidRPr="001E03AE">
        <w:t>In accordance with the present computed approach</w:t>
      </w:r>
      <w:r>
        <w:t>,</w:t>
      </w:r>
      <w:r w:rsidRPr="001E03AE">
        <w:t xml:space="preserve"> a significant volume of working capital changes </w:t>
      </w:r>
      <w:proofErr w:type="gramStart"/>
      <w:r w:rsidRPr="001E03AE">
        <w:t>are</w:t>
      </w:r>
      <w:proofErr w:type="gramEnd"/>
      <w:r w:rsidRPr="001E03AE">
        <w:t xml:space="preserve"> generally noticed since the period of 2019 mainly indicates the positive changes of </w:t>
      </w:r>
      <w:r>
        <w:t xml:space="preserve">the </w:t>
      </w:r>
      <w:r w:rsidRPr="001E03AE">
        <w:t xml:space="preserve">business current assets structure mainly. However, it can also be </w:t>
      </w:r>
      <w:r>
        <w:t>considered</w:t>
      </w:r>
      <w:r w:rsidRPr="001E03AE">
        <w:t xml:space="preserve"> that in the present accounting period instead of positive profit a significant amount of reduction is generally noticed, indicating the differentiation approach of [(12662 - 13229)/ 13229] = (-</w:t>
      </w:r>
      <w:proofErr w:type="gramStart"/>
      <w:r w:rsidRPr="001E03AE">
        <w:t>4)%</w:t>
      </w:r>
      <w:proofErr w:type="gramEnd"/>
      <w:r w:rsidRPr="001E03AE">
        <w:t xml:space="preserve"> in the present accounting period mainly. Though it is indicating a non-supportive approach, however, since earlier periods stability and supportive compatibility regarding </w:t>
      </w:r>
      <w:r>
        <w:t xml:space="preserve">the </w:t>
      </w:r>
      <w:r w:rsidRPr="001E03AE">
        <w:t xml:space="preserve">working capital approach is </w:t>
      </w:r>
      <w:r w:rsidRPr="001E03AE">
        <w:lastRenderedPageBreak/>
        <w:t xml:space="preserve">noticed that </w:t>
      </w:r>
      <w:r>
        <w:t>provide</w:t>
      </w:r>
      <w:r w:rsidRPr="001E03AE">
        <w:t xml:space="preserve"> operating stability including compatibility formulation approach </w:t>
      </w:r>
      <w:r>
        <w:t>on</w:t>
      </w:r>
      <w:r w:rsidRPr="001E03AE">
        <w:t xml:space="preserve"> an efficient basis (BP plc. Com, 2022).  </w:t>
      </w:r>
    </w:p>
    <w:p w14:paraId="57586FE6" w14:textId="77777777" w:rsidR="004F7AC1" w:rsidRPr="001E03AE" w:rsidRDefault="004F7AC1" w:rsidP="004F7AC1">
      <w:r w:rsidRPr="001E03AE">
        <w:t xml:space="preserve">With </w:t>
      </w:r>
      <w:proofErr w:type="spellStart"/>
      <w:r w:rsidRPr="001E03AE">
        <w:t>recognising</w:t>
      </w:r>
      <w:proofErr w:type="spellEnd"/>
      <w:r w:rsidRPr="001E03AE">
        <w:t xml:space="preserve"> the present </w:t>
      </w:r>
      <w:proofErr w:type="gramStart"/>
      <w:r w:rsidRPr="001E03AE">
        <w:t>situation</w:t>
      </w:r>
      <w:proofErr w:type="gramEnd"/>
      <w:r w:rsidRPr="001E03AE">
        <w:t xml:space="preserve"> it can also be </w:t>
      </w:r>
      <w:r>
        <w:t>considered</w:t>
      </w:r>
      <w:r w:rsidRPr="001E03AE">
        <w:t xml:space="preserve"> that the management also </w:t>
      </w:r>
      <w:r>
        <w:t>needs</w:t>
      </w:r>
      <w:r w:rsidRPr="001E03AE">
        <w:t xml:space="preserve"> to provide focus </w:t>
      </w:r>
      <w:r>
        <w:t>on</w:t>
      </w:r>
      <w:r w:rsidRPr="001E03AE">
        <w:t xml:space="preserve"> the </w:t>
      </w:r>
      <w:r>
        <w:t>credit-control</w:t>
      </w:r>
      <w:r w:rsidRPr="001E03AE">
        <w:t xml:space="preserve"> policy so that the operating </w:t>
      </w:r>
      <w:proofErr w:type="spellStart"/>
      <w:r w:rsidRPr="001E03AE">
        <w:t>optimise</w:t>
      </w:r>
      <w:proofErr w:type="spellEnd"/>
      <w:r w:rsidRPr="001E03AE">
        <w:t xml:space="preserve"> growth and otherwise stated formulated approach related to business liquidity process is supportively developed in the future. </w:t>
      </w:r>
    </w:p>
    <w:p w14:paraId="76C9A7FD" w14:textId="77777777" w:rsidR="004F7AC1" w:rsidRPr="001E03AE" w:rsidRDefault="004F7AC1" w:rsidP="004F7AC1">
      <w:r w:rsidRPr="001E03AE">
        <w:t>In the present accounting period</w:t>
      </w:r>
      <w:r>
        <w:t>,</w:t>
      </w:r>
      <w:r w:rsidRPr="001E03AE">
        <w:t xml:space="preserve"> the management of Shell and BP initiate the basic </w:t>
      </w:r>
      <w:proofErr w:type="spellStart"/>
      <w:r w:rsidRPr="001E03AE">
        <w:t>decarbonisation</w:t>
      </w:r>
      <w:proofErr w:type="spellEnd"/>
      <w:r w:rsidRPr="001E03AE">
        <w:t xml:space="preserve"> approach mainly that can be initiated for managing the financial feasibility approach including performance initiative growth </w:t>
      </w:r>
      <w:r>
        <w:t>on</w:t>
      </w:r>
      <w:r w:rsidRPr="001E03AE">
        <w:t xml:space="preserve"> an effective basis. It also allows the formulated growth regarding accounting structural processing in a supportive order also with the maintenance of which the basic accountability including </w:t>
      </w:r>
      <w:proofErr w:type="spellStart"/>
      <w:r w:rsidRPr="001E03AE">
        <w:t>optimised</w:t>
      </w:r>
      <w:proofErr w:type="spellEnd"/>
      <w:r w:rsidRPr="001E03AE">
        <w:t xml:space="preserve"> growth can also be formulated in an effective basis. Applied this formulated approach also provides a proper amount of operating development as well as a liquidity formulated approach that initiates primary formulation support on an effective basis (</w:t>
      </w:r>
      <w:proofErr w:type="spellStart"/>
      <w:r w:rsidRPr="001E03AE">
        <w:t>Proactiveinvestors</w:t>
      </w:r>
      <w:proofErr w:type="spellEnd"/>
      <w:r w:rsidRPr="001E03AE">
        <w:t xml:space="preserve"> UK, 2022).</w:t>
      </w:r>
    </w:p>
    <w:p w14:paraId="313E8228" w14:textId="77777777" w:rsidR="004F7AC1" w:rsidRPr="00BF3431" w:rsidRDefault="004F7AC1" w:rsidP="004F7AC1">
      <w:r w:rsidRPr="001E03AE">
        <w:t xml:space="preserve"> Associated with the present response the management of BP</w:t>
      </w:r>
      <w:r>
        <w:t xml:space="preserve"> needs</w:t>
      </w:r>
      <w:r w:rsidRPr="001E03AE">
        <w:t xml:space="preserve"> to provide importance to the </w:t>
      </w:r>
      <w:r>
        <w:t>credit-control</w:t>
      </w:r>
      <w:r w:rsidRPr="001E03AE">
        <w:t xml:space="preserve"> policy as well as the formulated development related to business current asset increasing support basically show that proper volume of working capital structure can be secured in a more developing order compared to the present situation. </w:t>
      </w:r>
      <w:r>
        <w:t xml:space="preserve"> </w:t>
      </w:r>
    </w:p>
    <w:p w14:paraId="3CD46475" w14:textId="77777777" w:rsidR="004F7AC1" w:rsidRPr="004F7AC1" w:rsidRDefault="004F7AC1" w:rsidP="004F7AC1"/>
    <w:p w14:paraId="7B44FED9" w14:textId="7C2B862D" w:rsidR="00161F05" w:rsidRDefault="00161F05" w:rsidP="00161F05">
      <w:pPr>
        <w:pStyle w:val="Heading1"/>
      </w:pPr>
      <w:bookmarkStart w:id="6" w:name="_Toc103023728"/>
      <w:r>
        <w:t>Conclusion</w:t>
      </w:r>
      <w:bookmarkEnd w:id="6"/>
    </w:p>
    <w:p w14:paraId="2CC753D3" w14:textId="43C538BD" w:rsidR="006E1036" w:rsidRDefault="006E1036" w:rsidP="006E1036">
      <w:r>
        <w:t xml:space="preserve">We have </w:t>
      </w:r>
      <w:r w:rsidR="00AC1D6F">
        <w:t xml:space="preserve">established that a MNC like BP, can experience many challenges. </w:t>
      </w:r>
      <w:proofErr w:type="gramStart"/>
      <w:r w:rsidR="00AC1D6F">
        <w:t>However</w:t>
      </w:r>
      <w:proofErr w:type="gramEnd"/>
      <w:r w:rsidR="00AC1D6F">
        <w:t xml:space="preserve"> through careful and constant observation of the international financial environment and the aspects and trends concerning BP, effective and sustainable </w:t>
      </w:r>
      <w:r w:rsidR="00740E7F">
        <w:t>policies can and should be adopted. The ongoing conflict between Ukraine and Russia, affected the international markets and BP as a major player was also affected, reporting almost double profits for the same period. We can only hope that they will be used in the best interest of all stakeholders for one greener future.</w:t>
      </w:r>
    </w:p>
    <w:p w14:paraId="001E907E" w14:textId="77777777" w:rsidR="00EE049E" w:rsidRPr="006E1036" w:rsidRDefault="00EE049E" w:rsidP="006E1036"/>
    <w:p w14:paraId="53067CB9" w14:textId="2DF503C6" w:rsidR="00161F05" w:rsidRDefault="00161F05" w:rsidP="00EE049E">
      <w:pPr>
        <w:pStyle w:val="Heading1"/>
        <w:jc w:val="center"/>
      </w:pPr>
      <w:bookmarkStart w:id="7" w:name="_Toc103023729"/>
      <w:r>
        <w:lastRenderedPageBreak/>
        <w:t>References</w:t>
      </w:r>
      <w:bookmarkEnd w:id="7"/>
    </w:p>
    <w:p w14:paraId="75173B53" w14:textId="77777777" w:rsidR="00510833" w:rsidRDefault="00510833" w:rsidP="00510833">
      <w:pPr>
        <w:rPr>
          <w:color w:val="222222"/>
          <w:shd w:val="clear" w:color="auto" w:fill="FFFFFF"/>
        </w:rPr>
      </w:pPr>
      <w:proofErr w:type="spellStart"/>
      <w:r>
        <w:rPr>
          <w:color w:val="222222"/>
          <w:shd w:val="clear" w:color="auto" w:fill="FFFFFF"/>
        </w:rPr>
        <w:t>Atrill</w:t>
      </w:r>
      <w:proofErr w:type="spellEnd"/>
      <w:r>
        <w:rPr>
          <w:color w:val="222222"/>
          <w:shd w:val="clear" w:color="auto" w:fill="FFFFFF"/>
        </w:rPr>
        <w:t>, P. and McLaney, E.J., 2018. </w:t>
      </w:r>
      <w:r>
        <w:rPr>
          <w:i/>
          <w:iCs/>
          <w:color w:val="222222"/>
          <w:shd w:val="clear" w:color="auto" w:fill="FFFFFF"/>
        </w:rPr>
        <w:t>Accounting and Finance for Non-specialists</w:t>
      </w:r>
      <w:r>
        <w:rPr>
          <w:color w:val="222222"/>
          <w:shd w:val="clear" w:color="auto" w:fill="FFFFFF"/>
        </w:rPr>
        <w:t>. 11</w:t>
      </w:r>
      <w:r>
        <w:rPr>
          <w:color w:val="222222"/>
          <w:shd w:val="clear" w:color="auto" w:fill="FFFFFF"/>
          <w:vertAlign w:val="superscript"/>
        </w:rPr>
        <w:t>th</w:t>
      </w:r>
      <w:r>
        <w:rPr>
          <w:color w:val="222222"/>
          <w:shd w:val="clear" w:color="auto" w:fill="FFFFFF"/>
        </w:rPr>
        <w:t xml:space="preserve"> Edition, Pearson Education. Chapter 1, 2, 3 and 5. </w:t>
      </w:r>
    </w:p>
    <w:p w14:paraId="2B9E8984" w14:textId="5607213A" w:rsidR="00510833" w:rsidRPr="0087445D" w:rsidRDefault="00510833" w:rsidP="00510833">
      <w:pPr>
        <w:rPr>
          <w:color w:val="222222"/>
          <w:shd w:val="clear" w:color="auto" w:fill="FFFFFF"/>
        </w:rPr>
      </w:pPr>
      <w:r>
        <w:rPr>
          <w:color w:val="222222"/>
          <w:shd w:val="clear" w:color="auto" w:fill="FFFFFF"/>
        </w:rPr>
        <w:t xml:space="preserve">Azmi, Z., </w:t>
      </w:r>
      <w:proofErr w:type="spellStart"/>
      <w:r>
        <w:rPr>
          <w:color w:val="222222"/>
          <w:shd w:val="clear" w:color="auto" w:fill="FFFFFF"/>
        </w:rPr>
        <w:t>Nasution</w:t>
      </w:r>
      <w:proofErr w:type="spellEnd"/>
      <w:r>
        <w:rPr>
          <w:color w:val="222222"/>
          <w:shd w:val="clear" w:color="auto" w:fill="FFFFFF"/>
        </w:rPr>
        <w:t xml:space="preserve">, A.A., </w:t>
      </w:r>
      <w:proofErr w:type="spellStart"/>
      <w:r>
        <w:rPr>
          <w:color w:val="222222"/>
          <w:shd w:val="clear" w:color="auto" w:fill="FFFFFF"/>
        </w:rPr>
        <w:t>Wardayani</w:t>
      </w:r>
      <w:proofErr w:type="spellEnd"/>
      <w:r>
        <w:rPr>
          <w:color w:val="222222"/>
          <w:shd w:val="clear" w:color="auto" w:fill="FFFFFF"/>
        </w:rPr>
        <w:t xml:space="preserve">, I.M., </w:t>
      </w:r>
      <w:proofErr w:type="spellStart"/>
      <w:r>
        <w:rPr>
          <w:color w:val="222222"/>
          <w:shd w:val="clear" w:color="auto" w:fill="FFFFFF"/>
        </w:rPr>
        <w:t>Supriyanto</w:t>
      </w:r>
      <w:proofErr w:type="spellEnd"/>
      <w:r>
        <w:rPr>
          <w:color w:val="222222"/>
          <w:shd w:val="clear" w:color="auto" w:fill="FFFFFF"/>
        </w:rPr>
        <w:t xml:space="preserve">, S.R. and </w:t>
      </w:r>
      <w:proofErr w:type="spellStart"/>
      <w:r>
        <w:rPr>
          <w:color w:val="222222"/>
          <w:shd w:val="clear" w:color="auto" w:fill="FFFFFF"/>
        </w:rPr>
        <w:t>Hidayat</w:t>
      </w:r>
      <w:proofErr w:type="spellEnd"/>
      <w:r>
        <w:rPr>
          <w:color w:val="222222"/>
          <w:shd w:val="clear" w:color="auto" w:fill="FFFFFF"/>
        </w:rPr>
        <w:t>, R., 2019, November. Grounded Theory in Accounting Research. In </w:t>
      </w:r>
      <w:r>
        <w:rPr>
          <w:i/>
          <w:iCs/>
          <w:color w:val="222222"/>
          <w:shd w:val="clear" w:color="auto" w:fill="FFFFFF"/>
        </w:rPr>
        <w:t xml:space="preserve">ICASI 2019: Proceedings of </w:t>
      </w:r>
      <w:proofErr w:type="gramStart"/>
      <w:r>
        <w:rPr>
          <w:i/>
          <w:iCs/>
          <w:color w:val="222222"/>
          <w:shd w:val="clear" w:color="auto" w:fill="FFFFFF"/>
        </w:rPr>
        <w:t>The</w:t>
      </w:r>
      <w:proofErr w:type="gramEnd"/>
      <w:r>
        <w:rPr>
          <w:i/>
          <w:iCs/>
          <w:color w:val="222222"/>
          <w:shd w:val="clear" w:color="auto" w:fill="FFFFFF"/>
        </w:rPr>
        <w:t xml:space="preserve"> 2nd International Conference On Advance And Scientific Innovation, ICASI 2019, 18 July, Banda Aceh, Indonesia</w:t>
      </w:r>
      <w:r>
        <w:rPr>
          <w:color w:val="222222"/>
          <w:shd w:val="clear" w:color="auto" w:fill="FFFFFF"/>
        </w:rPr>
        <w:t> (p. 449). European Alliance for Innovation.</w:t>
      </w:r>
    </w:p>
    <w:p w14:paraId="50BD12A2" w14:textId="6E1EC5D2" w:rsidR="00EE049E" w:rsidRPr="00EE049E" w:rsidRDefault="00BA5D0C" w:rsidP="00BA5D0C">
      <w:pPr>
        <w:autoSpaceDE w:val="0"/>
        <w:autoSpaceDN w:val="0"/>
        <w:adjustRightInd w:val="0"/>
        <w:spacing w:before="0" w:after="183" w:line="240" w:lineRule="auto"/>
        <w:jc w:val="left"/>
        <w:rPr>
          <w:color w:val="000000"/>
          <w:lang w:val="en-GB"/>
        </w:rPr>
      </w:pPr>
      <w:r>
        <w:rPr>
          <w:color w:val="000000"/>
          <w:lang w:val="en-GB"/>
        </w:rPr>
        <w:t>Arnold, G. (2013)</w:t>
      </w:r>
      <w:r>
        <w:rPr>
          <w:color w:val="000000"/>
          <w:lang w:val="en-GB"/>
        </w:rPr>
        <w:t xml:space="preserve"> </w:t>
      </w:r>
      <w:r>
        <w:rPr>
          <w:i/>
          <w:iCs/>
          <w:color w:val="000000"/>
          <w:lang w:val="en-GB"/>
        </w:rPr>
        <w:t>Corporate financial management 5</w:t>
      </w:r>
      <w:r w:rsidRPr="00BA5D0C">
        <w:rPr>
          <w:i/>
          <w:iCs/>
          <w:color w:val="000000"/>
          <w:vertAlign w:val="superscript"/>
          <w:lang w:val="en-GB"/>
        </w:rPr>
        <w:t>th</w:t>
      </w:r>
      <w:r>
        <w:rPr>
          <w:i/>
          <w:iCs/>
          <w:color w:val="000000"/>
          <w:lang w:val="en-GB"/>
        </w:rPr>
        <w:t xml:space="preserve"> edition</w:t>
      </w:r>
      <w:r>
        <w:rPr>
          <w:i/>
          <w:iCs/>
          <w:color w:val="000000"/>
          <w:lang w:val="bg-BG"/>
        </w:rPr>
        <w:t xml:space="preserve">. </w:t>
      </w:r>
      <w:r>
        <w:rPr>
          <w:color w:val="000000"/>
          <w:lang w:val="en-GB"/>
        </w:rPr>
        <w:t>Harlow. Pearson</w:t>
      </w:r>
    </w:p>
    <w:p w14:paraId="5458D05F" w14:textId="5AC72805" w:rsidR="00510833" w:rsidRPr="005E237D" w:rsidRDefault="00510833" w:rsidP="00510833">
      <w:pPr>
        <w:spacing w:before="0" w:after="200"/>
      </w:pPr>
      <w:r w:rsidRPr="005E237D">
        <w:t xml:space="preserve">Annual report </w:t>
      </w:r>
      <w:r w:rsidR="00BA5D0C">
        <w:t>(</w:t>
      </w:r>
      <w:r w:rsidRPr="005E237D">
        <w:t>202</w:t>
      </w:r>
      <w:r w:rsidR="00BA5D0C">
        <w:t>0)</w:t>
      </w:r>
      <w:r w:rsidRPr="005E237D">
        <w:t xml:space="preserve">. BP PLC annual report. [online] BP. Available at: </w:t>
      </w:r>
      <w:r w:rsidRPr="00510833">
        <w:t>https://www.bp.com/content/dam/bp/business-sites/en/global/corporate/pdfs/investors/bp-annual-report-and-form-20f-2020.pdf</w:t>
      </w:r>
      <w:r w:rsidRPr="005E237D">
        <w:t xml:space="preserve"> [Accessed on: 6 May 2022]</w:t>
      </w:r>
    </w:p>
    <w:p w14:paraId="768B2CE7" w14:textId="03C64242" w:rsidR="00EE049E" w:rsidRDefault="00EE049E" w:rsidP="00EE049E">
      <w:r w:rsidRPr="00510833">
        <w:t xml:space="preserve">Chen, L., Li, T., and Zhang, T. (2021). Capital structure dynamics and firm performance: A meta-analysis. </w:t>
      </w:r>
      <w:r w:rsidRPr="00510833">
        <w:rPr>
          <w:i/>
          <w:iCs/>
        </w:rPr>
        <w:t>International Journal of Production Economics</w:t>
      </w:r>
      <w:r w:rsidRPr="00510833">
        <w:t xml:space="preserve">, </w:t>
      </w:r>
      <w:r w:rsidRPr="00510833">
        <w:rPr>
          <w:i/>
          <w:iCs/>
        </w:rPr>
        <w:t>235</w:t>
      </w:r>
      <w:r w:rsidRPr="00510833">
        <w:t>, 108082.</w:t>
      </w:r>
    </w:p>
    <w:p w14:paraId="67E88A55" w14:textId="7C3C1956" w:rsidR="00510833" w:rsidRPr="00510833" w:rsidRDefault="00510833" w:rsidP="00510833">
      <w:pPr>
        <w:spacing w:before="0" w:after="200"/>
      </w:pPr>
      <w:proofErr w:type="spellStart"/>
      <w:r w:rsidRPr="005E237D">
        <w:t>Codjia</w:t>
      </w:r>
      <w:proofErr w:type="spellEnd"/>
      <w:r w:rsidRPr="005E237D">
        <w:t xml:space="preserve">, M., 2017. What Are the Types of Business Finance? [online] </w:t>
      </w:r>
      <w:proofErr w:type="spellStart"/>
      <w:r w:rsidRPr="005E237D">
        <w:t>Bizfluent</w:t>
      </w:r>
      <w:proofErr w:type="spellEnd"/>
      <w:r w:rsidRPr="005E237D">
        <w:t xml:space="preserve">. Available at: </w:t>
      </w:r>
      <w:r w:rsidRPr="00510833">
        <w:t>https://bizfluent.com/info-8186280-types-business-finance.html</w:t>
      </w:r>
      <w:r w:rsidRPr="005E237D">
        <w:t xml:space="preserve"> [Accessed on: 6 May 2022]</w:t>
      </w:r>
    </w:p>
    <w:p w14:paraId="630A1B01" w14:textId="06E8FF71" w:rsidR="00EE049E" w:rsidRPr="00EE049E" w:rsidRDefault="00EE049E" w:rsidP="00EE049E">
      <w:pPr>
        <w:autoSpaceDE w:val="0"/>
        <w:autoSpaceDN w:val="0"/>
        <w:adjustRightInd w:val="0"/>
        <w:spacing w:before="0" w:after="183" w:line="240" w:lineRule="auto"/>
        <w:jc w:val="left"/>
        <w:rPr>
          <w:color w:val="000000"/>
          <w:lang w:val="en-GB"/>
        </w:rPr>
      </w:pPr>
      <w:r w:rsidRPr="00EE049E">
        <w:rPr>
          <w:color w:val="000000"/>
          <w:lang w:val="en-GB"/>
        </w:rPr>
        <w:t xml:space="preserve">Colas, J., </w:t>
      </w:r>
      <w:proofErr w:type="spellStart"/>
      <w:r w:rsidRPr="00EE049E">
        <w:rPr>
          <w:color w:val="000000"/>
          <w:lang w:val="en-GB"/>
        </w:rPr>
        <w:t>Khaykin</w:t>
      </w:r>
      <w:proofErr w:type="spellEnd"/>
      <w:r w:rsidRPr="00EE049E">
        <w:rPr>
          <w:color w:val="000000"/>
          <w:lang w:val="en-GB"/>
        </w:rPr>
        <w:t xml:space="preserve">, I. and </w:t>
      </w:r>
      <w:proofErr w:type="spellStart"/>
      <w:r w:rsidRPr="00EE049E">
        <w:rPr>
          <w:color w:val="000000"/>
          <w:lang w:val="en-GB"/>
        </w:rPr>
        <w:t>Pyanet</w:t>
      </w:r>
      <w:proofErr w:type="spellEnd"/>
      <w:r w:rsidRPr="00EE049E">
        <w:rPr>
          <w:color w:val="000000"/>
          <w:lang w:val="en-GB"/>
        </w:rPr>
        <w:t xml:space="preserve">, A. (2019). Managing A New Financial Risk. </w:t>
      </w:r>
      <w:r w:rsidRPr="00EE049E">
        <w:rPr>
          <w:i/>
          <w:iCs/>
          <w:color w:val="000000"/>
          <w:lang w:val="en-GB"/>
        </w:rPr>
        <w:t>Credit Risk Measurement and Management: Disruption and Evolution. Edited by Amnon Levy and Jing Zhang. London: Risk Books</w:t>
      </w:r>
      <w:r w:rsidRPr="00EE049E">
        <w:rPr>
          <w:color w:val="000000"/>
          <w:lang w:val="en-GB"/>
        </w:rPr>
        <w:t xml:space="preserve">, 1-24. </w:t>
      </w:r>
    </w:p>
    <w:p w14:paraId="15BAEFBA" w14:textId="6D8C8E90" w:rsidR="00EE049E" w:rsidRDefault="00EE049E" w:rsidP="00EE049E">
      <w:pPr>
        <w:autoSpaceDE w:val="0"/>
        <w:autoSpaceDN w:val="0"/>
        <w:adjustRightInd w:val="0"/>
        <w:spacing w:before="0" w:after="183" w:line="240" w:lineRule="auto"/>
        <w:jc w:val="left"/>
        <w:rPr>
          <w:i/>
          <w:iCs/>
          <w:color w:val="000000"/>
          <w:lang w:val="en-GB"/>
        </w:rPr>
      </w:pPr>
      <w:r w:rsidRPr="00EE049E">
        <w:rPr>
          <w:color w:val="000000"/>
          <w:lang w:val="en-GB"/>
        </w:rPr>
        <w:t xml:space="preserve"> </w:t>
      </w:r>
      <w:proofErr w:type="spellStart"/>
      <w:r w:rsidRPr="00EE049E">
        <w:rPr>
          <w:color w:val="000000"/>
          <w:lang w:val="en-GB"/>
        </w:rPr>
        <w:t>Fedoryshyna</w:t>
      </w:r>
      <w:proofErr w:type="spellEnd"/>
      <w:r w:rsidRPr="00EE049E">
        <w:rPr>
          <w:color w:val="000000"/>
          <w:lang w:val="en-GB"/>
        </w:rPr>
        <w:t xml:space="preserve">, L. and </w:t>
      </w:r>
      <w:proofErr w:type="spellStart"/>
      <w:r w:rsidRPr="00EE049E">
        <w:rPr>
          <w:color w:val="000000"/>
          <w:lang w:val="en-GB"/>
        </w:rPr>
        <w:t>Todosiychuk</w:t>
      </w:r>
      <w:proofErr w:type="spellEnd"/>
      <w:r w:rsidRPr="00EE049E">
        <w:rPr>
          <w:color w:val="000000"/>
          <w:lang w:val="en-GB"/>
        </w:rPr>
        <w:t xml:space="preserve">, V. (2019). </w:t>
      </w:r>
      <w:proofErr w:type="spellStart"/>
      <w:r w:rsidRPr="00EE049E">
        <w:rPr>
          <w:color w:val="000000"/>
          <w:lang w:val="en-GB"/>
        </w:rPr>
        <w:t>Analiz</w:t>
      </w:r>
      <w:proofErr w:type="spellEnd"/>
      <w:r w:rsidRPr="00EE049E">
        <w:rPr>
          <w:color w:val="000000"/>
          <w:lang w:val="en-GB"/>
        </w:rPr>
        <w:t xml:space="preserve"> controlling financial risks of enterprise. </w:t>
      </w:r>
      <w:r w:rsidRPr="00EE049E">
        <w:rPr>
          <w:i/>
          <w:iCs/>
          <w:color w:val="000000"/>
          <w:lang w:val="en-GB"/>
        </w:rPr>
        <w:t xml:space="preserve">Polish journal of </w:t>
      </w:r>
      <w:proofErr w:type="gramStart"/>
      <w:r w:rsidRPr="00EE049E">
        <w:rPr>
          <w:i/>
          <w:iCs/>
          <w:color w:val="000000"/>
          <w:lang w:val="en-GB"/>
        </w:rPr>
        <w:t>science.-</w:t>
      </w:r>
      <w:proofErr w:type="gramEnd"/>
      <w:r w:rsidRPr="00EE049E">
        <w:rPr>
          <w:i/>
          <w:iCs/>
          <w:color w:val="000000"/>
          <w:lang w:val="en-GB"/>
        </w:rPr>
        <w:t xml:space="preserve">2019.-№ 21, Vol. 2.-P. 30-42. </w:t>
      </w:r>
    </w:p>
    <w:p w14:paraId="3F8B62E6" w14:textId="2D9802C0" w:rsidR="00EE049E" w:rsidRDefault="00EE049E" w:rsidP="00EE049E">
      <w:pPr>
        <w:autoSpaceDE w:val="0"/>
        <w:autoSpaceDN w:val="0"/>
        <w:adjustRightInd w:val="0"/>
        <w:spacing w:before="0" w:after="0" w:line="240" w:lineRule="auto"/>
        <w:jc w:val="left"/>
        <w:rPr>
          <w:color w:val="000000"/>
          <w:lang w:val="en-GB"/>
        </w:rPr>
      </w:pPr>
      <w:r w:rsidRPr="00EE049E">
        <w:rPr>
          <w:color w:val="000000"/>
          <w:lang w:val="en-GB"/>
        </w:rPr>
        <w:t xml:space="preserve">van Der Graaf, A. (2018). </w:t>
      </w:r>
      <w:r w:rsidRPr="00EE049E">
        <w:rPr>
          <w:i/>
          <w:iCs/>
          <w:color w:val="000000"/>
          <w:lang w:val="en-GB"/>
        </w:rPr>
        <w:t xml:space="preserve">Managing financial risks: protecting the organisation </w:t>
      </w:r>
      <w:r w:rsidRPr="00EE049E">
        <w:rPr>
          <w:color w:val="000000"/>
          <w:lang w:val="en-GB"/>
        </w:rPr>
        <w:t xml:space="preserve">(Doctoral dissertation, </w:t>
      </w:r>
      <w:proofErr w:type="spellStart"/>
      <w:r w:rsidRPr="00EE049E">
        <w:rPr>
          <w:color w:val="000000"/>
          <w:lang w:val="en-GB"/>
        </w:rPr>
        <w:t>Institut</w:t>
      </w:r>
      <w:proofErr w:type="spellEnd"/>
      <w:r w:rsidRPr="00EE049E">
        <w:rPr>
          <w:color w:val="000000"/>
          <w:lang w:val="en-GB"/>
        </w:rPr>
        <w:t xml:space="preserve"> </w:t>
      </w:r>
      <w:proofErr w:type="spellStart"/>
      <w:r w:rsidRPr="00EE049E">
        <w:rPr>
          <w:color w:val="000000"/>
          <w:lang w:val="en-GB"/>
        </w:rPr>
        <w:t>d'études</w:t>
      </w:r>
      <w:proofErr w:type="spellEnd"/>
      <w:r w:rsidRPr="00EE049E">
        <w:rPr>
          <w:color w:val="000000"/>
          <w:lang w:val="en-GB"/>
        </w:rPr>
        <w:t xml:space="preserve"> politiques de Paris-Sciences Po). </w:t>
      </w:r>
    </w:p>
    <w:p w14:paraId="3BAE4429" w14:textId="1ABDAE89" w:rsidR="00BA5D0C" w:rsidRPr="00BA5D0C" w:rsidRDefault="00BA5D0C" w:rsidP="00EE049E">
      <w:pPr>
        <w:autoSpaceDE w:val="0"/>
        <w:autoSpaceDN w:val="0"/>
        <w:adjustRightInd w:val="0"/>
        <w:spacing w:before="0" w:after="0" w:line="240" w:lineRule="auto"/>
        <w:jc w:val="left"/>
        <w:rPr>
          <w:color w:val="000000"/>
          <w:lang w:val="en-GB"/>
        </w:rPr>
      </w:pPr>
      <w:proofErr w:type="spellStart"/>
      <w:r>
        <w:rPr>
          <w:color w:val="000000"/>
          <w:lang w:val="en-GB"/>
        </w:rPr>
        <w:t>Levich</w:t>
      </w:r>
      <w:proofErr w:type="spellEnd"/>
      <w:r>
        <w:rPr>
          <w:color w:val="000000"/>
          <w:lang w:val="en-GB"/>
        </w:rPr>
        <w:t>, R. (1998)</w:t>
      </w:r>
      <w:r>
        <w:rPr>
          <w:i/>
          <w:iCs/>
          <w:color w:val="000000"/>
          <w:lang w:val="en-GB"/>
        </w:rPr>
        <w:t xml:space="preserve"> International Financial Markets. Prices and Policies.</w:t>
      </w:r>
      <w:r>
        <w:rPr>
          <w:color w:val="000000"/>
          <w:lang w:val="en-GB"/>
        </w:rPr>
        <w:t xml:space="preserve"> International Edition. McGraw-Hill</w:t>
      </w:r>
    </w:p>
    <w:p w14:paraId="35179794" w14:textId="3E357C2E" w:rsidR="00510833" w:rsidRPr="00510833" w:rsidRDefault="00510833" w:rsidP="00510833">
      <w:pPr>
        <w:rPr>
          <w:color w:val="222222"/>
          <w:shd w:val="clear" w:color="auto" w:fill="FFFFFF"/>
        </w:rPr>
      </w:pPr>
      <w:proofErr w:type="spellStart"/>
      <w:r w:rsidRPr="00510833">
        <w:rPr>
          <w:color w:val="222222"/>
          <w:shd w:val="clear" w:color="auto" w:fill="FFFFFF"/>
        </w:rPr>
        <w:t>Proactiveinvestors</w:t>
      </w:r>
      <w:proofErr w:type="spellEnd"/>
      <w:r w:rsidRPr="00510833">
        <w:rPr>
          <w:color w:val="222222"/>
          <w:shd w:val="clear" w:color="auto" w:fill="FFFFFF"/>
        </w:rPr>
        <w:t xml:space="preserve"> UK. 2022. </w:t>
      </w:r>
      <w:r w:rsidRPr="00510833">
        <w:rPr>
          <w:i/>
          <w:iCs/>
          <w:color w:val="222222"/>
          <w:shd w:val="clear" w:color="auto" w:fill="FFFFFF"/>
        </w:rPr>
        <w:t xml:space="preserve">Shell and BP can lead on </w:t>
      </w:r>
      <w:proofErr w:type="spellStart"/>
      <w:r w:rsidRPr="00510833">
        <w:rPr>
          <w:i/>
          <w:iCs/>
          <w:color w:val="222222"/>
          <w:shd w:val="clear" w:color="auto" w:fill="FFFFFF"/>
        </w:rPr>
        <w:t>decarbonisation</w:t>
      </w:r>
      <w:proofErr w:type="spellEnd"/>
      <w:r w:rsidRPr="00510833">
        <w:rPr>
          <w:i/>
          <w:iCs/>
          <w:color w:val="222222"/>
          <w:shd w:val="clear" w:color="auto" w:fill="FFFFFF"/>
        </w:rPr>
        <w:t xml:space="preserve"> and make big money, suggests</w:t>
      </w:r>
      <w:r>
        <w:rPr>
          <w:i/>
          <w:iCs/>
          <w:color w:val="222222"/>
          <w:shd w:val="clear" w:color="auto" w:fill="FFFFFF"/>
        </w:rPr>
        <w:t xml:space="preserve"> </w:t>
      </w:r>
      <w:r w:rsidRPr="00510833">
        <w:rPr>
          <w:i/>
          <w:iCs/>
          <w:color w:val="222222"/>
          <w:shd w:val="clear" w:color="auto" w:fill="FFFFFF"/>
        </w:rPr>
        <w:t>broker</w:t>
      </w:r>
      <w:r w:rsidRPr="00510833">
        <w:rPr>
          <w:color w:val="222222"/>
          <w:shd w:val="clear" w:color="auto" w:fill="FFFFFF"/>
        </w:rPr>
        <w:t>. [online] Available at: https://www.proactiveinvestors.co.uk/companies/news/979275/shell-and-bp-can-lead-on-decarbonisation-and-make-big-money-suggests-broker-979275.html [Accessed 13 April 2022].</w:t>
      </w:r>
    </w:p>
    <w:p w14:paraId="7FEA19E5" w14:textId="77777777" w:rsidR="00510833" w:rsidRPr="00EE049E" w:rsidRDefault="00510833" w:rsidP="00EE049E">
      <w:pPr>
        <w:autoSpaceDE w:val="0"/>
        <w:autoSpaceDN w:val="0"/>
        <w:adjustRightInd w:val="0"/>
        <w:spacing w:before="0" w:after="0" w:line="240" w:lineRule="auto"/>
        <w:jc w:val="left"/>
        <w:rPr>
          <w:color w:val="000000"/>
          <w:lang w:val="en-GB"/>
        </w:rPr>
      </w:pPr>
    </w:p>
    <w:p w14:paraId="1E67595D" w14:textId="77777777" w:rsidR="00EE049E" w:rsidRPr="00510833" w:rsidRDefault="00EE049E" w:rsidP="00EE049E">
      <w:r w:rsidRPr="00510833">
        <w:lastRenderedPageBreak/>
        <w:t xml:space="preserve">Nguyen, T., Bai, M., Hou, G., and Truong, C. (2021). Drought risk and capital structure dynamics. </w:t>
      </w:r>
      <w:r w:rsidRPr="00510833">
        <w:rPr>
          <w:i/>
          <w:iCs/>
        </w:rPr>
        <w:t>Accounting &amp; Finance</w:t>
      </w:r>
      <w:r w:rsidRPr="00510833">
        <w:t>.</w:t>
      </w:r>
    </w:p>
    <w:p w14:paraId="756F1BD6" w14:textId="77777777" w:rsidR="00EE049E" w:rsidRPr="00EE049E" w:rsidRDefault="00EE049E" w:rsidP="00EE049E"/>
    <w:sectPr w:rsidR="00EE049E" w:rsidRPr="00EE049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9CF48" w14:textId="77777777" w:rsidR="00224622" w:rsidRDefault="00224622" w:rsidP="008214FE">
      <w:pPr>
        <w:spacing w:before="0" w:after="0" w:line="240" w:lineRule="auto"/>
      </w:pPr>
      <w:r>
        <w:separator/>
      </w:r>
    </w:p>
  </w:endnote>
  <w:endnote w:type="continuationSeparator" w:id="0">
    <w:p w14:paraId="7D30A670" w14:textId="77777777" w:rsidR="00224622" w:rsidRDefault="00224622" w:rsidP="008214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495254"/>
      <w:docPartObj>
        <w:docPartGallery w:val="Page Numbers (Bottom of Page)"/>
        <w:docPartUnique/>
      </w:docPartObj>
    </w:sdtPr>
    <w:sdtEndPr>
      <w:rPr>
        <w:noProof/>
      </w:rPr>
    </w:sdtEndPr>
    <w:sdtContent>
      <w:p w14:paraId="3E8E4743" w14:textId="77777777" w:rsidR="008214FE" w:rsidRDefault="008214FE">
        <w:pPr>
          <w:pStyle w:val="Footer"/>
          <w:jc w:val="center"/>
        </w:pPr>
        <w:r>
          <w:fldChar w:fldCharType="begin"/>
        </w:r>
        <w:r>
          <w:instrText xml:space="preserve"> PAGE   \* MERGEFORMAT </w:instrText>
        </w:r>
        <w:r>
          <w:fldChar w:fldCharType="separate"/>
        </w:r>
        <w:r w:rsidR="006629C9">
          <w:rPr>
            <w:noProof/>
          </w:rPr>
          <w:t>8</w:t>
        </w:r>
        <w:r>
          <w:rPr>
            <w:noProof/>
          </w:rPr>
          <w:fldChar w:fldCharType="end"/>
        </w:r>
      </w:p>
    </w:sdtContent>
  </w:sdt>
  <w:p w14:paraId="7350B313" w14:textId="77777777" w:rsidR="008214FE" w:rsidRDefault="00821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7E795" w14:textId="77777777" w:rsidR="00224622" w:rsidRDefault="00224622" w:rsidP="008214FE">
      <w:pPr>
        <w:spacing w:before="0" w:after="0" w:line="240" w:lineRule="auto"/>
      </w:pPr>
      <w:r>
        <w:separator/>
      </w:r>
    </w:p>
  </w:footnote>
  <w:footnote w:type="continuationSeparator" w:id="0">
    <w:p w14:paraId="7B858F7F" w14:textId="77777777" w:rsidR="00224622" w:rsidRDefault="00224622" w:rsidP="008214F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C56BE"/>
    <w:multiLevelType w:val="hybridMultilevel"/>
    <w:tmpl w:val="D97891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0A02259"/>
    <w:multiLevelType w:val="hybridMultilevel"/>
    <w:tmpl w:val="E916A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0B4EE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FE87662"/>
    <w:multiLevelType w:val="multilevel"/>
    <w:tmpl w:val="A72019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1D64A4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2811FD"/>
    <w:multiLevelType w:val="multilevel"/>
    <w:tmpl w:val="A1FE32DE"/>
    <w:lvl w:ilvl="0">
      <w:start w:val="1"/>
      <w:numFmt w:val="decimal"/>
      <w:lvlText w:val="%1."/>
      <w:lvlJc w:val="left"/>
      <w:pPr>
        <w:ind w:left="1485" w:hanging="360"/>
      </w:pPr>
    </w:lvl>
    <w:lvl w:ilvl="1">
      <w:start w:val="1"/>
      <w:numFmt w:val="lowerLetter"/>
      <w:lvlText w:val="%2."/>
      <w:lvlJc w:val="left"/>
      <w:pPr>
        <w:ind w:left="2205" w:hanging="360"/>
      </w:pPr>
    </w:lvl>
    <w:lvl w:ilvl="2">
      <w:start w:val="1"/>
      <w:numFmt w:val="lowerRoman"/>
      <w:lvlText w:val="%3."/>
      <w:lvlJc w:val="right"/>
      <w:pPr>
        <w:ind w:left="2925" w:hanging="180"/>
      </w:pPr>
    </w:lvl>
    <w:lvl w:ilvl="3">
      <w:start w:val="1"/>
      <w:numFmt w:val="decimal"/>
      <w:lvlText w:val="%4."/>
      <w:lvlJc w:val="left"/>
      <w:pPr>
        <w:ind w:left="3645" w:hanging="360"/>
      </w:pPr>
    </w:lvl>
    <w:lvl w:ilvl="4">
      <w:start w:val="1"/>
      <w:numFmt w:val="lowerLetter"/>
      <w:lvlText w:val="%5."/>
      <w:lvlJc w:val="left"/>
      <w:pPr>
        <w:ind w:left="4365" w:hanging="360"/>
      </w:pPr>
    </w:lvl>
    <w:lvl w:ilvl="5">
      <w:start w:val="1"/>
      <w:numFmt w:val="lowerRoman"/>
      <w:lvlText w:val="%6."/>
      <w:lvlJc w:val="right"/>
      <w:pPr>
        <w:ind w:left="5085" w:hanging="180"/>
      </w:pPr>
    </w:lvl>
    <w:lvl w:ilvl="6">
      <w:start w:val="1"/>
      <w:numFmt w:val="decimal"/>
      <w:lvlText w:val="%7."/>
      <w:lvlJc w:val="left"/>
      <w:pPr>
        <w:ind w:left="5805" w:hanging="360"/>
      </w:pPr>
    </w:lvl>
    <w:lvl w:ilvl="7">
      <w:start w:val="1"/>
      <w:numFmt w:val="lowerLetter"/>
      <w:lvlText w:val="%8."/>
      <w:lvlJc w:val="left"/>
      <w:pPr>
        <w:ind w:left="6525" w:hanging="360"/>
      </w:pPr>
    </w:lvl>
    <w:lvl w:ilvl="8">
      <w:start w:val="1"/>
      <w:numFmt w:val="lowerRoman"/>
      <w:lvlText w:val="%9."/>
      <w:lvlJc w:val="right"/>
      <w:pPr>
        <w:ind w:left="7245" w:hanging="180"/>
      </w:pPr>
    </w:lvl>
  </w:abstractNum>
  <w:num w:numId="1" w16cid:durableId="1128938354">
    <w:abstractNumId w:val="1"/>
  </w:num>
  <w:num w:numId="2" w16cid:durableId="843086090">
    <w:abstractNumId w:val="4"/>
  </w:num>
  <w:num w:numId="3" w16cid:durableId="2116825001">
    <w:abstractNumId w:val="3"/>
  </w:num>
  <w:num w:numId="4" w16cid:durableId="681008428">
    <w:abstractNumId w:val="5"/>
  </w:num>
  <w:num w:numId="5" w16cid:durableId="247811355">
    <w:abstractNumId w:val="2"/>
  </w:num>
  <w:num w:numId="6" w16cid:durableId="854809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252"/>
    <w:rsid w:val="00031F06"/>
    <w:rsid w:val="00045354"/>
    <w:rsid w:val="00066BD5"/>
    <w:rsid w:val="00066BDF"/>
    <w:rsid w:val="00076059"/>
    <w:rsid w:val="00081CB2"/>
    <w:rsid w:val="00082790"/>
    <w:rsid w:val="00084604"/>
    <w:rsid w:val="000B2095"/>
    <w:rsid w:val="001003CC"/>
    <w:rsid w:val="00102589"/>
    <w:rsid w:val="00133930"/>
    <w:rsid w:val="00137CB2"/>
    <w:rsid w:val="0014301B"/>
    <w:rsid w:val="00161F05"/>
    <w:rsid w:val="00173905"/>
    <w:rsid w:val="00197212"/>
    <w:rsid w:val="001A4999"/>
    <w:rsid w:val="001D05F8"/>
    <w:rsid w:val="001F22B3"/>
    <w:rsid w:val="00200FFD"/>
    <w:rsid w:val="00206C46"/>
    <w:rsid w:val="00224622"/>
    <w:rsid w:val="0023667C"/>
    <w:rsid w:val="0027099C"/>
    <w:rsid w:val="002872E3"/>
    <w:rsid w:val="002B0449"/>
    <w:rsid w:val="003059A0"/>
    <w:rsid w:val="003369A3"/>
    <w:rsid w:val="00345390"/>
    <w:rsid w:val="00353250"/>
    <w:rsid w:val="003622A9"/>
    <w:rsid w:val="003811B9"/>
    <w:rsid w:val="003F7315"/>
    <w:rsid w:val="00425A32"/>
    <w:rsid w:val="004759C4"/>
    <w:rsid w:val="004A1390"/>
    <w:rsid w:val="004E711A"/>
    <w:rsid w:val="004E7126"/>
    <w:rsid w:val="004F17AE"/>
    <w:rsid w:val="004F1D44"/>
    <w:rsid w:val="004F7AC1"/>
    <w:rsid w:val="00510833"/>
    <w:rsid w:val="00546648"/>
    <w:rsid w:val="0055596A"/>
    <w:rsid w:val="0056347E"/>
    <w:rsid w:val="00575D42"/>
    <w:rsid w:val="00587291"/>
    <w:rsid w:val="005B5F4A"/>
    <w:rsid w:val="0062494C"/>
    <w:rsid w:val="0065243D"/>
    <w:rsid w:val="006629C9"/>
    <w:rsid w:val="006676AD"/>
    <w:rsid w:val="00674D92"/>
    <w:rsid w:val="006A32C7"/>
    <w:rsid w:val="006B4681"/>
    <w:rsid w:val="006B4A8E"/>
    <w:rsid w:val="006C0615"/>
    <w:rsid w:val="006C6309"/>
    <w:rsid w:val="006E1036"/>
    <w:rsid w:val="006E4930"/>
    <w:rsid w:val="00700B1B"/>
    <w:rsid w:val="00716E38"/>
    <w:rsid w:val="00733252"/>
    <w:rsid w:val="00740E7F"/>
    <w:rsid w:val="00753BF2"/>
    <w:rsid w:val="007B0C92"/>
    <w:rsid w:val="007B0F7D"/>
    <w:rsid w:val="007C6956"/>
    <w:rsid w:val="008214FE"/>
    <w:rsid w:val="00824F42"/>
    <w:rsid w:val="00845993"/>
    <w:rsid w:val="00847B85"/>
    <w:rsid w:val="0087445D"/>
    <w:rsid w:val="00884253"/>
    <w:rsid w:val="00896134"/>
    <w:rsid w:val="008A1CEC"/>
    <w:rsid w:val="008B6583"/>
    <w:rsid w:val="008C0724"/>
    <w:rsid w:val="00945F9B"/>
    <w:rsid w:val="009517D5"/>
    <w:rsid w:val="009562AD"/>
    <w:rsid w:val="00970B34"/>
    <w:rsid w:val="00975FC2"/>
    <w:rsid w:val="009C7901"/>
    <w:rsid w:val="009E4419"/>
    <w:rsid w:val="009F4F1D"/>
    <w:rsid w:val="00A00FDF"/>
    <w:rsid w:val="00A11AE0"/>
    <w:rsid w:val="00A23673"/>
    <w:rsid w:val="00A26AF5"/>
    <w:rsid w:val="00A34DF3"/>
    <w:rsid w:val="00A9528E"/>
    <w:rsid w:val="00AC1D6F"/>
    <w:rsid w:val="00B26382"/>
    <w:rsid w:val="00B31739"/>
    <w:rsid w:val="00B667B8"/>
    <w:rsid w:val="00BA0B90"/>
    <w:rsid w:val="00BA5D0C"/>
    <w:rsid w:val="00BD17E4"/>
    <w:rsid w:val="00C1179E"/>
    <w:rsid w:val="00C2415D"/>
    <w:rsid w:val="00CB22FC"/>
    <w:rsid w:val="00CE46EB"/>
    <w:rsid w:val="00D16430"/>
    <w:rsid w:val="00D16560"/>
    <w:rsid w:val="00D218AE"/>
    <w:rsid w:val="00D22BF0"/>
    <w:rsid w:val="00D24DB7"/>
    <w:rsid w:val="00D33983"/>
    <w:rsid w:val="00D575EE"/>
    <w:rsid w:val="00D83D84"/>
    <w:rsid w:val="00D86CCB"/>
    <w:rsid w:val="00DB42A5"/>
    <w:rsid w:val="00DB797D"/>
    <w:rsid w:val="00E264AD"/>
    <w:rsid w:val="00E733D1"/>
    <w:rsid w:val="00E95499"/>
    <w:rsid w:val="00EA1DEE"/>
    <w:rsid w:val="00EE049E"/>
    <w:rsid w:val="00EE1596"/>
    <w:rsid w:val="00F87CA4"/>
    <w:rsid w:val="00FC4E56"/>
    <w:rsid w:val="00FD0426"/>
    <w:rsid w:val="00FD5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482B"/>
  <w15:chartTrackingRefBased/>
  <w15:docId w15:val="{156C0C0C-F1C3-41EE-870A-CF3E08942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CF8"/>
    <w:pPr>
      <w:keepNext/>
      <w:keepLines/>
      <w:spacing w:before="240" w:after="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575D42"/>
    <w:pPr>
      <w:keepNext/>
      <w:keepLines/>
      <w:spacing w:before="40" w:after="0"/>
      <w:outlineLvl w:val="1"/>
    </w:pPr>
    <w:rPr>
      <w:rFonts w:eastAsiaTheme="majorEastAsia" w:cstheme="majorBidi"/>
      <w:b/>
      <w:color w:val="0D0D0D" w:themeColor="text1" w:themeTint="F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CF8"/>
    <w:rPr>
      <w:rFonts w:eastAsiaTheme="majorEastAsia" w:cstheme="majorBidi"/>
      <w:b/>
      <w:color w:val="0D0D0D" w:themeColor="text1" w:themeTint="F2"/>
      <w:sz w:val="28"/>
      <w:szCs w:val="32"/>
    </w:rPr>
  </w:style>
  <w:style w:type="character" w:customStyle="1" w:styleId="Heading2Char">
    <w:name w:val="Heading 2 Char"/>
    <w:basedOn w:val="DefaultParagraphFont"/>
    <w:link w:val="Heading2"/>
    <w:uiPriority w:val="9"/>
    <w:rsid w:val="00575D42"/>
    <w:rPr>
      <w:rFonts w:eastAsiaTheme="majorEastAsia" w:cstheme="majorBidi"/>
      <w:b/>
      <w:color w:val="0D0D0D" w:themeColor="text1" w:themeTint="F2"/>
      <w:szCs w:val="26"/>
    </w:rPr>
  </w:style>
  <w:style w:type="paragraph" w:styleId="NoSpacing">
    <w:name w:val="No Spacing"/>
    <w:uiPriority w:val="1"/>
    <w:qFormat/>
    <w:rsid w:val="00C2415D"/>
    <w:rPr>
      <w:b/>
    </w:rPr>
  </w:style>
  <w:style w:type="paragraph" w:styleId="Header">
    <w:name w:val="header"/>
    <w:basedOn w:val="Normal"/>
    <w:link w:val="HeaderChar"/>
    <w:uiPriority w:val="99"/>
    <w:unhideWhenUsed/>
    <w:rsid w:val="008214F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214FE"/>
  </w:style>
  <w:style w:type="paragraph" w:styleId="Footer">
    <w:name w:val="footer"/>
    <w:basedOn w:val="Normal"/>
    <w:link w:val="FooterChar"/>
    <w:uiPriority w:val="99"/>
    <w:unhideWhenUsed/>
    <w:rsid w:val="008214F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214FE"/>
  </w:style>
  <w:style w:type="paragraph" w:styleId="TOCHeading">
    <w:name w:val="TOC Heading"/>
    <w:basedOn w:val="Heading1"/>
    <w:next w:val="Normal"/>
    <w:uiPriority w:val="39"/>
    <w:unhideWhenUsed/>
    <w:qFormat/>
    <w:rsid w:val="00D218A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218AE"/>
    <w:pPr>
      <w:spacing w:after="100"/>
    </w:pPr>
  </w:style>
  <w:style w:type="character" w:styleId="Hyperlink">
    <w:name w:val="Hyperlink"/>
    <w:basedOn w:val="DefaultParagraphFont"/>
    <w:uiPriority w:val="99"/>
    <w:unhideWhenUsed/>
    <w:rsid w:val="00D218AE"/>
    <w:rPr>
      <w:color w:val="0563C1" w:themeColor="hyperlink"/>
      <w:u w:val="single"/>
    </w:rPr>
  </w:style>
  <w:style w:type="paragraph" w:styleId="ListParagraph">
    <w:name w:val="List Paragraph"/>
    <w:basedOn w:val="Normal"/>
    <w:uiPriority w:val="34"/>
    <w:qFormat/>
    <w:rsid w:val="006629C9"/>
    <w:pPr>
      <w:ind w:left="720"/>
      <w:contextualSpacing/>
    </w:pPr>
  </w:style>
  <w:style w:type="paragraph" w:customStyle="1" w:styleId="Default">
    <w:name w:val="Default"/>
    <w:rsid w:val="00076059"/>
    <w:pPr>
      <w:autoSpaceDE w:val="0"/>
      <w:autoSpaceDN w:val="0"/>
      <w:adjustRightInd w:val="0"/>
      <w:spacing w:before="0" w:after="0" w:line="240" w:lineRule="auto"/>
      <w:jc w:val="left"/>
    </w:pPr>
    <w:rPr>
      <w:rFonts w:ascii="Arial" w:hAnsi="Arial" w:cs="Arial"/>
      <w:color w:val="000000"/>
      <w:lang w:val="en-GB"/>
    </w:rPr>
  </w:style>
  <w:style w:type="table" w:styleId="TableGrid">
    <w:name w:val="Table Grid"/>
    <w:basedOn w:val="TableNormal"/>
    <w:uiPriority w:val="59"/>
    <w:unhideWhenUsed/>
    <w:rsid w:val="00A11AE0"/>
    <w:pPr>
      <w:spacing w:before="0" w:after="0" w:line="240" w:lineRule="auto"/>
      <w:jc w:val="left"/>
    </w:pPr>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E46EB"/>
    <w:pPr>
      <w:spacing w:before="100" w:beforeAutospacing="1" w:after="100" w:afterAutospacing="1" w:line="240" w:lineRule="auto"/>
      <w:jc w:val="left"/>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70542">
      <w:bodyDiv w:val="1"/>
      <w:marLeft w:val="0"/>
      <w:marRight w:val="0"/>
      <w:marTop w:val="0"/>
      <w:marBottom w:val="0"/>
      <w:divBdr>
        <w:top w:val="none" w:sz="0" w:space="0" w:color="auto"/>
        <w:left w:val="none" w:sz="0" w:space="0" w:color="auto"/>
        <w:bottom w:val="none" w:sz="0" w:space="0" w:color="auto"/>
        <w:right w:val="none" w:sz="0" w:space="0" w:color="auto"/>
      </w:divBdr>
    </w:div>
    <w:div w:id="595941756">
      <w:bodyDiv w:val="1"/>
      <w:marLeft w:val="0"/>
      <w:marRight w:val="0"/>
      <w:marTop w:val="0"/>
      <w:marBottom w:val="0"/>
      <w:divBdr>
        <w:top w:val="none" w:sz="0" w:space="0" w:color="auto"/>
        <w:left w:val="none" w:sz="0" w:space="0" w:color="auto"/>
        <w:bottom w:val="none" w:sz="0" w:space="0" w:color="auto"/>
        <w:right w:val="none" w:sz="0" w:space="0" w:color="auto"/>
      </w:divBdr>
    </w:div>
    <w:div w:id="798648891">
      <w:bodyDiv w:val="1"/>
      <w:marLeft w:val="0"/>
      <w:marRight w:val="0"/>
      <w:marTop w:val="0"/>
      <w:marBottom w:val="0"/>
      <w:divBdr>
        <w:top w:val="none" w:sz="0" w:space="0" w:color="auto"/>
        <w:left w:val="none" w:sz="0" w:space="0" w:color="auto"/>
        <w:bottom w:val="none" w:sz="0" w:space="0" w:color="auto"/>
        <w:right w:val="none" w:sz="0" w:space="0" w:color="auto"/>
      </w:divBdr>
    </w:div>
    <w:div w:id="918517407">
      <w:bodyDiv w:val="1"/>
      <w:marLeft w:val="0"/>
      <w:marRight w:val="0"/>
      <w:marTop w:val="0"/>
      <w:marBottom w:val="0"/>
      <w:divBdr>
        <w:top w:val="none" w:sz="0" w:space="0" w:color="auto"/>
        <w:left w:val="none" w:sz="0" w:space="0" w:color="auto"/>
        <w:bottom w:val="none" w:sz="0" w:space="0" w:color="auto"/>
        <w:right w:val="none" w:sz="0" w:space="0" w:color="auto"/>
      </w:divBdr>
    </w:div>
    <w:div w:id="1024870124">
      <w:bodyDiv w:val="1"/>
      <w:marLeft w:val="0"/>
      <w:marRight w:val="0"/>
      <w:marTop w:val="0"/>
      <w:marBottom w:val="0"/>
      <w:divBdr>
        <w:top w:val="none" w:sz="0" w:space="0" w:color="auto"/>
        <w:left w:val="none" w:sz="0" w:space="0" w:color="auto"/>
        <w:bottom w:val="none" w:sz="0" w:space="0" w:color="auto"/>
        <w:right w:val="none" w:sz="0" w:space="0" w:color="auto"/>
      </w:divBdr>
    </w:div>
    <w:div w:id="1031952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aram%20natani\Desktop\Finance%20for%20global%20busines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aram%20natani\Desktop\Finance%20for%20global%20busines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Long</a:t>
            </a:r>
            <a:r>
              <a:rPr lang="en-US" baseline="0"/>
              <a:t> term debts of BP PLC (2020)</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758-4065-9314-BA98305B306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758-4065-9314-BA98305B306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758-4065-9314-BA98305B306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758-4065-9314-BA98305B306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758-4065-9314-BA98305B3061}"/>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E758-4065-9314-BA98305B3061}"/>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E758-4065-9314-BA98305B306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Sheet1!$L$73:$L$79</c:f>
              <c:strCache>
                <c:ptCount val="7"/>
                <c:pt idx="0">
                  <c:v>Lease liabilities</c:v>
                </c:pt>
                <c:pt idx="1">
                  <c:v>Accruals</c:v>
                </c:pt>
                <c:pt idx="2">
                  <c:v>Derivative financial instruments</c:v>
                </c:pt>
                <c:pt idx="3">
                  <c:v>Other payables</c:v>
                </c:pt>
                <c:pt idx="4">
                  <c:v>Finance debt</c:v>
                </c:pt>
                <c:pt idx="5">
                  <c:v>Deferred tax liabilities</c:v>
                </c:pt>
                <c:pt idx="6">
                  <c:v>Provisions</c:v>
                </c:pt>
              </c:strCache>
            </c:strRef>
          </c:cat>
          <c:val>
            <c:numRef>
              <c:f>Sheet1!$M$73:$M$79</c:f>
              <c:numCache>
                <c:formatCode>General</c:formatCode>
                <c:ptCount val="7"/>
                <c:pt idx="0" formatCode="#,##0">
                  <c:v>7329</c:v>
                </c:pt>
                <c:pt idx="1">
                  <c:v>852</c:v>
                </c:pt>
                <c:pt idx="2" formatCode="#,##0">
                  <c:v>5404</c:v>
                </c:pt>
                <c:pt idx="3" formatCode="#,##0">
                  <c:v>12112</c:v>
                </c:pt>
                <c:pt idx="4" formatCode="#,##0">
                  <c:v>63305</c:v>
                </c:pt>
                <c:pt idx="5" formatCode="#,##0">
                  <c:v>6831</c:v>
                </c:pt>
                <c:pt idx="6" formatCode="#,##0">
                  <c:v>17200</c:v>
                </c:pt>
              </c:numCache>
            </c:numRef>
          </c:val>
          <c:extLst>
            <c:ext xmlns:c16="http://schemas.microsoft.com/office/drawing/2014/chart" uri="{C3380CC4-5D6E-409C-BE32-E72D297353CC}">
              <c16:uniqueId val="{0000000E-E758-4065-9314-BA98305B306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Equity</a:t>
            </a:r>
            <a:r>
              <a:rPr lang="en-US" baseline="0"/>
              <a:t> funding BP PLC</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Sheet1!$L$83</c:f>
              <c:strCache>
                <c:ptCount val="1"/>
                <c:pt idx="0">
                  <c:v>bp shareholders’ equity</c:v>
                </c:pt>
              </c:strCache>
            </c:strRef>
          </c:tx>
          <c:spPr>
            <a:solidFill>
              <a:schemeClr val="accent1"/>
            </a:solidFill>
            <a:ln>
              <a:noFill/>
            </a:ln>
            <a:effectLst/>
            <a:sp3d/>
          </c:spPr>
          <c:invertIfNegative val="0"/>
          <c:cat>
            <c:numRef>
              <c:f>Sheet1!$M$82:$N$82</c:f>
              <c:numCache>
                <c:formatCode>General</c:formatCode>
                <c:ptCount val="2"/>
                <c:pt idx="0">
                  <c:v>2020</c:v>
                </c:pt>
                <c:pt idx="1">
                  <c:v>2019</c:v>
                </c:pt>
              </c:numCache>
            </c:numRef>
          </c:cat>
          <c:val>
            <c:numRef>
              <c:f>Sheet1!$M$83:$N$83</c:f>
              <c:numCache>
                <c:formatCode>#,##0</c:formatCode>
                <c:ptCount val="2"/>
                <c:pt idx="0">
                  <c:v>71250</c:v>
                </c:pt>
                <c:pt idx="1">
                  <c:v>98412</c:v>
                </c:pt>
              </c:numCache>
            </c:numRef>
          </c:val>
          <c:extLst>
            <c:ext xmlns:c16="http://schemas.microsoft.com/office/drawing/2014/chart" uri="{C3380CC4-5D6E-409C-BE32-E72D297353CC}">
              <c16:uniqueId val="{00000000-7210-4AC3-B1A4-8F093D01038A}"/>
            </c:ext>
          </c:extLst>
        </c:ser>
        <c:ser>
          <c:idx val="1"/>
          <c:order val="1"/>
          <c:tx>
            <c:strRef>
              <c:f>Sheet1!$L$84</c:f>
              <c:strCache>
                <c:ptCount val="1"/>
                <c:pt idx="0">
                  <c:v>Non-controlling interests</c:v>
                </c:pt>
              </c:strCache>
            </c:strRef>
          </c:tx>
          <c:spPr>
            <a:solidFill>
              <a:schemeClr val="accent2"/>
            </a:solidFill>
            <a:ln>
              <a:noFill/>
            </a:ln>
            <a:effectLst/>
            <a:sp3d/>
          </c:spPr>
          <c:invertIfNegative val="0"/>
          <c:cat>
            <c:numRef>
              <c:f>Sheet1!$M$82:$N$82</c:f>
              <c:numCache>
                <c:formatCode>General</c:formatCode>
                <c:ptCount val="2"/>
                <c:pt idx="0">
                  <c:v>2020</c:v>
                </c:pt>
                <c:pt idx="1">
                  <c:v>2019</c:v>
                </c:pt>
              </c:numCache>
            </c:numRef>
          </c:cat>
          <c:val>
            <c:numRef>
              <c:f>Sheet1!$M$84:$N$84</c:f>
              <c:numCache>
                <c:formatCode>#,##0</c:formatCode>
                <c:ptCount val="2"/>
                <c:pt idx="0">
                  <c:v>14318</c:v>
                </c:pt>
                <c:pt idx="1">
                  <c:v>2296</c:v>
                </c:pt>
              </c:numCache>
            </c:numRef>
          </c:val>
          <c:extLst>
            <c:ext xmlns:c16="http://schemas.microsoft.com/office/drawing/2014/chart" uri="{C3380CC4-5D6E-409C-BE32-E72D297353CC}">
              <c16:uniqueId val="{00000001-7210-4AC3-B1A4-8F093D01038A}"/>
            </c:ext>
          </c:extLst>
        </c:ser>
        <c:dLbls>
          <c:showLegendKey val="0"/>
          <c:showVal val="0"/>
          <c:showCatName val="0"/>
          <c:showSerName val="0"/>
          <c:showPercent val="0"/>
          <c:showBubbleSize val="0"/>
        </c:dLbls>
        <c:gapWidth val="150"/>
        <c:shape val="box"/>
        <c:axId val="335657343"/>
        <c:axId val="387259983"/>
        <c:axId val="0"/>
      </c:bar3DChart>
      <c:catAx>
        <c:axId val="3356573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259983"/>
        <c:crosses val="autoZero"/>
        <c:auto val="1"/>
        <c:lblAlgn val="ctr"/>
        <c:lblOffset val="100"/>
        <c:noMultiLvlLbl val="0"/>
      </c:catAx>
      <c:valAx>
        <c:axId val="3872599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657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7045FC-AE32-489A-A509-B9B0C8E40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3524</Words>
  <Characters>20088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 Dimitrov (1917423)</cp:lastModifiedBy>
  <cp:revision>2</cp:revision>
  <dcterms:created xsi:type="dcterms:W3CDTF">2022-05-09T21:32:00Z</dcterms:created>
  <dcterms:modified xsi:type="dcterms:W3CDTF">2022-05-09T21:32:00Z</dcterms:modified>
</cp:coreProperties>
</file>