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C2132B" w:rsidR="00F8616F" w:rsidP="00C2132B" w:rsidRDefault="00F8616F" w14:paraId="4BE6CC82" w14:textId="649E49FD">
      <w:pPr>
        <w:spacing w:after="0" w:line="480" w:lineRule="auto"/>
        <w:contextualSpacing/>
        <w:rPr>
          <w:rFonts w:ascii="Arial" w:hAnsi="Arial" w:cs="Arial"/>
          <w:sz w:val="22"/>
          <w:szCs w:val="22"/>
        </w:rPr>
      </w:pPr>
    </w:p>
    <w:p w:rsidRPr="00C2132B" w:rsidR="00112F5B" w:rsidP="00C2132B" w:rsidRDefault="00112F5B" w14:paraId="0FAB9A30" w14:textId="77777777">
      <w:pPr>
        <w:spacing w:after="0" w:line="480" w:lineRule="auto"/>
        <w:contextualSpacing/>
        <w:rPr>
          <w:rFonts w:ascii="Arial" w:hAnsi="Arial" w:cs="Arial"/>
          <w:sz w:val="22"/>
          <w:szCs w:val="22"/>
        </w:rPr>
      </w:pPr>
    </w:p>
    <w:p w:rsidRPr="00C2132B" w:rsidR="00112F5B" w:rsidP="00C2132B" w:rsidRDefault="00112F5B" w14:paraId="4A67A3E7" w14:textId="77777777">
      <w:pPr>
        <w:spacing w:after="0" w:line="480" w:lineRule="auto"/>
        <w:contextualSpacing/>
        <w:rPr>
          <w:rFonts w:ascii="Arial" w:hAnsi="Arial" w:cs="Arial"/>
          <w:sz w:val="22"/>
          <w:szCs w:val="22"/>
        </w:rPr>
      </w:pPr>
    </w:p>
    <w:p w:rsidRPr="00C2132B" w:rsidR="00112F5B" w:rsidP="00C2132B" w:rsidRDefault="00112F5B" w14:paraId="159F596F" w14:textId="77777777">
      <w:pPr>
        <w:spacing w:after="0" w:line="480" w:lineRule="auto"/>
        <w:contextualSpacing/>
        <w:rPr>
          <w:rFonts w:ascii="Arial" w:hAnsi="Arial" w:cs="Arial"/>
          <w:sz w:val="22"/>
          <w:szCs w:val="22"/>
        </w:rPr>
      </w:pPr>
    </w:p>
    <w:p w:rsidRPr="00C2132B" w:rsidR="00112F5B" w:rsidP="00C2132B" w:rsidRDefault="00112F5B" w14:paraId="542C78B0" w14:textId="77777777">
      <w:pPr>
        <w:spacing w:after="0" w:line="480" w:lineRule="auto"/>
        <w:contextualSpacing/>
        <w:rPr>
          <w:rFonts w:ascii="Arial" w:hAnsi="Arial" w:cs="Arial"/>
          <w:sz w:val="22"/>
          <w:szCs w:val="22"/>
        </w:rPr>
      </w:pPr>
    </w:p>
    <w:p w:rsidRPr="00C2132B" w:rsidR="00112F5B" w:rsidP="00C2132B" w:rsidRDefault="00C2132B" w14:paraId="40BB55F0" w14:textId="2448DE1F">
      <w:pPr>
        <w:spacing w:after="0" w:line="480" w:lineRule="auto"/>
        <w:contextualSpacing/>
        <w:jc w:val="center"/>
        <w:rPr>
          <w:rFonts w:ascii="Arial" w:hAnsi="Arial" w:cs="Arial"/>
          <w:sz w:val="22"/>
          <w:szCs w:val="22"/>
        </w:rPr>
      </w:pPr>
      <w:r w:rsidRPr="00C2132B">
        <w:rPr>
          <w:rFonts w:ascii="Arial" w:hAnsi="Arial" w:cs="Arial"/>
          <w:b/>
          <w:bCs/>
          <w:sz w:val="22"/>
          <w:szCs w:val="22"/>
        </w:rPr>
        <w:t>Report on Managing Business Transformation, Digital Technology Trends, and Flexible Working Arrangements at Unilever</w:t>
      </w:r>
    </w:p>
    <w:p w:rsidRPr="00C2132B" w:rsidR="00112F5B" w:rsidP="00C2132B" w:rsidRDefault="00112F5B" w14:paraId="43FD46DD" w14:textId="77777777">
      <w:pPr>
        <w:spacing w:after="0" w:line="480" w:lineRule="auto"/>
        <w:contextualSpacing/>
        <w:rPr>
          <w:rFonts w:ascii="Arial" w:hAnsi="Arial" w:cs="Arial"/>
          <w:sz w:val="22"/>
          <w:szCs w:val="22"/>
        </w:rPr>
      </w:pPr>
    </w:p>
    <w:p w:rsidRPr="00C2132B" w:rsidR="00C2132B" w:rsidP="00C2132B" w:rsidRDefault="00C2132B" w14:paraId="73A75085" w14:textId="77777777">
      <w:pPr>
        <w:spacing w:after="0" w:line="480" w:lineRule="auto"/>
        <w:contextualSpacing/>
        <w:jc w:val="center"/>
        <w:rPr>
          <w:rFonts w:ascii="Arial" w:hAnsi="Arial" w:cs="Arial"/>
          <w:sz w:val="22"/>
          <w:szCs w:val="22"/>
        </w:rPr>
      </w:pPr>
    </w:p>
    <w:p w:rsidRPr="00C2132B" w:rsidR="00C2132B" w:rsidP="00C2132B" w:rsidRDefault="00C2132B" w14:paraId="5DADE7ED" w14:textId="77777777">
      <w:pPr>
        <w:spacing w:after="0" w:line="480" w:lineRule="auto"/>
        <w:contextualSpacing/>
        <w:jc w:val="center"/>
        <w:rPr>
          <w:rFonts w:ascii="Arial" w:hAnsi="Arial" w:cs="Arial"/>
          <w:sz w:val="22"/>
          <w:szCs w:val="22"/>
        </w:rPr>
      </w:pPr>
    </w:p>
    <w:p w:rsidRPr="00C2132B" w:rsidR="00112F5B" w:rsidP="66303964" w:rsidRDefault="00112F5B" w14:paraId="68B3CD8D" w14:textId="40BAF70D">
      <w:pPr>
        <w:spacing w:after="0" w:line="480" w:lineRule="auto"/>
        <w:contextualSpacing w:val="1"/>
        <w:jc w:val="center"/>
        <w:rPr>
          <w:rFonts w:ascii="Arial" w:hAnsi="Arial" w:cs="Arial"/>
          <w:sz w:val="22"/>
          <w:szCs w:val="22"/>
        </w:rPr>
      </w:pPr>
      <w:r w:rsidRPr="66303964" w:rsidR="00112F5B">
        <w:rPr>
          <w:rFonts w:ascii="Arial" w:hAnsi="Arial" w:cs="Arial"/>
          <w:sz w:val="22"/>
          <w:szCs w:val="22"/>
        </w:rPr>
        <w:t>Student Name</w:t>
      </w:r>
      <w:r w:rsidRPr="66303964" w:rsidR="18B14734">
        <w:rPr>
          <w:rFonts w:ascii="Arial" w:hAnsi="Arial" w:cs="Arial"/>
          <w:sz w:val="22"/>
          <w:szCs w:val="22"/>
        </w:rPr>
        <w:t>: Zayn Hussain</w:t>
      </w:r>
    </w:p>
    <w:p w:rsidRPr="00C2132B" w:rsidR="00112F5B" w:rsidP="66303964" w:rsidRDefault="00112F5B" w14:paraId="07A0877A" w14:textId="1C71818D">
      <w:pPr>
        <w:spacing w:after="0" w:line="480" w:lineRule="auto"/>
        <w:contextualSpacing w:val="1"/>
        <w:jc w:val="center"/>
        <w:rPr>
          <w:rFonts w:ascii="Arial" w:hAnsi="Arial" w:cs="Arial"/>
          <w:sz w:val="22"/>
          <w:szCs w:val="22"/>
        </w:rPr>
      </w:pPr>
      <w:r w:rsidRPr="66303964" w:rsidR="00112F5B">
        <w:rPr>
          <w:rFonts w:ascii="Arial" w:hAnsi="Arial" w:cs="Arial"/>
          <w:sz w:val="22"/>
          <w:szCs w:val="22"/>
        </w:rPr>
        <w:t>Student ID</w:t>
      </w:r>
      <w:r w:rsidRPr="66303964" w:rsidR="5E07B5B9">
        <w:rPr>
          <w:rFonts w:ascii="Arial" w:hAnsi="Arial" w:cs="Arial"/>
          <w:sz w:val="22"/>
          <w:szCs w:val="22"/>
        </w:rPr>
        <w:t>:</w:t>
      </w:r>
      <w:r w:rsidRPr="66303964" w:rsidR="37848C6A">
        <w:rPr>
          <w:rFonts w:ascii="Arial" w:hAnsi="Arial" w:cs="Arial"/>
          <w:sz w:val="22"/>
          <w:szCs w:val="22"/>
        </w:rPr>
        <w:t xml:space="preserve"> 2407010</w:t>
      </w:r>
    </w:p>
    <w:p w:rsidRPr="00C2132B" w:rsidR="00112F5B" w:rsidP="66303964" w:rsidRDefault="00112F5B" w14:paraId="3E23F6D1" w14:textId="7890BA8F">
      <w:pPr>
        <w:spacing w:after="0" w:line="480" w:lineRule="auto"/>
        <w:contextualSpacing w:val="1"/>
        <w:jc w:val="center"/>
        <w:rPr>
          <w:rFonts w:ascii="Arial" w:hAnsi="Arial" w:cs="Arial"/>
          <w:sz w:val="22"/>
          <w:szCs w:val="22"/>
        </w:rPr>
      </w:pPr>
      <w:r w:rsidRPr="66303964" w:rsidR="00112F5B">
        <w:rPr>
          <w:rFonts w:ascii="Arial" w:hAnsi="Arial" w:cs="Arial"/>
          <w:sz w:val="22"/>
          <w:szCs w:val="22"/>
        </w:rPr>
        <w:t>Lecturer’s Name</w:t>
      </w:r>
      <w:r w:rsidRPr="66303964" w:rsidR="31ACECA8">
        <w:rPr>
          <w:rFonts w:ascii="Arial" w:hAnsi="Arial" w:cs="Arial"/>
          <w:sz w:val="22"/>
          <w:szCs w:val="22"/>
        </w:rPr>
        <w:t>:</w:t>
      </w:r>
      <w:r w:rsidRPr="66303964" w:rsidR="77AD2D08">
        <w:rPr>
          <w:rFonts w:ascii="Arial" w:hAnsi="Arial" w:cs="Arial"/>
          <w:sz w:val="22"/>
          <w:szCs w:val="22"/>
        </w:rPr>
        <w:t xml:space="preserve"> Doreen Amundam</w:t>
      </w:r>
    </w:p>
    <w:p w:rsidRPr="00C2132B" w:rsidR="00112F5B" w:rsidP="00C2132B" w:rsidRDefault="00112F5B" w14:paraId="66E8CBE9" w14:textId="2582C692">
      <w:pPr>
        <w:spacing w:after="0" w:line="480" w:lineRule="auto"/>
        <w:contextualSpacing/>
        <w:jc w:val="center"/>
        <w:rPr>
          <w:rFonts w:ascii="Arial" w:hAnsi="Arial" w:cs="Arial"/>
          <w:sz w:val="22"/>
          <w:szCs w:val="22"/>
        </w:rPr>
      </w:pPr>
    </w:p>
    <w:p w:rsidRPr="00C2132B" w:rsidR="00F41B80" w:rsidP="00C2132B" w:rsidRDefault="00112F5B" w14:paraId="6F199B16" w14:textId="791C4568">
      <w:pPr>
        <w:spacing w:after="0" w:line="480" w:lineRule="auto"/>
        <w:contextualSpacing/>
        <w:jc w:val="center"/>
        <w:rPr>
          <w:rFonts w:ascii="Arial" w:hAnsi="Arial" w:cs="Arial"/>
          <w:b/>
          <w:bCs/>
          <w:sz w:val="22"/>
          <w:szCs w:val="22"/>
        </w:rPr>
      </w:pPr>
      <w:r w:rsidRPr="00C2132B">
        <w:rPr>
          <w:rFonts w:ascii="Arial" w:hAnsi="Arial" w:cs="Arial"/>
          <w:sz w:val="22"/>
          <w:szCs w:val="22"/>
        </w:rPr>
        <w:br w:type="page"/>
      </w:r>
      <w:r w:rsidRPr="00C2132B" w:rsidR="00F41B80">
        <w:rPr>
          <w:rFonts w:ascii="Arial" w:hAnsi="Arial" w:cs="Arial"/>
          <w:b/>
          <w:bCs/>
          <w:sz w:val="22"/>
          <w:szCs w:val="22"/>
        </w:rPr>
        <w:lastRenderedPageBreak/>
        <w:t>Report on Managing Business Transformation, Digital Technology Trends, and Flexible Working Arrangements at Unilever</w:t>
      </w:r>
    </w:p>
    <w:p w:rsidRPr="00C2132B" w:rsidR="00635954" w:rsidP="00C2132B" w:rsidRDefault="00635954" w14:paraId="2F4545B9" w14:textId="2B1328D4">
      <w:pPr>
        <w:spacing w:after="0" w:line="480" w:lineRule="auto"/>
        <w:contextualSpacing/>
        <w:jc w:val="center"/>
        <w:rPr>
          <w:rFonts w:ascii="Arial" w:hAnsi="Arial" w:cs="Arial"/>
          <w:b/>
          <w:bCs/>
          <w:sz w:val="22"/>
          <w:szCs w:val="22"/>
        </w:rPr>
      </w:pPr>
      <w:r w:rsidRPr="00C2132B">
        <w:rPr>
          <w:rFonts w:ascii="Arial" w:hAnsi="Arial" w:cs="Arial"/>
          <w:b/>
          <w:bCs/>
          <w:sz w:val="22"/>
          <w:szCs w:val="22"/>
        </w:rPr>
        <w:t>Introduction</w:t>
      </w:r>
    </w:p>
    <w:p w:rsidRPr="00C2132B" w:rsidR="00635954" w:rsidP="00C2132B" w:rsidRDefault="00635954" w14:paraId="3BCCA834" w14:textId="41C3E61D">
      <w:pPr>
        <w:spacing w:after="0" w:line="480" w:lineRule="auto"/>
        <w:ind w:firstLine="720"/>
        <w:contextualSpacing/>
        <w:jc w:val="both"/>
        <w:rPr>
          <w:rFonts w:ascii="Arial" w:hAnsi="Arial" w:cs="Arial"/>
          <w:sz w:val="22"/>
          <w:szCs w:val="22"/>
        </w:rPr>
      </w:pPr>
      <w:r w:rsidRPr="00C2132B">
        <w:rPr>
          <w:rFonts w:ascii="Arial" w:hAnsi="Arial" w:cs="Arial"/>
          <w:sz w:val="22"/>
          <w:szCs w:val="22"/>
        </w:rPr>
        <w:t>Being a new employee in the Human Resources department of Unilever, London, it has become apparent that the organisation experiences critical challenges due to the swift business change, digitalisation and a flexible workplace. These aspects have provoked the growth of the number of complaints made by employees, which are evidence of communication, adaptation, and engagement problems. The current remodelling process in Unilever is to maintain its competitiveness but it has generated anxiety and resistance among employees. This report examines the organisational aspects that are specific to these challenges, the new HR practices that should be used to address the challenges, and the role of departmental managers in ensuring effective and urgent implementation to retain a positive and high-performance culture</w:t>
      </w:r>
      <w:r w:rsidRPr="00C2132B" w:rsidR="00FD254D">
        <w:rPr>
          <w:rFonts w:ascii="Arial" w:hAnsi="Arial" w:cs="Arial"/>
          <w:sz w:val="22"/>
          <w:szCs w:val="22"/>
        </w:rPr>
        <w:t>.</w:t>
      </w:r>
    </w:p>
    <w:p w:rsidRPr="00C2132B" w:rsidR="00635954" w:rsidP="00C2132B" w:rsidRDefault="00FD254D" w14:paraId="26AB008A" w14:textId="598C9824">
      <w:pPr>
        <w:spacing w:after="0" w:line="480" w:lineRule="auto"/>
        <w:contextualSpacing/>
        <w:jc w:val="center"/>
        <w:rPr>
          <w:rFonts w:ascii="Arial" w:hAnsi="Arial" w:cs="Arial"/>
          <w:b/>
          <w:bCs/>
          <w:sz w:val="22"/>
          <w:szCs w:val="22"/>
        </w:rPr>
      </w:pPr>
      <w:r w:rsidRPr="00C2132B">
        <w:rPr>
          <w:rFonts w:ascii="Arial" w:hAnsi="Arial" w:cs="Arial"/>
          <w:b/>
          <w:bCs/>
          <w:sz w:val="22"/>
          <w:szCs w:val="22"/>
        </w:rPr>
        <w:t>Factors Related to Business Transformation, Digital Technology Trends, and Flexible Working Arrangements</w:t>
      </w:r>
    </w:p>
    <w:p w:rsidRPr="00C2132B" w:rsidR="00635954" w:rsidP="00C2132B" w:rsidRDefault="00635954" w14:paraId="09408102" w14:textId="0B084853">
      <w:pPr>
        <w:spacing w:after="0" w:line="480" w:lineRule="auto"/>
        <w:ind w:firstLine="720"/>
        <w:contextualSpacing/>
        <w:jc w:val="both"/>
        <w:rPr>
          <w:rFonts w:ascii="Arial" w:hAnsi="Arial" w:cs="Arial"/>
          <w:sz w:val="22"/>
          <w:szCs w:val="22"/>
        </w:rPr>
      </w:pPr>
      <w:r w:rsidRPr="00C2132B">
        <w:rPr>
          <w:rFonts w:ascii="Arial" w:hAnsi="Arial" w:cs="Arial"/>
          <w:sz w:val="22"/>
          <w:szCs w:val="22"/>
        </w:rPr>
        <w:t>Unilever, a world leader in consumer goods, is still going through a significant change in order to fit the market volatility and sustainability objectives. The Unilever Compass programme strategy of the company is based on agility, innovation, and streamlining of structures. Nevertheless, this change has led to confusion among employees because of restructuring and changing job descriptions and higher performance standards (Drekovica</w:t>
      </w:r>
      <w:r w:rsidRPr="00C2132B" w:rsidR="00FD254D">
        <w:rPr>
          <w:rFonts w:ascii="Arial" w:hAnsi="Arial" w:cs="Arial"/>
          <w:sz w:val="22"/>
          <w:szCs w:val="22"/>
        </w:rPr>
        <w:t xml:space="preserve"> et al., </w:t>
      </w:r>
      <w:r w:rsidRPr="00C2132B">
        <w:rPr>
          <w:rFonts w:ascii="Arial" w:hAnsi="Arial" w:cs="Arial"/>
          <w:sz w:val="22"/>
          <w:szCs w:val="22"/>
        </w:rPr>
        <w:t>202</w:t>
      </w:r>
      <w:r w:rsidRPr="00C2132B" w:rsidR="00941CBA">
        <w:rPr>
          <w:rFonts w:ascii="Arial" w:hAnsi="Arial" w:cs="Arial"/>
          <w:sz w:val="22"/>
          <w:szCs w:val="22"/>
        </w:rPr>
        <w:t>3</w:t>
      </w:r>
      <w:r w:rsidRPr="00C2132B">
        <w:rPr>
          <w:rFonts w:ascii="Arial" w:hAnsi="Arial" w:cs="Arial"/>
          <w:sz w:val="22"/>
          <w:szCs w:val="22"/>
        </w:rPr>
        <w:t>).</w:t>
      </w:r>
    </w:p>
    <w:p w:rsidRPr="00C2132B" w:rsidR="00635954" w:rsidP="00C2132B" w:rsidRDefault="00635954" w14:paraId="7E14AC8B" w14:textId="77777777">
      <w:pPr>
        <w:spacing w:after="0" w:line="480" w:lineRule="auto"/>
        <w:contextualSpacing/>
        <w:rPr>
          <w:rFonts w:ascii="Arial" w:hAnsi="Arial" w:cs="Arial"/>
          <w:b/>
          <w:bCs/>
          <w:i/>
          <w:iCs/>
          <w:sz w:val="22"/>
          <w:szCs w:val="22"/>
        </w:rPr>
      </w:pPr>
      <w:r w:rsidRPr="00C2132B">
        <w:rPr>
          <w:rFonts w:ascii="Arial" w:hAnsi="Arial" w:cs="Arial"/>
          <w:b/>
          <w:bCs/>
          <w:i/>
          <w:iCs/>
          <w:sz w:val="22"/>
          <w:szCs w:val="22"/>
        </w:rPr>
        <w:t>Business Transformation Factors</w:t>
      </w:r>
    </w:p>
    <w:p w:rsidRPr="00C2132B" w:rsidR="00635954" w:rsidP="00C2132B" w:rsidRDefault="00635954" w14:paraId="7A2C489A" w14:textId="635B33D5">
      <w:pPr>
        <w:pStyle w:val="NormalWeb"/>
        <w:spacing w:before="0" w:beforeAutospacing="0" w:after="0" w:afterAutospacing="0" w:line="480" w:lineRule="auto"/>
        <w:ind w:firstLine="720"/>
        <w:contextualSpacing/>
        <w:jc w:val="both"/>
        <w:rPr>
          <w:rFonts w:ascii="Arial" w:hAnsi="Arial" w:cs="Arial"/>
          <w:sz w:val="22"/>
          <w:szCs w:val="22"/>
        </w:rPr>
      </w:pPr>
      <w:r w:rsidRPr="00C2132B">
        <w:rPr>
          <w:rFonts w:ascii="Arial" w:hAnsi="Arial" w:cs="Arial"/>
          <w:sz w:val="22"/>
          <w:szCs w:val="22"/>
        </w:rPr>
        <w:t>The changes in Unilever involve rationali</w:t>
      </w:r>
      <w:r w:rsidRPr="00C2132B" w:rsidR="003E2E7D">
        <w:rPr>
          <w:rFonts w:ascii="Arial" w:hAnsi="Arial" w:cs="Arial"/>
          <w:sz w:val="22"/>
          <w:szCs w:val="22"/>
        </w:rPr>
        <w:t>s</w:t>
      </w:r>
      <w:r w:rsidRPr="00C2132B">
        <w:rPr>
          <w:rFonts w:ascii="Arial" w:hAnsi="Arial" w:cs="Arial"/>
          <w:sz w:val="22"/>
          <w:szCs w:val="22"/>
        </w:rPr>
        <w:t>ation of operations, integration of functions, and the purpose-based leadership models. Although these initiatives have been aimed at enhancing competitiveness, they have also brought about stress, role ambiguity and job insecurity. The lack of communication regarding the reasons behind change and its advantages is also frequently reported by the employees, leading to the lack of morale and opposition (Kirine</w:t>
      </w:r>
      <w:r w:rsidRPr="00C2132B" w:rsidR="007669D1">
        <w:rPr>
          <w:rFonts w:ascii="Arial" w:hAnsi="Arial" w:cs="Arial"/>
          <w:sz w:val="22"/>
          <w:szCs w:val="22"/>
        </w:rPr>
        <w:t xml:space="preserve"> et al., </w:t>
      </w:r>
      <w:r w:rsidRPr="00C2132B">
        <w:rPr>
          <w:rFonts w:ascii="Arial" w:hAnsi="Arial" w:cs="Arial"/>
          <w:sz w:val="22"/>
          <w:szCs w:val="22"/>
        </w:rPr>
        <w:t>2023</w:t>
      </w:r>
      <w:r w:rsidRPr="00C2132B" w:rsidR="007669D1">
        <w:rPr>
          <w:rFonts w:ascii="Arial" w:hAnsi="Arial" w:cs="Arial"/>
          <w:sz w:val="22"/>
          <w:szCs w:val="22"/>
        </w:rPr>
        <w:t xml:space="preserve">, </w:t>
      </w:r>
      <w:r w:rsidRPr="00C2132B" w:rsidR="007669D1">
        <w:rPr>
          <w:rFonts w:ascii="Arial" w:hAnsi="Arial" w:cs="Arial"/>
          <w:sz w:val="22"/>
          <w:szCs w:val="22"/>
        </w:rPr>
        <w:t>pp.154-165</w:t>
      </w:r>
      <w:r w:rsidRPr="00C2132B">
        <w:rPr>
          <w:rFonts w:ascii="Arial" w:hAnsi="Arial" w:cs="Arial"/>
          <w:sz w:val="22"/>
          <w:szCs w:val="22"/>
        </w:rPr>
        <w:t xml:space="preserve">). Fatigue regarding change has also become the order of the day; workers are </w:t>
      </w:r>
      <w:r w:rsidRPr="00C2132B">
        <w:rPr>
          <w:rFonts w:ascii="Arial" w:hAnsi="Arial" w:cs="Arial"/>
          <w:sz w:val="22"/>
          <w:szCs w:val="22"/>
        </w:rPr>
        <w:lastRenderedPageBreak/>
        <w:t>exposed to several transformation waves within a short duration of time. Wahdaniah</w:t>
      </w:r>
      <w:r w:rsidRPr="00C2132B" w:rsidR="0074514A">
        <w:rPr>
          <w:rFonts w:ascii="Arial" w:hAnsi="Arial" w:cs="Arial"/>
          <w:sz w:val="22"/>
          <w:szCs w:val="22"/>
        </w:rPr>
        <w:t xml:space="preserve"> et al. (</w:t>
      </w:r>
      <w:r w:rsidRPr="00C2132B">
        <w:rPr>
          <w:rFonts w:ascii="Arial" w:hAnsi="Arial" w:cs="Arial"/>
          <w:sz w:val="22"/>
          <w:szCs w:val="22"/>
        </w:rPr>
        <w:t>2023</w:t>
      </w:r>
      <w:r w:rsidRPr="00C2132B" w:rsidR="0074514A">
        <w:rPr>
          <w:rFonts w:ascii="Arial" w:hAnsi="Arial" w:cs="Arial"/>
          <w:sz w:val="22"/>
          <w:szCs w:val="22"/>
        </w:rPr>
        <w:t>)</w:t>
      </w:r>
      <w:r w:rsidRPr="00C2132B">
        <w:rPr>
          <w:rFonts w:ascii="Arial" w:hAnsi="Arial" w:cs="Arial"/>
          <w:sz w:val="22"/>
          <w:szCs w:val="22"/>
        </w:rPr>
        <w:t xml:space="preserve"> state that when organisations switch to digital transformation, emotional preparedness is usually neglected, and disengagement and more grievances occur. Diversity in the workforce at Unilever only complicates the situation because cultural and generational variations interfere with the reaction to the change initiatives.</w:t>
      </w:r>
    </w:p>
    <w:p w:rsidRPr="00C2132B" w:rsidR="00635954" w:rsidP="00C2132B" w:rsidRDefault="00635954" w14:paraId="290F442C" w14:textId="77777777">
      <w:pPr>
        <w:spacing w:after="0" w:line="480" w:lineRule="auto"/>
        <w:contextualSpacing/>
        <w:rPr>
          <w:rFonts w:ascii="Arial" w:hAnsi="Arial" w:cs="Arial"/>
          <w:b/>
          <w:bCs/>
          <w:i/>
          <w:iCs/>
          <w:sz w:val="22"/>
          <w:szCs w:val="22"/>
        </w:rPr>
      </w:pPr>
      <w:r w:rsidRPr="00C2132B">
        <w:rPr>
          <w:rFonts w:ascii="Arial" w:hAnsi="Arial" w:cs="Arial"/>
          <w:b/>
          <w:bCs/>
          <w:i/>
          <w:iCs/>
          <w:sz w:val="22"/>
          <w:szCs w:val="22"/>
        </w:rPr>
        <w:t>Digital Technology Trends</w:t>
      </w:r>
    </w:p>
    <w:p w:rsidRPr="00C2132B" w:rsidR="00635954" w:rsidP="00C2132B" w:rsidRDefault="00635954" w14:paraId="49B71AF5" w14:textId="1381B6F1">
      <w:pPr>
        <w:spacing w:after="0" w:line="480" w:lineRule="auto"/>
        <w:ind w:firstLine="720"/>
        <w:contextualSpacing/>
        <w:jc w:val="both"/>
        <w:rPr>
          <w:rFonts w:ascii="Arial" w:hAnsi="Arial" w:cs="Arial"/>
          <w:sz w:val="22"/>
          <w:szCs w:val="22"/>
        </w:rPr>
      </w:pPr>
      <w:r w:rsidRPr="00C2132B">
        <w:rPr>
          <w:rFonts w:ascii="Arial" w:hAnsi="Arial" w:cs="Arial"/>
          <w:sz w:val="22"/>
          <w:szCs w:val="22"/>
        </w:rPr>
        <w:t>The development of artificial intelligence (AI), automation, and data analysis has entirely changed the way Unilever conducts its HR operations and has impacted all spheres including recruitment, onboarding, training, and performance management. The cutting-edge technologies, such as SAP SuccessFactors and recruitment systems using AI, can be used to conduct predictive talent analytics so that the HR may recognize the skill gaps, predict turnover, and facilitate evidence-based decision-making (Chaudhary and Srivastava, 2021). Nonetheless, this technological change is also a challenge. Lots of employees are nervous or unprepared to work with complicated systems, which is why it is necessary to implement constant digital upskilling programs. Digital disparity in the highly skilled and less technically proficient personnel can lead to productivity and opportunity inequality. Moreover, the ethical and legal issues regarding AI fairness, algorithm prejudice, and information privacy have gained more and more relevance (</w:t>
      </w:r>
      <w:r w:rsidRPr="00C2132B" w:rsidR="004144B2">
        <w:rPr>
          <w:rFonts w:ascii="Arial" w:hAnsi="Arial" w:cs="Arial"/>
          <w:sz w:val="22"/>
          <w:szCs w:val="22"/>
        </w:rPr>
        <w:t>Tessema</w:t>
      </w:r>
      <w:r w:rsidRPr="00C2132B" w:rsidR="004144B2">
        <w:rPr>
          <w:rFonts w:ascii="Arial" w:hAnsi="Arial" w:cs="Arial"/>
          <w:sz w:val="22"/>
          <w:szCs w:val="22"/>
        </w:rPr>
        <w:t xml:space="preserve"> et al., </w:t>
      </w:r>
      <w:r w:rsidRPr="00C2132B" w:rsidR="004144B2">
        <w:rPr>
          <w:rFonts w:ascii="Arial" w:hAnsi="Arial" w:cs="Arial"/>
          <w:sz w:val="22"/>
          <w:szCs w:val="22"/>
        </w:rPr>
        <w:t>2025</w:t>
      </w:r>
      <w:r w:rsidRPr="00C2132B" w:rsidR="004144B2">
        <w:rPr>
          <w:rFonts w:ascii="Arial" w:hAnsi="Arial" w:cs="Arial"/>
          <w:sz w:val="22"/>
          <w:szCs w:val="22"/>
        </w:rPr>
        <w:t xml:space="preserve">, </w:t>
      </w:r>
      <w:r w:rsidRPr="00C2132B" w:rsidR="004144B2">
        <w:rPr>
          <w:rFonts w:ascii="Arial" w:hAnsi="Arial" w:cs="Arial"/>
          <w:sz w:val="22"/>
          <w:szCs w:val="22"/>
        </w:rPr>
        <w:t>p.134.</w:t>
      </w:r>
      <w:r w:rsidRPr="00C2132B">
        <w:rPr>
          <w:rFonts w:ascii="Arial" w:hAnsi="Arial" w:cs="Arial"/>
          <w:sz w:val="22"/>
          <w:szCs w:val="22"/>
        </w:rPr>
        <w:t>). Unless there is a robust governance and transparency in implementing HR analytics and automation tools, they may threaten to destroy the trust of employees and instead of enhancing inclusivity, they support inequality (</w:t>
      </w:r>
      <w:r w:rsidRPr="00C2132B" w:rsidR="00F212D2">
        <w:rPr>
          <w:rFonts w:ascii="Arial" w:hAnsi="Arial" w:cs="Arial"/>
          <w:sz w:val="22"/>
          <w:szCs w:val="22"/>
        </w:rPr>
        <w:t>Xin</w:t>
      </w:r>
      <w:r w:rsidRPr="00C2132B" w:rsidR="00F212D2">
        <w:rPr>
          <w:rFonts w:ascii="Arial" w:hAnsi="Arial" w:cs="Arial"/>
          <w:sz w:val="22"/>
          <w:szCs w:val="22"/>
        </w:rPr>
        <w:t xml:space="preserve"> </w:t>
      </w:r>
      <w:r w:rsidRPr="00C2132B" w:rsidR="00F212D2">
        <w:rPr>
          <w:rFonts w:ascii="Arial" w:hAnsi="Arial" w:cs="Arial"/>
          <w:sz w:val="22"/>
          <w:szCs w:val="22"/>
        </w:rPr>
        <w:t>and Mahadi, 2024</w:t>
      </w:r>
      <w:r w:rsidRPr="00C2132B">
        <w:rPr>
          <w:rFonts w:ascii="Arial" w:hAnsi="Arial" w:cs="Arial"/>
          <w:sz w:val="22"/>
          <w:szCs w:val="22"/>
        </w:rPr>
        <w:t>).</w:t>
      </w:r>
    </w:p>
    <w:p w:rsidRPr="00C2132B" w:rsidR="00635954" w:rsidP="00C2132B" w:rsidRDefault="00635954" w14:paraId="10921414" w14:textId="2CB034AC">
      <w:pPr>
        <w:spacing w:after="0" w:line="480" w:lineRule="auto"/>
        <w:contextualSpacing/>
        <w:rPr>
          <w:rFonts w:ascii="Arial" w:hAnsi="Arial" w:cs="Arial"/>
          <w:b/>
          <w:bCs/>
          <w:i/>
          <w:iCs/>
          <w:sz w:val="22"/>
          <w:szCs w:val="22"/>
        </w:rPr>
      </w:pPr>
      <w:r w:rsidRPr="00C2132B">
        <w:rPr>
          <w:rFonts w:ascii="Arial" w:hAnsi="Arial" w:cs="Arial"/>
          <w:b/>
          <w:bCs/>
          <w:i/>
          <w:iCs/>
          <w:sz w:val="22"/>
          <w:szCs w:val="22"/>
        </w:rPr>
        <w:t>Flexible Working Arrangements</w:t>
      </w:r>
    </w:p>
    <w:p w:rsidRPr="00C2132B" w:rsidR="00C2132B" w:rsidP="00C2132B" w:rsidRDefault="00635954" w14:paraId="2CB52F53" w14:textId="0A44A6E0">
      <w:pPr>
        <w:spacing w:after="0" w:line="480" w:lineRule="auto"/>
        <w:ind w:firstLine="720"/>
        <w:contextualSpacing/>
        <w:jc w:val="both"/>
        <w:rPr>
          <w:rFonts w:ascii="Arial" w:hAnsi="Arial" w:cs="Arial"/>
          <w:sz w:val="22"/>
          <w:szCs w:val="22"/>
        </w:rPr>
      </w:pPr>
      <w:r w:rsidRPr="00C2132B">
        <w:rPr>
          <w:rFonts w:ascii="Arial" w:hAnsi="Arial" w:cs="Arial"/>
          <w:sz w:val="22"/>
          <w:szCs w:val="22"/>
        </w:rPr>
        <w:t>Unilever has also increased its hybrid and remote working systems with the U-Work system after the pandemic, which enables flexibility and employment on a project basis. Although this contributes to inclusivity and work-life balance, it has led to problems of inconsistency in communication and perceived unfairness between remote employees and on-site employees (de Souza Santos et al., 2024</w:t>
      </w:r>
      <w:r w:rsidRPr="00C2132B" w:rsidR="00645D37">
        <w:rPr>
          <w:rFonts w:ascii="Arial" w:hAnsi="Arial" w:cs="Arial"/>
          <w:sz w:val="22"/>
          <w:szCs w:val="22"/>
        </w:rPr>
        <w:t xml:space="preserve">, </w:t>
      </w:r>
      <w:r w:rsidRPr="00C2132B" w:rsidR="00645D37">
        <w:rPr>
          <w:rFonts w:ascii="Arial" w:hAnsi="Arial" w:cs="Arial"/>
          <w:sz w:val="22"/>
          <w:szCs w:val="22"/>
        </w:rPr>
        <w:t>pp. 68-78</w:t>
      </w:r>
      <w:r w:rsidRPr="00C2132B">
        <w:rPr>
          <w:rFonts w:ascii="Arial" w:hAnsi="Arial" w:cs="Arial"/>
          <w:sz w:val="22"/>
          <w:szCs w:val="22"/>
        </w:rPr>
        <w:t xml:space="preserve">). In virtual setting, managers find hard to track productivity, </w:t>
      </w:r>
      <w:r w:rsidRPr="00C2132B">
        <w:rPr>
          <w:rFonts w:ascii="Arial" w:hAnsi="Arial" w:cs="Arial"/>
          <w:sz w:val="22"/>
          <w:szCs w:val="22"/>
        </w:rPr>
        <w:lastRenderedPageBreak/>
        <w:t>cohesion and well</w:t>
      </w:r>
      <w:r w:rsidR="00C2132B">
        <w:rPr>
          <w:rFonts w:ascii="Arial" w:hAnsi="Arial" w:cs="Arial"/>
          <w:sz w:val="22"/>
          <w:szCs w:val="22"/>
        </w:rPr>
        <w:t>-</w:t>
      </w:r>
      <w:r w:rsidRPr="00C2132B">
        <w:rPr>
          <w:rFonts w:ascii="Arial" w:hAnsi="Arial" w:cs="Arial"/>
          <w:sz w:val="22"/>
          <w:szCs w:val="22"/>
        </w:rPr>
        <w:t>being of the employees. Moreover, the working flexibility of employees can make them feel like they are not part of the informal learning and promotional activities (Siddiqui</w:t>
      </w:r>
      <w:r w:rsidRPr="00C2132B" w:rsidR="00FA6FD9">
        <w:rPr>
          <w:rFonts w:ascii="Arial" w:hAnsi="Arial" w:cs="Arial"/>
          <w:sz w:val="22"/>
          <w:szCs w:val="22"/>
        </w:rPr>
        <w:t xml:space="preserve"> et al., </w:t>
      </w:r>
      <w:r w:rsidRPr="00C2132B">
        <w:rPr>
          <w:rFonts w:ascii="Arial" w:hAnsi="Arial" w:cs="Arial"/>
          <w:sz w:val="22"/>
          <w:szCs w:val="22"/>
        </w:rPr>
        <w:t>202</w:t>
      </w:r>
      <w:r w:rsidRPr="00C2132B" w:rsidR="00FA6FD9">
        <w:rPr>
          <w:rFonts w:ascii="Arial" w:hAnsi="Arial" w:cs="Arial"/>
          <w:sz w:val="22"/>
          <w:szCs w:val="22"/>
        </w:rPr>
        <w:t>4).</w:t>
      </w:r>
      <w:r w:rsidRPr="00C2132B">
        <w:rPr>
          <w:rFonts w:ascii="Arial" w:hAnsi="Arial" w:cs="Arial"/>
          <w:sz w:val="22"/>
          <w:szCs w:val="22"/>
        </w:rPr>
        <w:t>The study identifies the danger of poorly managed hybrid systems destroying organisational culture and raising turnover intentions</w:t>
      </w:r>
      <w:r w:rsidRPr="00C2132B" w:rsidR="00C2132B">
        <w:rPr>
          <w:rFonts w:ascii="Arial" w:hAnsi="Arial" w:cs="Arial"/>
          <w:sz w:val="22"/>
          <w:szCs w:val="22"/>
        </w:rPr>
        <w:t xml:space="preserve">. </w:t>
      </w:r>
    </w:p>
    <w:p w:rsidRPr="00C2132B" w:rsidR="00635954" w:rsidP="00C2132B" w:rsidRDefault="00635954" w14:paraId="29D81875" w14:textId="1EC869ED">
      <w:pPr>
        <w:spacing w:after="0" w:line="480" w:lineRule="auto"/>
        <w:ind w:firstLine="720"/>
        <w:contextualSpacing/>
        <w:jc w:val="both"/>
        <w:rPr>
          <w:rFonts w:ascii="Arial" w:hAnsi="Arial" w:cs="Arial"/>
          <w:sz w:val="22"/>
          <w:szCs w:val="22"/>
        </w:rPr>
      </w:pPr>
      <w:r w:rsidRPr="00C2132B">
        <w:rPr>
          <w:rFonts w:ascii="Arial" w:hAnsi="Arial" w:cs="Arial"/>
          <w:sz w:val="22"/>
          <w:szCs w:val="22"/>
        </w:rPr>
        <w:t>O</w:t>
      </w:r>
      <w:r w:rsidRPr="00C2132B" w:rsidR="007B5602">
        <w:rPr>
          <w:rFonts w:ascii="Arial" w:hAnsi="Arial" w:cs="Arial"/>
          <w:sz w:val="22"/>
          <w:szCs w:val="22"/>
        </w:rPr>
        <w:t>verall</w:t>
      </w:r>
      <w:r w:rsidRPr="00C2132B">
        <w:rPr>
          <w:rFonts w:ascii="Arial" w:hAnsi="Arial" w:cs="Arial"/>
          <w:sz w:val="22"/>
          <w:szCs w:val="22"/>
        </w:rPr>
        <w:t>, these considerations indicate that Unilever needs to work on its transformation and digitalisation processes, though they are strategically imperative, the organisation struggles with keeping the engagement levels high, providing equity, and ensuring a constant level of communication. These changing expectations of the workforce therefore need effective HR practices to consider them</w:t>
      </w:r>
      <w:r w:rsidRPr="00C2132B" w:rsidR="00C2132B">
        <w:rPr>
          <w:rFonts w:ascii="Arial" w:hAnsi="Arial" w:cs="Arial"/>
          <w:sz w:val="22"/>
          <w:szCs w:val="22"/>
        </w:rPr>
        <w:t>.</w:t>
      </w:r>
    </w:p>
    <w:p w:rsidRPr="00C2132B" w:rsidR="00635954" w:rsidP="00C2132B" w:rsidRDefault="00B21C1D" w14:paraId="1B4172DE" w14:textId="0B57D745">
      <w:pPr>
        <w:spacing w:after="0" w:line="480" w:lineRule="auto"/>
        <w:contextualSpacing/>
        <w:jc w:val="center"/>
        <w:rPr>
          <w:rFonts w:ascii="Arial" w:hAnsi="Arial" w:cs="Arial"/>
          <w:b/>
          <w:bCs/>
          <w:sz w:val="22"/>
          <w:szCs w:val="22"/>
        </w:rPr>
      </w:pPr>
      <w:r w:rsidRPr="00C2132B">
        <w:rPr>
          <w:rFonts w:ascii="Arial" w:hAnsi="Arial" w:cs="Arial"/>
          <w:b/>
          <w:bCs/>
          <w:sz w:val="22"/>
          <w:szCs w:val="22"/>
        </w:rPr>
        <w:t>Evaluation of Contemporary HR Practices to Address Each Factor</w:t>
      </w:r>
    </w:p>
    <w:p w:rsidRPr="00C2132B" w:rsidR="00B21C1D" w:rsidP="00C2132B" w:rsidRDefault="00B21C1D" w14:paraId="0D1101F7" w14:textId="77777777">
      <w:pPr>
        <w:spacing w:after="0" w:line="480" w:lineRule="auto"/>
        <w:contextualSpacing/>
        <w:rPr>
          <w:rFonts w:ascii="Arial" w:hAnsi="Arial" w:cs="Arial"/>
          <w:b/>
          <w:bCs/>
          <w:i/>
          <w:iCs/>
          <w:sz w:val="22"/>
          <w:szCs w:val="22"/>
        </w:rPr>
      </w:pPr>
      <w:r w:rsidRPr="00C2132B">
        <w:rPr>
          <w:rFonts w:ascii="Arial" w:hAnsi="Arial" w:cs="Arial"/>
          <w:b/>
          <w:bCs/>
          <w:i/>
          <w:iCs/>
          <w:sz w:val="22"/>
          <w:szCs w:val="22"/>
        </w:rPr>
        <w:t>Managing Business Transformation through Change Leadership and Communication</w:t>
      </w:r>
    </w:p>
    <w:p w:rsidRPr="00C2132B" w:rsidR="00635954" w:rsidP="00C2132B" w:rsidRDefault="00635954" w14:paraId="14D343C6" w14:textId="6B4B5399">
      <w:pPr>
        <w:spacing w:after="0" w:line="480" w:lineRule="auto"/>
        <w:ind w:firstLine="720"/>
        <w:contextualSpacing/>
        <w:jc w:val="both"/>
        <w:rPr>
          <w:rFonts w:ascii="Arial" w:hAnsi="Arial" w:cs="Arial"/>
          <w:sz w:val="22"/>
          <w:szCs w:val="22"/>
        </w:rPr>
      </w:pPr>
      <w:r w:rsidRPr="00C2132B">
        <w:rPr>
          <w:rFonts w:ascii="Arial" w:hAnsi="Arial" w:cs="Arial"/>
          <w:sz w:val="22"/>
          <w:szCs w:val="22"/>
        </w:rPr>
        <w:t>Modern HR techniques lay an active emphasis on empathetic-based participatory change management. Based on the models like the Eight Steps by Kotter, the change at Unilever can be driven by creating a sense of urgency and sustaining change by empowering employees (Kirine et al., 2023). Dual-way communication in an open and transparent manner (through the internal tool such as Yammer or Microsoft Teams) will make employees aware of the goal of change and allow them to give feedback. Frequent listening sessions and surveys to determine levels of engagement will allow HR to respond to pain points at the initiation stage (Wahdaniah et al., 2023). Moreover, Unilever can appoint change champions in different departments to facilitate clarity and decrease resistance, which would be consistent with transformational leadership styles that foster trust and involvement (Dreković et al., 202</w:t>
      </w:r>
      <w:r w:rsidRPr="00C2132B" w:rsidR="00B21C1D">
        <w:rPr>
          <w:rFonts w:ascii="Arial" w:hAnsi="Arial" w:cs="Arial"/>
          <w:sz w:val="22"/>
          <w:szCs w:val="22"/>
        </w:rPr>
        <w:t>3</w:t>
      </w:r>
      <w:r w:rsidRPr="00C2132B">
        <w:rPr>
          <w:rFonts w:ascii="Arial" w:hAnsi="Arial" w:cs="Arial"/>
          <w:sz w:val="22"/>
          <w:szCs w:val="22"/>
        </w:rPr>
        <w:t>).</w:t>
      </w:r>
    </w:p>
    <w:p w:rsidRPr="00C2132B" w:rsidR="00635954" w:rsidP="00C2132B" w:rsidRDefault="00635954" w14:paraId="07DBAD7E" w14:textId="77777777">
      <w:pPr>
        <w:spacing w:after="0" w:line="480" w:lineRule="auto"/>
        <w:contextualSpacing/>
        <w:rPr>
          <w:rFonts w:ascii="Arial" w:hAnsi="Arial" w:cs="Arial"/>
          <w:sz w:val="22"/>
          <w:szCs w:val="22"/>
        </w:rPr>
      </w:pPr>
    </w:p>
    <w:p w:rsidRPr="00C2132B" w:rsidR="00857D04" w:rsidP="00C2132B" w:rsidRDefault="00857D04" w14:paraId="1A389381" w14:textId="77777777">
      <w:pPr>
        <w:spacing w:after="0" w:line="480" w:lineRule="auto"/>
        <w:contextualSpacing/>
        <w:rPr>
          <w:rFonts w:ascii="Arial" w:hAnsi="Arial" w:cs="Arial"/>
          <w:b/>
          <w:bCs/>
          <w:i/>
          <w:iCs/>
          <w:sz w:val="22"/>
          <w:szCs w:val="22"/>
        </w:rPr>
      </w:pPr>
      <w:r w:rsidRPr="00C2132B">
        <w:rPr>
          <w:rFonts w:ascii="Arial" w:hAnsi="Arial" w:cs="Arial"/>
          <w:b/>
          <w:bCs/>
          <w:i/>
          <w:iCs/>
          <w:sz w:val="22"/>
          <w:szCs w:val="22"/>
        </w:rPr>
        <w:t>Leveraging Digital HR Practices and Continuous Learning</w:t>
      </w:r>
    </w:p>
    <w:p w:rsidRPr="00C2132B" w:rsidR="00635954" w:rsidP="00C2132B" w:rsidRDefault="00635954" w14:paraId="13DE538B" w14:textId="14B462FC">
      <w:pPr>
        <w:spacing w:after="0" w:line="480" w:lineRule="auto"/>
        <w:ind w:firstLine="720"/>
        <w:contextualSpacing/>
        <w:jc w:val="both"/>
        <w:rPr>
          <w:rFonts w:ascii="Arial" w:hAnsi="Arial" w:cs="Arial"/>
          <w:sz w:val="22"/>
          <w:szCs w:val="22"/>
        </w:rPr>
      </w:pPr>
      <w:r w:rsidRPr="00C2132B">
        <w:rPr>
          <w:rFonts w:ascii="Arial" w:hAnsi="Arial" w:cs="Arial"/>
          <w:sz w:val="22"/>
          <w:szCs w:val="22"/>
        </w:rPr>
        <w:t>Digital transformation of Unilever requires a strategic balance of addressing modern technologies and the culture of lifelong learning. With the introduction of digital HR solutions like SAP SuccessFactors and AI-based analytics tools, it becomes possible to automatise the day-to-</w:t>
      </w:r>
      <w:r w:rsidRPr="00C2132B">
        <w:rPr>
          <w:rFonts w:ascii="Arial" w:hAnsi="Arial" w:cs="Arial"/>
          <w:sz w:val="22"/>
          <w:szCs w:val="22"/>
        </w:rPr>
        <w:lastRenderedPageBreak/>
        <w:t>day administrative operations and thereby enable the HR practitioners to focus on strategic activities (such as talent management and organisational responsiveness) (Chaudhary and Srivastava, 2021). HR analytics will also allow the company to create actionable insights to predict employee turnover, future skills gaps, and human resource planning (</w:t>
      </w:r>
      <w:r w:rsidRPr="00C2132B" w:rsidR="00857D04">
        <w:rPr>
          <w:rFonts w:ascii="Arial" w:hAnsi="Arial" w:cs="Arial"/>
          <w:sz w:val="22"/>
          <w:szCs w:val="22"/>
        </w:rPr>
        <w:t>Xin and Mahadi, 2024).</w:t>
      </w:r>
      <w:r w:rsidRPr="00C2132B">
        <w:rPr>
          <w:rFonts w:ascii="Arial" w:hAnsi="Arial" w:cs="Arial"/>
          <w:sz w:val="22"/>
          <w:szCs w:val="22"/>
        </w:rPr>
        <w:t xml:space="preserve"> The success of such tools however requires high levels of digital literacy. Thus, these technologies should be supported by in-depth digital training and upskilling programmes that will guarantee that every employee is able to operate with new systems with confidence. The platform of Unilever, Flex Experiences, is an example because it helps to provide some job rotations, micro-learning, and project-based learning experiences that enhance adaptability and career development (Zhang and Chen, 202</w:t>
      </w:r>
      <w:r w:rsidRPr="00C2132B" w:rsidR="00857D04">
        <w:rPr>
          <w:rFonts w:ascii="Arial" w:hAnsi="Arial" w:cs="Arial"/>
          <w:sz w:val="22"/>
          <w:szCs w:val="22"/>
        </w:rPr>
        <w:t>4</w:t>
      </w:r>
      <w:r w:rsidRPr="00C2132B">
        <w:rPr>
          <w:rFonts w:ascii="Arial" w:hAnsi="Arial" w:cs="Arial"/>
          <w:sz w:val="22"/>
          <w:szCs w:val="22"/>
        </w:rPr>
        <w:t>). Also, effective governance systems should be in place so that AI-powered HR solutions do not appear opaque and unfair, and employees do not lose their confidence (Siddiqu</w:t>
      </w:r>
      <w:r w:rsidRPr="00C2132B" w:rsidR="00C52AE6">
        <w:rPr>
          <w:rFonts w:ascii="Arial" w:hAnsi="Arial" w:cs="Arial"/>
          <w:sz w:val="22"/>
          <w:szCs w:val="22"/>
        </w:rPr>
        <w:t>i</w:t>
      </w:r>
      <w:r w:rsidRPr="00C2132B">
        <w:rPr>
          <w:rFonts w:ascii="Arial" w:hAnsi="Arial" w:cs="Arial"/>
          <w:sz w:val="22"/>
          <w:szCs w:val="22"/>
        </w:rPr>
        <w:t xml:space="preserve"> et al., 2024). By incorporating immersive learning (including virtual reality (VR) simulations and gamified learning) can also increase the engagement, inclusivity, and cross-functional cooperation of all the employees at Unilever on a global level. </w:t>
      </w:r>
    </w:p>
    <w:p w:rsidRPr="00C2132B" w:rsidR="00635954" w:rsidP="00C2132B" w:rsidRDefault="00635954" w14:paraId="5337C380" w14:textId="67461751">
      <w:pPr>
        <w:spacing w:after="0" w:line="480" w:lineRule="auto"/>
        <w:contextualSpacing/>
        <w:rPr>
          <w:rFonts w:ascii="Arial" w:hAnsi="Arial" w:cs="Arial"/>
          <w:b/>
          <w:bCs/>
          <w:i/>
          <w:iCs/>
          <w:sz w:val="22"/>
          <w:szCs w:val="22"/>
        </w:rPr>
      </w:pPr>
      <w:r w:rsidRPr="00C2132B">
        <w:rPr>
          <w:rFonts w:ascii="Arial" w:hAnsi="Arial" w:cs="Arial"/>
          <w:b/>
          <w:bCs/>
          <w:i/>
          <w:iCs/>
          <w:sz w:val="22"/>
          <w:szCs w:val="22"/>
        </w:rPr>
        <w:t>Improving Flexible Work along with Inclusiveness and Results-based HR Policies</w:t>
      </w:r>
    </w:p>
    <w:p w:rsidRPr="00C2132B" w:rsidR="00C52AE6" w:rsidP="00C2132B" w:rsidRDefault="00635954" w14:paraId="39DF7DD7" w14:textId="36CC9048">
      <w:pPr>
        <w:spacing w:after="0" w:line="480" w:lineRule="auto"/>
        <w:ind w:firstLine="720"/>
        <w:contextualSpacing/>
        <w:jc w:val="both"/>
        <w:rPr>
          <w:rFonts w:ascii="Arial" w:hAnsi="Arial" w:cs="Arial"/>
          <w:sz w:val="22"/>
          <w:szCs w:val="22"/>
        </w:rPr>
      </w:pPr>
      <w:r w:rsidRPr="00C2132B">
        <w:rPr>
          <w:rFonts w:ascii="Arial" w:hAnsi="Arial" w:cs="Arial"/>
          <w:sz w:val="22"/>
          <w:szCs w:val="22"/>
        </w:rPr>
        <w:t>To handle the issues of hybrid work, the HR department must leave time-based performance measurement and consider outcomes-based measurement (de Souza Santos et al., 2024). Uncertainty can be minimi</w:t>
      </w:r>
      <w:r w:rsidRPr="00C2132B" w:rsidR="00C52AE6">
        <w:rPr>
          <w:rFonts w:ascii="Arial" w:hAnsi="Arial" w:cs="Arial"/>
          <w:sz w:val="22"/>
          <w:szCs w:val="22"/>
        </w:rPr>
        <w:t>s</w:t>
      </w:r>
      <w:r w:rsidRPr="00C2132B">
        <w:rPr>
          <w:rFonts w:ascii="Arial" w:hAnsi="Arial" w:cs="Arial"/>
          <w:sz w:val="22"/>
          <w:szCs w:val="22"/>
        </w:rPr>
        <w:t>ed with clear rules concerning remote communication, management of workload, and digital etiquette. To achieve fairness, it is important to implement equity in the access of training and promotions to remote employees. HR can further assist managers in training in virtual leadership so that managers are able to observe well-being and retain trust without having to micromanage them (Siddiqui et al., 202</w:t>
      </w:r>
      <w:r w:rsidRPr="00C2132B" w:rsidR="00C52AE6">
        <w:rPr>
          <w:rFonts w:ascii="Arial" w:hAnsi="Arial" w:cs="Arial"/>
          <w:sz w:val="22"/>
          <w:szCs w:val="22"/>
        </w:rPr>
        <w:t>4</w:t>
      </w:r>
      <w:r w:rsidRPr="00C2132B">
        <w:rPr>
          <w:rFonts w:ascii="Arial" w:hAnsi="Arial" w:cs="Arial"/>
          <w:sz w:val="22"/>
          <w:szCs w:val="22"/>
        </w:rPr>
        <w:t xml:space="preserve">). Stress and absenteeism can be decreased with the help of well-being programs, including mental health check-ins, virtual mindfulness sessions, and ergonomics (Wahdaniah et al., 2023). </w:t>
      </w:r>
      <w:r w:rsidRPr="00C2132B" w:rsidR="00C52AE6">
        <w:rPr>
          <w:rFonts w:ascii="Arial" w:hAnsi="Arial" w:cs="Arial"/>
          <w:sz w:val="22"/>
          <w:szCs w:val="22"/>
        </w:rPr>
        <w:t>I</w:t>
      </w:r>
      <w:r w:rsidRPr="00C2132B" w:rsidR="00FD254D">
        <w:rPr>
          <w:rFonts w:ascii="Arial" w:hAnsi="Arial" w:cs="Arial"/>
          <w:sz w:val="22"/>
          <w:szCs w:val="22"/>
        </w:rPr>
        <w:t>nclusive and motivational practices are further supported by flexible benefits programmes that enable employees to customise health and lifestyle benefits even more</w:t>
      </w:r>
      <w:r w:rsidRPr="00C2132B" w:rsidR="00C2132B">
        <w:rPr>
          <w:rFonts w:ascii="Arial" w:hAnsi="Arial" w:cs="Arial"/>
          <w:sz w:val="22"/>
          <w:szCs w:val="22"/>
        </w:rPr>
        <w:t>.</w:t>
      </w:r>
    </w:p>
    <w:p w:rsidRPr="00C2132B" w:rsidR="00FD254D" w:rsidP="00C2132B" w:rsidRDefault="00FD254D" w14:paraId="541C23E9" w14:textId="06DFC59F">
      <w:pPr>
        <w:spacing w:after="0" w:line="480" w:lineRule="auto"/>
        <w:ind w:firstLine="720"/>
        <w:contextualSpacing/>
        <w:jc w:val="both"/>
        <w:rPr>
          <w:rFonts w:ascii="Arial" w:hAnsi="Arial" w:cs="Arial"/>
          <w:sz w:val="22"/>
          <w:szCs w:val="22"/>
        </w:rPr>
      </w:pPr>
      <w:r w:rsidRPr="00C2132B">
        <w:rPr>
          <w:rFonts w:ascii="Arial" w:hAnsi="Arial" w:cs="Arial"/>
          <w:sz w:val="22"/>
          <w:szCs w:val="22"/>
        </w:rPr>
        <w:lastRenderedPageBreak/>
        <w:t>Overall, change management, digital HR, and flexible working structures can be combined to make Unilever more agile and have a stronger employee experience. It has been demonstrated that the organisations that align technological change with human-centric HR approaches are more likely to maintain the long-term performance and employee satisfaction</w:t>
      </w:r>
      <w:r w:rsidRPr="00C2132B" w:rsidR="0089138F">
        <w:rPr>
          <w:rFonts w:ascii="Arial" w:hAnsi="Arial" w:cs="Arial"/>
          <w:sz w:val="22"/>
          <w:szCs w:val="22"/>
        </w:rPr>
        <w:t>.</w:t>
      </w:r>
    </w:p>
    <w:p w:rsidRPr="00C2132B" w:rsidR="00FD254D" w:rsidP="00C2132B" w:rsidRDefault="0089138F" w14:paraId="174D3BCC" w14:textId="0CF69DAE">
      <w:pPr>
        <w:spacing w:after="0" w:line="480" w:lineRule="auto"/>
        <w:contextualSpacing/>
        <w:jc w:val="center"/>
        <w:rPr>
          <w:rFonts w:ascii="Arial" w:hAnsi="Arial" w:cs="Arial"/>
          <w:b/>
          <w:bCs/>
          <w:sz w:val="22"/>
          <w:szCs w:val="22"/>
        </w:rPr>
      </w:pPr>
      <w:r w:rsidRPr="00C2132B">
        <w:rPr>
          <w:rFonts w:ascii="Arial" w:hAnsi="Arial" w:cs="Arial"/>
          <w:b/>
          <w:bCs/>
          <w:sz w:val="22"/>
          <w:szCs w:val="22"/>
        </w:rPr>
        <w:t>Critical Evaluation of How Departmental Managers Can Ensure Implementation</w:t>
      </w:r>
    </w:p>
    <w:p w:rsidRPr="00C2132B" w:rsidR="00FD254D" w:rsidP="00C2132B" w:rsidRDefault="00FD254D" w14:paraId="08FBB8EF" w14:textId="77777777">
      <w:pPr>
        <w:spacing w:after="0" w:line="480" w:lineRule="auto"/>
        <w:contextualSpacing/>
        <w:rPr>
          <w:rFonts w:ascii="Arial" w:hAnsi="Arial" w:cs="Arial"/>
          <w:sz w:val="22"/>
          <w:szCs w:val="22"/>
        </w:rPr>
      </w:pPr>
      <w:r w:rsidRPr="00C2132B">
        <w:rPr>
          <w:rFonts w:ascii="Arial" w:hAnsi="Arial" w:cs="Arial"/>
          <w:sz w:val="22"/>
          <w:szCs w:val="22"/>
        </w:rPr>
        <w:t>The departmental managers will be critical in the translation of HR strategy into operation. The implementation requires leadership dedication, responsibility, as well as ongoing capacity building (Kirine et al., 2023).</w:t>
      </w:r>
    </w:p>
    <w:p w:rsidRPr="00C2132B" w:rsidR="00FD254D" w:rsidP="00C2132B" w:rsidRDefault="00FD254D" w14:paraId="5DA6124E" w14:textId="6C0BE0D8">
      <w:pPr>
        <w:spacing w:after="0" w:line="480" w:lineRule="auto"/>
        <w:contextualSpacing/>
        <w:rPr>
          <w:rFonts w:ascii="Arial" w:hAnsi="Arial" w:cs="Arial"/>
          <w:b/>
          <w:bCs/>
          <w:i/>
          <w:iCs/>
          <w:sz w:val="22"/>
          <w:szCs w:val="22"/>
        </w:rPr>
      </w:pPr>
      <w:r w:rsidRPr="00C2132B">
        <w:rPr>
          <w:rFonts w:ascii="Arial" w:hAnsi="Arial" w:cs="Arial"/>
          <w:b/>
          <w:bCs/>
          <w:i/>
          <w:iCs/>
          <w:sz w:val="22"/>
          <w:szCs w:val="22"/>
        </w:rPr>
        <w:t>Change Advocacy and Leadership Behaviour</w:t>
      </w:r>
    </w:p>
    <w:p w:rsidRPr="00C2132B" w:rsidR="00FD254D" w:rsidP="00C2132B" w:rsidRDefault="00FD254D" w14:paraId="47191E4A" w14:textId="0E223358">
      <w:pPr>
        <w:spacing w:after="0" w:line="480" w:lineRule="auto"/>
        <w:ind w:firstLine="720"/>
        <w:contextualSpacing/>
        <w:jc w:val="both"/>
        <w:rPr>
          <w:rFonts w:ascii="Arial" w:hAnsi="Arial" w:cs="Arial"/>
          <w:sz w:val="22"/>
          <w:szCs w:val="22"/>
        </w:rPr>
      </w:pPr>
      <w:r w:rsidRPr="00C2132B">
        <w:rPr>
          <w:rFonts w:ascii="Arial" w:hAnsi="Arial" w:cs="Arial"/>
          <w:sz w:val="22"/>
          <w:szCs w:val="22"/>
        </w:rPr>
        <w:t>The managers are expected to be visible role models of Unilever in terms of the transformation agenda. Transformational leadership inspires engagement, compassion, and appreciation of employees, thus making them eager to change (Wahdaniah et al., 2023). Managers need to convey an engaging vision, and connect personal objectives with organisational performance. They can be trained in adaptive leadership and emotional intelligence to encourage them to resist and establish trust in the face of uncertainty</w:t>
      </w:r>
      <w:r w:rsidRPr="00C2132B" w:rsidR="00C2132B">
        <w:rPr>
          <w:rFonts w:ascii="Arial" w:hAnsi="Arial" w:cs="Arial"/>
          <w:sz w:val="22"/>
          <w:szCs w:val="22"/>
        </w:rPr>
        <w:t>.</w:t>
      </w:r>
    </w:p>
    <w:p w:rsidRPr="00C2132B" w:rsidR="00FD254D" w:rsidP="00C2132B" w:rsidRDefault="00FD254D" w14:paraId="421F7472" w14:textId="0AD1CE53">
      <w:pPr>
        <w:spacing w:after="0" w:line="480" w:lineRule="auto"/>
        <w:contextualSpacing/>
        <w:rPr>
          <w:rFonts w:ascii="Arial" w:hAnsi="Arial" w:cs="Arial"/>
          <w:b/>
          <w:bCs/>
          <w:i/>
          <w:iCs/>
          <w:sz w:val="22"/>
          <w:szCs w:val="22"/>
        </w:rPr>
      </w:pPr>
      <w:r w:rsidRPr="00C2132B">
        <w:rPr>
          <w:rFonts w:ascii="Arial" w:hAnsi="Arial" w:cs="Arial"/>
          <w:b/>
          <w:bCs/>
          <w:i/>
          <w:iCs/>
          <w:sz w:val="22"/>
          <w:szCs w:val="22"/>
        </w:rPr>
        <w:t>Open Communication and Cooperation</w:t>
      </w:r>
    </w:p>
    <w:p w:rsidRPr="00C2132B" w:rsidR="00FD254D" w:rsidP="00C2132B" w:rsidRDefault="00E370EA" w14:paraId="4BC313DA" w14:textId="4A376FFD">
      <w:pPr>
        <w:spacing w:after="0" w:line="480" w:lineRule="auto"/>
        <w:ind w:firstLine="720"/>
        <w:contextualSpacing/>
        <w:jc w:val="both"/>
        <w:rPr>
          <w:rFonts w:ascii="Arial" w:hAnsi="Arial" w:cs="Arial"/>
          <w:sz w:val="22"/>
          <w:szCs w:val="22"/>
        </w:rPr>
      </w:pPr>
      <w:r w:rsidRPr="00C2132B">
        <w:rPr>
          <w:rFonts w:ascii="Arial" w:hAnsi="Arial" w:cs="Arial"/>
          <w:sz w:val="22"/>
          <w:szCs w:val="22"/>
        </w:rPr>
        <w:t>S</w:t>
      </w:r>
      <w:r w:rsidRPr="00C2132B" w:rsidR="00FD254D">
        <w:rPr>
          <w:rFonts w:ascii="Arial" w:hAnsi="Arial" w:cs="Arial"/>
          <w:sz w:val="22"/>
          <w:szCs w:val="22"/>
        </w:rPr>
        <w:t>tudies emphasi</w:t>
      </w:r>
      <w:r w:rsidRPr="00C2132B">
        <w:rPr>
          <w:rFonts w:ascii="Arial" w:hAnsi="Arial" w:cs="Arial"/>
          <w:sz w:val="22"/>
          <w:szCs w:val="22"/>
        </w:rPr>
        <w:t>s</w:t>
      </w:r>
      <w:r w:rsidRPr="00C2132B" w:rsidR="00FD254D">
        <w:rPr>
          <w:rFonts w:ascii="Arial" w:hAnsi="Arial" w:cs="Arial"/>
          <w:sz w:val="22"/>
          <w:szCs w:val="22"/>
        </w:rPr>
        <w:t>e the importance of being open and communicating with each other to achieve effective change</w:t>
      </w:r>
      <w:r w:rsidRPr="00C2132B">
        <w:rPr>
          <w:rFonts w:ascii="Arial" w:hAnsi="Arial" w:cs="Arial"/>
          <w:sz w:val="22"/>
          <w:szCs w:val="22"/>
        </w:rPr>
        <w:t xml:space="preserve">. </w:t>
      </w:r>
      <w:r w:rsidRPr="00C2132B" w:rsidR="00FD254D">
        <w:rPr>
          <w:rFonts w:ascii="Arial" w:hAnsi="Arial" w:cs="Arial"/>
          <w:sz w:val="22"/>
          <w:szCs w:val="22"/>
        </w:rPr>
        <w:t>The managers are to provide the team briefing regularly and apply the digital collaboration tools to keep the hybrid teams visible. Psychological safety and innovation are encouraged by promoting an open discussion of the difficulties (de Souza Santos et al., 2024). Managers should also be sensitive to the cultural aspect as communication styles must be culturally sensitive to the diverse work force in Unilever.</w:t>
      </w:r>
    </w:p>
    <w:p w:rsidRPr="00C2132B" w:rsidR="00FD254D" w:rsidP="00C2132B" w:rsidRDefault="00FD254D" w14:paraId="6BE7F708" w14:textId="4BD00CEF">
      <w:pPr>
        <w:spacing w:after="0" w:line="480" w:lineRule="auto"/>
        <w:contextualSpacing/>
        <w:rPr>
          <w:rFonts w:ascii="Arial" w:hAnsi="Arial" w:cs="Arial"/>
          <w:b/>
          <w:bCs/>
          <w:i/>
          <w:iCs/>
          <w:sz w:val="22"/>
          <w:szCs w:val="22"/>
        </w:rPr>
      </w:pPr>
      <w:r w:rsidRPr="00C2132B">
        <w:rPr>
          <w:rFonts w:ascii="Arial" w:hAnsi="Arial" w:cs="Arial"/>
          <w:b/>
          <w:bCs/>
          <w:i/>
          <w:iCs/>
          <w:sz w:val="22"/>
          <w:szCs w:val="22"/>
        </w:rPr>
        <w:t>Performance Management, Learning and Empowerment</w:t>
      </w:r>
    </w:p>
    <w:p w:rsidRPr="00C2132B" w:rsidR="00FD254D" w:rsidP="00C2132B" w:rsidRDefault="00FD254D" w14:paraId="3CFCE57E" w14:textId="6D66CBD6">
      <w:pPr>
        <w:spacing w:after="0" w:line="480" w:lineRule="auto"/>
        <w:ind w:firstLine="720"/>
        <w:contextualSpacing/>
        <w:jc w:val="both"/>
        <w:rPr>
          <w:rFonts w:ascii="Arial" w:hAnsi="Arial" w:cs="Arial"/>
          <w:sz w:val="22"/>
          <w:szCs w:val="22"/>
        </w:rPr>
      </w:pPr>
      <w:r w:rsidRPr="00C2132B">
        <w:rPr>
          <w:rFonts w:ascii="Arial" w:hAnsi="Arial" w:cs="Arial"/>
          <w:sz w:val="22"/>
          <w:szCs w:val="22"/>
        </w:rPr>
        <w:t xml:space="preserve">On-the-job coaching and digital platforms are both ways that managers can enhance engagement by encouraging continuous learning (Sangu et al., 2024). Working with HR to determine personal skill deficiencies and make development programmes accessible to all, aids </w:t>
      </w:r>
      <w:r w:rsidRPr="00C2132B">
        <w:rPr>
          <w:rFonts w:ascii="Arial" w:hAnsi="Arial" w:cs="Arial"/>
          <w:sz w:val="22"/>
          <w:szCs w:val="22"/>
        </w:rPr>
        <w:lastRenderedPageBreak/>
        <w:t>in employee development as well as change objectives. Traditional performance evaluations based on attendance must be substituted by objective performance metrics, which are based on quality, teamwork, and innovation</w:t>
      </w:r>
      <w:r w:rsidRPr="00C2132B" w:rsidR="00C2132B">
        <w:rPr>
          <w:rFonts w:ascii="Arial" w:hAnsi="Arial" w:cs="Arial"/>
          <w:sz w:val="22"/>
          <w:szCs w:val="22"/>
        </w:rPr>
        <w:t xml:space="preserve">. </w:t>
      </w:r>
      <w:r w:rsidRPr="00C2132B">
        <w:rPr>
          <w:rFonts w:ascii="Arial" w:hAnsi="Arial" w:cs="Arial"/>
          <w:sz w:val="22"/>
          <w:szCs w:val="22"/>
        </w:rPr>
        <w:t>Accountability and motivation are encouraged by regular recognition and positive feedback</w:t>
      </w:r>
      <w:r w:rsidRPr="00C2132B" w:rsidR="00E370EA">
        <w:rPr>
          <w:rFonts w:ascii="Arial" w:hAnsi="Arial" w:cs="Arial"/>
          <w:sz w:val="22"/>
          <w:szCs w:val="22"/>
        </w:rPr>
        <w:t>.</w:t>
      </w:r>
    </w:p>
    <w:p w:rsidRPr="00C2132B" w:rsidR="00D62EF0" w:rsidP="00C2132B" w:rsidRDefault="00D62EF0" w14:paraId="3087FC97" w14:textId="77777777">
      <w:pPr>
        <w:spacing w:after="0" w:line="480" w:lineRule="auto"/>
        <w:contextualSpacing/>
        <w:rPr>
          <w:rFonts w:ascii="Arial" w:hAnsi="Arial" w:cs="Arial"/>
          <w:b/>
          <w:bCs/>
          <w:i/>
          <w:iCs/>
          <w:sz w:val="22"/>
          <w:szCs w:val="22"/>
        </w:rPr>
      </w:pPr>
      <w:r w:rsidRPr="00C2132B">
        <w:rPr>
          <w:rFonts w:ascii="Arial" w:hAnsi="Arial" w:cs="Arial"/>
          <w:b/>
          <w:bCs/>
          <w:i/>
          <w:iCs/>
          <w:sz w:val="22"/>
          <w:szCs w:val="22"/>
        </w:rPr>
        <w:t>Accountability and Ethical Practice</w:t>
      </w:r>
    </w:p>
    <w:p w:rsidRPr="00C2132B" w:rsidR="00C2132B" w:rsidP="00C2132B" w:rsidRDefault="00FD254D" w14:paraId="34E76E01" w14:textId="14D24037">
      <w:pPr>
        <w:spacing w:after="0" w:line="480" w:lineRule="auto"/>
        <w:ind w:firstLine="720"/>
        <w:contextualSpacing/>
        <w:jc w:val="both"/>
        <w:rPr>
          <w:rFonts w:ascii="Arial" w:hAnsi="Arial" w:cs="Arial"/>
          <w:sz w:val="22"/>
          <w:szCs w:val="22"/>
        </w:rPr>
      </w:pPr>
      <w:r w:rsidRPr="00C2132B">
        <w:rPr>
          <w:rFonts w:ascii="Arial" w:hAnsi="Arial" w:cs="Arial"/>
          <w:sz w:val="22"/>
          <w:szCs w:val="22"/>
        </w:rPr>
        <w:t>Digital HR systems have to be governed ethically on the managerial level. The managers should make sure that AI-based HR tools are used in a transparent manner that does not compromise the privacy or data protection requirements of employees (</w:t>
      </w:r>
      <w:r w:rsidRPr="00C2132B" w:rsidR="00D62EF0">
        <w:rPr>
          <w:rFonts w:ascii="Arial" w:hAnsi="Arial" w:cs="Arial"/>
          <w:sz w:val="22"/>
          <w:szCs w:val="22"/>
        </w:rPr>
        <w:t>Xin and Mahadi</w:t>
      </w:r>
      <w:r w:rsidRPr="00C2132B" w:rsidR="00D62EF0">
        <w:rPr>
          <w:rFonts w:ascii="Arial" w:hAnsi="Arial" w:cs="Arial"/>
          <w:sz w:val="22"/>
          <w:szCs w:val="22"/>
        </w:rPr>
        <w:t xml:space="preserve">, </w:t>
      </w:r>
      <w:r w:rsidRPr="00C2132B" w:rsidR="00D62EF0">
        <w:rPr>
          <w:rFonts w:ascii="Arial" w:hAnsi="Arial" w:cs="Arial"/>
          <w:sz w:val="22"/>
          <w:szCs w:val="22"/>
        </w:rPr>
        <w:t>2024</w:t>
      </w:r>
      <w:r w:rsidRPr="00C2132B">
        <w:rPr>
          <w:rFonts w:ascii="Arial" w:hAnsi="Arial" w:cs="Arial"/>
          <w:sz w:val="22"/>
          <w:szCs w:val="22"/>
        </w:rPr>
        <w:t>). Analy</w:t>
      </w:r>
      <w:r w:rsidRPr="00C2132B" w:rsidR="00D62EF0">
        <w:rPr>
          <w:rFonts w:ascii="Arial" w:hAnsi="Arial" w:cs="Arial"/>
          <w:sz w:val="22"/>
          <w:szCs w:val="22"/>
        </w:rPr>
        <w:t>s</w:t>
      </w:r>
      <w:r w:rsidRPr="00C2132B">
        <w:rPr>
          <w:rFonts w:ascii="Arial" w:hAnsi="Arial" w:cs="Arial"/>
          <w:sz w:val="22"/>
          <w:szCs w:val="22"/>
        </w:rPr>
        <w:t>ing engagement data and grievance patterns on a regular basis may assist the managers in monitoring the effects of new practices. Moreover, they are supposed to work hand in hand with HR analytics teams in order to make evidence-based adjustments (Siddiqu</w:t>
      </w:r>
      <w:r w:rsidRPr="00C2132B" w:rsidR="00C2132B">
        <w:rPr>
          <w:rFonts w:ascii="Arial" w:hAnsi="Arial" w:cs="Arial"/>
          <w:sz w:val="22"/>
          <w:szCs w:val="22"/>
        </w:rPr>
        <w:t>i</w:t>
      </w:r>
      <w:r w:rsidRPr="00C2132B">
        <w:rPr>
          <w:rFonts w:ascii="Arial" w:hAnsi="Arial" w:cs="Arial"/>
          <w:sz w:val="22"/>
          <w:szCs w:val="22"/>
        </w:rPr>
        <w:t xml:space="preserve"> et al., 2024).</w:t>
      </w:r>
      <w:r w:rsidRPr="00C2132B" w:rsidR="00C2132B">
        <w:rPr>
          <w:rFonts w:ascii="Arial" w:hAnsi="Arial" w:cs="Arial"/>
          <w:sz w:val="22"/>
          <w:szCs w:val="22"/>
        </w:rPr>
        <w:t xml:space="preserve"> </w:t>
      </w:r>
      <w:r w:rsidRPr="00C2132B">
        <w:rPr>
          <w:rFonts w:ascii="Arial" w:hAnsi="Arial" w:cs="Arial"/>
          <w:sz w:val="22"/>
          <w:szCs w:val="22"/>
        </w:rPr>
        <w:t>Finally, the speed and effectiveness of the implementation of HR practice are determined by the departmental managers. Their skill in integrating strategic perspectives with understanding leadership makes Unilever a source of an inclusive and a high-performance work culture in digital and organisational change</w:t>
      </w:r>
      <w:r w:rsidRPr="00C2132B" w:rsidR="00C2132B">
        <w:rPr>
          <w:rFonts w:ascii="Arial" w:hAnsi="Arial" w:cs="Arial"/>
          <w:sz w:val="22"/>
          <w:szCs w:val="22"/>
        </w:rPr>
        <w:t>.</w:t>
      </w:r>
    </w:p>
    <w:p w:rsidRPr="00C2132B" w:rsidR="00FD254D" w:rsidP="00C2132B" w:rsidRDefault="00FD254D" w14:paraId="3A1FABB2" w14:textId="53EA03DF">
      <w:pPr>
        <w:spacing w:after="0" w:line="480" w:lineRule="auto"/>
        <w:ind w:firstLine="720"/>
        <w:contextualSpacing/>
        <w:jc w:val="center"/>
        <w:rPr>
          <w:rFonts w:ascii="Arial" w:hAnsi="Arial" w:cs="Arial"/>
          <w:b/>
          <w:bCs/>
          <w:sz w:val="22"/>
          <w:szCs w:val="22"/>
        </w:rPr>
      </w:pPr>
      <w:r w:rsidRPr="00C2132B">
        <w:rPr>
          <w:rFonts w:ascii="Arial" w:hAnsi="Arial" w:cs="Arial"/>
          <w:b/>
          <w:bCs/>
          <w:sz w:val="22"/>
          <w:szCs w:val="22"/>
        </w:rPr>
        <w:t>Conclusion</w:t>
      </w:r>
    </w:p>
    <w:p w:rsidRPr="00C2132B" w:rsidR="00FD254D" w:rsidP="00C2132B" w:rsidRDefault="00FD254D" w14:paraId="70033174" w14:textId="4752A895">
      <w:pPr>
        <w:spacing w:after="0" w:line="480" w:lineRule="auto"/>
        <w:ind w:firstLine="720"/>
        <w:contextualSpacing/>
        <w:jc w:val="both"/>
        <w:rPr>
          <w:rFonts w:ascii="Arial" w:hAnsi="Arial" w:cs="Arial"/>
          <w:sz w:val="22"/>
          <w:szCs w:val="22"/>
        </w:rPr>
      </w:pPr>
      <w:r w:rsidRPr="00C2132B">
        <w:rPr>
          <w:rFonts w:ascii="Arial" w:hAnsi="Arial" w:cs="Arial"/>
          <w:sz w:val="22"/>
          <w:szCs w:val="22"/>
        </w:rPr>
        <w:t>Digitalisation and flexible working practices at Unilever is a crucial move to sustainable competitiveness. These changes, however, have compounded employee anxieties with the issues of job security, use of technology and work-life balance. The challenges can be alleviated with the help of applying modern HR practices, such as properly structured change management, digital capacity building, and inclusive hybrid policies. The departmental managers are the key people involved in operationalisation of these strategies as they exhibit good leadership, clear communication, and ethical accountability. The people-focused HR solutions would enable Unilever to enhance engagement, innovation, and trust, which will guarantee organisational resilience in the long term and employee satisfaction</w:t>
      </w:r>
      <w:r w:rsidRPr="00C2132B" w:rsidR="00C2132B">
        <w:rPr>
          <w:rFonts w:ascii="Arial" w:hAnsi="Arial" w:cs="Arial"/>
          <w:sz w:val="22"/>
          <w:szCs w:val="22"/>
        </w:rPr>
        <w:t>.</w:t>
      </w:r>
    </w:p>
    <w:p w:rsidRPr="00C2132B" w:rsidR="00FD254D" w:rsidP="00C2132B" w:rsidRDefault="00FD254D" w14:paraId="5407D898" w14:textId="0F5E4835">
      <w:pPr>
        <w:spacing w:after="0" w:line="480" w:lineRule="auto"/>
        <w:contextualSpacing/>
        <w:jc w:val="center"/>
        <w:rPr>
          <w:rFonts w:ascii="Arial" w:hAnsi="Arial" w:cs="Arial"/>
          <w:b/>
          <w:bCs/>
          <w:sz w:val="22"/>
          <w:szCs w:val="22"/>
        </w:rPr>
      </w:pPr>
      <w:r w:rsidRPr="00C2132B">
        <w:rPr>
          <w:rFonts w:ascii="Arial" w:hAnsi="Arial" w:cs="Arial"/>
          <w:b/>
          <w:bCs/>
          <w:sz w:val="22"/>
          <w:szCs w:val="22"/>
        </w:rPr>
        <w:t>Recommendations</w:t>
      </w:r>
    </w:p>
    <w:p w:rsidRPr="00C2132B" w:rsidR="00FD254D" w:rsidP="00C2132B" w:rsidRDefault="00FD254D" w14:paraId="46421D78" w14:textId="5D24EF80">
      <w:pPr>
        <w:spacing w:after="0" w:line="480" w:lineRule="auto"/>
        <w:ind w:firstLine="720"/>
        <w:contextualSpacing/>
        <w:jc w:val="both"/>
        <w:rPr>
          <w:rFonts w:ascii="Arial" w:hAnsi="Arial" w:cs="Arial"/>
          <w:sz w:val="22"/>
          <w:szCs w:val="22"/>
        </w:rPr>
      </w:pPr>
      <w:r w:rsidRPr="00C2132B">
        <w:rPr>
          <w:rFonts w:ascii="Arial" w:hAnsi="Arial" w:cs="Arial"/>
          <w:sz w:val="22"/>
          <w:szCs w:val="22"/>
        </w:rPr>
        <w:lastRenderedPageBreak/>
        <w:t xml:space="preserve">In order to deal with the existing challenges of change, Unilever needs to form a special Change Management Taskforce that would facilitate communication and track the mood of employees (Kirine et al., 2023). The Digital Upskilling Programme has to be a holistic one so that the staff can be adapted to the new technologies (Chaudhary and Srivastava, 2021). The fairness of career development and progression will also be encouraged by implementing equitable hybrid work policies (de Souza Santos et al., 2024). Pulse surveys can be conducted regularly every quarter to monitor the engagement and well-being </w:t>
      </w:r>
      <w:r w:rsidRPr="00C2132B" w:rsidR="00C2132B">
        <w:rPr>
          <w:rFonts w:ascii="Arial" w:hAnsi="Arial" w:cs="Arial"/>
          <w:sz w:val="22"/>
          <w:szCs w:val="22"/>
        </w:rPr>
        <w:t xml:space="preserve">. </w:t>
      </w:r>
      <w:r w:rsidRPr="00C2132B">
        <w:rPr>
          <w:rFonts w:ascii="Arial" w:hAnsi="Arial" w:cs="Arial"/>
          <w:sz w:val="22"/>
          <w:szCs w:val="22"/>
        </w:rPr>
        <w:t>A focus on empathy, inclusivity, and digital competence should be the priority of leadership development efforts (Sangu et al., 2024), and these aspects should be governed with transparent and ethical AI management of HR.</w:t>
      </w:r>
    </w:p>
    <w:p w:rsidRPr="00C2132B" w:rsidR="00F1704D" w:rsidP="00C2132B" w:rsidRDefault="00F1704D" w14:paraId="1B8F0B11" w14:textId="77777777">
      <w:pPr>
        <w:spacing w:after="0" w:line="480" w:lineRule="auto"/>
        <w:contextualSpacing/>
        <w:rPr>
          <w:rFonts w:ascii="Arial" w:hAnsi="Arial" w:cs="Arial"/>
          <w:sz w:val="22"/>
          <w:szCs w:val="22"/>
        </w:rPr>
      </w:pPr>
      <w:r w:rsidRPr="00C2132B">
        <w:rPr>
          <w:rFonts w:ascii="Arial" w:hAnsi="Arial" w:cs="Arial"/>
          <w:sz w:val="22"/>
          <w:szCs w:val="22"/>
        </w:rPr>
        <w:br w:type="page"/>
      </w:r>
    </w:p>
    <w:p w:rsidRPr="00C2132B" w:rsidR="00FD254D" w:rsidP="00C2132B" w:rsidRDefault="00F1704D" w14:paraId="55E67FF0" w14:textId="17AD614C">
      <w:pPr>
        <w:spacing w:after="0" w:line="480" w:lineRule="auto"/>
        <w:contextualSpacing/>
        <w:jc w:val="center"/>
        <w:rPr>
          <w:rFonts w:ascii="Arial" w:hAnsi="Arial" w:cs="Arial"/>
          <w:b/>
          <w:bCs/>
          <w:sz w:val="22"/>
          <w:szCs w:val="22"/>
        </w:rPr>
      </w:pPr>
      <w:r w:rsidRPr="00C2132B">
        <w:rPr>
          <w:rFonts w:ascii="Arial" w:hAnsi="Arial" w:cs="Arial"/>
          <w:b/>
          <w:bCs/>
          <w:sz w:val="22"/>
          <w:szCs w:val="22"/>
        </w:rPr>
        <w:lastRenderedPageBreak/>
        <w:t>References</w:t>
      </w:r>
    </w:p>
    <w:p w:rsidRPr="00C2132B" w:rsidR="00F1704D" w:rsidP="00C2132B" w:rsidRDefault="00F1704D" w14:paraId="5F6525C2" w14:textId="77777777">
      <w:pPr>
        <w:pStyle w:val="NormalWeb"/>
        <w:spacing w:before="0" w:beforeAutospacing="0" w:after="0" w:afterAutospacing="0" w:line="480" w:lineRule="auto"/>
        <w:ind w:left="720" w:hanging="720"/>
        <w:contextualSpacing/>
        <w:rPr>
          <w:rFonts w:ascii="Arial" w:hAnsi="Arial" w:cs="Arial"/>
          <w:sz w:val="22"/>
          <w:szCs w:val="22"/>
        </w:rPr>
      </w:pPr>
      <w:r w:rsidRPr="00C2132B">
        <w:rPr>
          <w:rFonts w:ascii="Arial" w:hAnsi="Arial" w:cs="Arial"/>
          <w:sz w:val="22"/>
          <w:szCs w:val="22"/>
        </w:rPr>
        <w:t xml:space="preserve">Chaudhary, B. &amp; Srivastava, S., 2021. HR Analytics and Employee’s Performance Management: An Assessment built on existing literature. </w:t>
      </w:r>
      <w:r w:rsidRPr="00C2132B">
        <w:rPr>
          <w:rStyle w:val="Emphasis"/>
          <w:rFonts w:ascii="Arial" w:hAnsi="Arial" w:cs="Arial" w:eastAsiaTheme="majorEastAsia"/>
          <w:sz w:val="22"/>
          <w:szCs w:val="22"/>
        </w:rPr>
        <w:t>International Journal of Multidisciplinary: Applied Business and Education Research</w:t>
      </w:r>
      <w:r w:rsidRPr="00C2132B">
        <w:rPr>
          <w:rFonts w:ascii="Arial" w:hAnsi="Arial" w:cs="Arial"/>
          <w:sz w:val="22"/>
          <w:szCs w:val="22"/>
        </w:rPr>
        <w:t xml:space="preserve">, 2(2). Available at: </w:t>
      </w:r>
      <w:hyperlink w:tgtFrame="_new" w:history="1" r:id="rId6">
        <w:r w:rsidRPr="00C2132B">
          <w:rPr>
            <w:rStyle w:val="Hyperlink"/>
            <w:rFonts w:ascii="Arial" w:hAnsi="Arial" w:cs="Arial" w:eastAsiaTheme="majorEastAsia"/>
            <w:sz w:val="22"/>
            <w:szCs w:val="22"/>
          </w:rPr>
          <w:t>https://www.babmrjournal.org/index.php/ijmaber/article/view/65</w:t>
        </w:r>
      </w:hyperlink>
      <w:r w:rsidRPr="00C2132B">
        <w:rPr>
          <w:rFonts w:ascii="Arial" w:hAnsi="Arial" w:cs="Arial"/>
          <w:sz w:val="22"/>
          <w:szCs w:val="22"/>
        </w:rPr>
        <w:t xml:space="preserve"> [Accessed 11 Nov 2025].</w:t>
      </w:r>
    </w:p>
    <w:p w:rsidRPr="00C2132B" w:rsidR="00645D37" w:rsidP="00C2132B" w:rsidRDefault="00645D37" w14:paraId="285B349D" w14:textId="77777777">
      <w:pPr>
        <w:pStyle w:val="NormalWeb"/>
        <w:spacing w:before="0" w:beforeAutospacing="0" w:after="0" w:afterAutospacing="0" w:line="480" w:lineRule="auto"/>
        <w:ind w:left="720" w:hanging="720"/>
        <w:contextualSpacing/>
        <w:rPr>
          <w:rFonts w:ascii="Arial" w:hAnsi="Arial" w:cs="Arial"/>
          <w:sz w:val="22"/>
          <w:szCs w:val="22"/>
        </w:rPr>
      </w:pPr>
      <w:r w:rsidRPr="00C2132B">
        <w:rPr>
          <w:rFonts w:ascii="Arial" w:hAnsi="Arial" w:cs="Arial"/>
          <w:sz w:val="22"/>
          <w:szCs w:val="22"/>
        </w:rPr>
        <w:t>de Souza Santos, R., Grillo, W.D.N., Cabral, D., De Castro, C., Albuquerque, N. and França, C., 2024, April. Post-pandemic hybrid work in software companies: Findings from an industrial case study. In Proceedings of the 2024 IEEE/ACM 17th International Conference on Cooperative and Human Aspects of Software Engineering (pp. 68-78).</w:t>
      </w:r>
    </w:p>
    <w:p w:rsidRPr="00C2132B" w:rsidR="00941CBA" w:rsidP="00C2132B" w:rsidRDefault="00941CBA" w14:paraId="5499AE2B" w14:textId="67079139">
      <w:pPr>
        <w:pStyle w:val="NormalWeb"/>
        <w:spacing w:before="0" w:beforeAutospacing="0" w:after="0" w:afterAutospacing="0" w:line="480" w:lineRule="auto"/>
        <w:ind w:left="720" w:hanging="720"/>
        <w:contextualSpacing/>
        <w:rPr>
          <w:rFonts w:ascii="Arial" w:hAnsi="Arial" w:cs="Arial"/>
          <w:sz w:val="22"/>
          <w:szCs w:val="22"/>
        </w:rPr>
      </w:pPr>
      <w:r w:rsidRPr="00C2132B">
        <w:rPr>
          <w:rFonts w:ascii="Arial" w:hAnsi="Arial" w:cs="Arial"/>
          <w:sz w:val="22"/>
          <w:szCs w:val="22"/>
        </w:rPr>
        <w:t>Dreković, E., Radosavljević, M. and Teofilović, Ž., 2023. HR Practices Through the Lens of Technology and Digital Transformation. Economic Themes, 61(4).</w:t>
      </w:r>
    </w:p>
    <w:p w:rsidRPr="00C2132B" w:rsidR="00F1704D" w:rsidP="00C2132B" w:rsidRDefault="00F1704D" w14:paraId="2642D776" w14:textId="77777777">
      <w:pPr>
        <w:pStyle w:val="NormalWeb"/>
        <w:spacing w:before="0" w:beforeAutospacing="0" w:after="0" w:afterAutospacing="0" w:line="480" w:lineRule="auto"/>
        <w:ind w:left="720" w:hanging="720"/>
        <w:contextualSpacing/>
        <w:rPr>
          <w:rFonts w:ascii="Arial" w:hAnsi="Arial" w:cs="Arial"/>
          <w:sz w:val="22"/>
          <w:szCs w:val="22"/>
        </w:rPr>
      </w:pPr>
      <w:r w:rsidRPr="00C2132B">
        <w:rPr>
          <w:rFonts w:ascii="Arial" w:hAnsi="Arial" w:cs="Arial"/>
          <w:sz w:val="22"/>
          <w:szCs w:val="22"/>
        </w:rPr>
        <w:t xml:space="preserve">Kirine, K., Charoenarpornwattana, P. &amp; Leeniwa, J., 2023. Digital Transformation of Human Resource Development. </w:t>
      </w:r>
      <w:r w:rsidRPr="00C2132B">
        <w:rPr>
          <w:rStyle w:val="Emphasis"/>
          <w:rFonts w:ascii="Arial" w:hAnsi="Arial" w:cs="Arial" w:eastAsiaTheme="majorEastAsia"/>
          <w:sz w:val="22"/>
          <w:szCs w:val="22"/>
        </w:rPr>
        <w:t>Journal of Information and Learning (JIL)</w:t>
      </w:r>
      <w:r w:rsidRPr="00C2132B">
        <w:rPr>
          <w:rFonts w:ascii="Arial" w:hAnsi="Arial" w:cs="Arial"/>
          <w:sz w:val="22"/>
          <w:szCs w:val="22"/>
        </w:rPr>
        <w:t>, 34(3), pp.154-165.</w:t>
      </w:r>
    </w:p>
    <w:p w:rsidRPr="00C2132B" w:rsidR="004C7392" w:rsidP="00C2132B" w:rsidRDefault="004C7392" w14:paraId="3F51BDD0" w14:textId="77777777">
      <w:pPr>
        <w:pStyle w:val="NormalWeb"/>
        <w:spacing w:before="0" w:beforeAutospacing="0" w:after="0" w:afterAutospacing="0" w:line="480" w:lineRule="auto"/>
        <w:ind w:left="720" w:hanging="720"/>
        <w:contextualSpacing/>
        <w:rPr>
          <w:rFonts w:ascii="Arial" w:hAnsi="Arial" w:cs="Arial"/>
          <w:sz w:val="22"/>
          <w:szCs w:val="22"/>
        </w:rPr>
      </w:pPr>
      <w:r w:rsidRPr="00C2132B">
        <w:rPr>
          <w:rFonts w:ascii="Arial" w:hAnsi="Arial" w:cs="Arial"/>
          <w:sz w:val="22"/>
          <w:szCs w:val="22"/>
        </w:rPr>
        <w:t>Sangu, P.V.S., Saini, R., Prabakar, D.S., Hussain, G.K.J. and Thayumanavar, D.B. (2024). HR Analytics: Leveraging Big Data And Artificial Intelligence For Decision-Making In Human Resource Management. Educational Administration: Theory and Practice, [online] 30(4), pp.5967–5974. doi:https://doi.org/10.53555/kuey.v30i4.2327.</w:t>
      </w:r>
    </w:p>
    <w:p w:rsidRPr="00C2132B" w:rsidR="004144B2" w:rsidP="00C2132B" w:rsidRDefault="004144B2" w14:paraId="4F2DE51D" w14:textId="23A40907">
      <w:pPr>
        <w:pStyle w:val="NormalWeb"/>
        <w:spacing w:before="0" w:beforeAutospacing="0" w:after="0" w:afterAutospacing="0" w:line="480" w:lineRule="auto"/>
        <w:ind w:left="720" w:hanging="720"/>
        <w:contextualSpacing/>
        <w:rPr>
          <w:rFonts w:ascii="Arial" w:hAnsi="Arial" w:cs="Arial"/>
          <w:sz w:val="22"/>
          <w:szCs w:val="22"/>
        </w:rPr>
      </w:pPr>
      <w:r w:rsidRPr="00C2132B">
        <w:rPr>
          <w:rFonts w:ascii="Arial" w:hAnsi="Arial" w:cs="Arial"/>
          <w:sz w:val="22"/>
          <w:szCs w:val="22"/>
        </w:rPr>
        <w:t>Tessema, S.A., Yang, S. and Chen, C., 2025. The Effect of Human Resource Analytics on Organizational Performance: Insights from Ethiopia. Systems, 13(2), p.134.</w:t>
      </w:r>
    </w:p>
    <w:p w:rsidRPr="00C2132B" w:rsidR="00FA6FD9" w:rsidP="00C2132B" w:rsidRDefault="00FA6FD9" w14:paraId="7BDAB03D" w14:textId="77777777">
      <w:pPr>
        <w:pStyle w:val="NormalWeb"/>
        <w:spacing w:before="0" w:beforeAutospacing="0" w:after="0" w:afterAutospacing="0" w:line="480" w:lineRule="auto"/>
        <w:ind w:left="720" w:hanging="720"/>
        <w:contextualSpacing/>
        <w:rPr>
          <w:rFonts w:ascii="Arial" w:hAnsi="Arial" w:cs="Arial"/>
          <w:sz w:val="22"/>
          <w:szCs w:val="22"/>
        </w:rPr>
      </w:pPr>
      <w:r w:rsidRPr="00C2132B">
        <w:rPr>
          <w:rFonts w:ascii="Arial" w:hAnsi="Arial" w:cs="Arial"/>
          <w:sz w:val="22"/>
          <w:szCs w:val="22"/>
        </w:rPr>
        <w:t>Siddiqui, S.M.F.E.A., Zafar, H. and Hussain, N., 2024. HR Analytics: A Literature Review and New Conceptual Model in Banking Sector of Pakistan. </w:t>
      </w:r>
      <w:r w:rsidRPr="00C2132B">
        <w:rPr>
          <w:rFonts w:ascii="Arial" w:hAnsi="Arial" w:cs="Arial"/>
          <w:i/>
          <w:iCs/>
          <w:sz w:val="22"/>
          <w:szCs w:val="22"/>
        </w:rPr>
        <w:t>Dialogue Social Science Review (DSSR)</w:t>
      </w:r>
      <w:r w:rsidRPr="00C2132B">
        <w:rPr>
          <w:rFonts w:ascii="Arial" w:hAnsi="Arial" w:cs="Arial"/>
          <w:sz w:val="22"/>
          <w:szCs w:val="22"/>
        </w:rPr>
        <w:t>, </w:t>
      </w:r>
      <w:r w:rsidRPr="00C2132B">
        <w:rPr>
          <w:rFonts w:ascii="Arial" w:hAnsi="Arial" w:cs="Arial"/>
          <w:i/>
          <w:iCs/>
          <w:sz w:val="22"/>
          <w:szCs w:val="22"/>
        </w:rPr>
        <w:t>2</w:t>
      </w:r>
      <w:r w:rsidRPr="00C2132B">
        <w:rPr>
          <w:rFonts w:ascii="Arial" w:hAnsi="Arial" w:cs="Arial"/>
          <w:sz w:val="22"/>
          <w:szCs w:val="22"/>
        </w:rPr>
        <w:t>(3 (October)), pp.475-493.</w:t>
      </w:r>
    </w:p>
    <w:p w:rsidRPr="00C2132B" w:rsidR="00F1704D" w:rsidP="00C2132B" w:rsidRDefault="00F1704D" w14:paraId="197809AF" w14:textId="72D8A263">
      <w:pPr>
        <w:pStyle w:val="NormalWeb"/>
        <w:spacing w:before="0" w:beforeAutospacing="0" w:after="0" w:afterAutospacing="0" w:line="480" w:lineRule="auto"/>
        <w:ind w:left="720" w:hanging="720"/>
        <w:contextualSpacing/>
        <w:rPr>
          <w:rFonts w:ascii="Arial" w:hAnsi="Arial" w:cs="Arial"/>
          <w:sz w:val="22"/>
          <w:szCs w:val="22"/>
        </w:rPr>
      </w:pPr>
      <w:r w:rsidRPr="00C2132B">
        <w:rPr>
          <w:rFonts w:ascii="Arial" w:hAnsi="Arial" w:cs="Arial"/>
          <w:sz w:val="22"/>
          <w:szCs w:val="22"/>
        </w:rPr>
        <w:t xml:space="preserve">Wahdaniah, R.S., Ambalele, E. &amp; Tellu, A.H., 2023. Human Resource Management Transformation in the Digital Age: Recent Trends and Implications. </w:t>
      </w:r>
      <w:r w:rsidRPr="00C2132B">
        <w:rPr>
          <w:rStyle w:val="Emphasis"/>
          <w:rFonts w:ascii="Arial" w:hAnsi="Arial" w:cs="Arial" w:eastAsiaTheme="majorEastAsia"/>
          <w:sz w:val="22"/>
          <w:szCs w:val="22"/>
        </w:rPr>
        <w:t>International Journal of Applied Research and Sustainable Sciences</w:t>
      </w:r>
      <w:r w:rsidRPr="00C2132B">
        <w:rPr>
          <w:rFonts w:ascii="Arial" w:hAnsi="Arial" w:cs="Arial"/>
          <w:sz w:val="22"/>
          <w:szCs w:val="22"/>
        </w:rPr>
        <w:t>, 1(3), pp.239-258.</w:t>
      </w:r>
    </w:p>
    <w:p w:rsidRPr="00C2132B" w:rsidR="00C2132B" w:rsidP="00C2132B" w:rsidRDefault="00C2132B" w14:paraId="36F72619" w14:textId="77777777">
      <w:pPr>
        <w:pStyle w:val="NormalWeb"/>
        <w:spacing w:before="0" w:beforeAutospacing="0" w:after="0" w:afterAutospacing="0" w:line="480" w:lineRule="auto"/>
        <w:ind w:left="720" w:hanging="720"/>
        <w:contextualSpacing/>
        <w:rPr>
          <w:rFonts w:ascii="Arial" w:hAnsi="Arial" w:cs="Arial"/>
          <w:sz w:val="22"/>
          <w:szCs w:val="22"/>
        </w:rPr>
      </w:pPr>
      <w:r w:rsidRPr="00C2132B">
        <w:rPr>
          <w:rFonts w:ascii="Arial" w:hAnsi="Arial" w:cs="Arial"/>
          <w:sz w:val="22"/>
          <w:szCs w:val="22"/>
        </w:rPr>
        <w:lastRenderedPageBreak/>
        <w:t>Xin, J.L.J. and Mahadi, N., 2024. HR Analytics for Data-Driven Employee Attrition Management. </w:t>
      </w:r>
      <w:r w:rsidRPr="00C2132B">
        <w:rPr>
          <w:rFonts w:ascii="Arial" w:hAnsi="Arial" w:cs="Arial"/>
          <w:i/>
          <w:iCs/>
          <w:sz w:val="22"/>
          <w:szCs w:val="22"/>
        </w:rPr>
        <w:t>INTERNATIONAL JOURNAL OF ACADEMIC RESEARCH IN BUSINESS AND SOCIAL SCIENCES</w:t>
      </w:r>
      <w:r w:rsidRPr="00C2132B">
        <w:rPr>
          <w:rFonts w:ascii="Arial" w:hAnsi="Arial" w:cs="Arial"/>
          <w:sz w:val="22"/>
          <w:szCs w:val="22"/>
        </w:rPr>
        <w:t>, </w:t>
      </w:r>
      <w:r w:rsidRPr="00C2132B">
        <w:rPr>
          <w:rFonts w:ascii="Arial" w:hAnsi="Arial" w:cs="Arial"/>
          <w:i/>
          <w:iCs/>
          <w:sz w:val="22"/>
          <w:szCs w:val="22"/>
        </w:rPr>
        <w:t>14</w:t>
      </w:r>
      <w:r w:rsidRPr="00C2132B">
        <w:rPr>
          <w:rFonts w:ascii="Arial" w:hAnsi="Arial" w:cs="Arial"/>
          <w:sz w:val="22"/>
          <w:szCs w:val="22"/>
        </w:rPr>
        <w:t>(12).</w:t>
      </w:r>
    </w:p>
    <w:p w:rsidRPr="00C2132B" w:rsidR="00F1704D" w:rsidP="00C2132B" w:rsidRDefault="00F1704D" w14:paraId="7D96BA8C" w14:textId="60F64C5B">
      <w:pPr>
        <w:spacing w:after="0" w:line="480" w:lineRule="auto"/>
        <w:ind w:left="720" w:hanging="720"/>
        <w:contextualSpacing/>
        <w:rPr>
          <w:rFonts w:ascii="Arial" w:hAnsi="Arial" w:cs="Arial"/>
          <w:sz w:val="22"/>
          <w:szCs w:val="22"/>
        </w:rPr>
      </w:pPr>
    </w:p>
    <w:sectPr w:rsidRPr="00C2132B" w:rsidR="00F1704D">
      <w:headerReference w:type="default" r:id="rId7"/>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E7311" w:rsidP="00112F5B" w:rsidRDefault="007E7311" w14:paraId="47A24F9A" w14:textId="77777777">
      <w:pPr>
        <w:spacing w:after="0" w:line="240" w:lineRule="auto"/>
      </w:pPr>
      <w:r>
        <w:separator/>
      </w:r>
    </w:p>
  </w:endnote>
  <w:endnote w:type="continuationSeparator" w:id="0">
    <w:p w:rsidR="007E7311" w:rsidP="00112F5B" w:rsidRDefault="007E7311" w14:paraId="4ED0203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E7311" w:rsidP="00112F5B" w:rsidRDefault="007E7311" w14:paraId="2A8D2F06" w14:textId="77777777">
      <w:pPr>
        <w:spacing w:after="0" w:line="240" w:lineRule="auto"/>
      </w:pPr>
      <w:r>
        <w:separator/>
      </w:r>
    </w:p>
  </w:footnote>
  <w:footnote w:type="continuationSeparator" w:id="0">
    <w:p w:rsidR="007E7311" w:rsidP="00112F5B" w:rsidRDefault="007E7311" w14:paraId="2C44D91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191749"/>
      <w:docPartObj>
        <w:docPartGallery w:val="Page Numbers (Top of Page)"/>
        <w:docPartUnique/>
      </w:docPartObj>
    </w:sdtPr>
    <w:sdtEndPr>
      <w:rPr>
        <w:rFonts w:ascii="Times New Roman" w:hAnsi="Times New Roman" w:cs="Times New Roman"/>
        <w:noProof/>
      </w:rPr>
    </w:sdtEndPr>
    <w:sdtContent>
      <w:p w:rsidRPr="00112F5B" w:rsidR="00112F5B" w:rsidRDefault="00112F5B" w14:paraId="3F6DD21F" w14:textId="15B83C95">
        <w:pPr>
          <w:pStyle w:val="Header"/>
          <w:jc w:val="right"/>
          <w:rPr>
            <w:rFonts w:ascii="Times New Roman" w:hAnsi="Times New Roman" w:cs="Times New Roman"/>
          </w:rPr>
        </w:pPr>
        <w:r w:rsidRPr="00112F5B">
          <w:rPr>
            <w:rFonts w:ascii="Times New Roman" w:hAnsi="Times New Roman" w:cs="Times New Roman"/>
          </w:rPr>
          <w:fldChar w:fldCharType="begin"/>
        </w:r>
        <w:r w:rsidRPr="00112F5B">
          <w:rPr>
            <w:rFonts w:ascii="Times New Roman" w:hAnsi="Times New Roman" w:cs="Times New Roman"/>
          </w:rPr>
          <w:instrText xml:space="preserve"> PAGE   \* MERGEFORMAT </w:instrText>
        </w:r>
        <w:r w:rsidRPr="00112F5B">
          <w:rPr>
            <w:rFonts w:ascii="Times New Roman" w:hAnsi="Times New Roman" w:cs="Times New Roman"/>
          </w:rPr>
          <w:fldChar w:fldCharType="separate"/>
        </w:r>
        <w:r w:rsidRPr="00112F5B">
          <w:rPr>
            <w:rFonts w:ascii="Times New Roman" w:hAnsi="Times New Roman" w:cs="Times New Roman"/>
            <w:noProof/>
          </w:rPr>
          <w:t>2</w:t>
        </w:r>
        <w:r w:rsidRPr="00112F5B">
          <w:rPr>
            <w:rFonts w:ascii="Times New Roman" w:hAnsi="Times New Roman" w:cs="Times New Roman"/>
            <w:noProof/>
          </w:rPr>
          <w:fldChar w:fldCharType="end"/>
        </w:r>
      </w:p>
    </w:sdtContent>
  </w:sdt>
  <w:p w:rsidRPr="00112F5B" w:rsidR="00112F5B" w:rsidRDefault="00112F5B" w14:paraId="5EAE2A60" w14:textId="77777777">
    <w:pPr>
      <w:pStyle w:val="Header"/>
      <w:rPr>
        <w:rFonts w:ascii="Times New Roman" w:hAnsi="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F5B"/>
    <w:rsid w:val="00112F5B"/>
    <w:rsid w:val="003B3520"/>
    <w:rsid w:val="003E2E7D"/>
    <w:rsid w:val="004144B2"/>
    <w:rsid w:val="004C7392"/>
    <w:rsid w:val="005427D9"/>
    <w:rsid w:val="00572149"/>
    <w:rsid w:val="00635954"/>
    <w:rsid w:val="00645D37"/>
    <w:rsid w:val="0074514A"/>
    <w:rsid w:val="007669D1"/>
    <w:rsid w:val="007B5602"/>
    <w:rsid w:val="007E7311"/>
    <w:rsid w:val="00857D04"/>
    <w:rsid w:val="0089138F"/>
    <w:rsid w:val="00941C51"/>
    <w:rsid w:val="00941CBA"/>
    <w:rsid w:val="00AD4279"/>
    <w:rsid w:val="00B000DA"/>
    <w:rsid w:val="00B21C1D"/>
    <w:rsid w:val="00C2132B"/>
    <w:rsid w:val="00C52AE6"/>
    <w:rsid w:val="00D62EF0"/>
    <w:rsid w:val="00E370EA"/>
    <w:rsid w:val="00F1704D"/>
    <w:rsid w:val="00F212D2"/>
    <w:rsid w:val="00F41B80"/>
    <w:rsid w:val="00F8616F"/>
    <w:rsid w:val="00FA6FD9"/>
    <w:rsid w:val="00FD254D"/>
    <w:rsid w:val="18B14734"/>
    <w:rsid w:val="31ACECA8"/>
    <w:rsid w:val="37848C6A"/>
    <w:rsid w:val="38CE9902"/>
    <w:rsid w:val="5E07B5B9"/>
    <w:rsid w:val="66303964"/>
    <w:rsid w:val="77AD2D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56C5D"/>
  <w15:chartTrackingRefBased/>
  <w15:docId w15:val="{A6521387-3DBE-46EB-8114-E952898F3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12F5B"/>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2F5B"/>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2F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2F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2F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2F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2F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2F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2F5B"/>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12F5B"/>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112F5B"/>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112F5B"/>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112F5B"/>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112F5B"/>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112F5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12F5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12F5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12F5B"/>
    <w:rPr>
      <w:rFonts w:eastAsiaTheme="majorEastAsia" w:cstheme="majorBidi"/>
      <w:color w:val="272727" w:themeColor="text1" w:themeTint="D8"/>
    </w:rPr>
  </w:style>
  <w:style w:type="paragraph" w:styleId="Title">
    <w:name w:val="Title"/>
    <w:basedOn w:val="Normal"/>
    <w:next w:val="Normal"/>
    <w:link w:val="TitleChar"/>
    <w:uiPriority w:val="10"/>
    <w:qFormat/>
    <w:rsid w:val="00112F5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12F5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12F5B"/>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12F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2F5B"/>
    <w:pPr>
      <w:spacing w:before="160"/>
      <w:jc w:val="center"/>
    </w:pPr>
    <w:rPr>
      <w:i/>
      <w:iCs/>
      <w:color w:val="404040" w:themeColor="text1" w:themeTint="BF"/>
    </w:rPr>
  </w:style>
  <w:style w:type="character" w:styleId="QuoteChar" w:customStyle="1">
    <w:name w:val="Quote Char"/>
    <w:basedOn w:val="DefaultParagraphFont"/>
    <w:link w:val="Quote"/>
    <w:uiPriority w:val="29"/>
    <w:rsid w:val="00112F5B"/>
    <w:rPr>
      <w:i/>
      <w:iCs/>
      <w:color w:val="404040" w:themeColor="text1" w:themeTint="BF"/>
    </w:rPr>
  </w:style>
  <w:style w:type="paragraph" w:styleId="ListParagraph">
    <w:name w:val="List Paragraph"/>
    <w:basedOn w:val="Normal"/>
    <w:uiPriority w:val="34"/>
    <w:qFormat/>
    <w:rsid w:val="00112F5B"/>
    <w:pPr>
      <w:ind w:left="720"/>
      <w:contextualSpacing/>
    </w:pPr>
  </w:style>
  <w:style w:type="character" w:styleId="IntenseEmphasis">
    <w:name w:val="Intense Emphasis"/>
    <w:basedOn w:val="DefaultParagraphFont"/>
    <w:uiPriority w:val="21"/>
    <w:qFormat/>
    <w:rsid w:val="00112F5B"/>
    <w:rPr>
      <w:i/>
      <w:iCs/>
      <w:color w:val="0F4761" w:themeColor="accent1" w:themeShade="BF"/>
    </w:rPr>
  </w:style>
  <w:style w:type="paragraph" w:styleId="IntenseQuote">
    <w:name w:val="Intense Quote"/>
    <w:basedOn w:val="Normal"/>
    <w:next w:val="Normal"/>
    <w:link w:val="IntenseQuoteChar"/>
    <w:uiPriority w:val="30"/>
    <w:qFormat/>
    <w:rsid w:val="00112F5B"/>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112F5B"/>
    <w:rPr>
      <w:i/>
      <w:iCs/>
      <w:color w:val="0F4761" w:themeColor="accent1" w:themeShade="BF"/>
    </w:rPr>
  </w:style>
  <w:style w:type="character" w:styleId="IntenseReference">
    <w:name w:val="Intense Reference"/>
    <w:basedOn w:val="DefaultParagraphFont"/>
    <w:uiPriority w:val="32"/>
    <w:qFormat/>
    <w:rsid w:val="00112F5B"/>
    <w:rPr>
      <w:b/>
      <w:bCs/>
      <w:smallCaps/>
      <w:color w:val="0F4761" w:themeColor="accent1" w:themeShade="BF"/>
      <w:spacing w:val="5"/>
    </w:rPr>
  </w:style>
  <w:style w:type="paragraph" w:styleId="Header">
    <w:name w:val="header"/>
    <w:basedOn w:val="Normal"/>
    <w:link w:val="HeaderChar"/>
    <w:uiPriority w:val="99"/>
    <w:unhideWhenUsed/>
    <w:rsid w:val="00112F5B"/>
    <w:pPr>
      <w:tabs>
        <w:tab w:val="center" w:pos="4680"/>
        <w:tab w:val="right" w:pos="9360"/>
      </w:tabs>
      <w:spacing w:after="0" w:line="240" w:lineRule="auto"/>
    </w:pPr>
  </w:style>
  <w:style w:type="character" w:styleId="HeaderChar" w:customStyle="1">
    <w:name w:val="Header Char"/>
    <w:basedOn w:val="DefaultParagraphFont"/>
    <w:link w:val="Header"/>
    <w:uiPriority w:val="99"/>
    <w:rsid w:val="00112F5B"/>
  </w:style>
  <w:style w:type="paragraph" w:styleId="Footer">
    <w:name w:val="footer"/>
    <w:basedOn w:val="Normal"/>
    <w:link w:val="FooterChar"/>
    <w:uiPriority w:val="99"/>
    <w:unhideWhenUsed/>
    <w:rsid w:val="00112F5B"/>
    <w:pPr>
      <w:tabs>
        <w:tab w:val="center" w:pos="4680"/>
        <w:tab w:val="right" w:pos="9360"/>
      </w:tabs>
      <w:spacing w:after="0" w:line="240" w:lineRule="auto"/>
    </w:pPr>
  </w:style>
  <w:style w:type="character" w:styleId="FooterChar" w:customStyle="1">
    <w:name w:val="Footer Char"/>
    <w:basedOn w:val="DefaultParagraphFont"/>
    <w:link w:val="Footer"/>
    <w:uiPriority w:val="99"/>
    <w:rsid w:val="00112F5B"/>
  </w:style>
  <w:style w:type="paragraph" w:styleId="NormalWeb">
    <w:name w:val="Normal (Web)"/>
    <w:basedOn w:val="Normal"/>
    <w:uiPriority w:val="99"/>
    <w:unhideWhenUsed/>
    <w:rsid w:val="00F1704D"/>
    <w:pPr>
      <w:spacing w:before="100" w:beforeAutospacing="1" w:after="100" w:afterAutospacing="1" w:line="240" w:lineRule="auto"/>
    </w:pPr>
    <w:rPr>
      <w:rFonts w:ascii="Times New Roman" w:hAnsi="Times New Roman" w:eastAsia="Times New Roman" w:cs="Times New Roman"/>
      <w:kern w:val="0"/>
      <w14:ligatures w14:val="none"/>
    </w:rPr>
  </w:style>
  <w:style w:type="character" w:styleId="Emphasis">
    <w:name w:val="Emphasis"/>
    <w:basedOn w:val="DefaultParagraphFont"/>
    <w:uiPriority w:val="20"/>
    <w:qFormat/>
    <w:rsid w:val="00F1704D"/>
    <w:rPr>
      <w:i/>
      <w:iCs/>
    </w:rPr>
  </w:style>
  <w:style w:type="character" w:styleId="Hyperlink">
    <w:name w:val="Hyperlink"/>
    <w:basedOn w:val="DefaultParagraphFont"/>
    <w:uiPriority w:val="99"/>
    <w:semiHidden/>
    <w:unhideWhenUsed/>
    <w:rsid w:val="00F1704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webSettings" Target="webSettings.xml" Id="rId3" /><Relationship Type="http://schemas.openxmlformats.org/officeDocument/2006/relationships/header" Target="header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yperlink" Target="https://www.babmrjournal.org/index.php/ijmaber/article/view/65?utm_source=chatgpt.com" TargetMode="External" Id="rId6" /><Relationship Type="http://schemas.openxmlformats.org/officeDocument/2006/relationships/endnotes" Target="endnotes.xml" Id="rId5" /><Relationship Type="http://schemas.openxmlformats.org/officeDocument/2006/relationships/footnotes" Target="footnotes.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2025-11-11T18:02:00.0000000Z</dcterms:created>
  <dcterms:modified xsi:type="dcterms:W3CDTF">2025-11-21T14:04:58.5801713Z</dcterms:modified>
  <lastModifiedBy>Zayn Hussain (2407010)</lastModifiedBy>
</coreProperties>
</file>