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5943" w:rsidRPr="00765943" w:rsidRDefault="000D0EDC" w:rsidP="00765943">
      <w:pPr>
        <w:spacing w:before="100" w:beforeAutospacing="1" w:after="100" w:afterAutospacing="1" w:line="240" w:lineRule="auto"/>
        <w:rPr>
          <w:rFonts w:ascii="Times New Roman" w:eastAsia="Times New Roman" w:hAnsi="Times New Roman" w:cs="Times New Roman"/>
          <w:sz w:val="24"/>
          <w:szCs w:val="24"/>
          <w:lang w:eastAsia="en-GB"/>
        </w:rPr>
      </w:pPr>
      <w:r w:rsidRPr="000D0EDC">
        <w:rPr>
          <w:rFonts w:ascii="Times New Roman" w:eastAsia="Times New Roman" w:hAnsi="Times New Roman" w:cs="Times New Roman"/>
          <w:noProof/>
          <w:sz w:val="24"/>
          <w:szCs w:val="20"/>
          <w:lang w:eastAsia="en-GB"/>
        </w:rPr>
        <w:drawing>
          <wp:inline distT="0" distB="0" distL="0" distR="0" wp14:anchorId="7F4F0A09" wp14:editId="1640F15C">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rsidR="00765943" w:rsidRPr="00765943" w:rsidRDefault="000D0EDC" w:rsidP="007659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5" style="width:0;height:1.5pt" o:hralign="center" o:hrstd="t" o:hr="t" fillcolor="#a0a0a0" stroked="f"/>
        </w:pict>
      </w:r>
    </w:p>
    <w:p w:rsidR="00765943" w:rsidRPr="00765943" w:rsidRDefault="00765943" w:rsidP="00765943">
      <w:pPr>
        <w:spacing w:before="100" w:beforeAutospacing="1" w:after="100" w:afterAutospacing="1" w:line="240" w:lineRule="auto"/>
        <w:rPr>
          <w:rFonts w:ascii="Times New Roman" w:eastAsia="Times New Roman" w:hAnsi="Times New Roman" w:cs="Times New Roman"/>
          <w:sz w:val="24"/>
          <w:szCs w:val="24"/>
          <w:lang w:eastAsia="en-GB"/>
        </w:rPr>
      </w:pPr>
      <w:r w:rsidRPr="00765943">
        <w:rPr>
          <w:rFonts w:ascii="Times New Roman" w:eastAsia="Times New Roman" w:hAnsi="Times New Roman" w:cs="Times New Roman"/>
          <w:b/>
          <w:bCs/>
          <w:sz w:val="24"/>
          <w:szCs w:val="24"/>
          <w:lang w:eastAsia="en-GB"/>
        </w:rPr>
        <w:t>Reflective Account</w:t>
      </w:r>
      <w:r w:rsidRPr="00765943">
        <w:rPr>
          <w:rFonts w:ascii="Times New Roman" w:eastAsia="Times New Roman" w:hAnsi="Times New Roman" w:cs="Times New Roman"/>
          <w:sz w:val="24"/>
          <w:szCs w:val="24"/>
          <w:lang w:eastAsia="en-GB"/>
        </w:rPr>
        <w:br/>
      </w:r>
      <w:r w:rsidRPr="00765943">
        <w:rPr>
          <w:rFonts w:ascii="Times New Roman" w:eastAsia="Times New Roman" w:hAnsi="Times New Roman" w:cs="Times New Roman"/>
          <w:b/>
          <w:bCs/>
          <w:sz w:val="24"/>
          <w:szCs w:val="24"/>
          <w:lang w:eastAsia="en-GB"/>
        </w:rPr>
        <w:t>Student Name</w:t>
      </w:r>
      <w:r w:rsidRPr="00765943">
        <w:rPr>
          <w:rFonts w:ascii="Times New Roman" w:eastAsia="Times New Roman" w:hAnsi="Times New Roman" w:cs="Times New Roman"/>
          <w:sz w:val="24"/>
          <w:szCs w:val="24"/>
          <w:lang w:eastAsia="en-GB"/>
        </w:rPr>
        <w:t>: Elsayed Elhoshi</w:t>
      </w:r>
      <w:r w:rsidRPr="00765943">
        <w:rPr>
          <w:rFonts w:ascii="Times New Roman" w:eastAsia="Times New Roman" w:hAnsi="Times New Roman" w:cs="Times New Roman"/>
          <w:sz w:val="24"/>
          <w:szCs w:val="24"/>
          <w:lang w:eastAsia="en-GB"/>
        </w:rPr>
        <w:br/>
      </w:r>
      <w:r w:rsidRPr="00765943">
        <w:rPr>
          <w:rFonts w:ascii="Times New Roman" w:eastAsia="Times New Roman" w:hAnsi="Times New Roman" w:cs="Times New Roman"/>
          <w:b/>
          <w:bCs/>
          <w:sz w:val="24"/>
          <w:szCs w:val="24"/>
          <w:lang w:eastAsia="en-GB"/>
        </w:rPr>
        <w:t>Student No.</w:t>
      </w:r>
      <w:r w:rsidRPr="00765943">
        <w:rPr>
          <w:rFonts w:ascii="Times New Roman" w:eastAsia="Times New Roman" w:hAnsi="Times New Roman" w:cs="Times New Roman"/>
          <w:sz w:val="24"/>
          <w:szCs w:val="24"/>
          <w:lang w:eastAsia="en-GB"/>
        </w:rPr>
        <w:t>: 2420482</w:t>
      </w:r>
    </w:p>
    <w:p w:rsidR="00765943" w:rsidRPr="00765943" w:rsidRDefault="000D0EDC" w:rsidP="00765943">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6" style="width:0;height:1.5pt" o:hralign="center" o:hrstd="t" o:hr="t" fillcolor="#a0a0a0" stroked="f"/>
        </w:pict>
      </w:r>
    </w:p>
    <w:p w:rsidR="00765943" w:rsidRPr="00765943" w:rsidRDefault="00765943" w:rsidP="00765943">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Reflective Account</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To begin with, I was not entirely satisfied with my performance during the microteach session, as I believe it could have been much better compared to my teaching experience in Egypt before coming to the UK. It was my first-time teaching English in a new environment like the UK, particularly in a placement setting. Additionally, the absence of important teaching tools further contributed to the challenges I faced. These factors might have impacted my confidence and comfort during the session. Despite these difficulties, the experience proved to be a valuable learning opportunity, helping me adapt to different teaching contexts and develop greater resilience as an educator. Teachers must respond and adapt to new learning environments by adjusting their teaching methods and strategies to accommodate changes in classroom dynamics and open learning settings (Deed and Lesko, 2015).</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I was particularly pleased with entering the session fully prepared and open to feedback from my observing lecturer and classmates.</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7" style="width:0;height:1.5pt" o:hralign="center" o:hrstd="t" o:hr="t" fillcolor="#a0a0a0" stroked="f"/>
        </w:pict>
      </w: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Lesson Planning and Preparation</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Despite the challenges, I was pleased to hear that my lesson aims and outcomes were measurable, achievable, and aligned well with the lesson objectives. My identification of prior knowledge and anticipated difficulties was also commended. Feedback highlighted that my lesson plan was well-structured, enabling me to navigate the session confidently. Additionally, my handout was deemed appropriate and supportive, further enhancing the session.</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A significant issue was the lack of necessary resources. I had planned to use various tools, including coloured markers, sentence worksheets, and a visual aid on the whiteboard. However, these materials were unavailable, which, combined with tight timing, prevented me from fully executing my plans. According to the article </w:t>
      </w:r>
      <w:r w:rsidRPr="00765943">
        <w:rPr>
          <w:rFonts w:ascii="Times New Roman" w:eastAsia="Times New Roman" w:hAnsi="Times New Roman" w:cs="Times New Roman"/>
          <w:i/>
          <w:iCs/>
          <w:sz w:val="24"/>
          <w:szCs w:val="24"/>
          <w:lang w:eastAsia="en-GB"/>
        </w:rPr>
        <w:t>Importance of Preparation and Planning for Teachers</w:t>
      </w:r>
      <w:r w:rsidRPr="00765943">
        <w:rPr>
          <w:rFonts w:ascii="Times New Roman" w:eastAsia="Times New Roman" w:hAnsi="Times New Roman" w:cs="Times New Roman"/>
          <w:sz w:val="24"/>
          <w:szCs w:val="24"/>
          <w:lang w:eastAsia="en-GB"/>
        </w:rPr>
        <w:t xml:space="preserve"> (Ecole Globale, no date), effective preparation is crucial for teachers to engage their students, manage classrooms effectively, and meet educational goals.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In Egypt, educational institutions typically provide all essential teaching supplies, such as markers and erasers, whereas in the UK, teachers are expected to bring their materials. This contrast emphasized the importance of self-reliance. Moving forward, I will ensure that I am </w:t>
      </w:r>
      <w:r w:rsidRPr="00765943">
        <w:rPr>
          <w:rFonts w:ascii="Times New Roman" w:eastAsia="Times New Roman" w:hAnsi="Times New Roman" w:cs="Times New Roman"/>
          <w:sz w:val="24"/>
          <w:szCs w:val="24"/>
          <w:lang w:eastAsia="en-GB"/>
        </w:rPr>
        <w:lastRenderedPageBreak/>
        <w:t>always prepared by creating a checklist to confirm the availability of all resources before each session.</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This situation also taught me the value of adaptability and problem-solving. For example, I could have improvised with available resources or prepared an alternative plan. Cultivating flexibility and resilience will be key skills I continue to develop.</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28" style="width:0;height:1.5pt" o:hralign="center" o:hrstd="t" o:hr="t" fillcolor="#a0a0a0" stroked="f"/>
        </w:pict>
      </w: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Teaching and Delivery</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I gained valuable insights into the strengths and areas for improvement in my teaching delivery. One aspect I am proud of is how I introduced myself and explained the lesson plan clearly, which helped set a positive tone. Using students’ names fostered a sense of connection and engagement, and my icebreaker activity effectively aligned with my lesson objectives. Lima Jr. (2023) emphasizes that to maximize student engagement and achieve positive outcomes, teachers must intentionally prioritize fostering strong relationships with their students within the classroom.</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My ability to provide examples to support understanding was another strength. However, I forgot to distribute the prepared handouts during the session, which could have clarified instructions and reduced confusion. To avoid such oversights in the future, I plan to use a detailed checklist to ensure that all tasks are completed during the lesson.</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Feedback noted that my pace of delivery was appropriate, and I responded well to students’ needs by offering additional examples when difficulties arose. I also encouraged students to ask questions and revisit key concepts, which was recognized as a strength.</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The feedback on my use of the whiteboard was particularly insightful. While my writing was clear and visible, better planning and preparation could have prevented issues such as smudging and improper wiping. I also realized the importance of leaving the board clean for the next user. Frequent turning to the board also made it harder for students to hear me clearly at times. Moving forward, I will maintain eye contact and project my voice effectively. I also plan to explore using technology, such as PowerPoint, to reduce reliance on the whiteboard and enhance both clarity and engagement.</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Another area for growth is providing clearer explanations of terminology, such as "infinitive," "time clause," and "conditional clause." I now understand that explaining these terms upfront would have reduced confusion and helped students follow along. I initially assumed that native English speakers had a higher level of grammatical knowledge than the intermediate content I delivered. However, I’ve since realized that grammar instruction in UK schools differs significantly from that in Egypt, where students study grammar in depth. This underscores the importance of adapting my teaching approach to different educational contexts.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I was pleased to receive recognition for my ability to encourage and praise students, providing tailored examples to support their success. By the end of the session, students demonstrated their understanding by accurately completing the sentence strips activity, reflecting that the lesson objectives were met. My summative assessment was also commended for effectively gauging students' understanding, further validating the session’s success.</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pict>
          <v:rect id="_x0000_i1029" style="width:0;height:1.5pt" o:hralign="center" o:hrstd="t" o:hr="t" fillcolor="#a0a0a0" stroked="f"/>
        </w:pict>
      </w:r>
    </w:p>
    <w:p w:rsidR="000D0EDC" w:rsidRDefault="000D0EDC"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Professional Knowledge and Skills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Feedback on my professional knowledge and skills highlighted several strengths and areas for growth. It was encouraging to hear that my lesson plan aligned with professional standards, although I now recognize the need to explicitly reference the </w:t>
      </w:r>
      <w:r w:rsidRPr="00765943">
        <w:rPr>
          <w:rFonts w:ascii="Times New Roman" w:eastAsia="Times New Roman" w:hAnsi="Times New Roman" w:cs="Times New Roman"/>
          <w:i/>
          <w:iCs/>
          <w:sz w:val="24"/>
          <w:szCs w:val="24"/>
          <w:lang w:eastAsia="en-GB"/>
        </w:rPr>
        <w:t>Professional Standards for Further Education Teachers, Work-Based Learning Practitioners, and Adult Learning Practitioners in Wales</w:t>
      </w:r>
      <w:r w:rsidRPr="00765943">
        <w:rPr>
          <w:rFonts w:ascii="Times New Roman" w:eastAsia="Times New Roman" w:hAnsi="Times New Roman" w:cs="Times New Roman"/>
          <w:sz w:val="24"/>
          <w:szCs w:val="24"/>
          <w:lang w:eastAsia="en-GB"/>
        </w:rPr>
        <w:t xml:space="preserve"> (Welsh Government, 2022) in my planning. This will enhance the credibility of my lesson plans and ensure they meet the specific expectations of my teaching context.</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My assessment strategies were effective, as evidenced by students’ ability to demonstrate their learning by the session’s end. This reinforces the importance of integrating clear and measurable assessments into my teaching practice. Moving forward, I will continue prioritizing assessments that not only measure understanding but also inform future teaching.</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The recognition of my subject knowledge within my teaching context was particularly affirming. It motivates me to deepen my expertise and ensure my understanding translates into impactful teaching practices. I will continue refining my delivery methods to suit the needs of diverse learners, enhancing their engagement and success.</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0" style="width:0;height:1.5pt" o:hralign="center" o:hrstd="t" o:hr="t" fillcolor="#a0a0a0" stroked="f"/>
        </w:pict>
      </w: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Points for Future Development</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The feedback provided by my observing lecturer highlighted key areas for improvement. One strength was my preparation and planning, including having resources like cut-out sheets ready. Moving forward, I aim to maintain this standard while ensuring that all materials are fully utilized. For example, I will integrate handouts into the lesson more effectively to clarify instructions and reinforce learning objectives.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Encouraging students to actively provide examples rather than relying solely on my own is another area for development. This will foster a more interactive and participatory learning environment. I plan to incorporate strategies such as directed questioning and group discussions to encourage student contributions. Almasi (2016) argues that questioning strategies and structured discussions, when designed to foster positivity and engagement, can significantly enhance students' understanding.</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Additionally, I recognize the importance of clear communication when transitioning between inviting student participation and providing explanations. Explicit signals, such as verbal cues or changes in tone, will help establish these boundaries and minimize confusion.</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1" style="width:0;height:1.5pt" o:hralign="center" o:hrstd="t" o:hr="t" fillcolor="#a0a0a0" stroked="f"/>
        </w:pict>
      </w:r>
    </w:p>
    <w:p w:rsidR="000D0EDC" w:rsidRDefault="000D0EDC"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bookmarkStart w:id="0" w:name="_GoBack"/>
      <w:bookmarkEnd w:id="0"/>
      <w:r w:rsidRPr="00765943">
        <w:rPr>
          <w:rFonts w:ascii="Times New Roman" w:eastAsia="Times New Roman" w:hAnsi="Times New Roman" w:cs="Times New Roman"/>
          <w:b/>
          <w:bCs/>
          <w:sz w:val="27"/>
          <w:szCs w:val="27"/>
          <w:lang w:eastAsia="en-GB"/>
        </w:rPr>
        <w:lastRenderedPageBreak/>
        <w:t>Conclusion</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Reflecting on my microteach experience has provided valuable insights into my teaching practice and areas for improvement. Although I was not entirely satisfied with my performance, the challenges I faced have taught me key lessons for future development.</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To address resource-related issues, I will adopt a proactive approach by creating a checklist and ensuring all necessary materials are ready before each session. I will also develop greater adaptability by preparing alternative strategies for unforeseen circumstances, such as using technology to enhance engagement and reduce reliance on the whiteboard.</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To improve student engagement, I plan to involve learners more actively in generating examples and participating in discussions, fostering a more interactive classroom environment. Clearer communication and signalling during transitions will also be a focus.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Finally, I will prioritize clear explanations of foundational terminology, recognizing the varied levels of prior knowledge among students. By integrating these strategies into my teaching, I aim to deliver more effective, engaging, and inclusive lessons, strengthening my skills and resilience as an educator.</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2" style="width:0;height:1.5pt" o:hralign="center" o:hrstd="t" o:hr="t" fillcolor="#a0a0a0" stroked="f"/>
        </w:pict>
      </w:r>
    </w:p>
    <w:p w:rsidR="00765943" w:rsidRPr="00765943" w:rsidRDefault="00765943" w:rsidP="000D0EDC">
      <w:pPr>
        <w:spacing w:before="100" w:beforeAutospacing="1" w:after="100" w:afterAutospacing="1" w:line="240" w:lineRule="auto"/>
        <w:jc w:val="both"/>
        <w:outlineLvl w:val="2"/>
        <w:rPr>
          <w:rFonts w:ascii="Times New Roman" w:eastAsia="Times New Roman" w:hAnsi="Times New Roman" w:cs="Times New Roman"/>
          <w:b/>
          <w:bCs/>
          <w:sz w:val="27"/>
          <w:szCs w:val="27"/>
          <w:lang w:eastAsia="en-GB"/>
        </w:rPr>
      </w:pPr>
      <w:r w:rsidRPr="00765943">
        <w:rPr>
          <w:rFonts w:ascii="Times New Roman" w:eastAsia="Times New Roman" w:hAnsi="Times New Roman" w:cs="Times New Roman"/>
          <w:b/>
          <w:bCs/>
          <w:sz w:val="27"/>
          <w:szCs w:val="27"/>
          <w:lang w:eastAsia="en-GB"/>
        </w:rPr>
        <w:t>References</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Almasi, J.F. (2016) </w:t>
      </w:r>
      <w:r w:rsidRPr="00765943">
        <w:rPr>
          <w:rFonts w:ascii="Times New Roman" w:eastAsia="Times New Roman" w:hAnsi="Times New Roman" w:cs="Times New Roman"/>
          <w:i/>
          <w:iCs/>
          <w:sz w:val="24"/>
          <w:szCs w:val="24"/>
          <w:lang w:eastAsia="en-GB"/>
        </w:rPr>
        <w:t>Using questioning strategies to promote students’ active discussion and comprehension of content area material.</w:t>
      </w:r>
      <w:r w:rsidRPr="00765943">
        <w:rPr>
          <w:rFonts w:ascii="Times New Roman" w:eastAsia="Times New Roman" w:hAnsi="Times New Roman" w:cs="Times New Roman"/>
          <w:sz w:val="24"/>
          <w:szCs w:val="24"/>
          <w:lang w:eastAsia="en-GB"/>
        </w:rPr>
        <w:t xml:space="preserve"> In: </w:t>
      </w:r>
      <w:r w:rsidRPr="00765943">
        <w:rPr>
          <w:rFonts w:ascii="Times New Roman" w:eastAsia="Times New Roman" w:hAnsi="Times New Roman" w:cs="Times New Roman"/>
          <w:i/>
          <w:iCs/>
          <w:sz w:val="24"/>
          <w:szCs w:val="24"/>
          <w:lang w:eastAsia="en-GB"/>
        </w:rPr>
        <w:t>Content Area Reading and Learning.</w:t>
      </w:r>
      <w:r w:rsidRPr="00765943">
        <w:rPr>
          <w:rFonts w:ascii="Times New Roman" w:eastAsia="Times New Roman" w:hAnsi="Times New Roman" w:cs="Times New Roman"/>
          <w:sz w:val="24"/>
          <w:szCs w:val="24"/>
          <w:lang w:eastAsia="en-GB"/>
        </w:rPr>
        <w:t xml:space="preserve"> Routledge, pp. 499–526.</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Deed, C. and Lesko, T. (2015) ‘</w:t>
      </w:r>
      <w:proofErr w:type="spellStart"/>
      <w:r w:rsidRPr="00765943">
        <w:rPr>
          <w:rFonts w:ascii="Times New Roman" w:eastAsia="Times New Roman" w:hAnsi="Times New Roman" w:cs="Times New Roman"/>
          <w:sz w:val="24"/>
          <w:szCs w:val="24"/>
          <w:lang w:eastAsia="en-GB"/>
        </w:rPr>
        <w:t>Unwalling</w:t>
      </w:r>
      <w:proofErr w:type="spellEnd"/>
      <w:r w:rsidRPr="00765943">
        <w:rPr>
          <w:rFonts w:ascii="Times New Roman" w:eastAsia="Times New Roman" w:hAnsi="Times New Roman" w:cs="Times New Roman"/>
          <w:sz w:val="24"/>
          <w:szCs w:val="24"/>
          <w:lang w:eastAsia="en-GB"/>
        </w:rPr>
        <w:t xml:space="preserve"> the classroom: teacher reaction and adaptation.’ </w:t>
      </w:r>
      <w:r w:rsidRPr="00765943">
        <w:rPr>
          <w:rFonts w:ascii="Times New Roman" w:eastAsia="Times New Roman" w:hAnsi="Times New Roman" w:cs="Times New Roman"/>
          <w:i/>
          <w:iCs/>
          <w:sz w:val="24"/>
          <w:szCs w:val="24"/>
          <w:lang w:eastAsia="en-GB"/>
        </w:rPr>
        <w:t>Learning Environments Research,</w:t>
      </w:r>
      <w:r w:rsidRPr="00765943">
        <w:rPr>
          <w:rFonts w:ascii="Times New Roman" w:eastAsia="Times New Roman" w:hAnsi="Times New Roman" w:cs="Times New Roman"/>
          <w:sz w:val="24"/>
          <w:szCs w:val="24"/>
          <w:lang w:eastAsia="en-GB"/>
        </w:rPr>
        <w:t xml:space="preserve"> 18(2), pp. 217–231. Available at: </w:t>
      </w:r>
      <w:hyperlink r:id="rId6" w:history="1">
        <w:r w:rsidRPr="00765943">
          <w:rPr>
            <w:rFonts w:ascii="Times New Roman" w:eastAsia="Times New Roman" w:hAnsi="Times New Roman" w:cs="Times New Roman"/>
            <w:color w:val="0000FF"/>
            <w:sz w:val="24"/>
            <w:szCs w:val="24"/>
            <w:u w:val="single"/>
            <w:lang w:eastAsia="en-GB"/>
          </w:rPr>
          <w:t>https://doi.org/10.1007/s10984-015-9181-6</w:t>
        </w:r>
      </w:hyperlink>
      <w:r w:rsidRPr="00765943">
        <w:rPr>
          <w:rFonts w:ascii="Times New Roman" w:eastAsia="Times New Roman" w:hAnsi="Times New Roman" w:cs="Times New Roman"/>
          <w:sz w:val="24"/>
          <w:szCs w:val="24"/>
          <w:lang w:eastAsia="en-GB"/>
        </w:rPr>
        <w:t xml:space="preserve"> [Accessed 5 December 2024].</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Ecole Globale (no date) </w:t>
      </w:r>
      <w:r w:rsidRPr="00765943">
        <w:rPr>
          <w:rFonts w:ascii="Times New Roman" w:eastAsia="Times New Roman" w:hAnsi="Times New Roman" w:cs="Times New Roman"/>
          <w:i/>
          <w:iCs/>
          <w:sz w:val="24"/>
          <w:szCs w:val="24"/>
          <w:lang w:eastAsia="en-GB"/>
        </w:rPr>
        <w:t>Importance of preparation and planning for teachers.</w:t>
      </w:r>
      <w:r w:rsidRPr="00765943">
        <w:rPr>
          <w:rFonts w:ascii="Times New Roman" w:eastAsia="Times New Roman" w:hAnsi="Times New Roman" w:cs="Times New Roman"/>
          <w:sz w:val="24"/>
          <w:szCs w:val="24"/>
          <w:lang w:eastAsia="en-GB"/>
        </w:rPr>
        <w:t xml:space="preserve"> Available at: </w:t>
      </w:r>
      <w:hyperlink r:id="rId7" w:history="1">
        <w:r w:rsidRPr="00765943">
          <w:rPr>
            <w:rFonts w:ascii="Times New Roman" w:eastAsia="Times New Roman" w:hAnsi="Times New Roman" w:cs="Times New Roman"/>
            <w:color w:val="0000FF"/>
            <w:sz w:val="24"/>
            <w:szCs w:val="24"/>
            <w:u w:val="single"/>
            <w:lang w:eastAsia="en-GB"/>
          </w:rPr>
          <w:t>https://www.ecoleglobale.com/blog/importance-of-preparation-and-planning-for-teachers/</w:t>
        </w:r>
      </w:hyperlink>
      <w:r w:rsidRPr="00765943">
        <w:rPr>
          <w:rFonts w:ascii="Times New Roman" w:eastAsia="Times New Roman" w:hAnsi="Times New Roman" w:cs="Times New Roman"/>
          <w:sz w:val="24"/>
          <w:szCs w:val="24"/>
          <w:lang w:eastAsia="en-GB"/>
        </w:rPr>
        <w:t xml:space="preserve"> [Accessed 5 December 2024].</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Lima Jr, S. (2023) </w:t>
      </w:r>
      <w:r w:rsidRPr="00765943">
        <w:rPr>
          <w:rFonts w:ascii="Times New Roman" w:eastAsia="Times New Roman" w:hAnsi="Times New Roman" w:cs="Times New Roman"/>
          <w:i/>
          <w:iCs/>
          <w:sz w:val="24"/>
          <w:szCs w:val="24"/>
          <w:lang w:eastAsia="en-GB"/>
        </w:rPr>
        <w:t>Increasing student engagement through student-teacher relationships, autonomy, and student-</w:t>
      </w:r>
      <w:proofErr w:type="spellStart"/>
      <w:r w:rsidRPr="00765943">
        <w:rPr>
          <w:rFonts w:ascii="Times New Roman" w:eastAsia="Times New Roman" w:hAnsi="Times New Roman" w:cs="Times New Roman"/>
          <w:i/>
          <w:iCs/>
          <w:sz w:val="24"/>
          <w:szCs w:val="24"/>
          <w:lang w:eastAsia="en-GB"/>
        </w:rPr>
        <w:t>centered</w:t>
      </w:r>
      <w:proofErr w:type="spellEnd"/>
      <w:r w:rsidRPr="00765943">
        <w:rPr>
          <w:rFonts w:ascii="Times New Roman" w:eastAsia="Times New Roman" w:hAnsi="Times New Roman" w:cs="Times New Roman"/>
          <w:i/>
          <w:iCs/>
          <w:sz w:val="24"/>
          <w:szCs w:val="24"/>
          <w:lang w:eastAsia="en-GB"/>
        </w:rPr>
        <w:t xml:space="preserve"> pedagogy.</w:t>
      </w:r>
      <w:r w:rsidRPr="00765943">
        <w:rPr>
          <w:rFonts w:ascii="Times New Roman" w:eastAsia="Times New Roman" w:hAnsi="Times New Roman" w:cs="Times New Roman"/>
          <w:sz w:val="24"/>
          <w:szCs w:val="24"/>
          <w:lang w:eastAsia="en-GB"/>
        </w:rPr>
        <w:t xml:space="preserve"> Doctoral dissertation, Fordham University.</w:t>
      </w:r>
    </w:p>
    <w:p w:rsidR="00765943" w:rsidRPr="00765943" w:rsidRDefault="00765943" w:rsidP="000D0ED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765943">
        <w:rPr>
          <w:rFonts w:ascii="Times New Roman" w:eastAsia="Times New Roman" w:hAnsi="Times New Roman" w:cs="Times New Roman"/>
          <w:sz w:val="24"/>
          <w:szCs w:val="24"/>
          <w:lang w:eastAsia="en-GB"/>
        </w:rPr>
        <w:t xml:space="preserve">Welsh Government (2022) </w:t>
      </w:r>
      <w:r w:rsidRPr="00765943">
        <w:rPr>
          <w:rFonts w:ascii="Times New Roman" w:eastAsia="Times New Roman" w:hAnsi="Times New Roman" w:cs="Times New Roman"/>
          <w:i/>
          <w:iCs/>
          <w:sz w:val="24"/>
          <w:szCs w:val="24"/>
          <w:lang w:eastAsia="en-GB"/>
        </w:rPr>
        <w:t>Professional standards for further education teachers, work-based learning practitioners, and adult learning practitioners in Wales.</w:t>
      </w:r>
      <w:r w:rsidRPr="00765943">
        <w:rPr>
          <w:rFonts w:ascii="Times New Roman" w:eastAsia="Times New Roman" w:hAnsi="Times New Roman" w:cs="Times New Roman"/>
          <w:sz w:val="24"/>
          <w:szCs w:val="24"/>
          <w:lang w:eastAsia="en-GB"/>
        </w:rPr>
        <w:t xml:space="preserve"> Available at: </w:t>
      </w:r>
      <w:hyperlink r:id="rId8" w:history="1">
        <w:r w:rsidRPr="00765943">
          <w:rPr>
            <w:rFonts w:ascii="Times New Roman" w:eastAsia="Times New Roman" w:hAnsi="Times New Roman" w:cs="Times New Roman"/>
            <w:color w:val="0000FF"/>
            <w:sz w:val="24"/>
            <w:szCs w:val="24"/>
            <w:u w:val="single"/>
            <w:lang w:eastAsia="en-GB"/>
          </w:rPr>
          <w:t>https://gov.wales/professional-standards-further-education-teachers-work-based-learning-practitioners-and-adult-learning</w:t>
        </w:r>
      </w:hyperlink>
      <w:r w:rsidRPr="00765943">
        <w:rPr>
          <w:rFonts w:ascii="Times New Roman" w:eastAsia="Times New Roman" w:hAnsi="Times New Roman" w:cs="Times New Roman"/>
          <w:sz w:val="24"/>
          <w:szCs w:val="24"/>
          <w:lang w:eastAsia="en-GB"/>
        </w:rPr>
        <w:t xml:space="preserve"> [Accessed 5 December 2024].</w:t>
      </w:r>
    </w:p>
    <w:p w:rsidR="00765943" w:rsidRPr="00765943" w:rsidRDefault="000D0EDC" w:rsidP="000D0EDC">
      <w:pPr>
        <w:spacing w:after="0" w:line="24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pict>
          <v:rect id="_x0000_i1033" style="width:0;height:1.5pt" o:hralign="center" o:hrstd="t" o:hr="t" fillcolor="#a0a0a0" stroked="f"/>
        </w:pict>
      </w:r>
    </w:p>
    <w:p w:rsidR="008C1614" w:rsidRPr="006F58B5" w:rsidRDefault="000D0EDC" w:rsidP="000D0EDC">
      <w:pPr>
        <w:jc w:val="both"/>
        <w:rPr>
          <w:rFonts w:cstheme="minorHAnsi"/>
          <w:sz w:val="24"/>
          <w:szCs w:val="24"/>
        </w:rPr>
      </w:pPr>
    </w:p>
    <w:sectPr w:rsidR="008C1614" w:rsidRPr="006F5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6F3A3F"/>
    <w:multiLevelType w:val="multilevel"/>
    <w:tmpl w:val="9A063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73"/>
    <w:rsid w:val="00095601"/>
    <w:rsid w:val="000C097A"/>
    <w:rsid w:val="000D0EDC"/>
    <w:rsid w:val="000D7734"/>
    <w:rsid w:val="001F4209"/>
    <w:rsid w:val="00272AFE"/>
    <w:rsid w:val="00303CAE"/>
    <w:rsid w:val="00447040"/>
    <w:rsid w:val="004945EB"/>
    <w:rsid w:val="00496935"/>
    <w:rsid w:val="00562A6B"/>
    <w:rsid w:val="00630E5A"/>
    <w:rsid w:val="00686E2E"/>
    <w:rsid w:val="006F58B5"/>
    <w:rsid w:val="00765943"/>
    <w:rsid w:val="007C253F"/>
    <w:rsid w:val="00903F2A"/>
    <w:rsid w:val="009C28AE"/>
    <w:rsid w:val="00A31350"/>
    <w:rsid w:val="00A974BB"/>
    <w:rsid w:val="00B57472"/>
    <w:rsid w:val="00C65AB9"/>
    <w:rsid w:val="00D05837"/>
    <w:rsid w:val="00DB5B73"/>
    <w:rsid w:val="00E41503"/>
    <w:rsid w:val="00E50F98"/>
    <w:rsid w:val="00FB172E"/>
    <w:rsid w:val="00FD12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2EE16"/>
  <w15:chartTrackingRefBased/>
  <w15:docId w15:val="{E6C18F6A-C968-4609-A61F-E91C011D3F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5B7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30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30E5A"/>
    <w:rPr>
      <w:b/>
      <w:bCs/>
    </w:rPr>
  </w:style>
  <w:style w:type="character" w:styleId="Emphasis">
    <w:name w:val="Emphasis"/>
    <w:basedOn w:val="DefaultParagraphFont"/>
    <w:uiPriority w:val="20"/>
    <w:qFormat/>
    <w:rsid w:val="00630E5A"/>
    <w:rPr>
      <w:i/>
      <w:iCs/>
    </w:rPr>
  </w:style>
  <w:style w:type="character" w:styleId="Hyperlink">
    <w:name w:val="Hyperlink"/>
    <w:basedOn w:val="DefaultParagraphFont"/>
    <w:uiPriority w:val="99"/>
    <w:semiHidden/>
    <w:unhideWhenUsed/>
    <w:rsid w:val="00630E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858496">
      <w:bodyDiv w:val="1"/>
      <w:marLeft w:val="0"/>
      <w:marRight w:val="0"/>
      <w:marTop w:val="0"/>
      <w:marBottom w:val="0"/>
      <w:divBdr>
        <w:top w:val="none" w:sz="0" w:space="0" w:color="auto"/>
        <w:left w:val="none" w:sz="0" w:space="0" w:color="auto"/>
        <w:bottom w:val="none" w:sz="0" w:space="0" w:color="auto"/>
        <w:right w:val="none" w:sz="0" w:space="0" w:color="auto"/>
      </w:divBdr>
    </w:div>
    <w:div w:id="426195436">
      <w:bodyDiv w:val="1"/>
      <w:marLeft w:val="0"/>
      <w:marRight w:val="0"/>
      <w:marTop w:val="0"/>
      <w:marBottom w:val="0"/>
      <w:divBdr>
        <w:top w:val="none" w:sz="0" w:space="0" w:color="auto"/>
        <w:left w:val="none" w:sz="0" w:space="0" w:color="auto"/>
        <w:bottom w:val="none" w:sz="0" w:space="0" w:color="auto"/>
        <w:right w:val="none" w:sz="0" w:space="0" w:color="auto"/>
      </w:divBdr>
    </w:div>
    <w:div w:id="878905166">
      <w:bodyDiv w:val="1"/>
      <w:marLeft w:val="0"/>
      <w:marRight w:val="0"/>
      <w:marTop w:val="0"/>
      <w:marBottom w:val="0"/>
      <w:divBdr>
        <w:top w:val="none" w:sz="0" w:space="0" w:color="auto"/>
        <w:left w:val="none" w:sz="0" w:space="0" w:color="auto"/>
        <w:bottom w:val="none" w:sz="0" w:space="0" w:color="auto"/>
        <w:right w:val="none" w:sz="0" w:space="0" w:color="auto"/>
      </w:divBdr>
    </w:div>
    <w:div w:id="1064453501">
      <w:bodyDiv w:val="1"/>
      <w:marLeft w:val="0"/>
      <w:marRight w:val="0"/>
      <w:marTop w:val="0"/>
      <w:marBottom w:val="0"/>
      <w:divBdr>
        <w:top w:val="none" w:sz="0" w:space="0" w:color="auto"/>
        <w:left w:val="none" w:sz="0" w:space="0" w:color="auto"/>
        <w:bottom w:val="none" w:sz="0" w:space="0" w:color="auto"/>
        <w:right w:val="none" w:sz="0" w:space="0" w:color="auto"/>
      </w:divBdr>
    </w:div>
    <w:div w:id="1258443951">
      <w:bodyDiv w:val="1"/>
      <w:marLeft w:val="0"/>
      <w:marRight w:val="0"/>
      <w:marTop w:val="0"/>
      <w:marBottom w:val="0"/>
      <w:divBdr>
        <w:top w:val="none" w:sz="0" w:space="0" w:color="auto"/>
        <w:left w:val="none" w:sz="0" w:space="0" w:color="auto"/>
        <w:bottom w:val="none" w:sz="0" w:space="0" w:color="auto"/>
        <w:right w:val="none" w:sz="0" w:space="0" w:color="auto"/>
      </w:divBdr>
    </w:div>
    <w:div w:id="1642156571">
      <w:bodyDiv w:val="1"/>
      <w:marLeft w:val="0"/>
      <w:marRight w:val="0"/>
      <w:marTop w:val="0"/>
      <w:marBottom w:val="0"/>
      <w:divBdr>
        <w:top w:val="none" w:sz="0" w:space="0" w:color="auto"/>
        <w:left w:val="none" w:sz="0" w:space="0" w:color="auto"/>
        <w:bottom w:val="none" w:sz="0" w:space="0" w:color="auto"/>
        <w:right w:val="none" w:sz="0" w:space="0" w:color="auto"/>
      </w:divBdr>
    </w:div>
    <w:div w:id="1698895922">
      <w:bodyDiv w:val="1"/>
      <w:marLeft w:val="0"/>
      <w:marRight w:val="0"/>
      <w:marTop w:val="0"/>
      <w:marBottom w:val="0"/>
      <w:divBdr>
        <w:top w:val="none" w:sz="0" w:space="0" w:color="auto"/>
        <w:left w:val="none" w:sz="0" w:space="0" w:color="auto"/>
        <w:bottom w:val="none" w:sz="0" w:space="0" w:color="auto"/>
        <w:right w:val="none" w:sz="0" w:space="0" w:color="auto"/>
      </w:divBdr>
    </w:div>
    <w:div w:id="1710449903">
      <w:bodyDiv w:val="1"/>
      <w:marLeft w:val="0"/>
      <w:marRight w:val="0"/>
      <w:marTop w:val="0"/>
      <w:marBottom w:val="0"/>
      <w:divBdr>
        <w:top w:val="none" w:sz="0" w:space="0" w:color="auto"/>
        <w:left w:val="none" w:sz="0" w:space="0" w:color="auto"/>
        <w:bottom w:val="none" w:sz="0" w:space="0" w:color="auto"/>
        <w:right w:val="none" w:sz="0" w:space="0" w:color="auto"/>
      </w:divBdr>
    </w:div>
    <w:div w:id="209782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professional-standards-further-education-teachers-work-based-learning-practitioners-and-adult-learning" TargetMode="External"/><Relationship Id="rId3" Type="http://schemas.openxmlformats.org/officeDocument/2006/relationships/settings" Target="settings.xml"/><Relationship Id="rId7" Type="http://schemas.openxmlformats.org/officeDocument/2006/relationships/hyperlink" Target="https://www.ecoleglobale.com/blog/importance-of-preparation-and-planning-for-teach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0984-015-9181-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4</Pages>
  <Words>1606</Words>
  <Characters>9159</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Elsayed Elhoshi</dc:creator>
  <cp:keywords/>
  <dc:description/>
  <cp:lastModifiedBy>Elsayed Elhoshi</cp:lastModifiedBy>
  <cp:revision>14</cp:revision>
  <dcterms:created xsi:type="dcterms:W3CDTF">2024-12-05T11:15:00Z</dcterms:created>
  <dcterms:modified xsi:type="dcterms:W3CDTF">2024-12-06T21:55:00Z</dcterms:modified>
</cp:coreProperties>
</file>