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FFDC2E2" wp14:paraId="289086A1" wp14:textId="33C60AB9">
      <w:pPr>
        <w:spacing w:before="240" w:beforeAutospacing="off" w:after="240" w:afterAutospacing="off" w:line="690" w:lineRule="auto"/>
      </w:pPr>
      <w:r w:rsidRPr="2FFDC2E2" w:rsidR="4C569483">
        <w:rPr>
          <w:rFonts w:ascii="Aptos" w:hAnsi="Aptos" w:eastAsia="Aptos" w:cs="Aptos"/>
          <w:b w:val="0"/>
          <w:bCs w:val="0"/>
          <w:i w:val="0"/>
          <w:iCs w:val="0"/>
          <w:caps w:val="0"/>
          <w:smallCaps w:val="0"/>
          <w:noProof w:val="0"/>
          <w:sz w:val="24"/>
          <w:szCs w:val="24"/>
          <w:lang w:val="en-US"/>
        </w:rPr>
        <w:t>A person is guilty of theft if he dishonestly appropriates property belonging to another with the intention of permanently depriving the other of it; and “thief” and “steal” shall be construed accordingly (Theft Act 1968).</w:t>
      </w:r>
    </w:p>
    <w:p xmlns:wp14="http://schemas.microsoft.com/office/word/2010/wordml" w:rsidP="2FFDC2E2" wp14:paraId="2C078E63" wp14:textId="487B22E5">
      <w:pPr>
        <w:pStyle w:val="Normal"/>
      </w:pPr>
      <w:r w:rsidRPr="2FFDC2E2" w:rsidR="4C569483">
        <w:rPr>
          <w:rFonts w:ascii="Aptos" w:hAnsi="Aptos" w:eastAsia="Aptos" w:cs="Aptos"/>
          <w:b w:val="0"/>
          <w:bCs w:val="0"/>
          <w:i w:val="0"/>
          <w:iCs w:val="0"/>
          <w:noProof w:val="0"/>
          <w:sz w:val="24"/>
          <w:szCs w:val="24"/>
          <w:lang w:val="en-US"/>
        </w:rPr>
        <w:t xml:space="preserve">In 2001, the appellant pleaded guilty to a VAT fraud involving fake companies that illegally reclaimed tax on computer sales. </w:t>
      </w:r>
      <w:r w:rsidRPr="2FFDC2E2" w:rsidR="4C569483">
        <w:rPr>
          <w:rFonts w:ascii="Aptos" w:hAnsi="Aptos" w:eastAsia="Aptos" w:cs="Aptos"/>
          <w:b w:val="0"/>
          <w:bCs w:val="0"/>
          <w:i w:val="0"/>
          <w:iCs w:val="0"/>
          <w:noProof w:val="0"/>
          <w:sz w:val="24"/>
          <w:szCs w:val="24"/>
          <w:lang w:val="en-US"/>
        </w:rPr>
        <w:t>He played a leading role in the final stages, causing around £11 million in losses to public funds.</w:t>
      </w:r>
      <w:r w:rsidRPr="2FFDC2E2" w:rsidR="4C569483">
        <w:rPr>
          <w:rFonts w:ascii="Aptos" w:hAnsi="Aptos" w:eastAsia="Aptos" w:cs="Aptos"/>
          <w:b w:val="0"/>
          <w:bCs w:val="0"/>
          <w:i w:val="0"/>
          <w:iCs w:val="0"/>
          <w:noProof w:val="0"/>
          <w:sz w:val="24"/>
          <w:szCs w:val="24"/>
          <w:lang w:val="en-US"/>
        </w:rPr>
        <w:t xml:space="preserve"> The court ordered him to repay £3.26 million under laws designed to stop criminals from keeping profits gained through crime (House of Lords,2008). </w:t>
      </w:r>
    </w:p>
    <w:p w:rsidR="4C569483" w:rsidP="2FFDC2E2" w:rsidRDefault="4C569483" w14:paraId="3BF118B6" w14:textId="2CC66E01">
      <w:pPr>
        <w:pStyle w:val="Normal"/>
        <w:rPr>
          <w:rFonts w:ascii="Aptos" w:hAnsi="Aptos" w:eastAsia="Aptos" w:cs="Aptos"/>
          <w:noProof w:val="0"/>
          <w:sz w:val="24"/>
          <w:szCs w:val="24"/>
          <w:lang w:val="en-US"/>
        </w:rPr>
      </w:pPr>
      <w:r w:rsidRPr="2FFDC2E2" w:rsidR="4C569483">
        <w:rPr>
          <w:rFonts w:ascii="Aptos" w:hAnsi="Aptos" w:eastAsia="Aptos" w:cs="Aptos"/>
          <w:b w:val="0"/>
          <w:bCs w:val="0"/>
          <w:i w:val="1"/>
          <w:iCs w:val="1"/>
          <w:noProof w:val="0"/>
          <w:sz w:val="24"/>
          <w:szCs w:val="24"/>
          <w:lang w:val="en-US"/>
        </w:rPr>
        <w:t>Dishonesty-A person’s taking of another’s property is not dishonest if: (a) they believe they have a legal right to it; (b) they believe the owner would consent if aware; or (c) except as trustee or personal representative, they believe the owner cannot be found with reasonable effort (Theft Act 1968)</w:t>
      </w:r>
    </w:p>
    <w:p w:rsidR="4C569483" w:rsidP="2FFDC2E2" w:rsidRDefault="4C569483" w14:paraId="40CB53EE" w14:textId="05AA05DE">
      <w:pPr>
        <w:pStyle w:val="Normal"/>
      </w:pPr>
      <w:r w:rsidRPr="2FFDC2E2" w:rsidR="4C569483">
        <w:rPr>
          <w:rFonts w:ascii="Aptos" w:hAnsi="Aptos" w:eastAsia="Aptos" w:cs="Aptos"/>
          <w:b w:val="0"/>
          <w:bCs w:val="0"/>
          <w:i w:val="0"/>
          <w:iCs w:val="0"/>
          <w:noProof w:val="0"/>
          <w:sz w:val="24"/>
          <w:szCs w:val="24"/>
          <w:lang w:val="en-US"/>
        </w:rPr>
        <w:t xml:space="preserve">Appropriates-Taking on an owner’s rights counts as taking their property, including if someone got it honestly or not and later acts like </w:t>
      </w:r>
      <w:r w:rsidRPr="2FFDC2E2" w:rsidR="4C569483">
        <w:rPr>
          <w:rFonts w:ascii="Aptos" w:hAnsi="Aptos" w:eastAsia="Aptos" w:cs="Aptos"/>
          <w:b w:val="0"/>
          <w:bCs w:val="0"/>
          <w:i w:val="0"/>
          <w:iCs w:val="0"/>
          <w:noProof w:val="0"/>
          <w:sz w:val="24"/>
          <w:szCs w:val="24"/>
          <w:lang w:val="en-US"/>
        </w:rPr>
        <w:t>it’s</w:t>
      </w:r>
      <w:r w:rsidRPr="2FFDC2E2" w:rsidR="4C569483">
        <w:rPr>
          <w:rFonts w:ascii="Aptos" w:hAnsi="Aptos" w:eastAsia="Aptos" w:cs="Aptos"/>
          <w:b w:val="0"/>
          <w:bCs w:val="0"/>
          <w:i w:val="0"/>
          <w:iCs w:val="0"/>
          <w:noProof w:val="0"/>
          <w:sz w:val="24"/>
          <w:szCs w:val="24"/>
          <w:lang w:val="en-US"/>
        </w:rPr>
        <w:t xml:space="preserve"> theirs. But if property is sold or given to someone in good faith, and they later act on the rights they thought they were getting, it is not considered theft, even if the </w:t>
      </w:r>
      <w:r w:rsidRPr="2FFDC2E2" w:rsidR="4C569483">
        <w:rPr>
          <w:rFonts w:ascii="Aptos" w:hAnsi="Aptos" w:eastAsia="Aptos" w:cs="Aptos"/>
          <w:b w:val="0"/>
          <w:bCs w:val="0"/>
          <w:i w:val="0"/>
          <w:iCs w:val="0"/>
          <w:noProof w:val="0"/>
          <w:sz w:val="24"/>
          <w:szCs w:val="24"/>
          <w:lang w:val="en-US"/>
        </w:rPr>
        <w:t>previous</w:t>
      </w:r>
      <w:r w:rsidRPr="2FFDC2E2" w:rsidR="4C569483">
        <w:rPr>
          <w:rFonts w:ascii="Aptos" w:hAnsi="Aptos" w:eastAsia="Aptos" w:cs="Aptos"/>
          <w:b w:val="0"/>
          <w:bCs w:val="0"/>
          <w:i w:val="0"/>
          <w:iCs w:val="0"/>
          <w:noProof w:val="0"/>
          <w:sz w:val="24"/>
          <w:szCs w:val="24"/>
          <w:lang w:val="en-US"/>
        </w:rPr>
        <w:t xml:space="preserve"> owner </w:t>
      </w:r>
      <w:r w:rsidRPr="2FFDC2E2" w:rsidR="4C569483">
        <w:rPr>
          <w:rFonts w:ascii="Aptos" w:hAnsi="Aptos" w:eastAsia="Aptos" w:cs="Aptos"/>
          <w:b w:val="0"/>
          <w:bCs w:val="0"/>
          <w:i w:val="0"/>
          <w:iCs w:val="0"/>
          <w:noProof w:val="0"/>
          <w:sz w:val="24"/>
          <w:szCs w:val="24"/>
          <w:lang w:val="en-US"/>
        </w:rPr>
        <w:t>didn’t</w:t>
      </w:r>
      <w:r w:rsidRPr="2FFDC2E2" w:rsidR="4C569483">
        <w:rPr>
          <w:rFonts w:ascii="Aptos" w:hAnsi="Aptos" w:eastAsia="Aptos" w:cs="Aptos"/>
          <w:b w:val="0"/>
          <w:bCs w:val="0"/>
          <w:i w:val="0"/>
          <w:iCs w:val="0"/>
          <w:noProof w:val="0"/>
          <w:sz w:val="24"/>
          <w:szCs w:val="24"/>
          <w:lang w:val="en-US"/>
        </w:rPr>
        <w:t xml:space="preserve"> have full rights (Theft Act 1968).</w:t>
      </w:r>
    </w:p>
    <w:p w:rsidR="4C569483" w:rsidP="2FFDC2E2" w:rsidRDefault="4C569483" w14:paraId="486D4BD9" w14:textId="327A6F3B">
      <w:pPr>
        <w:pStyle w:val="ListParagraph"/>
        <w:numPr>
          <w:ilvl w:val="0"/>
          <w:numId w:val="1"/>
        </w:numPr>
        <w:spacing w:before="0" w:beforeAutospacing="off" w:after="0" w:afterAutospacing="off"/>
        <w:rPr>
          <w:rFonts w:ascii="Aptos" w:hAnsi="Aptos" w:eastAsia="Aptos" w:cs="Aptos"/>
          <w:b w:val="0"/>
          <w:bCs w:val="0"/>
          <w:i w:val="0"/>
          <w:iCs w:val="0"/>
          <w:noProof w:val="0"/>
          <w:sz w:val="24"/>
          <w:szCs w:val="24"/>
          <w:lang w:val="en-US"/>
        </w:rPr>
      </w:pPr>
      <w:r w:rsidRPr="2FFDC2E2" w:rsidR="4C569483">
        <w:rPr>
          <w:rFonts w:ascii="Aptos" w:hAnsi="Aptos" w:eastAsia="Aptos" w:cs="Aptos"/>
          <w:b w:val="0"/>
          <w:bCs w:val="0"/>
          <w:i w:val="0"/>
          <w:iCs w:val="0"/>
          <w:noProof w:val="0"/>
          <w:sz w:val="24"/>
          <w:szCs w:val="24"/>
          <w:lang w:val="en-US"/>
        </w:rPr>
        <w:t>Belonging to another- Property belongs to anyone with possession, control, legal interest, or trust rights, including property held for others or owed after a mistake (Theft Act 1968).</w:t>
      </w:r>
    </w:p>
    <w:p w:rsidR="4C569483" w:rsidP="2FFDC2E2" w:rsidRDefault="4C569483" w14:paraId="33C51886" w14:textId="3021A094">
      <w:pPr>
        <w:pStyle w:val="ListParagraph"/>
        <w:numPr>
          <w:ilvl w:val="0"/>
          <w:numId w:val="2"/>
        </w:numPr>
        <w:spacing w:before="0" w:beforeAutospacing="off" w:after="0" w:afterAutospacing="off"/>
        <w:rPr>
          <w:rFonts w:ascii="Aptos" w:hAnsi="Aptos" w:eastAsia="Aptos" w:cs="Aptos"/>
          <w:b w:val="0"/>
          <w:bCs w:val="0"/>
          <w:i w:val="0"/>
          <w:iCs w:val="0"/>
          <w:noProof w:val="0"/>
          <w:sz w:val="24"/>
          <w:szCs w:val="24"/>
          <w:lang w:val="en-US"/>
        </w:rPr>
      </w:pPr>
      <w:r w:rsidRPr="2FFDC2E2" w:rsidR="4C569483">
        <w:rPr>
          <w:rFonts w:ascii="Aptos" w:hAnsi="Aptos" w:eastAsia="Aptos" w:cs="Aptos"/>
          <w:b w:val="0"/>
          <w:bCs w:val="0"/>
          <w:i w:val="0"/>
          <w:iCs w:val="0"/>
          <w:noProof w:val="0"/>
          <w:sz w:val="24"/>
          <w:szCs w:val="24"/>
          <w:lang w:val="en-US"/>
        </w:rPr>
        <w:t>Intention to Permanently Deprive- A person is considered to intend to permanently deprive someone of property if they treat it as their own to use or dispose of, even temporarily. Borrowing or lending counts if done in a way equivalent to taking. Giving property under a condition they cannot fulfill, without the owner’s consent, also counts as treating it as their own (Theft Act 1968).</w:t>
      </w:r>
    </w:p>
    <w:p w:rsidR="2FFDC2E2" w:rsidP="2FFDC2E2" w:rsidRDefault="2FFDC2E2" w14:paraId="706F43F1" w14:textId="2BFA46B8">
      <w:pPr>
        <w:pStyle w:val="Normal"/>
        <w:rPr>
          <w:rFonts w:ascii="Aptos" w:hAnsi="Aptos" w:eastAsia="Aptos" w:cs="Aptos"/>
          <w:b w:val="0"/>
          <w:bCs w:val="0"/>
          <w:i w:val="0"/>
          <w:iCs w:val="0"/>
          <w:noProof w:val="0"/>
          <w:sz w:val="24"/>
          <w:szCs w:val="24"/>
          <w:lang w:val="en-US"/>
        </w:rPr>
      </w:pPr>
    </w:p>
    <w:p w:rsidR="4C569483" w:rsidP="2FFDC2E2" w:rsidRDefault="4C569483" w14:paraId="3A1D3982" w14:textId="7D261F4D">
      <w:pPr>
        <w:pStyle w:val="Normal"/>
        <w:rPr>
          <w:rFonts w:ascii="Aptos" w:hAnsi="Aptos" w:eastAsia="Aptos" w:cs="Aptos"/>
          <w:noProof w:val="0"/>
          <w:sz w:val="24"/>
          <w:szCs w:val="24"/>
          <w:lang w:val="en-US"/>
        </w:rPr>
      </w:pPr>
      <w:r w:rsidRPr="2FFDC2E2" w:rsidR="4C569483">
        <w:rPr>
          <w:rFonts w:ascii="Aptos" w:hAnsi="Aptos" w:eastAsia="Aptos" w:cs="Aptos"/>
          <w:b w:val="0"/>
          <w:bCs w:val="0"/>
          <w:i w:val="1"/>
          <w:iCs w:val="1"/>
          <w:noProof w:val="0"/>
          <w:sz w:val="24"/>
          <w:szCs w:val="24"/>
          <w:lang w:val="en-US"/>
        </w:rPr>
        <w:t>Property- Money, items, intangible rights. Land can only be stolen if misused by authorized persons, taken by non-possessors, or taken by tenants. Wild plants/animals aren’t theft unless commercially exploited or already possessed (Theft Act 1968).</w:t>
      </w:r>
    </w:p>
    <w:p w:rsidR="2FFDC2E2" w:rsidP="2FFDC2E2" w:rsidRDefault="2FFDC2E2" w14:paraId="3D351276" w14:textId="3086BAE4">
      <w:pPr>
        <w:pStyle w:val="Normal"/>
        <w:rPr>
          <w:rFonts w:ascii="Aptos" w:hAnsi="Aptos" w:eastAsia="Aptos" w:cs="Aptos"/>
          <w:b w:val="0"/>
          <w:bCs w:val="0"/>
          <w:i w:val="1"/>
          <w:iCs w:val="1"/>
          <w:noProof w:val="0"/>
          <w:sz w:val="24"/>
          <w:szCs w:val="24"/>
          <w:lang w:val="en-US"/>
        </w:rPr>
      </w:pPr>
    </w:p>
    <w:sectPr>
      <w:pgSz w:w="12240" w:h="15840" w:orient="portrait"/>
      <w:pgMar w:top="1440" w:right="1440" w:bottom="1440" w:left="1440" w:header="720" w:footer="720" w:gutter="0"/>
      <w:cols w:space="720"/>
      <w:docGrid w:linePitch="360"/>
      <w:headerReference w:type="default" r:id="R70af9b4e97434302"/>
      <w:footerReference w:type="default" r:id="Re22775b12ed142d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FFDC2E2" w:rsidTr="2FFDC2E2" w14:paraId="4DA51000">
      <w:trPr>
        <w:trHeight w:val="300"/>
      </w:trPr>
      <w:tc>
        <w:tcPr>
          <w:tcW w:w="3120" w:type="dxa"/>
          <w:tcMar/>
        </w:tcPr>
        <w:p w:rsidR="2FFDC2E2" w:rsidP="2FFDC2E2" w:rsidRDefault="2FFDC2E2" w14:paraId="6311AC0C" w14:textId="65B28496">
          <w:pPr>
            <w:pStyle w:val="Header"/>
            <w:bidi w:val="0"/>
            <w:ind w:left="-115"/>
            <w:jc w:val="left"/>
          </w:pPr>
        </w:p>
      </w:tc>
      <w:tc>
        <w:tcPr>
          <w:tcW w:w="3120" w:type="dxa"/>
          <w:tcMar/>
        </w:tcPr>
        <w:p w:rsidR="2FFDC2E2" w:rsidP="2FFDC2E2" w:rsidRDefault="2FFDC2E2" w14:paraId="57292F66" w14:textId="0013ECAF">
          <w:pPr>
            <w:pStyle w:val="Header"/>
            <w:bidi w:val="0"/>
            <w:jc w:val="center"/>
          </w:pPr>
        </w:p>
      </w:tc>
      <w:tc>
        <w:tcPr>
          <w:tcW w:w="3120" w:type="dxa"/>
          <w:tcMar/>
        </w:tcPr>
        <w:p w:rsidR="2FFDC2E2" w:rsidP="2FFDC2E2" w:rsidRDefault="2FFDC2E2" w14:paraId="4EE8331C" w14:textId="1A22D828">
          <w:pPr>
            <w:pStyle w:val="Header"/>
            <w:bidi w:val="0"/>
            <w:ind w:right="-115"/>
            <w:jc w:val="right"/>
          </w:pPr>
        </w:p>
      </w:tc>
    </w:tr>
  </w:tbl>
  <w:p w:rsidR="2FFDC2E2" w:rsidP="2FFDC2E2" w:rsidRDefault="2FFDC2E2" w14:paraId="57D3777A" w14:textId="203B080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FFDC2E2" w:rsidTr="2FFDC2E2" w14:paraId="6AFF46C1">
      <w:trPr>
        <w:trHeight w:val="300"/>
      </w:trPr>
      <w:tc>
        <w:tcPr>
          <w:tcW w:w="3120" w:type="dxa"/>
          <w:tcMar/>
        </w:tcPr>
        <w:p w:rsidR="2FFDC2E2" w:rsidP="2FFDC2E2" w:rsidRDefault="2FFDC2E2" w14:paraId="025DF548" w14:textId="6455121A">
          <w:pPr>
            <w:pStyle w:val="Header"/>
            <w:bidi w:val="0"/>
            <w:ind w:left="-115"/>
            <w:jc w:val="left"/>
          </w:pPr>
        </w:p>
      </w:tc>
      <w:tc>
        <w:tcPr>
          <w:tcW w:w="3120" w:type="dxa"/>
          <w:tcMar/>
        </w:tcPr>
        <w:p w:rsidR="2FFDC2E2" w:rsidP="2FFDC2E2" w:rsidRDefault="2FFDC2E2" w14:paraId="303F1D02" w14:textId="4FC79657">
          <w:pPr>
            <w:pStyle w:val="Header"/>
            <w:bidi w:val="0"/>
            <w:jc w:val="center"/>
          </w:pPr>
        </w:p>
      </w:tc>
      <w:tc>
        <w:tcPr>
          <w:tcW w:w="3120" w:type="dxa"/>
          <w:tcMar/>
        </w:tcPr>
        <w:p w:rsidR="2FFDC2E2" w:rsidP="2FFDC2E2" w:rsidRDefault="2FFDC2E2" w14:paraId="5B2183E4" w14:textId="12A9FD5F">
          <w:pPr>
            <w:pStyle w:val="Header"/>
            <w:bidi w:val="0"/>
            <w:ind w:right="-115"/>
            <w:jc w:val="right"/>
          </w:pPr>
        </w:p>
      </w:tc>
    </w:tr>
  </w:tbl>
  <w:p w:rsidR="2FFDC2E2" w:rsidP="2FFDC2E2" w:rsidRDefault="2FFDC2E2" w14:paraId="6D89695E" w14:textId="1ACFCE4F">
    <w:pPr>
      <w:pStyle w:val="Header"/>
      <w:bidi w:val="0"/>
    </w:pPr>
  </w:p>
</w:hdr>
</file>

<file path=word/numbering.xml><?xml version="1.0" encoding="utf-8"?>
<w:numbering xmlns:w="http://schemas.openxmlformats.org/wordprocessingml/2006/main">
  <w:abstractNum xmlns:w="http://schemas.openxmlformats.org/wordprocessingml/2006/main" w:abstractNumId="2">
    <w:nsid w:val="d748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8d1f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CDF84F"/>
    <w:rsid w:val="165BF13A"/>
    <w:rsid w:val="1CD52063"/>
    <w:rsid w:val="2FFDC2E2"/>
    <w:rsid w:val="3C1CE0DC"/>
    <w:rsid w:val="4C569483"/>
    <w:rsid w:val="59A4E051"/>
    <w:rsid w:val="62CDF8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DF84F"/>
  <w15:chartTrackingRefBased/>
  <w15:docId w15:val="{F086F75D-3A06-4C57-AC0E-9CD1E8C121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FFDC2E2"/>
    <w:pPr>
      <w:tabs>
        <w:tab w:val="center" w:leader="none" w:pos="4680"/>
        <w:tab w:val="right" w:leader="none" w:pos="9360"/>
      </w:tabs>
      <w:spacing w:after="0" w:line="240" w:lineRule="auto"/>
    </w:pPr>
  </w:style>
  <w:style w:type="paragraph" w:styleId="Footer">
    <w:uiPriority w:val="99"/>
    <w:name w:val="footer"/>
    <w:basedOn w:val="Normal"/>
    <w:unhideWhenUsed/>
    <w:rsid w:val="2FFDC2E2"/>
    <w:pPr>
      <w:tabs>
        <w:tab w:val="center" w:leader="none" w:pos="4680"/>
        <w:tab w:val="right" w:leader="none" w:pos="9360"/>
      </w:tabs>
      <w:spacing w:after="0" w:line="240" w:lineRule="auto"/>
    </w:pPr>
  </w:style>
  <w:style w:type="paragraph" w:styleId="ListParagraph">
    <w:uiPriority w:val="34"/>
    <w:name w:val="List Paragraph"/>
    <w:basedOn w:val="Normal"/>
    <w:qFormat/>
    <w:rsid w:val="2FFDC2E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0af9b4e97434302" /><Relationship Type="http://schemas.openxmlformats.org/officeDocument/2006/relationships/footer" Target="footer.xml" Id="Re22775b12ed142d5" /><Relationship Type="http://schemas.openxmlformats.org/officeDocument/2006/relationships/numbering" Target="numbering.xml" Id="R9205a3a3a9ec46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2025-10-28T09:52:56.2234902Z</dcterms:created>
  <dcterms:modified xsi:type="dcterms:W3CDTF">2025-10-28T10:09:01.8653258Z</dcterms:modified>
  <dc:creator>lexie watson</dc:creator>
  <lastModifiedBy>lexie watson</lastModifiedBy>
</coreProperties>
</file>