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5E318" w14:textId="77777777"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09BEF416" w14:textId="2AB5F289" w:rsidR="001E27ED" w:rsidRPr="005B220A" w:rsidRDefault="00300AE8" w:rsidP="005B220A">
      <w:pPr>
        <w:pStyle w:val="Title"/>
        <w:spacing w:after="0" w:line="360" w:lineRule="auto"/>
        <w:jc w:val="both"/>
        <w:rPr>
          <w:rFonts w:ascii="Arial" w:eastAsia="Times New Roman" w:hAnsi="Arial" w:cs="Arial"/>
          <w:sz w:val="22"/>
          <w:szCs w:val="22"/>
          <w:lang w:eastAsia="en-GB"/>
        </w:rPr>
      </w:pPr>
      <w:r w:rsidRPr="005B220A">
        <w:rPr>
          <w:rFonts w:ascii="Arial" w:hAnsi="Arial" w:cs="Arial"/>
          <w:noProof/>
          <w:sz w:val="22"/>
          <w:szCs w:val="22"/>
        </w:rPr>
        <w:drawing>
          <wp:anchor distT="0" distB="0" distL="114300" distR="114300" simplePos="0" relativeHeight="251659264" behindDoc="1" locked="0" layoutInCell="1" allowOverlap="1" wp14:anchorId="06AFD448" wp14:editId="2522D9E9">
            <wp:simplePos x="0" y="0"/>
            <wp:positionH relativeFrom="margin">
              <wp:posOffset>-635</wp:posOffset>
            </wp:positionH>
            <wp:positionV relativeFrom="paragraph">
              <wp:posOffset>11430</wp:posOffset>
            </wp:positionV>
            <wp:extent cx="4162425" cy="1328420"/>
            <wp:effectExtent l="0" t="0" r="0" b="0"/>
            <wp:wrapTight wrapText="bothSides">
              <wp:wrapPolygon edited="0">
                <wp:start x="890" y="3407"/>
                <wp:lineTo x="890" y="8983"/>
                <wp:lineTo x="1285" y="13939"/>
                <wp:lineTo x="2373" y="17346"/>
                <wp:lineTo x="2471" y="17966"/>
                <wp:lineTo x="7315" y="17966"/>
                <wp:lineTo x="12950" y="17346"/>
                <wp:lineTo x="13049" y="13939"/>
                <wp:lineTo x="17102" y="13629"/>
                <wp:lineTo x="17300" y="9602"/>
                <wp:lineTo x="21254" y="8983"/>
                <wp:lineTo x="21452" y="5266"/>
                <wp:lineTo x="19376" y="3407"/>
                <wp:lineTo x="890"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4">
                      <a:extLst>
                        <a:ext uri="{28A0092B-C50C-407E-A947-70E740481C1C}">
                          <a14:useLocalDpi xmlns:a14="http://schemas.microsoft.com/office/drawing/2010/main" val="0"/>
                        </a:ext>
                      </a:extLst>
                    </a:blip>
                    <a:srcRect r="23643"/>
                    <a:stretch/>
                  </pic:blipFill>
                  <pic:spPr bwMode="auto">
                    <a:xfrm>
                      <a:off x="0" y="0"/>
                      <a:ext cx="4162425"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F3888F9" w14:textId="320CA8D6"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0DF527AD" w14:textId="06258C80"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42194A73" w14:textId="1D943E39"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36003F4D" w14:textId="77777777"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4D181273" w14:textId="77777777"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66A74EF3" w14:textId="77777777" w:rsidR="000E5F74" w:rsidRPr="005B220A" w:rsidRDefault="000E5F74" w:rsidP="005B220A">
      <w:pPr>
        <w:spacing w:after="0" w:line="360" w:lineRule="auto"/>
        <w:jc w:val="both"/>
        <w:rPr>
          <w:rFonts w:ascii="Arial" w:hAnsi="Arial" w:cs="Arial"/>
          <w:lang w:eastAsia="en-GB"/>
        </w:rPr>
      </w:pPr>
    </w:p>
    <w:p w14:paraId="1F935972" w14:textId="77777777" w:rsidR="000E5F74" w:rsidRPr="005B220A" w:rsidRDefault="000E5F74" w:rsidP="005B220A">
      <w:pPr>
        <w:spacing w:after="0" w:line="360" w:lineRule="auto"/>
        <w:jc w:val="both"/>
        <w:rPr>
          <w:rFonts w:ascii="Arial" w:hAnsi="Arial" w:cs="Arial"/>
          <w:lang w:eastAsia="en-GB"/>
        </w:rPr>
      </w:pPr>
    </w:p>
    <w:p w14:paraId="5FD94EAA" w14:textId="77777777" w:rsidR="000E5F74" w:rsidRPr="005B220A" w:rsidRDefault="000E5F74" w:rsidP="005B220A">
      <w:pPr>
        <w:spacing w:after="0" w:line="360" w:lineRule="auto"/>
        <w:jc w:val="both"/>
        <w:rPr>
          <w:rFonts w:ascii="Arial" w:hAnsi="Arial" w:cs="Arial"/>
          <w:lang w:eastAsia="en-GB"/>
        </w:rPr>
      </w:pPr>
    </w:p>
    <w:p w14:paraId="0D2586C5" w14:textId="77777777" w:rsidR="000E5F74" w:rsidRPr="005B220A" w:rsidRDefault="000E5F74" w:rsidP="005B220A">
      <w:pPr>
        <w:spacing w:after="0" w:line="360" w:lineRule="auto"/>
        <w:jc w:val="both"/>
        <w:rPr>
          <w:rFonts w:ascii="Arial" w:hAnsi="Arial" w:cs="Arial"/>
          <w:lang w:eastAsia="en-GB"/>
        </w:rPr>
      </w:pPr>
    </w:p>
    <w:p w14:paraId="670BEBC7" w14:textId="77777777" w:rsidR="007C21B4" w:rsidRPr="005B220A" w:rsidRDefault="007C21B4" w:rsidP="005B220A">
      <w:pPr>
        <w:pStyle w:val="Title"/>
        <w:spacing w:after="0" w:line="360" w:lineRule="auto"/>
        <w:rPr>
          <w:rFonts w:ascii="Arial" w:eastAsia="+mn-ea" w:hAnsi="Arial" w:cs="Arial"/>
          <w:sz w:val="22"/>
          <w:szCs w:val="22"/>
          <w:lang w:val="nl-NL"/>
        </w:rPr>
      </w:pPr>
      <w:r w:rsidRPr="005B220A">
        <w:rPr>
          <w:rFonts w:ascii="Arial" w:eastAsia="+mn-ea" w:hAnsi="Arial" w:cs="Arial"/>
          <w:b/>
          <w:bCs/>
          <w:sz w:val="22"/>
          <w:szCs w:val="22"/>
          <w:lang w:val="nl-NL"/>
        </w:rPr>
        <w:t>Name:</w:t>
      </w:r>
      <w:r w:rsidRPr="005B220A">
        <w:rPr>
          <w:rFonts w:ascii="Arial" w:eastAsia="+mn-ea" w:hAnsi="Arial" w:cs="Arial"/>
          <w:sz w:val="22"/>
          <w:szCs w:val="22"/>
          <w:lang w:val="nl-NL"/>
        </w:rPr>
        <w:t xml:space="preserve"> Vasile Nedelcu</w:t>
      </w:r>
    </w:p>
    <w:p w14:paraId="411981D2" w14:textId="77777777" w:rsidR="000E5F74" w:rsidRPr="005B220A" w:rsidRDefault="000E5F74" w:rsidP="005B220A">
      <w:pPr>
        <w:pStyle w:val="Title"/>
        <w:spacing w:after="0" w:line="360" w:lineRule="auto"/>
        <w:rPr>
          <w:rFonts w:ascii="Arial" w:eastAsia="+mn-ea" w:hAnsi="Arial" w:cs="Arial"/>
          <w:sz w:val="22"/>
          <w:szCs w:val="22"/>
          <w:lang w:val="nl-NL"/>
        </w:rPr>
      </w:pPr>
    </w:p>
    <w:p w14:paraId="5C22646C" w14:textId="21E7366B" w:rsidR="007C21B4" w:rsidRPr="005B220A" w:rsidRDefault="007C21B4" w:rsidP="005B220A">
      <w:pPr>
        <w:pStyle w:val="Title"/>
        <w:spacing w:after="0" w:line="360" w:lineRule="auto"/>
        <w:rPr>
          <w:rFonts w:ascii="Arial" w:eastAsia="+mn-ea" w:hAnsi="Arial" w:cs="Arial"/>
          <w:sz w:val="22"/>
          <w:szCs w:val="22"/>
          <w:lang w:val="nl-NL"/>
        </w:rPr>
      </w:pPr>
      <w:r w:rsidRPr="005B220A">
        <w:rPr>
          <w:rFonts w:ascii="Arial" w:eastAsia="+mn-ea" w:hAnsi="Arial" w:cs="Arial"/>
          <w:sz w:val="22"/>
          <w:szCs w:val="22"/>
          <w:lang w:val="nl-NL"/>
        </w:rPr>
        <w:br/>
      </w:r>
      <w:r w:rsidRPr="005B220A">
        <w:rPr>
          <w:rFonts w:ascii="Arial" w:eastAsia="+mn-ea" w:hAnsi="Arial" w:cs="Arial"/>
          <w:b/>
          <w:bCs/>
          <w:sz w:val="22"/>
          <w:szCs w:val="22"/>
          <w:lang w:val="nl-NL"/>
        </w:rPr>
        <w:t>Student Number:</w:t>
      </w:r>
      <w:r w:rsidR="000E5F74" w:rsidRPr="005B220A">
        <w:rPr>
          <w:rFonts w:ascii="Arial" w:eastAsia="+mn-ea" w:hAnsi="Arial" w:cs="Arial"/>
          <w:sz w:val="22"/>
          <w:szCs w:val="22"/>
          <w:lang w:val="nl-NL"/>
        </w:rPr>
        <w:t xml:space="preserve"> </w:t>
      </w:r>
      <w:r w:rsidRPr="005B220A">
        <w:rPr>
          <w:rFonts w:ascii="Arial" w:eastAsia="+mn-ea" w:hAnsi="Arial" w:cs="Arial"/>
          <w:sz w:val="22"/>
          <w:szCs w:val="22"/>
          <w:lang w:val="nl-NL"/>
        </w:rPr>
        <w:t>2241728</w:t>
      </w:r>
    </w:p>
    <w:p w14:paraId="3CE5EA51" w14:textId="77777777" w:rsidR="000E5F74" w:rsidRPr="005B220A" w:rsidRDefault="000E5F74" w:rsidP="005B220A">
      <w:pPr>
        <w:pStyle w:val="Title"/>
        <w:spacing w:after="0" w:line="360" w:lineRule="auto"/>
        <w:rPr>
          <w:rFonts w:ascii="Arial" w:eastAsia="+mn-ea" w:hAnsi="Arial" w:cs="Arial"/>
          <w:sz w:val="22"/>
          <w:szCs w:val="22"/>
          <w:lang w:val="nl-NL"/>
        </w:rPr>
      </w:pPr>
    </w:p>
    <w:p w14:paraId="1E27ACA6" w14:textId="0E926006" w:rsidR="007C21B4" w:rsidRPr="005B220A" w:rsidRDefault="007C21B4" w:rsidP="005B220A">
      <w:pPr>
        <w:pStyle w:val="Title"/>
        <w:spacing w:after="0" w:line="360" w:lineRule="auto"/>
        <w:rPr>
          <w:rFonts w:ascii="Arial" w:eastAsia="+mn-ea" w:hAnsi="Arial" w:cs="Arial"/>
          <w:sz w:val="22"/>
          <w:szCs w:val="22"/>
        </w:rPr>
      </w:pPr>
      <w:r w:rsidRPr="005B220A">
        <w:rPr>
          <w:rFonts w:ascii="Arial" w:eastAsia="+mn-ea" w:hAnsi="Arial" w:cs="Arial"/>
          <w:sz w:val="22"/>
          <w:szCs w:val="22"/>
        </w:rPr>
        <w:br/>
      </w:r>
      <w:r w:rsidRPr="005B220A">
        <w:rPr>
          <w:rFonts w:ascii="Arial" w:eastAsia="+mn-ea" w:hAnsi="Arial" w:cs="Arial"/>
          <w:b/>
          <w:bCs/>
          <w:sz w:val="22"/>
          <w:szCs w:val="22"/>
        </w:rPr>
        <w:t>Module:</w:t>
      </w:r>
      <w:r w:rsidR="000E5F74" w:rsidRPr="005B220A">
        <w:rPr>
          <w:rFonts w:ascii="Arial" w:eastAsia="+mn-ea" w:hAnsi="Arial" w:cs="Arial"/>
          <w:sz w:val="22"/>
          <w:szCs w:val="22"/>
        </w:rPr>
        <w:t xml:space="preserve"> </w:t>
      </w:r>
      <w:r w:rsidRPr="005B220A">
        <w:rPr>
          <w:rFonts w:ascii="Arial" w:eastAsia="+mn-ea" w:hAnsi="Arial" w:cs="Arial"/>
          <w:sz w:val="22"/>
          <w:szCs w:val="22"/>
        </w:rPr>
        <w:t xml:space="preserve"> BMHP6030</w:t>
      </w:r>
      <w:r w:rsidR="00AE0C4B" w:rsidRPr="005B220A">
        <w:rPr>
          <w:rFonts w:ascii="Arial" w:eastAsia="+mn-ea" w:hAnsi="Arial" w:cs="Arial"/>
          <w:sz w:val="22"/>
          <w:szCs w:val="22"/>
        </w:rPr>
        <w:t xml:space="preserve"> </w:t>
      </w:r>
      <w:r w:rsidR="00AE0C4B" w:rsidRPr="005B220A">
        <w:rPr>
          <w:rStyle w:val="bzpyqfadein"/>
          <w:rFonts w:ascii="Arial" w:hAnsi="Arial" w:cs="Arial"/>
          <w:sz w:val="22"/>
          <w:szCs w:val="22"/>
        </w:rPr>
        <w:t>Health, Wellbeing and Sustainable Development</w:t>
      </w:r>
    </w:p>
    <w:p w14:paraId="5A883201" w14:textId="57970EF0" w:rsidR="007C21B4" w:rsidRPr="005B220A" w:rsidRDefault="007C21B4" w:rsidP="005B220A">
      <w:pPr>
        <w:pStyle w:val="Title"/>
        <w:spacing w:after="0" w:line="360" w:lineRule="auto"/>
        <w:rPr>
          <w:rFonts w:ascii="Arial" w:eastAsia="+mn-ea" w:hAnsi="Arial" w:cs="Arial"/>
          <w:sz w:val="22"/>
          <w:szCs w:val="22"/>
        </w:rPr>
      </w:pPr>
      <w:r w:rsidRPr="005B220A">
        <w:rPr>
          <w:rFonts w:ascii="Arial" w:eastAsia="+mn-ea" w:hAnsi="Arial" w:cs="Arial"/>
          <w:sz w:val="22"/>
          <w:szCs w:val="22"/>
        </w:rPr>
        <w:br/>
      </w:r>
      <w:r w:rsidRPr="005B220A">
        <w:rPr>
          <w:rFonts w:ascii="Arial" w:eastAsia="+mn-ea" w:hAnsi="Arial" w:cs="Arial"/>
          <w:b/>
          <w:bCs/>
          <w:sz w:val="22"/>
          <w:szCs w:val="22"/>
        </w:rPr>
        <w:t>Programme:</w:t>
      </w:r>
      <w:r w:rsidRPr="005B220A">
        <w:rPr>
          <w:rFonts w:ascii="Arial" w:eastAsia="+mn-ea" w:hAnsi="Arial" w:cs="Arial"/>
          <w:sz w:val="22"/>
          <w:szCs w:val="22"/>
        </w:rPr>
        <w:t xml:space="preserve"> </w:t>
      </w:r>
      <w:r w:rsidR="000E5F74" w:rsidRPr="005B220A">
        <w:rPr>
          <w:rFonts w:ascii="Arial" w:eastAsia="+mn-ea" w:hAnsi="Arial" w:cs="Arial"/>
          <w:sz w:val="22"/>
          <w:szCs w:val="22"/>
        </w:rPr>
        <w:t xml:space="preserve"> </w:t>
      </w:r>
      <w:r w:rsidRPr="005B220A">
        <w:rPr>
          <w:rFonts w:ascii="Arial" w:eastAsia="+mn-ea" w:hAnsi="Arial" w:cs="Arial"/>
          <w:sz w:val="22"/>
          <w:szCs w:val="22"/>
        </w:rPr>
        <w:t>BSc (Hons) Health and Social Care</w:t>
      </w:r>
    </w:p>
    <w:p w14:paraId="1D72D77B" w14:textId="5924EF58" w:rsidR="007C21B4" w:rsidRPr="005B220A" w:rsidRDefault="007C21B4" w:rsidP="005B220A">
      <w:pPr>
        <w:pStyle w:val="Title"/>
        <w:spacing w:after="0" w:line="360" w:lineRule="auto"/>
        <w:rPr>
          <w:rFonts w:ascii="Arial" w:eastAsia="+mn-ea" w:hAnsi="Arial" w:cs="Arial"/>
          <w:sz w:val="22"/>
          <w:szCs w:val="22"/>
        </w:rPr>
      </w:pPr>
      <w:r w:rsidRPr="005B220A">
        <w:rPr>
          <w:rFonts w:ascii="Arial" w:eastAsia="+mn-ea" w:hAnsi="Arial" w:cs="Arial"/>
          <w:sz w:val="22"/>
          <w:szCs w:val="22"/>
        </w:rPr>
        <w:br/>
      </w:r>
      <w:r w:rsidRPr="005B220A">
        <w:rPr>
          <w:rFonts w:ascii="Arial" w:eastAsia="+mn-ea" w:hAnsi="Arial" w:cs="Arial"/>
          <w:b/>
          <w:bCs/>
          <w:sz w:val="22"/>
          <w:szCs w:val="22"/>
        </w:rPr>
        <w:t>Lecturer:</w:t>
      </w:r>
      <w:r w:rsidR="000E5F74" w:rsidRPr="005B220A">
        <w:rPr>
          <w:rFonts w:ascii="Arial" w:eastAsia="+mn-ea" w:hAnsi="Arial" w:cs="Arial"/>
          <w:sz w:val="22"/>
          <w:szCs w:val="22"/>
        </w:rPr>
        <w:t xml:space="preserve"> </w:t>
      </w:r>
      <w:r w:rsidRPr="005B220A">
        <w:rPr>
          <w:rFonts w:ascii="Arial" w:eastAsia="+mn-ea" w:hAnsi="Arial" w:cs="Arial"/>
          <w:sz w:val="22"/>
          <w:szCs w:val="22"/>
        </w:rPr>
        <w:t>Zakiyyah Ahmed</w:t>
      </w:r>
    </w:p>
    <w:p w14:paraId="46AC0DFF" w14:textId="77777777" w:rsidR="00452A7A" w:rsidRPr="005B220A" w:rsidRDefault="00452A7A" w:rsidP="005B220A">
      <w:pPr>
        <w:spacing w:after="0" w:line="360" w:lineRule="auto"/>
        <w:rPr>
          <w:rFonts w:ascii="Arial" w:hAnsi="Arial" w:cs="Arial"/>
        </w:rPr>
      </w:pPr>
    </w:p>
    <w:p w14:paraId="2746633C" w14:textId="77777777" w:rsidR="001E27ED" w:rsidRPr="005B220A" w:rsidRDefault="001E27ED" w:rsidP="005B220A">
      <w:pPr>
        <w:pStyle w:val="Title"/>
        <w:spacing w:after="0" w:line="360" w:lineRule="auto"/>
        <w:rPr>
          <w:rFonts w:ascii="Arial" w:eastAsia="Times New Roman" w:hAnsi="Arial" w:cs="Arial"/>
          <w:sz w:val="22"/>
          <w:szCs w:val="22"/>
          <w:lang w:eastAsia="en-GB"/>
        </w:rPr>
      </w:pPr>
    </w:p>
    <w:p w14:paraId="5A16F7DC" w14:textId="39DEE189" w:rsidR="001E27ED" w:rsidRPr="005B220A" w:rsidRDefault="007C21B4" w:rsidP="005B220A">
      <w:pPr>
        <w:pStyle w:val="Title"/>
        <w:spacing w:after="0" w:line="360" w:lineRule="auto"/>
        <w:rPr>
          <w:rFonts w:ascii="Arial" w:eastAsia="Times New Roman" w:hAnsi="Arial" w:cs="Arial"/>
          <w:sz w:val="22"/>
          <w:szCs w:val="22"/>
          <w:lang w:eastAsia="en-GB"/>
        </w:rPr>
      </w:pPr>
      <w:r w:rsidRPr="005B220A">
        <w:rPr>
          <w:rFonts w:ascii="Arial" w:eastAsia="Times New Roman" w:hAnsi="Arial" w:cs="Arial"/>
          <w:b/>
          <w:bCs/>
          <w:sz w:val="22"/>
          <w:szCs w:val="22"/>
          <w:lang w:eastAsia="en-GB"/>
        </w:rPr>
        <w:t xml:space="preserve">Component </w:t>
      </w:r>
      <w:r w:rsidR="00452A7A" w:rsidRPr="005B220A">
        <w:rPr>
          <w:rFonts w:ascii="Arial" w:eastAsia="Times New Roman" w:hAnsi="Arial" w:cs="Arial"/>
          <w:b/>
          <w:bCs/>
          <w:sz w:val="22"/>
          <w:szCs w:val="22"/>
          <w:lang w:eastAsia="en-GB"/>
        </w:rPr>
        <w:t>2:</w:t>
      </w:r>
      <w:r w:rsidR="00002621" w:rsidRPr="005B220A">
        <w:rPr>
          <w:rFonts w:ascii="Arial" w:hAnsi="Arial" w:cs="Arial"/>
          <w:sz w:val="22"/>
          <w:szCs w:val="22"/>
        </w:rPr>
        <w:t xml:space="preserve"> Evaluating how UK nutrition and food-security policies address childhood obesity and long-term health inequalities, in relation to SDG 3 and SDG 2.</w:t>
      </w:r>
    </w:p>
    <w:p w14:paraId="43DB681F" w14:textId="77777777" w:rsidR="001E27ED" w:rsidRPr="005B220A" w:rsidRDefault="001E27ED" w:rsidP="005B220A">
      <w:pPr>
        <w:pStyle w:val="Title"/>
        <w:spacing w:after="0" w:line="360" w:lineRule="auto"/>
        <w:rPr>
          <w:rFonts w:ascii="Arial" w:eastAsia="Times New Roman" w:hAnsi="Arial" w:cs="Arial"/>
          <w:sz w:val="22"/>
          <w:szCs w:val="22"/>
          <w:lang w:eastAsia="en-GB"/>
        </w:rPr>
      </w:pPr>
    </w:p>
    <w:p w14:paraId="4D7B52FA" w14:textId="77777777" w:rsidR="001E27ED" w:rsidRPr="005B220A" w:rsidRDefault="001E27ED" w:rsidP="005B220A">
      <w:pPr>
        <w:pStyle w:val="Title"/>
        <w:spacing w:after="0" w:line="360" w:lineRule="auto"/>
        <w:jc w:val="both"/>
        <w:rPr>
          <w:rFonts w:ascii="Arial" w:eastAsia="Times New Roman" w:hAnsi="Arial" w:cs="Arial"/>
          <w:sz w:val="22"/>
          <w:szCs w:val="22"/>
          <w:lang w:eastAsia="en-GB"/>
        </w:rPr>
      </w:pPr>
    </w:p>
    <w:p w14:paraId="61B818C6" w14:textId="77777777" w:rsidR="000E5F74" w:rsidRPr="005B220A" w:rsidRDefault="000E5F74" w:rsidP="005B220A">
      <w:pPr>
        <w:spacing w:after="0" w:line="360" w:lineRule="auto"/>
        <w:jc w:val="both"/>
        <w:rPr>
          <w:rFonts w:ascii="Arial" w:hAnsi="Arial" w:cs="Arial"/>
          <w:lang w:eastAsia="en-GB"/>
        </w:rPr>
      </w:pPr>
    </w:p>
    <w:p w14:paraId="1EC7924E" w14:textId="77777777" w:rsidR="00972A59" w:rsidRPr="005B220A" w:rsidRDefault="00972A59" w:rsidP="005B220A">
      <w:pPr>
        <w:spacing w:after="0" w:line="360" w:lineRule="auto"/>
        <w:jc w:val="both"/>
        <w:rPr>
          <w:rFonts w:ascii="Arial" w:hAnsi="Arial" w:cs="Arial"/>
          <w:lang w:eastAsia="en-GB"/>
        </w:rPr>
      </w:pPr>
    </w:p>
    <w:p w14:paraId="0631DCD1" w14:textId="77777777" w:rsidR="00972A59" w:rsidRPr="005B220A" w:rsidRDefault="00972A59" w:rsidP="005B220A">
      <w:pPr>
        <w:spacing w:after="0" w:line="360" w:lineRule="auto"/>
        <w:jc w:val="both"/>
        <w:rPr>
          <w:rFonts w:ascii="Arial" w:hAnsi="Arial" w:cs="Arial"/>
          <w:lang w:eastAsia="en-GB"/>
        </w:rPr>
      </w:pPr>
    </w:p>
    <w:p w14:paraId="5518FAB1" w14:textId="77777777" w:rsidR="00972A59" w:rsidRPr="005B220A" w:rsidRDefault="00972A59" w:rsidP="005B220A">
      <w:pPr>
        <w:spacing w:after="0" w:line="360" w:lineRule="auto"/>
        <w:jc w:val="both"/>
        <w:rPr>
          <w:rFonts w:ascii="Arial" w:hAnsi="Arial" w:cs="Arial"/>
          <w:lang w:eastAsia="en-GB"/>
        </w:rPr>
      </w:pPr>
    </w:p>
    <w:p w14:paraId="05A69CE2" w14:textId="77777777" w:rsidR="00700E44" w:rsidRPr="005B220A" w:rsidRDefault="00700E44" w:rsidP="005B220A">
      <w:pPr>
        <w:spacing w:after="0" w:line="360" w:lineRule="auto"/>
        <w:jc w:val="both"/>
        <w:rPr>
          <w:rFonts w:ascii="Arial" w:hAnsi="Arial" w:cs="Arial"/>
          <w:lang w:eastAsia="en-GB"/>
        </w:rPr>
      </w:pPr>
    </w:p>
    <w:p w14:paraId="63454F67" w14:textId="77777777" w:rsidR="00E355D1" w:rsidRPr="005B220A" w:rsidRDefault="00E355D1" w:rsidP="005B220A">
      <w:pPr>
        <w:spacing w:after="0" w:line="360" w:lineRule="auto"/>
        <w:jc w:val="both"/>
        <w:rPr>
          <w:rFonts w:ascii="Arial" w:hAnsi="Arial" w:cs="Arial"/>
          <w:lang w:eastAsia="en-GB"/>
        </w:rPr>
      </w:pPr>
    </w:p>
    <w:p w14:paraId="35757BB3" w14:textId="77777777" w:rsidR="00E355D1" w:rsidRPr="005B220A" w:rsidRDefault="00E355D1" w:rsidP="005B220A">
      <w:pPr>
        <w:spacing w:after="0" w:line="360" w:lineRule="auto"/>
        <w:jc w:val="both"/>
        <w:rPr>
          <w:rFonts w:ascii="Arial" w:hAnsi="Arial" w:cs="Arial"/>
          <w:lang w:eastAsia="en-GB"/>
        </w:rPr>
      </w:pPr>
    </w:p>
    <w:p w14:paraId="56712237" w14:textId="77777777" w:rsidR="00E355D1" w:rsidRPr="005B220A" w:rsidRDefault="00E355D1" w:rsidP="005B220A">
      <w:pPr>
        <w:spacing w:after="0" w:line="360" w:lineRule="auto"/>
        <w:jc w:val="both"/>
        <w:rPr>
          <w:rFonts w:ascii="Arial" w:hAnsi="Arial" w:cs="Arial"/>
          <w:lang w:eastAsia="en-GB"/>
        </w:rPr>
      </w:pPr>
    </w:p>
    <w:p w14:paraId="7F3B06D9" w14:textId="77777777" w:rsidR="00700E44" w:rsidRPr="005B220A" w:rsidRDefault="00700E44" w:rsidP="005B220A">
      <w:pPr>
        <w:spacing w:after="0" w:line="360" w:lineRule="auto"/>
        <w:jc w:val="both"/>
        <w:rPr>
          <w:rFonts w:ascii="Arial" w:hAnsi="Arial" w:cs="Arial"/>
          <w:lang w:eastAsia="en-GB"/>
        </w:rPr>
      </w:pPr>
    </w:p>
    <w:p w14:paraId="44B059C9" w14:textId="56733C76" w:rsidR="000035BB" w:rsidRPr="005B220A" w:rsidRDefault="000035BB" w:rsidP="005B220A">
      <w:pPr>
        <w:spacing w:after="0" w:line="360" w:lineRule="auto"/>
        <w:jc w:val="both"/>
        <w:outlineLvl w:val="1"/>
        <w:rPr>
          <w:rFonts w:ascii="Arial" w:eastAsia="Times New Roman" w:hAnsi="Arial" w:cs="Arial"/>
          <w:b/>
          <w:bCs/>
          <w:kern w:val="0"/>
          <w:lang w:eastAsia="en-GB"/>
          <w14:ligatures w14:val="none"/>
        </w:rPr>
      </w:pPr>
      <w:r w:rsidRPr="005B220A">
        <w:rPr>
          <w:rFonts w:ascii="Arial" w:eastAsia="Times New Roman" w:hAnsi="Arial" w:cs="Arial"/>
          <w:b/>
          <w:bCs/>
          <w:kern w:val="0"/>
          <w:lang w:eastAsia="en-GB"/>
          <w14:ligatures w14:val="none"/>
        </w:rPr>
        <w:lastRenderedPageBreak/>
        <w:t xml:space="preserve">Introduction </w:t>
      </w:r>
    </w:p>
    <w:p w14:paraId="2F561CE7" w14:textId="77777777" w:rsidR="007766DE" w:rsidRPr="005B220A" w:rsidRDefault="007766DE" w:rsidP="005B220A">
      <w:pPr>
        <w:spacing w:after="0" w:line="360" w:lineRule="auto"/>
        <w:jc w:val="both"/>
        <w:outlineLvl w:val="1"/>
        <w:rPr>
          <w:rFonts w:ascii="Arial" w:eastAsia="Times New Roman" w:hAnsi="Arial" w:cs="Arial"/>
          <w:kern w:val="0"/>
          <w:lang w:eastAsia="en-GB"/>
          <w14:ligatures w14:val="none"/>
        </w:rPr>
      </w:pPr>
    </w:p>
    <w:p w14:paraId="3C714518" w14:textId="77777777" w:rsidR="000035BB" w:rsidRPr="005B220A" w:rsidRDefault="000035BB" w:rsidP="005B220A">
      <w:pPr>
        <w:spacing w:after="0" w:line="360" w:lineRule="auto"/>
        <w:jc w:val="both"/>
        <w:rPr>
          <w:rFonts w:ascii="Arial" w:eastAsia="Times New Roman" w:hAnsi="Arial" w:cs="Arial"/>
          <w:kern w:val="0"/>
          <w:lang w:eastAsia="en-GB"/>
          <w14:ligatures w14:val="none"/>
        </w:rPr>
      </w:pPr>
      <w:r w:rsidRPr="005B220A">
        <w:rPr>
          <w:rFonts w:ascii="Arial" w:eastAsia="Times New Roman" w:hAnsi="Arial" w:cs="Arial"/>
          <w:kern w:val="0"/>
          <w:lang w:eastAsia="en-GB"/>
          <w14:ligatures w14:val="none"/>
        </w:rPr>
        <w:t xml:space="preserve">The Sustainable Development Goals (SDGs) provide an international framework for improving population health, reducing inequality, and supporting sustainable social development. Within health and social care, the SDGs emphasise prevention, equity, and long-term system resilience. SDG 3: Good Health and Wellbeing </w:t>
      </w:r>
      <w:proofErr w:type="gramStart"/>
      <w:r w:rsidRPr="005B220A">
        <w:rPr>
          <w:rFonts w:ascii="Arial" w:eastAsia="Times New Roman" w:hAnsi="Arial" w:cs="Arial"/>
          <w:kern w:val="0"/>
          <w:lang w:eastAsia="en-GB"/>
          <w14:ligatures w14:val="none"/>
        </w:rPr>
        <w:t>aims</w:t>
      </w:r>
      <w:proofErr w:type="gramEnd"/>
      <w:r w:rsidRPr="005B220A">
        <w:rPr>
          <w:rFonts w:ascii="Arial" w:eastAsia="Times New Roman" w:hAnsi="Arial" w:cs="Arial"/>
          <w:kern w:val="0"/>
          <w:lang w:eastAsia="en-GB"/>
          <w14:ligatures w14:val="none"/>
        </w:rPr>
        <w:t xml:space="preserve"> to reduce preventable illness and promote healthier lives across the life course, while SDG 2: Zero Hunger focuses on food security, nutrition, and access to safe and affordable food (United Nations, 2015). These two goals are closely interconnected, particularly in relation to childhood health outcomes.</w:t>
      </w:r>
    </w:p>
    <w:p w14:paraId="607471B9" w14:textId="77777777" w:rsidR="000035BB" w:rsidRPr="005B220A" w:rsidRDefault="000035BB" w:rsidP="005B220A">
      <w:pPr>
        <w:spacing w:after="0" w:line="360" w:lineRule="auto"/>
        <w:jc w:val="both"/>
        <w:rPr>
          <w:rFonts w:ascii="Arial" w:eastAsia="Times New Roman" w:hAnsi="Arial" w:cs="Arial"/>
          <w:kern w:val="0"/>
          <w:lang w:eastAsia="en-GB"/>
          <w14:ligatures w14:val="none"/>
        </w:rPr>
      </w:pPr>
      <w:r w:rsidRPr="005B220A">
        <w:rPr>
          <w:rFonts w:ascii="Arial" w:eastAsia="Times New Roman" w:hAnsi="Arial" w:cs="Arial"/>
          <w:kern w:val="0"/>
          <w:lang w:eastAsia="en-GB"/>
          <w14:ligatures w14:val="none"/>
        </w:rPr>
        <w:t>In the UK, childhood obesity represents a significant public health challenge and illustrates the interaction between poor nutrition, social inequality, and long-term health risk. National evidence demonstrates that obesity prevalence is substantially higher among children living in deprived communities, reflecting wider inequalities in income, food access, and living conditions (Marmot et al., 2020). Poor diet and food insecurity in childhood are associated with increased risk of non-communicable diseases, reduced wellbeing, and greater pressure on health services later in life (World Health Organization, 2020).</w:t>
      </w:r>
    </w:p>
    <w:p w14:paraId="6E3BB566" w14:textId="77777777" w:rsidR="000035BB" w:rsidRPr="005B220A" w:rsidRDefault="000035BB" w:rsidP="005B220A">
      <w:pPr>
        <w:spacing w:after="0" w:line="360" w:lineRule="auto"/>
        <w:jc w:val="both"/>
        <w:rPr>
          <w:rFonts w:ascii="Arial" w:eastAsia="Times New Roman" w:hAnsi="Arial" w:cs="Arial"/>
          <w:kern w:val="0"/>
          <w:lang w:eastAsia="en-GB"/>
          <w14:ligatures w14:val="none"/>
        </w:rPr>
      </w:pPr>
      <w:r w:rsidRPr="005B220A">
        <w:rPr>
          <w:rFonts w:ascii="Arial" w:eastAsia="Times New Roman" w:hAnsi="Arial" w:cs="Arial"/>
          <w:kern w:val="0"/>
          <w:lang w:eastAsia="en-GB"/>
          <w14:ligatures w14:val="none"/>
        </w:rPr>
        <w:t>The aim of this report is to critically evaluate how SDG 3 and SDG 2 are addressed through UK policies and initiatives targeting childhood obesity and food insecurity. The report draws on global, national, and local examples, supported by secondary data and relevant theoretical models. It also examines the sustainability of prevention-based approaches and presents evidence-informed recommendations to support more equitable and effective health and social care practice.</w:t>
      </w:r>
    </w:p>
    <w:p w14:paraId="5CE00C2C"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67DDDA88"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67ACFAC4"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60378B6A"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7E622C53"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40E24F54"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2E3AEB6B"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5AF742B3"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12B17C2D"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2159C991"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0436A08C"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7BC86CE8"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4F0C2265"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024E2ED0"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53B031FE"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0F2DAAB7" w14:textId="77777777" w:rsidR="00972A59" w:rsidRPr="005B220A" w:rsidRDefault="00972A59" w:rsidP="005B220A">
      <w:pPr>
        <w:spacing w:after="0" w:line="360" w:lineRule="auto"/>
        <w:jc w:val="both"/>
        <w:rPr>
          <w:rFonts w:ascii="Arial" w:eastAsia="Times New Roman" w:hAnsi="Arial" w:cs="Arial"/>
          <w:kern w:val="0"/>
          <w:lang w:eastAsia="en-GB"/>
          <w14:ligatures w14:val="none"/>
        </w:rPr>
      </w:pPr>
    </w:p>
    <w:p w14:paraId="03AAF92D" w14:textId="090A28A8" w:rsidR="000035BB" w:rsidRPr="005B220A" w:rsidRDefault="000035BB" w:rsidP="005B220A">
      <w:pPr>
        <w:spacing w:after="0" w:line="360" w:lineRule="auto"/>
        <w:jc w:val="both"/>
        <w:rPr>
          <w:rFonts w:ascii="Arial" w:eastAsia="Times New Roman" w:hAnsi="Arial" w:cs="Arial"/>
          <w:kern w:val="0"/>
          <w:lang w:eastAsia="en-GB"/>
          <w14:ligatures w14:val="none"/>
        </w:rPr>
      </w:pPr>
    </w:p>
    <w:p w14:paraId="5125F535" w14:textId="1DE36066" w:rsidR="000035BB" w:rsidRPr="005B220A" w:rsidRDefault="000035BB" w:rsidP="005B220A">
      <w:pPr>
        <w:spacing w:after="0" w:line="360" w:lineRule="auto"/>
        <w:jc w:val="both"/>
        <w:outlineLvl w:val="1"/>
        <w:rPr>
          <w:rFonts w:ascii="Arial" w:eastAsia="Times New Roman" w:hAnsi="Arial" w:cs="Arial"/>
          <w:b/>
          <w:bCs/>
          <w:kern w:val="0"/>
          <w:lang w:eastAsia="en-GB"/>
          <w14:ligatures w14:val="none"/>
        </w:rPr>
      </w:pPr>
      <w:r w:rsidRPr="005B220A">
        <w:rPr>
          <w:rFonts w:ascii="Arial" w:eastAsia="Times New Roman" w:hAnsi="Arial" w:cs="Arial"/>
          <w:b/>
          <w:bCs/>
          <w:kern w:val="0"/>
          <w:lang w:eastAsia="en-GB"/>
          <w14:ligatures w14:val="none"/>
        </w:rPr>
        <w:t xml:space="preserve">Section 1 – SDG 3: Good Health and Wellbeing </w:t>
      </w:r>
    </w:p>
    <w:p w14:paraId="3488EAF4" w14:textId="156EDABF" w:rsidR="000035BB" w:rsidRPr="005B220A" w:rsidRDefault="000035BB" w:rsidP="005B220A">
      <w:pPr>
        <w:spacing w:after="0" w:line="360" w:lineRule="auto"/>
        <w:jc w:val="both"/>
        <w:rPr>
          <w:rFonts w:ascii="Arial" w:eastAsia="Times New Roman" w:hAnsi="Arial" w:cs="Arial"/>
          <w:kern w:val="0"/>
          <w:lang w:eastAsia="en-GB"/>
          <w14:ligatures w14:val="none"/>
        </w:rPr>
      </w:pPr>
    </w:p>
    <w:p w14:paraId="48DEA0E4"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Style w:val="Strong"/>
          <w:rFonts w:ascii="Arial" w:eastAsiaTheme="majorEastAsia" w:hAnsi="Arial" w:cs="Arial"/>
          <w:b w:val="0"/>
          <w:bCs w:val="0"/>
          <w:sz w:val="22"/>
          <w:szCs w:val="22"/>
        </w:rPr>
        <w:t>SDG 3: Good Health and Wellbeing</w:t>
      </w:r>
      <w:r w:rsidRPr="005B220A">
        <w:rPr>
          <w:rFonts w:ascii="Arial" w:hAnsi="Arial" w:cs="Arial"/>
          <w:sz w:val="22"/>
          <w:szCs w:val="22"/>
        </w:rPr>
        <w:t xml:space="preserve"> </w:t>
      </w:r>
      <w:proofErr w:type="gramStart"/>
      <w:r w:rsidRPr="005B220A">
        <w:rPr>
          <w:rFonts w:ascii="Arial" w:hAnsi="Arial" w:cs="Arial"/>
          <w:sz w:val="22"/>
          <w:szCs w:val="22"/>
        </w:rPr>
        <w:t>aims</w:t>
      </w:r>
      <w:proofErr w:type="gramEnd"/>
      <w:r w:rsidRPr="005B220A">
        <w:rPr>
          <w:rFonts w:ascii="Arial" w:hAnsi="Arial" w:cs="Arial"/>
          <w:sz w:val="22"/>
          <w:szCs w:val="22"/>
        </w:rPr>
        <w:t xml:space="preserve"> to ensure healthy lives and promote wellbeing for all at all ages, with a strong focus on prevention, early intervention, and the reduction of avoidable illness. In the UK, childhood obesity represents a major barrier to achieving SDG 3, as it is associated with increased risk of non-communicable diseases such as type 2 diabetes, cardiovascular disease, and poorer mental health outcomes across the life course (World Health Organization, 2020). Addressing childhood obesity is therefore a critical public health priority and central to improving long-term population health and wellbeing.</w:t>
      </w:r>
    </w:p>
    <w:p w14:paraId="1FCF2A4A"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At a </w:t>
      </w:r>
      <w:r w:rsidRPr="005B220A">
        <w:rPr>
          <w:rStyle w:val="Strong"/>
          <w:rFonts w:ascii="Arial" w:eastAsiaTheme="majorEastAsia" w:hAnsi="Arial" w:cs="Arial"/>
          <w:b w:val="0"/>
          <w:bCs w:val="0"/>
          <w:sz w:val="22"/>
          <w:szCs w:val="22"/>
        </w:rPr>
        <w:t>global level</w:t>
      </w:r>
      <w:r w:rsidRPr="005B220A">
        <w:rPr>
          <w:rFonts w:ascii="Arial" w:hAnsi="Arial" w:cs="Arial"/>
          <w:sz w:val="22"/>
          <w:szCs w:val="22"/>
        </w:rPr>
        <w:t>, the World Health Organization identifies childhood obesity as one of the most significant public health challenges of the twenty-first century. WHO guidance emphasises prevention-based approaches, including the promotion of healthy diets, regular physical activity, and supportive environments that enable healthier choices (World Health Organization, 2020). These strategies align directly with SDG 3 by prioritising early-life intervention and long-term wellbeing rather than treatment-focused responses. However, global evidence consistently demonstrates that childhood obesity is socially patterned, with higher prevalence among children living in socioeconomically disadvantaged contexts (WHO, 2014). This highlights a limitation of global strategies that rely heavily on individual behaviour change, as they may fail to address the structural factors that shape health outcomes.</w:t>
      </w:r>
    </w:p>
    <w:p w14:paraId="69961C17"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In the </w:t>
      </w:r>
      <w:r w:rsidRPr="005B220A">
        <w:rPr>
          <w:rStyle w:val="Strong"/>
          <w:rFonts w:ascii="Arial" w:eastAsiaTheme="majorEastAsia" w:hAnsi="Arial" w:cs="Arial"/>
          <w:b w:val="0"/>
          <w:bCs w:val="0"/>
          <w:sz w:val="22"/>
          <w:szCs w:val="22"/>
        </w:rPr>
        <w:t>UK national context</w:t>
      </w:r>
      <w:r w:rsidRPr="005B220A">
        <w:rPr>
          <w:rFonts w:ascii="Arial" w:hAnsi="Arial" w:cs="Arial"/>
          <w:sz w:val="22"/>
          <w:szCs w:val="22"/>
        </w:rPr>
        <w:t xml:space="preserve">, SDG 3 is reflected in policies aimed at improving population health and reducing preventable disease. The </w:t>
      </w:r>
      <w:r w:rsidRPr="005B220A">
        <w:rPr>
          <w:rStyle w:val="Strong"/>
          <w:rFonts w:ascii="Arial" w:eastAsiaTheme="majorEastAsia" w:hAnsi="Arial" w:cs="Arial"/>
          <w:b w:val="0"/>
          <w:bCs w:val="0"/>
          <w:sz w:val="22"/>
          <w:szCs w:val="22"/>
        </w:rPr>
        <w:t>Childhood Obesity Plan</w:t>
      </w:r>
      <w:r w:rsidRPr="005B220A">
        <w:rPr>
          <w:rFonts w:ascii="Arial" w:hAnsi="Arial" w:cs="Arial"/>
          <w:sz w:val="22"/>
          <w:szCs w:val="22"/>
        </w:rPr>
        <w:t xml:space="preserve"> and wider NHS prevention agenda focus on reducing sugar consumption, improving dietary quality, and promoting healthier lifestyles among children (Department of Health and Social Care, 2020). Despite these commitments, national secondary data indicate persistent and widening inequalities. The </w:t>
      </w:r>
      <w:r w:rsidRPr="005B220A">
        <w:rPr>
          <w:rStyle w:val="Strong"/>
          <w:rFonts w:ascii="Arial" w:eastAsiaTheme="majorEastAsia" w:hAnsi="Arial" w:cs="Arial"/>
          <w:b w:val="0"/>
          <w:bCs w:val="0"/>
          <w:sz w:val="22"/>
          <w:szCs w:val="22"/>
        </w:rPr>
        <w:t>National Child Measurement Programme</w:t>
      </w:r>
      <w:r w:rsidRPr="005B220A">
        <w:rPr>
          <w:rFonts w:ascii="Arial" w:hAnsi="Arial" w:cs="Arial"/>
          <w:sz w:val="22"/>
          <w:szCs w:val="22"/>
        </w:rPr>
        <w:t xml:space="preserve"> reports that more than </w:t>
      </w:r>
      <w:r w:rsidRPr="005B220A">
        <w:rPr>
          <w:rStyle w:val="Strong"/>
          <w:rFonts w:ascii="Arial" w:eastAsiaTheme="majorEastAsia" w:hAnsi="Arial" w:cs="Arial"/>
          <w:b w:val="0"/>
          <w:bCs w:val="0"/>
          <w:sz w:val="22"/>
          <w:szCs w:val="22"/>
        </w:rPr>
        <w:t>25% of children in Year 6 are overweight or obese</w:t>
      </w:r>
      <w:r w:rsidRPr="005B220A">
        <w:rPr>
          <w:rFonts w:ascii="Arial" w:hAnsi="Arial" w:cs="Arial"/>
          <w:sz w:val="22"/>
          <w:szCs w:val="22"/>
        </w:rPr>
        <w:t xml:space="preserve">, rising to </w:t>
      </w:r>
      <w:r w:rsidRPr="005B220A">
        <w:rPr>
          <w:rStyle w:val="Strong"/>
          <w:rFonts w:ascii="Arial" w:eastAsiaTheme="majorEastAsia" w:hAnsi="Arial" w:cs="Arial"/>
          <w:b w:val="0"/>
          <w:bCs w:val="0"/>
          <w:sz w:val="22"/>
          <w:szCs w:val="22"/>
        </w:rPr>
        <w:t>over 35% in the most deprived areas</w:t>
      </w:r>
      <w:r w:rsidRPr="005B220A">
        <w:rPr>
          <w:rFonts w:ascii="Arial" w:hAnsi="Arial" w:cs="Arial"/>
          <w:sz w:val="22"/>
          <w:szCs w:val="22"/>
        </w:rPr>
        <w:t>, compared with significantly lower rates in the least deprived communities (NHS Digital, 2022). From an SDG 3 perspective, this demonstrates limited progress in reducing health inequalities, despite sustained policy attention.</w:t>
      </w:r>
    </w:p>
    <w:p w14:paraId="0A04A7A7" w14:textId="3502BF5F" w:rsidR="008E6702" w:rsidRPr="005B220A" w:rsidRDefault="008E6702"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At a local level, schools, local authorities and NHS services play an important role in translating national prevention strategies into practical actions targeting children in high-risk communities. However, although these initiatives can support healthier behaviours, their overall impact remains uneven where wider structural factors such as poverty, access to affordable healthy food, and local environment conditions are not sufficiently addressed (Marmot et al., 2020; NHS Digital, 2022).</w:t>
      </w:r>
    </w:p>
    <w:p w14:paraId="5E223940" w14:textId="58C0265F" w:rsidR="007B23AB" w:rsidRPr="005B220A" w:rsidRDefault="007B23AB" w:rsidP="005B220A">
      <w:pPr>
        <w:pStyle w:val="NormalWeb"/>
        <w:spacing w:before="0" w:beforeAutospacing="0" w:after="0" w:afterAutospacing="0" w:line="360" w:lineRule="auto"/>
        <w:jc w:val="both"/>
        <w:rPr>
          <w:rFonts w:ascii="Arial" w:hAnsi="Arial" w:cs="Arial"/>
          <w:sz w:val="22"/>
          <w:szCs w:val="22"/>
        </w:rPr>
      </w:pPr>
      <w:r w:rsidRPr="005B220A">
        <w:rPr>
          <w:rStyle w:val="bzpyqfadein"/>
          <w:rFonts w:ascii="Arial" w:eastAsiaTheme="majorEastAsia" w:hAnsi="Arial" w:cs="Arial"/>
          <w:sz w:val="22"/>
          <w:szCs w:val="22"/>
        </w:rPr>
        <w:lastRenderedPageBreak/>
        <w:t>These findings raise important questions about the effectiveness of current national strategies in addressing childhood obesity. While public health campaigns and policy initiatives have increased awareness of healthier lifestyles, obesity prevalence remains significantly higher among children living in deprived communities. This suggests that current approaches may focus too heavily on individual behaviour change while insufficiently addressing wider structural determinants such as income inequality, food affordability, and neighbourhood food environments (Marmot et al., 2020). From an SDG 3 perspective, this highlights a key limitation of existing policy responses, as meaningful improvements in population health require coordinated action across health, education, and social policy sectors rather than isolated health interventions alone.</w:t>
      </w:r>
    </w:p>
    <w:p w14:paraId="543123FA"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The </w:t>
      </w:r>
      <w:r w:rsidRPr="005B220A">
        <w:rPr>
          <w:rStyle w:val="Strong"/>
          <w:rFonts w:ascii="Arial" w:eastAsiaTheme="majorEastAsia" w:hAnsi="Arial" w:cs="Arial"/>
          <w:b w:val="0"/>
          <w:bCs w:val="0"/>
          <w:sz w:val="22"/>
          <w:szCs w:val="22"/>
        </w:rPr>
        <w:t>ecological model of health</w:t>
      </w:r>
      <w:r w:rsidRPr="005B220A">
        <w:rPr>
          <w:rFonts w:ascii="Arial" w:hAnsi="Arial" w:cs="Arial"/>
          <w:sz w:val="22"/>
          <w:szCs w:val="22"/>
        </w:rPr>
        <w:t xml:space="preserve"> provides a valuable framework for evaluating these challenges. This model recognises that health behaviours are shaped by multiple interacting levels, including individual, interpersonal, community, and policy contexts (Bronfenbrenner, 1979). From this perspective, childhood obesity cannot be effectively addressed through individual-level interventions such as education alone. Instead, progress towards SDG 3 requires coordinated action across sectors, including health, education, housing, and urban planning. Similarly, the </w:t>
      </w:r>
      <w:r w:rsidRPr="005B220A">
        <w:rPr>
          <w:rStyle w:val="Strong"/>
          <w:rFonts w:ascii="Arial" w:eastAsiaTheme="majorEastAsia" w:hAnsi="Arial" w:cs="Arial"/>
          <w:b w:val="0"/>
          <w:bCs w:val="0"/>
          <w:sz w:val="22"/>
          <w:szCs w:val="22"/>
        </w:rPr>
        <w:t>social determinants of health framework</w:t>
      </w:r>
      <w:r w:rsidRPr="005B220A">
        <w:rPr>
          <w:rFonts w:ascii="Arial" w:hAnsi="Arial" w:cs="Arial"/>
          <w:sz w:val="22"/>
          <w:szCs w:val="22"/>
        </w:rPr>
        <w:t xml:space="preserve"> highlights how income, employment, housing quality, and access to resources fundamentally shape health outcomes, reinforcing inequalities across the life course (Dahlgren and Whitehead, 1991).</w:t>
      </w:r>
    </w:p>
    <w:p w14:paraId="74C99844"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From a </w:t>
      </w:r>
      <w:r w:rsidRPr="005B220A">
        <w:rPr>
          <w:rStyle w:val="Strong"/>
          <w:rFonts w:ascii="Arial" w:eastAsiaTheme="majorEastAsia" w:hAnsi="Arial" w:cs="Arial"/>
          <w:b w:val="0"/>
          <w:bCs w:val="0"/>
          <w:sz w:val="22"/>
          <w:szCs w:val="22"/>
        </w:rPr>
        <w:t>sustainability perspective</w:t>
      </w:r>
      <w:r w:rsidRPr="005B220A">
        <w:rPr>
          <w:rFonts w:ascii="Arial" w:hAnsi="Arial" w:cs="Arial"/>
          <w:sz w:val="22"/>
          <w:szCs w:val="22"/>
        </w:rPr>
        <w:t>, failure to address childhood obesity through effective prevention poses serious challenges for long-term health system resilience. Obesity-related conditions require ongoing treatment and management, increasing demand on NHS services and diverting resources from preventative care. Prevention-focused strategies targeting childhood obesity are more cost-effective and sustainable than treatment-based approaches, as they reduce future service demand and support healthier ageing populations (World Health Organization, 2020). Investing in early intervention is therefore essential for maintaining a sustainable health system capable of delivering equitable care.</w:t>
      </w:r>
    </w:p>
    <w:p w14:paraId="74E37198" w14:textId="77777777" w:rsidR="001C3CF4" w:rsidRPr="005B220A" w:rsidRDefault="001C3CF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To strengthen progress towards SDG 3, </w:t>
      </w:r>
      <w:r w:rsidRPr="005B220A">
        <w:rPr>
          <w:rStyle w:val="Strong"/>
          <w:rFonts w:ascii="Arial" w:eastAsiaTheme="majorEastAsia" w:hAnsi="Arial" w:cs="Arial"/>
          <w:b w:val="0"/>
          <w:bCs w:val="0"/>
          <w:sz w:val="22"/>
          <w:szCs w:val="22"/>
        </w:rPr>
        <w:t>national and local action must be better integrated</w:t>
      </w:r>
      <w:r w:rsidRPr="005B220A">
        <w:rPr>
          <w:rFonts w:ascii="Arial" w:hAnsi="Arial" w:cs="Arial"/>
          <w:sz w:val="22"/>
          <w:szCs w:val="22"/>
        </w:rPr>
        <w:t>. Local authorities and NHS services should use routine population health data to identify high-risk communities and target early intervention accordingly. Schools should be supported to deliver sustained health promotion alongside wider community-based initiatives that address environmental barriers to healthy living. Importantly, prevention strategies must be embedded within broader social policies aimed at reducing poverty and inequality. By adopting a coordinated, prevention-focused approach, the UK can make more equitable and sustainable progress towards achieving SDG 3 and improving long-term health and wellbeing outcomes for children.</w:t>
      </w:r>
    </w:p>
    <w:p w14:paraId="451235F8" w14:textId="77777777" w:rsidR="00E355D1" w:rsidRPr="005B220A" w:rsidRDefault="00E355D1" w:rsidP="005B220A">
      <w:pPr>
        <w:spacing w:after="0" w:line="360" w:lineRule="auto"/>
        <w:jc w:val="both"/>
        <w:rPr>
          <w:rFonts w:ascii="Arial" w:eastAsia="Times New Roman" w:hAnsi="Arial" w:cs="Arial"/>
          <w:kern w:val="0"/>
          <w:lang w:eastAsia="en-GB"/>
          <w14:ligatures w14:val="none"/>
        </w:rPr>
      </w:pPr>
    </w:p>
    <w:p w14:paraId="677641B7" w14:textId="77777777" w:rsidR="00700E44" w:rsidRPr="005B220A" w:rsidRDefault="00700E44" w:rsidP="005B220A">
      <w:pPr>
        <w:spacing w:after="0" w:line="360" w:lineRule="auto"/>
        <w:jc w:val="both"/>
        <w:rPr>
          <w:rFonts w:ascii="Arial" w:eastAsia="Times New Roman" w:hAnsi="Arial" w:cs="Arial"/>
          <w:kern w:val="0"/>
          <w:lang w:eastAsia="en-GB"/>
          <w14:ligatures w14:val="none"/>
        </w:rPr>
      </w:pPr>
    </w:p>
    <w:p w14:paraId="03AA5050" w14:textId="11CF36EF" w:rsidR="000035BB" w:rsidRPr="005B220A" w:rsidRDefault="000035BB" w:rsidP="005B220A">
      <w:pPr>
        <w:spacing w:after="0" w:line="360" w:lineRule="auto"/>
        <w:jc w:val="both"/>
        <w:outlineLvl w:val="1"/>
        <w:rPr>
          <w:rFonts w:ascii="Arial" w:eastAsia="Times New Roman" w:hAnsi="Arial" w:cs="Arial"/>
          <w:b/>
          <w:bCs/>
          <w:kern w:val="0"/>
          <w:lang w:eastAsia="en-GB"/>
          <w14:ligatures w14:val="none"/>
        </w:rPr>
      </w:pPr>
      <w:r w:rsidRPr="005B220A">
        <w:rPr>
          <w:rFonts w:ascii="Arial" w:eastAsia="Times New Roman" w:hAnsi="Arial" w:cs="Arial"/>
          <w:b/>
          <w:bCs/>
          <w:kern w:val="0"/>
          <w:lang w:eastAsia="en-GB"/>
          <w14:ligatures w14:val="none"/>
        </w:rPr>
        <w:t>Section 2 – SDG 2: Zero Hunger</w:t>
      </w:r>
    </w:p>
    <w:p w14:paraId="52F4FC7E" w14:textId="77777777" w:rsidR="000E5F74" w:rsidRPr="005B220A" w:rsidRDefault="000E5F74" w:rsidP="005B220A">
      <w:pPr>
        <w:spacing w:after="0" w:line="360" w:lineRule="auto"/>
        <w:jc w:val="both"/>
        <w:outlineLvl w:val="1"/>
        <w:rPr>
          <w:rFonts w:ascii="Arial" w:eastAsia="Times New Roman" w:hAnsi="Arial" w:cs="Arial"/>
          <w:kern w:val="0"/>
          <w:lang w:eastAsia="en-GB"/>
          <w14:ligatures w14:val="none"/>
        </w:rPr>
      </w:pPr>
    </w:p>
    <w:p w14:paraId="2589DE91" w14:textId="77777777"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Style w:val="Strong"/>
          <w:rFonts w:ascii="Arial" w:eastAsiaTheme="majorEastAsia" w:hAnsi="Arial" w:cs="Arial"/>
          <w:b w:val="0"/>
          <w:bCs w:val="0"/>
          <w:sz w:val="22"/>
          <w:szCs w:val="22"/>
        </w:rPr>
        <w:t>SDG 2: Zero Hunger</w:t>
      </w:r>
      <w:r w:rsidRPr="005B220A">
        <w:rPr>
          <w:rFonts w:ascii="Arial" w:hAnsi="Arial" w:cs="Arial"/>
          <w:sz w:val="22"/>
          <w:szCs w:val="22"/>
        </w:rPr>
        <w:t xml:space="preserve"> aims to end hunger, achieve food security, improve nutrition, and promote sustainable food systems. Although hunger is often associated with low-income countries, SDG 2 remains highly relevant in high-income contexts such as the UK, where food insecurity, poor diet quality, and unequal access to nutritious food persist. In relation to childhood obesity, SDG 2 is central to understanding how food insecurity and limited access to healthy food contribute to long-term health inequalities and undermine progress towards SDG 3.</w:t>
      </w:r>
    </w:p>
    <w:p w14:paraId="352C2649" w14:textId="77777777"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At a </w:t>
      </w:r>
      <w:r w:rsidRPr="005B220A">
        <w:rPr>
          <w:rStyle w:val="Strong"/>
          <w:rFonts w:ascii="Arial" w:eastAsiaTheme="majorEastAsia" w:hAnsi="Arial" w:cs="Arial"/>
          <w:b w:val="0"/>
          <w:bCs w:val="0"/>
          <w:sz w:val="22"/>
          <w:szCs w:val="22"/>
        </w:rPr>
        <w:t>global level</w:t>
      </w:r>
      <w:r w:rsidRPr="005B220A">
        <w:rPr>
          <w:rFonts w:ascii="Arial" w:hAnsi="Arial" w:cs="Arial"/>
          <w:sz w:val="22"/>
          <w:szCs w:val="22"/>
        </w:rPr>
        <w:t>, the United Nations recognises food insecurity and malnutrition as major barriers to sustainable development and population health. Global evidence demonstrates that children living in disadvantaged socioeconomic conditions are more likely to consume diets high in energy-dense, nutrient-poor foods due to affordability, availability, and marketing practices (United Nations, 2020). The World Health Organization emphasises that early-life nutrition is critical for preventing obesity and non-communicable diseases, as well as for supporting healthy physical and cognitive development (World Health Organization, 2020). From an SDG 2 perspective, ensuring consistent access to nutritious food is therefore a foundational requirement for improving health outcomes across the life course.</w:t>
      </w:r>
    </w:p>
    <w:p w14:paraId="2AFA4409" w14:textId="12288F25"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In the </w:t>
      </w:r>
      <w:r w:rsidRPr="005B220A">
        <w:rPr>
          <w:rStyle w:val="Strong"/>
          <w:rFonts w:ascii="Arial" w:eastAsiaTheme="majorEastAsia" w:hAnsi="Arial" w:cs="Arial"/>
          <w:b w:val="0"/>
          <w:bCs w:val="0"/>
          <w:sz w:val="22"/>
          <w:szCs w:val="22"/>
        </w:rPr>
        <w:t>UK national context</w:t>
      </w:r>
      <w:r w:rsidRPr="005B220A">
        <w:rPr>
          <w:rFonts w:ascii="Arial" w:hAnsi="Arial" w:cs="Arial"/>
          <w:sz w:val="22"/>
          <w:szCs w:val="22"/>
        </w:rPr>
        <w:t xml:space="preserve">, SDG 2 is addressed through policies and initiatives aimed at improving child nutrition and reducing food insecurity. Key national interventions include </w:t>
      </w:r>
      <w:r w:rsidRPr="005B220A">
        <w:rPr>
          <w:rStyle w:val="Strong"/>
          <w:rFonts w:ascii="Arial" w:eastAsiaTheme="majorEastAsia" w:hAnsi="Arial" w:cs="Arial"/>
          <w:b w:val="0"/>
          <w:bCs w:val="0"/>
          <w:sz w:val="22"/>
          <w:szCs w:val="22"/>
        </w:rPr>
        <w:t>Free School Meals (FSM)</w:t>
      </w:r>
      <w:r w:rsidRPr="005B220A">
        <w:rPr>
          <w:rFonts w:ascii="Arial" w:hAnsi="Arial" w:cs="Arial"/>
          <w:sz w:val="22"/>
          <w:szCs w:val="22"/>
        </w:rPr>
        <w:t xml:space="preserve"> and </w:t>
      </w:r>
      <w:r w:rsidRPr="005B220A">
        <w:rPr>
          <w:rStyle w:val="Strong"/>
          <w:rFonts w:ascii="Arial" w:eastAsiaTheme="majorEastAsia" w:hAnsi="Arial" w:cs="Arial"/>
          <w:b w:val="0"/>
          <w:bCs w:val="0"/>
          <w:sz w:val="22"/>
          <w:szCs w:val="22"/>
        </w:rPr>
        <w:t>School Food Standards</w:t>
      </w:r>
      <w:r w:rsidRPr="005B220A">
        <w:rPr>
          <w:rFonts w:ascii="Arial" w:hAnsi="Arial" w:cs="Arial"/>
          <w:sz w:val="22"/>
          <w:szCs w:val="22"/>
        </w:rPr>
        <w:t>, which seek to ensure that children receive at least one nutritious meal per day regardless of household income (Department for Education, 202</w:t>
      </w:r>
      <w:r w:rsidR="00BC210D" w:rsidRPr="005B220A">
        <w:rPr>
          <w:rFonts w:ascii="Arial" w:hAnsi="Arial" w:cs="Arial"/>
          <w:sz w:val="22"/>
          <w:szCs w:val="22"/>
        </w:rPr>
        <w:t>2</w:t>
      </w:r>
      <w:r w:rsidRPr="005B220A">
        <w:rPr>
          <w:rFonts w:ascii="Arial" w:hAnsi="Arial" w:cs="Arial"/>
          <w:sz w:val="22"/>
          <w:szCs w:val="22"/>
        </w:rPr>
        <w:t xml:space="preserve">). Evidence indicates that FSM provision is associated with improved dietary intake, educational attainment, and social inclusion among children from disadvantaged backgrounds (Marmot et al., 2020). Despite these benefits, national secondary data suggest that food insecurity remains widespread. Recent estimates indicate that </w:t>
      </w:r>
      <w:r w:rsidRPr="005B220A">
        <w:rPr>
          <w:rStyle w:val="Strong"/>
          <w:rFonts w:ascii="Arial" w:eastAsiaTheme="majorEastAsia" w:hAnsi="Arial" w:cs="Arial"/>
          <w:b w:val="0"/>
          <w:bCs w:val="0"/>
          <w:sz w:val="22"/>
          <w:szCs w:val="22"/>
        </w:rPr>
        <w:t>over four million children in the UK live in food-insecure households</w:t>
      </w:r>
      <w:r w:rsidRPr="005B220A">
        <w:rPr>
          <w:rFonts w:ascii="Arial" w:hAnsi="Arial" w:cs="Arial"/>
          <w:sz w:val="22"/>
          <w:szCs w:val="22"/>
        </w:rPr>
        <w:t>, with rates highest among families experiencing poverty and financial instability (The Food Foundation, 2022).</w:t>
      </w:r>
    </w:p>
    <w:p w14:paraId="5E10E981" w14:textId="77777777"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These findings highlight the limitations of school-based nutrition policies when implemented in isolation. While FSM and food standards contribute positively during school hours, they cannot fully compensate for inadequate access to nutritious food outside school settings. Rising living costs and food price inflation further exacerbate this issue, increasing reliance on low-cost, ultra-processed foods that are high in fat, sugar, and salt (Office for Health Improvement and Disparities, 2022b). From an SDG 2 perspective, this suggests that national policies may mitigate the effects of food insecurity without addressing its underlying causes.</w:t>
      </w:r>
    </w:p>
    <w:p w14:paraId="49DAEAB4" w14:textId="4809C6B9"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lastRenderedPageBreak/>
        <w:t xml:space="preserve">At a </w:t>
      </w:r>
      <w:r w:rsidRPr="005B220A">
        <w:rPr>
          <w:rStyle w:val="Strong"/>
          <w:rFonts w:ascii="Arial" w:eastAsiaTheme="majorEastAsia" w:hAnsi="Arial" w:cs="Arial"/>
          <w:b w:val="0"/>
          <w:bCs w:val="0"/>
          <w:sz w:val="22"/>
          <w:szCs w:val="22"/>
        </w:rPr>
        <w:t>local level</w:t>
      </w:r>
      <w:r w:rsidRPr="005B220A">
        <w:rPr>
          <w:rFonts w:ascii="Arial" w:hAnsi="Arial" w:cs="Arial"/>
          <w:sz w:val="22"/>
          <w:szCs w:val="22"/>
        </w:rPr>
        <w:t xml:space="preserve">, SDG 2 is implemented through </w:t>
      </w:r>
      <w:r w:rsidRPr="005B220A">
        <w:rPr>
          <w:rStyle w:val="Strong"/>
          <w:rFonts w:ascii="Arial" w:eastAsiaTheme="majorEastAsia" w:hAnsi="Arial" w:cs="Arial"/>
          <w:b w:val="0"/>
          <w:bCs w:val="0"/>
          <w:sz w:val="22"/>
          <w:szCs w:val="22"/>
        </w:rPr>
        <w:t>local authority-led food and nutrition initiatives</w:t>
      </w:r>
      <w:r w:rsidRPr="005B220A">
        <w:rPr>
          <w:rFonts w:ascii="Arial" w:hAnsi="Arial" w:cs="Arial"/>
          <w:sz w:val="22"/>
          <w:szCs w:val="22"/>
        </w:rPr>
        <w:t xml:space="preserve">. A clear example is the </w:t>
      </w:r>
      <w:r w:rsidRPr="005B220A">
        <w:rPr>
          <w:rStyle w:val="Strong"/>
          <w:rFonts w:ascii="Arial" w:eastAsiaTheme="majorEastAsia" w:hAnsi="Arial" w:cs="Arial"/>
          <w:b w:val="0"/>
          <w:bCs w:val="0"/>
          <w:sz w:val="22"/>
          <w:szCs w:val="22"/>
        </w:rPr>
        <w:t>Holiday Activities and Food (HAF) Programme</w:t>
      </w:r>
      <w:r w:rsidRPr="005B220A">
        <w:rPr>
          <w:rFonts w:ascii="Arial" w:hAnsi="Arial" w:cs="Arial"/>
          <w:sz w:val="22"/>
          <w:szCs w:val="22"/>
        </w:rPr>
        <w:t>, which provides nutritious meals and physical activity to children eligible for FSM during school holidays. National evaluation data demonstrate that the HAF programme improves food access and reduces holiday hunger for participating families, supporting short-term nutritional security (Department for Education, 202</w:t>
      </w:r>
      <w:r w:rsidR="00EE7D5C" w:rsidRPr="005B220A">
        <w:rPr>
          <w:rFonts w:ascii="Arial" w:hAnsi="Arial" w:cs="Arial"/>
          <w:sz w:val="22"/>
          <w:szCs w:val="22"/>
        </w:rPr>
        <w:t>2</w:t>
      </w:r>
      <w:r w:rsidRPr="005B220A">
        <w:rPr>
          <w:rFonts w:ascii="Arial" w:hAnsi="Arial" w:cs="Arial"/>
          <w:sz w:val="22"/>
          <w:szCs w:val="22"/>
        </w:rPr>
        <w:t>). However, evidence also indicates variation in uptake between local authorities, with lower participation observed in some high-deprivation areas due to barriers such as limited awareness, transport difficulties, and inconsistent local capacity. This highlights the importance of effective local delivery and sustained funding to achieve equitable outcomes.</w:t>
      </w:r>
    </w:p>
    <w:p w14:paraId="468DD72B" w14:textId="7E027E7C" w:rsidR="00794874" w:rsidRPr="005B220A" w:rsidRDefault="00794874"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Where implementation varies across local authorities, children in the most disadvantaged communities may benefit less from these programmes, limiting equitable progress towards both SDG 2 and SDG 3 (Department for Education, 2022; OHID, 2022b).</w:t>
      </w:r>
    </w:p>
    <w:p w14:paraId="6E6AEA5B" w14:textId="19B674FB"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The </w:t>
      </w:r>
      <w:r w:rsidRPr="005B220A">
        <w:rPr>
          <w:rStyle w:val="Strong"/>
          <w:rFonts w:ascii="Arial" w:eastAsiaTheme="majorEastAsia" w:hAnsi="Arial" w:cs="Arial"/>
          <w:b w:val="0"/>
          <w:bCs w:val="0"/>
          <w:sz w:val="22"/>
          <w:szCs w:val="22"/>
        </w:rPr>
        <w:t>social determinants of health framework</w:t>
      </w:r>
      <w:r w:rsidRPr="005B220A">
        <w:rPr>
          <w:rFonts w:ascii="Arial" w:hAnsi="Arial" w:cs="Arial"/>
          <w:sz w:val="22"/>
          <w:szCs w:val="22"/>
        </w:rPr>
        <w:t xml:space="preserve"> </w:t>
      </w:r>
      <w:proofErr w:type="gramStart"/>
      <w:r w:rsidR="00EE7D5C" w:rsidRPr="005B220A">
        <w:rPr>
          <w:rFonts w:ascii="Arial" w:hAnsi="Arial" w:cs="Arial"/>
          <w:sz w:val="22"/>
          <w:szCs w:val="22"/>
        </w:rPr>
        <w:t>provide</w:t>
      </w:r>
      <w:r w:rsidR="008C09E4" w:rsidRPr="005B220A">
        <w:rPr>
          <w:rFonts w:ascii="Arial" w:hAnsi="Arial" w:cs="Arial"/>
          <w:sz w:val="22"/>
          <w:szCs w:val="22"/>
        </w:rPr>
        <w:t>s</w:t>
      </w:r>
      <w:proofErr w:type="gramEnd"/>
      <w:r w:rsidRPr="005B220A">
        <w:rPr>
          <w:rFonts w:ascii="Arial" w:hAnsi="Arial" w:cs="Arial"/>
          <w:sz w:val="22"/>
          <w:szCs w:val="22"/>
        </w:rPr>
        <w:t xml:space="preserve"> a useful lens for evaluating SDG 2 implementation. This framework emphasises that food insecurity is closely linked to income, employment, housing, and broader social policies rather than individual choice alone (Dahlgren and Whitehead, 1991). Similarly, the </w:t>
      </w:r>
      <w:r w:rsidRPr="005B220A">
        <w:rPr>
          <w:rStyle w:val="Strong"/>
          <w:rFonts w:ascii="Arial" w:eastAsiaTheme="majorEastAsia" w:hAnsi="Arial" w:cs="Arial"/>
          <w:b w:val="0"/>
          <w:bCs w:val="0"/>
          <w:sz w:val="22"/>
          <w:szCs w:val="22"/>
        </w:rPr>
        <w:t>ecological model</w:t>
      </w:r>
      <w:r w:rsidRPr="005B220A">
        <w:rPr>
          <w:rFonts w:ascii="Arial" w:hAnsi="Arial" w:cs="Arial"/>
          <w:sz w:val="22"/>
          <w:szCs w:val="22"/>
        </w:rPr>
        <w:t xml:space="preserve"> highlights how children’s diets are influenced by multiple interacting factors, including family income, school food provision, neighbourhood food environments, and national food policy (Bronfenbrenner, 1979). These models reinforce the need for integrated, system-level approaches to achieving SDG 2.</w:t>
      </w:r>
    </w:p>
    <w:p w14:paraId="16ADA5A3" w14:textId="77777777" w:rsidR="00E12387"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From a </w:t>
      </w:r>
      <w:r w:rsidRPr="005B220A">
        <w:rPr>
          <w:rStyle w:val="Strong"/>
          <w:rFonts w:ascii="Arial" w:eastAsiaTheme="majorEastAsia" w:hAnsi="Arial" w:cs="Arial"/>
          <w:b w:val="0"/>
          <w:bCs w:val="0"/>
          <w:sz w:val="22"/>
          <w:szCs w:val="22"/>
        </w:rPr>
        <w:t>sustainability perspective</w:t>
      </w:r>
      <w:r w:rsidRPr="005B220A">
        <w:rPr>
          <w:rFonts w:ascii="Arial" w:hAnsi="Arial" w:cs="Arial"/>
          <w:sz w:val="22"/>
          <w:szCs w:val="22"/>
        </w:rPr>
        <w:t>, reliance on short-term food assistance programmes raises concerns about the long-term effectiveness of current approaches. While initiatives such as FSM and HAF address immediate need, they do not fully resolve structural issues such as low household income, rising food costs, and unequal access to healthy food environments. Sustainable progress towards SDG 2 requires long-term investment in income support, local food infrastructure, and regulation of food systems to ensure affordability and accessibility. Without addressing these underlying drivers, food insecurity risks becoming a recurring issue rather than a preventable one.</w:t>
      </w:r>
    </w:p>
    <w:p w14:paraId="7B8FAE9E" w14:textId="5EFC9501" w:rsidR="00700E44" w:rsidRPr="005B220A" w:rsidRDefault="00E12387" w:rsidP="005B220A">
      <w:pPr>
        <w:pStyle w:val="NormalWeb"/>
        <w:spacing w:before="0" w:beforeAutospacing="0" w:after="0" w:afterAutospacing="0" w:line="360" w:lineRule="auto"/>
        <w:jc w:val="both"/>
        <w:rPr>
          <w:rFonts w:ascii="Arial" w:hAnsi="Arial" w:cs="Arial"/>
          <w:sz w:val="22"/>
          <w:szCs w:val="22"/>
        </w:rPr>
      </w:pPr>
      <w:r w:rsidRPr="005B220A">
        <w:rPr>
          <w:rFonts w:ascii="Arial" w:hAnsi="Arial" w:cs="Arial"/>
          <w:sz w:val="22"/>
          <w:szCs w:val="22"/>
        </w:rPr>
        <w:t xml:space="preserve">To strengthen progress towards SDG 2, </w:t>
      </w:r>
      <w:r w:rsidRPr="005B220A">
        <w:rPr>
          <w:rStyle w:val="Strong"/>
          <w:rFonts w:ascii="Arial" w:eastAsiaTheme="majorEastAsia" w:hAnsi="Arial" w:cs="Arial"/>
          <w:b w:val="0"/>
          <w:bCs w:val="0"/>
          <w:sz w:val="22"/>
          <w:szCs w:val="22"/>
        </w:rPr>
        <w:t>policy action must shift from reactive food support to preventative, sustainable solutions</w:t>
      </w:r>
      <w:r w:rsidRPr="005B220A">
        <w:rPr>
          <w:rFonts w:ascii="Arial" w:hAnsi="Arial" w:cs="Arial"/>
          <w:sz w:val="22"/>
          <w:szCs w:val="22"/>
        </w:rPr>
        <w:t>. National government should expand FSM eligibility and ensure consistent long-term funding for HAF provision in high-deprivation areas. At a local level, authorities should work with schools and community organisations to improve access to affordable, nutritious food and monitor programme uptake by deprivation and ethnicity. These actions support more equitable access to nutrition, reduce long-term health inequalities, and contribute directly to achieving SDG 2 in a way that supports sustainable improvements in child health and wellbeing.</w:t>
      </w:r>
    </w:p>
    <w:p w14:paraId="24D99D98" w14:textId="77777777" w:rsidR="0001195C" w:rsidRPr="005B220A" w:rsidRDefault="0001195C" w:rsidP="005B220A">
      <w:pPr>
        <w:pStyle w:val="Title"/>
        <w:spacing w:after="0" w:line="360" w:lineRule="auto"/>
        <w:jc w:val="both"/>
        <w:rPr>
          <w:rFonts w:ascii="Arial" w:eastAsia="Times New Roman" w:hAnsi="Arial" w:cs="Arial"/>
          <w:b/>
          <w:bCs/>
          <w:sz w:val="22"/>
          <w:szCs w:val="22"/>
          <w:lang w:eastAsia="en-GB"/>
        </w:rPr>
      </w:pPr>
      <w:r w:rsidRPr="005B220A">
        <w:rPr>
          <w:rFonts w:ascii="Arial" w:eastAsia="Times New Roman" w:hAnsi="Arial" w:cs="Arial"/>
          <w:b/>
          <w:bCs/>
          <w:sz w:val="22"/>
          <w:szCs w:val="22"/>
          <w:lang w:eastAsia="en-GB"/>
        </w:rPr>
        <w:lastRenderedPageBreak/>
        <w:t>Conclusion</w:t>
      </w:r>
    </w:p>
    <w:p w14:paraId="6A005A6D" w14:textId="77777777" w:rsidR="000E5F74" w:rsidRPr="005B220A" w:rsidRDefault="000E5F74" w:rsidP="005B220A">
      <w:pPr>
        <w:spacing w:after="0" w:line="360" w:lineRule="auto"/>
        <w:jc w:val="both"/>
        <w:rPr>
          <w:rFonts w:ascii="Arial" w:hAnsi="Arial" w:cs="Arial"/>
          <w:lang w:eastAsia="en-GB"/>
        </w:rPr>
      </w:pPr>
    </w:p>
    <w:p w14:paraId="682F1CB1" w14:textId="1AF2DEF0" w:rsidR="00E946F6" w:rsidRPr="005B220A" w:rsidRDefault="00675EE1" w:rsidP="005B220A">
      <w:pPr>
        <w:pStyle w:val="NormalWeb"/>
        <w:spacing w:before="0" w:beforeAutospacing="0" w:after="0" w:afterAutospacing="0" w:line="360" w:lineRule="auto"/>
        <w:jc w:val="both"/>
        <w:rPr>
          <w:rFonts w:ascii="Arial" w:hAnsi="Arial" w:cs="Arial"/>
          <w:sz w:val="22"/>
          <w:szCs w:val="22"/>
        </w:rPr>
      </w:pPr>
      <w:r w:rsidRPr="005B220A">
        <w:rPr>
          <w:rStyle w:val="bzpyqfadein"/>
          <w:rFonts w:ascii="Arial" w:eastAsiaTheme="majorEastAsia" w:hAnsi="Arial" w:cs="Arial"/>
          <w:sz w:val="22"/>
          <w:szCs w:val="22"/>
        </w:rPr>
        <w:t>T</w:t>
      </w:r>
      <w:r w:rsidR="00E946F6" w:rsidRPr="005B220A">
        <w:rPr>
          <w:rStyle w:val="bzpyqfadein"/>
          <w:rFonts w:ascii="Arial" w:eastAsiaTheme="majorEastAsia" w:hAnsi="Arial" w:cs="Arial"/>
          <w:sz w:val="22"/>
          <w:szCs w:val="22"/>
        </w:rPr>
        <w:t xml:space="preserve">his report has critically examined how </w:t>
      </w:r>
      <w:r w:rsidR="00E946F6" w:rsidRPr="005B220A">
        <w:rPr>
          <w:rStyle w:val="bzpyqfadein"/>
          <w:rFonts w:ascii="Arial" w:eastAsiaTheme="majorEastAsia" w:hAnsi="Arial" w:cs="Arial"/>
          <w:b/>
          <w:bCs/>
          <w:sz w:val="22"/>
          <w:szCs w:val="22"/>
        </w:rPr>
        <w:t>SDG 3</w:t>
      </w:r>
      <w:r w:rsidR="00E946F6" w:rsidRPr="005B220A">
        <w:rPr>
          <w:rStyle w:val="bzpyqfadein"/>
          <w:rFonts w:ascii="Arial" w:eastAsiaTheme="majorEastAsia" w:hAnsi="Arial" w:cs="Arial"/>
          <w:sz w:val="22"/>
          <w:szCs w:val="22"/>
        </w:rPr>
        <w:t xml:space="preserve"> and </w:t>
      </w:r>
      <w:r w:rsidR="00E946F6" w:rsidRPr="005B220A">
        <w:rPr>
          <w:rStyle w:val="bzpyqfadein"/>
          <w:rFonts w:ascii="Arial" w:eastAsiaTheme="majorEastAsia" w:hAnsi="Arial" w:cs="Arial"/>
          <w:b/>
          <w:bCs/>
          <w:sz w:val="22"/>
          <w:szCs w:val="22"/>
        </w:rPr>
        <w:t>SDG 2</w:t>
      </w:r>
      <w:r w:rsidR="00E946F6" w:rsidRPr="005B220A">
        <w:rPr>
          <w:rStyle w:val="bzpyqfadein"/>
          <w:rFonts w:ascii="Arial" w:eastAsiaTheme="majorEastAsia" w:hAnsi="Arial" w:cs="Arial"/>
          <w:sz w:val="22"/>
          <w:szCs w:val="22"/>
        </w:rPr>
        <w:t xml:space="preserve"> are addressed through UK policies and initiatives targeting childhood obesity and food insecurity. The findings demonstrate that childhood obesity is not solely a health issue but a consequence of wider social and economic inequalities that shape access to nutritious food and healthy living environments.</w:t>
      </w:r>
    </w:p>
    <w:p w14:paraId="726C9B1F" w14:textId="77777777" w:rsidR="00E946F6" w:rsidRPr="005B220A" w:rsidRDefault="00E946F6" w:rsidP="005B220A">
      <w:pPr>
        <w:pStyle w:val="NormalWeb"/>
        <w:spacing w:before="0" w:beforeAutospacing="0" w:after="0" w:afterAutospacing="0" w:line="360" w:lineRule="auto"/>
        <w:jc w:val="both"/>
        <w:rPr>
          <w:rFonts w:ascii="Arial" w:hAnsi="Arial" w:cs="Arial"/>
          <w:sz w:val="22"/>
          <w:szCs w:val="22"/>
        </w:rPr>
      </w:pPr>
      <w:r w:rsidRPr="005B220A">
        <w:rPr>
          <w:rStyle w:val="bzpyqfadein"/>
          <w:rFonts w:ascii="Arial" w:eastAsiaTheme="majorEastAsia" w:hAnsi="Arial" w:cs="Arial"/>
          <w:sz w:val="22"/>
          <w:szCs w:val="22"/>
        </w:rPr>
        <w:t xml:space="preserve">In relation to </w:t>
      </w:r>
      <w:r w:rsidRPr="005B220A">
        <w:rPr>
          <w:rStyle w:val="bzpyqfadein"/>
          <w:rFonts w:ascii="Arial" w:eastAsiaTheme="majorEastAsia" w:hAnsi="Arial" w:cs="Arial"/>
          <w:b/>
          <w:bCs/>
          <w:sz w:val="22"/>
          <w:szCs w:val="22"/>
        </w:rPr>
        <w:t>SDG 3</w:t>
      </w:r>
      <w:r w:rsidRPr="005B220A">
        <w:rPr>
          <w:rStyle w:val="bzpyqfadein"/>
          <w:rFonts w:ascii="Arial" w:eastAsiaTheme="majorEastAsia" w:hAnsi="Arial" w:cs="Arial"/>
          <w:sz w:val="22"/>
          <w:szCs w:val="22"/>
        </w:rPr>
        <w:t xml:space="preserve">, prevention-based strategies are essential for improving population health and reducing future demand on health services. However, secondary data show that obesity prevalence remains highest among children in deprived communities, indicating uneven progress towards good health and wellbeing (NHS Digital, 2022). Similarly, evaluation of </w:t>
      </w:r>
      <w:r w:rsidRPr="005B220A">
        <w:rPr>
          <w:rStyle w:val="bzpyqfadein"/>
          <w:rFonts w:ascii="Arial" w:eastAsiaTheme="majorEastAsia" w:hAnsi="Arial" w:cs="Arial"/>
          <w:b/>
          <w:bCs/>
          <w:sz w:val="22"/>
          <w:szCs w:val="22"/>
        </w:rPr>
        <w:t>SDG 2</w:t>
      </w:r>
      <w:r w:rsidRPr="005B220A">
        <w:rPr>
          <w:rStyle w:val="bzpyqfadein"/>
          <w:rFonts w:ascii="Arial" w:eastAsiaTheme="majorEastAsia" w:hAnsi="Arial" w:cs="Arial"/>
          <w:sz w:val="22"/>
          <w:szCs w:val="22"/>
        </w:rPr>
        <w:t xml:space="preserve"> highlights that while initiatives such as </w:t>
      </w:r>
      <w:r w:rsidRPr="005B220A">
        <w:rPr>
          <w:rStyle w:val="bzpyqfadein"/>
          <w:rFonts w:ascii="Arial" w:eastAsiaTheme="majorEastAsia" w:hAnsi="Arial" w:cs="Arial"/>
          <w:b/>
          <w:bCs/>
          <w:sz w:val="22"/>
          <w:szCs w:val="22"/>
        </w:rPr>
        <w:t>Free School Meals</w:t>
      </w:r>
      <w:r w:rsidRPr="005B220A">
        <w:rPr>
          <w:rStyle w:val="bzpyqfadein"/>
          <w:rFonts w:ascii="Arial" w:eastAsiaTheme="majorEastAsia" w:hAnsi="Arial" w:cs="Arial"/>
          <w:sz w:val="22"/>
          <w:szCs w:val="22"/>
        </w:rPr>
        <w:t xml:space="preserve"> and the </w:t>
      </w:r>
      <w:r w:rsidRPr="005B220A">
        <w:rPr>
          <w:rStyle w:val="bzpyqfadein"/>
          <w:rFonts w:ascii="Arial" w:eastAsiaTheme="majorEastAsia" w:hAnsi="Arial" w:cs="Arial"/>
          <w:b/>
          <w:bCs/>
          <w:sz w:val="22"/>
          <w:szCs w:val="22"/>
        </w:rPr>
        <w:t>Holiday Activities and Food Programme</w:t>
      </w:r>
      <w:r w:rsidRPr="005B220A">
        <w:rPr>
          <w:rStyle w:val="bzpyqfadein"/>
          <w:rFonts w:ascii="Arial" w:eastAsiaTheme="majorEastAsia" w:hAnsi="Arial" w:cs="Arial"/>
          <w:sz w:val="22"/>
          <w:szCs w:val="22"/>
        </w:rPr>
        <w:t xml:space="preserve"> improve short-term food access, food insecurity continues to affect millions of children in the UK (The Food Foundation, 2022).</w:t>
      </w:r>
    </w:p>
    <w:p w14:paraId="4B87F8E2" w14:textId="77777777" w:rsidR="00E946F6" w:rsidRPr="005B220A" w:rsidRDefault="00E946F6" w:rsidP="005B220A">
      <w:pPr>
        <w:pStyle w:val="NormalWeb"/>
        <w:spacing w:before="0" w:beforeAutospacing="0" w:after="0" w:afterAutospacing="0" w:line="360" w:lineRule="auto"/>
        <w:jc w:val="both"/>
        <w:rPr>
          <w:rFonts w:ascii="Arial" w:hAnsi="Arial" w:cs="Arial"/>
          <w:sz w:val="22"/>
          <w:szCs w:val="22"/>
        </w:rPr>
      </w:pPr>
      <w:r w:rsidRPr="005B220A">
        <w:rPr>
          <w:rStyle w:val="bzpyqfadein"/>
          <w:rFonts w:ascii="Arial" w:eastAsiaTheme="majorEastAsia" w:hAnsi="Arial" w:cs="Arial"/>
          <w:sz w:val="22"/>
          <w:szCs w:val="22"/>
        </w:rPr>
        <w:t xml:space="preserve">The analysis demonstrates the strong interconnection between </w:t>
      </w:r>
      <w:r w:rsidRPr="005B220A">
        <w:rPr>
          <w:rStyle w:val="bzpyqfadein"/>
          <w:rFonts w:ascii="Arial" w:eastAsiaTheme="majorEastAsia" w:hAnsi="Arial" w:cs="Arial"/>
          <w:b/>
          <w:bCs/>
          <w:sz w:val="22"/>
          <w:szCs w:val="22"/>
        </w:rPr>
        <w:t>SDG 2 and SDG 3</w:t>
      </w:r>
      <w:r w:rsidRPr="005B220A">
        <w:rPr>
          <w:rStyle w:val="bzpyqfadein"/>
          <w:rFonts w:ascii="Arial" w:eastAsiaTheme="majorEastAsia" w:hAnsi="Arial" w:cs="Arial"/>
          <w:sz w:val="22"/>
          <w:szCs w:val="22"/>
        </w:rPr>
        <w:t>, as improvements in health outcomes cannot be achieved without addressing food insecurity and nutritional inequality. Sustainable progress requires integrated approaches that combine health policy, nutrition support, and wider social intervention.</w:t>
      </w:r>
    </w:p>
    <w:p w14:paraId="45F0FAF0" w14:textId="4235BDD0" w:rsidR="00145498" w:rsidRPr="005B220A" w:rsidRDefault="007D5EF1" w:rsidP="005B220A">
      <w:pPr>
        <w:spacing w:after="0" w:line="360" w:lineRule="auto"/>
        <w:jc w:val="both"/>
        <w:rPr>
          <w:rFonts w:ascii="Arial" w:eastAsia="Times New Roman" w:hAnsi="Arial" w:cs="Arial"/>
          <w:kern w:val="0"/>
          <w:lang w:eastAsia="en-GB"/>
          <w14:ligatures w14:val="none"/>
        </w:rPr>
      </w:pPr>
      <w:r w:rsidRPr="005B220A">
        <w:rPr>
          <w:rFonts w:ascii="Arial" w:hAnsi="Arial" w:cs="Arial"/>
        </w:rPr>
        <w:t>Achieving long-term improvements also depends on effective coordination between health services, education systems, and local government, ensuring that policies are implemented consistently and equitably across different communities.</w:t>
      </w:r>
    </w:p>
    <w:p w14:paraId="7E38ACDF" w14:textId="77777777" w:rsidR="003A0740" w:rsidRPr="005B220A" w:rsidRDefault="003A0740" w:rsidP="005B220A">
      <w:pPr>
        <w:spacing w:after="0" w:line="360" w:lineRule="auto"/>
        <w:jc w:val="both"/>
        <w:rPr>
          <w:rFonts w:ascii="Arial" w:eastAsia="Times New Roman" w:hAnsi="Arial" w:cs="Arial"/>
          <w:kern w:val="0"/>
          <w:lang w:eastAsia="en-GB"/>
          <w14:ligatures w14:val="none"/>
        </w:rPr>
      </w:pPr>
    </w:p>
    <w:p w14:paraId="205641B1" w14:textId="77777777" w:rsidR="005C4A93" w:rsidRDefault="005C4A93" w:rsidP="005B220A">
      <w:pPr>
        <w:spacing w:after="0" w:line="360" w:lineRule="auto"/>
        <w:jc w:val="both"/>
        <w:rPr>
          <w:rFonts w:ascii="Arial" w:eastAsia="Times New Roman" w:hAnsi="Arial" w:cs="Arial"/>
          <w:kern w:val="0"/>
          <w:lang w:eastAsia="en-GB"/>
          <w14:ligatures w14:val="none"/>
        </w:rPr>
      </w:pPr>
    </w:p>
    <w:p w14:paraId="1A9A85F7"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108C8286"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0C0029D2"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281456DD"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6EBA6CF5"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7F07FC6F"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01A0A9FD"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7D1D85F5"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2165E730"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37416278"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4B742B77"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1BC1C797"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0C73EF27"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635F1632" w14:textId="77777777" w:rsidR="005B220A" w:rsidRDefault="005B220A" w:rsidP="005B220A">
      <w:pPr>
        <w:spacing w:after="0" w:line="360" w:lineRule="auto"/>
        <w:jc w:val="both"/>
        <w:rPr>
          <w:rFonts w:ascii="Arial" w:eastAsia="Times New Roman" w:hAnsi="Arial" w:cs="Arial"/>
          <w:kern w:val="0"/>
          <w:lang w:eastAsia="en-GB"/>
          <w14:ligatures w14:val="none"/>
        </w:rPr>
      </w:pPr>
    </w:p>
    <w:p w14:paraId="1AA367D0" w14:textId="77777777" w:rsidR="005B220A" w:rsidRPr="005B220A" w:rsidRDefault="005B220A" w:rsidP="005B220A">
      <w:pPr>
        <w:spacing w:after="0" w:line="360" w:lineRule="auto"/>
        <w:jc w:val="both"/>
        <w:rPr>
          <w:rFonts w:ascii="Arial" w:eastAsia="Times New Roman" w:hAnsi="Arial" w:cs="Arial"/>
          <w:kern w:val="0"/>
          <w:lang w:eastAsia="en-GB"/>
          <w14:ligatures w14:val="none"/>
        </w:rPr>
      </w:pPr>
    </w:p>
    <w:p w14:paraId="6A96CAA1" w14:textId="78FEDADB" w:rsidR="0001195C" w:rsidRPr="005B220A" w:rsidRDefault="0001195C" w:rsidP="005B220A">
      <w:pPr>
        <w:pStyle w:val="Title"/>
        <w:spacing w:after="0" w:line="360" w:lineRule="auto"/>
        <w:jc w:val="both"/>
        <w:rPr>
          <w:rFonts w:ascii="Arial" w:eastAsia="Times New Roman" w:hAnsi="Arial" w:cs="Arial"/>
          <w:b/>
          <w:bCs/>
          <w:sz w:val="22"/>
          <w:szCs w:val="22"/>
          <w:lang w:eastAsia="en-GB"/>
        </w:rPr>
      </w:pPr>
      <w:r w:rsidRPr="005B220A">
        <w:rPr>
          <w:rFonts w:ascii="Arial" w:eastAsia="Times New Roman" w:hAnsi="Arial" w:cs="Arial"/>
          <w:b/>
          <w:bCs/>
          <w:sz w:val="22"/>
          <w:szCs w:val="22"/>
          <w:lang w:eastAsia="en-GB"/>
        </w:rPr>
        <w:lastRenderedPageBreak/>
        <w:t>Reference List</w:t>
      </w:r>
    </w:p>
    <w:p w14:paraId="35E88444" w14:textId="78306841" w:rsidR="0001195C" w:rsidRPr="005B220A" w:rsidRDefault="0001195C" w:rsidP="005B220A">
      <w:pPr>
        <w:spacing w:after="0" w:line="360" w:lineRule="auto"/>
        <w:jc w:val="both"/>
        <w:rPr>
          <w:rFonts w:ascii="Arial" w:eastAsia="Times New Roman" w:hAnsi="Arial" w:cs="Arial"/>
          <w:kern w:val="0"/>
          <w:lang w:eastAsia="en-GB"/>
          <w14:ligatures w14:val="none"/>
        </w:rPr>
      </w:pPr>
    </w:p>
    <w:p w14:paraId="4AEF9896"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Bronfenbrenner, U. (1979) </w:t>
      </w:r>
      <w:r w:rsidRPr="005B220A">
        <w:rPr>
          <w:rStyle w:val="Emphasis"/>
          <w:rFonts w:ascii="Arial" w:eastAsiaTheme="majorEastAsia" w:hAnsi="Arial" w:cs="Arial"/>
          <w:sz w:val="22"/>
          <w:szCs w:val="22"/>
        </w:rPr>
        <w:t>The ecology of human development: Experiments by nature and design</w:t>
      </w:r>
      <w:r w:rsidRPr="005B220A">
        <w:rPr>
          <w:rFonts w:ascii="Arial" w:hAnsi="Arial" w:cs="Arial"/>
          <w:sz w:val="22"/>
          <w:szCs w:val="22"/>
        </w:rPr>
        <w:t>. Cambridge, MA: Harvard University Press.</w:t>
      </w:r>
    </w:p>
    <w:p w14:paraId="64BD9CD0"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Dahlgren, G. and Whitehead, M. (1991) </w:t>
      </w:r>
      <w:r w:rsidRPr="005B220A">
        <w:rPr>
          <w:rStyle w:val="Emphasis"/>
          <w:rFonts w:ascii="Arial" w:eastAsiaTheme="majorEastAsia" w:hAnsi="Arial" w:cs="Arial"/>
          <w:sz w:val="22"/>
          <w:szCs w:val="22"/>
        </w:rPr>
        <w:t>Policies and strategies to promote social equity in health</w:t>
      </w:r>
      <w:r w:rsidRPr="005B220A">
        <w:rPr>
          <w:rFonts w:ascii="Arial" w:hAnsi="Arial" w:cs="Arial"/>
          <w:sz w:val="22"/>
          <w:szCs w:val="22"/>
        </w:rPr>
        <w:t>. Copenhagen: World Health Organization.</w:t>
      </w:r>
    </w:p>
    <w:p w14:paraId="5935CE19"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Department for Education (2022) </w:t>
      </w:r>
      <w:r w:rsidRPr="005B220A">
        <w:rPr>
          <w:rStyle w:val="Emphasis"/>
          <w:rFonts w:ascii="Arial" w:eastAsiaTheme="majorEastAsia" w:hAnsi="Arial" w:cs="Arial"/>
          <w:sz w:val="22"/>
          <w:szCs w:val="22"/>
        </w:rPr>
        <w:t>Holiday activities and food (HAF) programme: 2021 evaluation</w:t>
      </w:r>
      <w:r w:rsidRPr="005B220A">
        <w:rPr>
          <w:rFonts w:ascii="Arial" w:hAnsi="Arial" w:cs="Arial"/>
          <w:sz w:val="22"/>
          <w:szCs w:val="22"/>
        </w:rPr>
        <w:t>. London: Department for Education.</w:t>
      </w:r>
    </w:p>
    <w:p w14:paraId="00307C90"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Department of Health and Social Care (2020) </w:t>
      </w:r>
      <w:r w:rsidRPr="005B220A">
        <w:rPr>
          <w:rStyle w:val="Emphasis"/>
          <w:rFonts w:ascii="Arial" w:eastAsiaTheme="majorEastAsia" w:hAnsi="Arial" w:cs="Arial"/>
          <w:sz w:val="22"/>
          <w:szCs w:val="22"/>
        </w:rPr>
        <w:t>Tackling obesity: Empowering adults and children to live healthier lives</w:t>
      </w:r>
      <w:r w:rsidRPr="005B220A">
        <w:rPr>
          <w:rFonts w:ascii="Arial" w:hAnsi="Arial" w:cs="Arial"/>
          <w:sz w:val="22"/>
          <w:szCs w:val="22"/>
        </w:rPr>
        <w:t>. London: DHSC.</w:t>
      </w:r>
    </w:p>
    <w:p w14:paraId="5F274DDE"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The Food Foundation (2022) </w:t>
      </w:r>
      <w:r w:rsidRPr="005B220A">
        <w:rPr>
          <w:rStyle w:val="Emphasis"/>
          <w:rFonts w:ascii="Arial" w:eastAsiaTheme="majorEastAsia" w:hAnsi="Arial" w:cs="Arial"/>
          <w:sz w:val="22"/>
          <w:szCs w:val="22"/>
        </w:rPr>
        <w:t>Food insecurity tracking in the UK</w:t>
      </w:r>
      <w:r w:rsidRPr="005B220A">
        <w:rPr>
          <w:rFonts w:ascii="Arial" w:hAnsi="Arial" w:cs="Arial"/>
          <w:sz w:val="22"/>
          <w:szCs w:val="22"/>
        </w:rPr>
        <w:t>. London: The Food Foundation.</w:t>
      </w:r>
    </w:p>
    <w:p w14:paraId="01E32847"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Marmot, M., Allen, J., Goldblatt, P., Herd, E. and Morrison, J. (2020) </w:t>
      </w:r>
      <w:r w:rsidRPr="005B220A">
        <w:rPr>
          <w:rStyle w:val="Emphasis"/>
          <w:rFonts w:ascii="Arial" w:eastAsiaTheme="majorEastAsia" w:hAnsi="Arial" w:cs="Arial"/>
          <w:sz w:val="22"/>
          <w:szCs w:val="22"/>
        </w:rPr>
        <w:t>Health equity in England: The Marmot Review 10 years on</w:t>
      </w:r>
      <w:r w:rsidRPr="005B220A">
        <w:rPr>
          <w:rFonts w:ascii="Arial" w:hAnsi="Arial" w:cs="Arial"/>
          <w:sz w:val="22"/>
          <w:szCs w:val="22"/>
        </w:rPr>
        <w:t>. London: Institute of Health Equity.</w:t>
      </w:r>
    </w:p>
    <w:p w14:paraId="028CD981"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NHS England (2021) </w:t>
      </w:r>
      <w:r w:rsidRPr="005B220A">
        <w:rPr>
          <w:rStyle w:val="Emphasis"/>
          <w:rFonts w:ascii="Arial" w:eastAsiaTheme="majorEastAsia" w:hAnsi="Arial" w:cs="Arial"/>
          <w:sz w:val="22"/>
          <w:szCs w:val="22"/>
        </w:rPr>
        <w:t>Childhood obesity: Applying All Our Health</w:t>
      </w:r>
      <w:r w:rsidRPr="005B220A">
        <w:rPr>
          <w:rFonts w:ascii="Arial" w:hAnsi="Arial" w:cs="Arial"/>
          <w:sz w:val="22"/>
          <w:szCs w:val="22"/>
        </w:rPr>
        <w:t>. London: NHS England.</w:t>
      </w:r>
    </w:p>
    <w:p w14:paraId="7080D5B2"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NHS Digital (2022) </w:t>
      </w:r>
      <w:r w:rsidRPr="005B220A">
        <w:rPr>
          <w:rStyle w:val="Emphasis"/>
          <w:rFonts w:ascii="Arial" w:eastAsiaTheme="majorEastAsia" w:hAnsi="Arial" w:cs="Arial"/>
          <w:sz w:val="22"/>
          <w:szCs w:val="22"/>
        </w:rPr>
        <w:t>National Child Measurement Programme, England 2021/22</w:t>
      </w:r>
      <w:r w:rsidRPr="005B220A">
        <w:rPr>
          <w:rFonts w:ascii="Arial" w:hAnsi="Arial" w:cs="Arial"/>
          <w:sz w:val="22"/>
          <w:szCs w:val="22"/>
        </w:rPr>
        <w:t>. Leeds: NHS Digital.</w:t>
      </w:r>
    </w:p>
    <w:p w14:paraId="19930878"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Office for Health Improvement and Disparities (2022a) </w:t>
      </w:r>
      <w:r w:rsidRPr="005B220A">
        <w:rPr>
          <w:rStyle w:val="Emphasis"/>
          <w:rFonts w:ascii="Arial" w:eastAsiaTheme="majorEastAsia" w:hAnsi="Arial" w:cs="Arial"/>
          <w:sz w:val="22"/>
          <w:szCs w:val="22"/>
        </w:rPr>
        <w:t>Childhood obesity profile</w:t>
      </w:r>
      <w:r w:rsidRPr="005B220A">
        <w:rPr>
          <w:rFonts w:ascii="Arial" w:hAnsi="Arial" w:cs="Arial"/>
          <w:sz w:val="22"/>
          <w:szCs w:val="22"/>
        </w:rPr>
        <w:t>. London: OHID.</w:t>
      </w:r>
    </w:p>
    <w:p w14:paraId="38B8AAB4"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Office for Health Improvement and Disparities (2022b) </w:t>
      </w:r>
      <w:r w:rsidRPr="005B220A">
        <w:rPr>
          <w:rStyle w:val="Emphasis"/>
          <w:rFonts w:ascii="Arial" w:eastAsiaTheme="majorEastAsia" w:hAnsi="Arial" w:cs="Arial"/>
          <w:sz w:val="22"/>
          <w:szCs w:val="22"/>
        </w:rPr>
        <w:t>Food insecurity and health inequalities</w:t>
      </w:r>
      <w:r w:rsidRPr="005B220A">
        <w:rPr>
          <w:rFonts w:ascii="Arial" w:hAnsi="Arial" w:cs="Arial"/>
          <w:sz w:val="22"/>
          <w:szCs w:val="22"/>
        </w:rPr>
        <w:t>. London: OHID.</w:t>
      </w:r>
    </w:p>
    <w:p w14:paraId="1F797D54"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Public Health England (2019) </w:t>
      </w:r>
      <w:r w:rsidRPr="005B220A">
        <w:rPr>
          <w:rStyle w:val="Emphasis"/>
          <w:rFonts w:ascii="Arial" w:eastAsiaTheme="majorEastAsia" w:hAnsi="Arial" w:cs="Arial"/>
          <w:sz w:val="22"/>
          <w:szCs w:val="22"/>
        </w:rPr>
        <w:t>Health matters: Obesity and the food environment</w:t>
      </w:r>
      <w:r w:rsidRPr="005B220A">
        <w:rPr>
          <w:rFonts w:ascii="Arial" w:hAnsi="Arial" w:cs="Arial"/>
          <w:sz w:val="22"/>
          <w:szCs w:val="22"/>
        </w:rPr>
        <w:t>. London: PHE.</w:t>
      </w:r>
    </w:p>
    <w:p w14:paraId="12C9D35D"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Public Health England (2020) </w:t>
      </w:r>
      <w:r w:rsidRPr="005B220A">
        <w:rPr>
          <w:rStyle w:val="Emphasis"/>
          <w:rFonts w:ascii="Arial" w:eastAsiaTheme="majorEastAsia" w:hAnsi="Arial" w:cs="Arial"/>
          <w:sz w:val="22"/>
          <w:szCs w:val="22"/>
        </w:rPr>
        <w:t>Prevention is better than cure: Our vision to help you live well for longer</w:t>
      </w:r>
      <w:r w:rsidRPr="005B220A">
        <w:rPr>
          <w:rFonts w:ascii="Arial" w:hAnsi="Arial" w:cs="Arial"/>
          <w:sz w:val="22"/>
          <w:szCs w:val="22"/>
        </w:rPr>
        <w:t>. London: PHE.</w:t>
      </w:r>
    </w:p>
    <w:p w14:paraId="63BE5413"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Swinburn, B.A., Kraak, V.I., Allender, S., Atkins, V.J., Baker, P.I., Bogard, J.R., Brinsden, H., Calvillo, A., De Schutter, O. and Devarajan, R. (2019) ‘The global </w:t>
      </w:r>
      <w:proofErr w:type="spellStart"/>
      <w:r w:rsidRPr="005B220A">
        <w:rPr>
          <w:rFonts w:ascii="Arial" w:hAnsi="Arial" w:cs="Arial"/>
          <w:sz w:val="22"/>
          <w:szCs w:val="22"/>
        </w:rPr>
        <w:t>syndemic</w:t>
      </w:r>
      <w:proofErr w:type="spellEnd"/>
      <w:r w:rsidRPr="005B220A">
        <w:rPr>
          <w:rFonts w:ascii="Arial" w:hAnsi="Arial" w:cs="Arial"/>
          <w:sz w:val="22"/>
          <w:szCs w:val="22"/>
        </w:rPr>
        <w:t xml:space="preserve"> of obesity, undernutrition, and climate change’, </w:t>
      </w:r>
      <w:r w:rsidRPr="005B220A">
        <w:rPr>
          <w:rStyle w:val="Emphasis"/>
          <w:rFonts w:ascii="Arial" w:eastAsiaTheme="majorEastAsia" w:hAnsi="Arial" w:cs="Arial"/>
          <w:sz w:val="22"/>
          <w:szCs w:val="22"/>
        </w:rPr>
        <w:t>The Lancet</w:t>
      </w:r>
      <w:r w:rsidRPr="005B220A">
        <w:rPr>
          <w:rFonts w:ascii="Arial" w:hAnsi="Arial" w:cs="Arial"/>
          <w:sz w:val="22"/>
          <w:szCs w:val="22"/>
        </w:rPr>
        <w:t>, 393(10173), pp. 791–846.</w:t>
      </w:r>
    </w:p>
    <w:p w14:paraId="17AC4D13"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The King’s Fund (2022) </w:t>
      </w:r>
      <w:r w:rsidRPr="005B220A">
        <w:rPr>
          <w:rStyle w:val="Emphasis"/>
          <w:rFonts w:ascii="Arial" w:eastAsiaTheme="majorEastAsia" w:hAnsi="Arial" w:cs="Arial"/>
          <w:sz w:val="22"/>
          <w:szCs w:val="22"/>
        </w:rPr>
        <w:t>Tackling obesity: The role of local government</w:t>
      </w:r>
      <w:r w:rsidRPr="005B220A">
        <w:rPr>
          <w:rFonts w:ascii="Arial" w:hAnsi="Arial" w:cs="Arial"/>
          <w:sz w:val="22"/>
          <w:szCs w:val="22"/>
        </w:rPr>
        <w:t>. London: The King’s Fund.</w:t>
      </w:r>
    </w:p>
    <w:p w14:paraId="48158228"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UNICEF (2019) </w:t>
      </w:r>
      <w:r w:rsidRPr="005B220A">
        <w:rPr>
          <w:rStyle w:val="Emphasis"/>
          <w:rFonts w:ascii="Arial" w:eastAsiaTheme="majorEastAsia" w:hAnsi="Arial" w:cs="Arial"/>
          <w:sz w:val="22"/>
          <w:szCs w:val="22"/>
        </w:rPr>
        <w:t>The State of the World’s Children: Children, food and nutrition</w:t>
      </w:r>
      <w:r w:rsidRPr="005B220A">
        <w:rPr>
          <w:rFonts w:ascii="Arial" w:hAnsi="Arial" w:cs="Arial"/>
          <w:sz w:val="22"/>
          <w:szCs w:val="22"/>
        </w:rPr>
        <w:t>. New York: UNICEF.</w:t>
      </w:r>
    </w:p>
    <w:p w14:paraId="7C2F1178"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United Nations (2015) </w:t>
      </w:r>
      <w:r w:rsidRPr="005B220A">
        <w:rPr>
          <w:rStyle w:val="Emphasis"/>
          <w:rFonts w:ascii="Arial" w:eastAsiaTheme="majorEastAsia" w:hAnsi="Arial" w:cs="Arial"/>
          <w:sz w:val="22"/>
          <w:szCs w:val="22"/>
        </w:rPr>
        <w:t>Transforming our world: The 2030 Agenda for Sustainable Development</w:t>
      </w:r>
      <w:r w:rsidRPr="005B220A">
        <w:rPr>
          <w:rFonts w:ascii="Arial" w:hAnsi="Arial" w:cs="Arial"/>
          <w:sz w:val="22"/>
          <w:szCs w:val="22"/>
        </w:rPr>
        <w:t>. New York: United Nations.</w:t>
      </w:r>
    </w:p>
    <w:p w14:paraId="34BE19BD"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United Nations (2020) </w:t>
      </w:r>
      <w:r w:rsidRPr="005B220A">
        <w:rPr>
          <w:rStyle w:val="Emphasis"/>
          <w:rFonts w:ascii="Arial" w:eastAsiaTheme="majorEastAsia" w:hAnsi="Arial" w:cs="Arial"/>
          <w:sz w:val="22"/>
          <w:szCs w:val="22"/>
        </w:rPr>
        <w:t>The Sustainable Development Goals report</w:t>
      </w:r>
      <w:r w:rsidRPr="005B220A">
        <w:rPr>
          <w:rFonts w:ascii="Arial" w:hAnsi="Arial" w:cs="Arial"/>
          <w:sz w:val="22"/>
          <w:szCs w:val="22"/>
        </w:rPr>
        <w:t>. New York: United Nations.</w:t>
      </w:r>
    </w:p>
    <w:p w14:paraId="7BEE25EC"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lastRenderedPageBreak/>
        <w:t xml:space="preserve">World Health Organization (2014) </w:t>
      </w:r>
      <w:r w:rsidRPr="005B220A">
        <w:rPr>
          <w:rStyle w:val="Emphasis"/>
          <w:rFonts w:ascii="Arial" w:eastAsiaTheme="majorEastAsia" w:hAnsi="Arial" w:cs="Arial"/>
          <w:sz w:val="22"/>
          <w:szCs w:val="22"/>
        </w:rPr>
        <w:t>Global nutrition targets 2025: Policy brief series</w:t>
      </w:r>
      <w:r w:rsidRPr="005B220A">
        <w:rPr>
          <w:rFonts w:ascii="Arial" w:hAnsi="Arial" w:cs="Arial"/>
          <w:sz w:val="22"/>
          <w:szCs w:val="22"/>
        </w:rPr>
        <w:t>. Geneva: World Health Organization.</w:t>
      </w:r>
    </w:p>
    <w:p w14:paraId="7A31CCC3"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World Health Organization (2020) </w:t>
      </w:r>
      <w:r w:rsidRPr="005B220A">
        <w:rPr>
          <w:rStyle w:val="Emphasis"/>
          <w:rFonts w:ascii="Arial" w:eastAsiaTheme="majorEastAsia" w:hAnsi="Arial" w:cs="Arial"/>
          <w:sz w:val="22"/>
          <w:szCs w:val="22"/>
        </w:rPr>
        <w:t>Report of the Commission on Ending Childhood Obesity</w:t>
      </w:r>
      <w:r w:rsidRPr="005B220A">
        <w:rPr>
          <w:rFonts w:ascii="Arial" w:hAnsi="Arial" w:cs="Arial"/>
          <w:sz w:val="22"/>
          <w:szCs w:val="22"/>
        </w:rPr>
        <w:t>. Geneva: World Health Organization.</w:t>
      </w:r>
    </w:p>
    <w:p w14:paraId="638942C2"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World Health Organization (2021) </w:t>
      </w:r>
      <w:r w:rsidRPr="005B220A">
        <w:rPr>
          <w:rStyle w:val="Emphasis"/>
          <w:rFonts w:ascii="Arial" w:eastAsiaTheme="majorEastAsia" w:hAnsi="Arial" w:cs="Arial"/>
          <w:sz w:val="22"/>
          <w:szCs w:val="22"/>
        </w:rPr>
        <w:t>Obesity and overweight</w:t>
      </w:r>
      <w:r w:rsidRPr="005B220A">
        <w:rPr>
          <w:rFonts w:ascii="Arial" w:hAnsi="Arial" w:cs="Arial"/>
          <w:sz w:val="22"/>
          <w:szCs w:val="22"/>
        </w:rPr>
        <w:t>. Geneva: World Health Organization.</w:t>
      </w:r>
    </w:p>
    <w:p w14:paraId="23D2F84D" w14:textId="77777777" w:rsidR="0096129B" w:rsidRPr="005B220A" w:rsidRDefault="0096129B" w:rsidP="005B220A">
      <w:pPr>
        <w:pStyle w:val="NormalWeb"/>
        <w:spacing w:before="0" w:beforeAutospacing="0" w:after="0" w:afterAutospacing="0" w:line="360" w:lineRule="auto"/>
        <w:rPr>
          <w:rFonts w:ascii="Arial" w:hAnsi="Arial" w:cs="Arial"/>
          <w:sz w:val="22"/>
          <w:szCs w:val="22"/>
        </w:rPr>
      </w:pPr>
      <w:r w:rsidRPr="005B220A">
        <w:rPr>
          <w:rFonts w:ascii="Arial" w:hAnsi="Arial" w:cs="Arial"/>
          <w:sz w:val="22"/>
          <w:szCs w:val="22"/>
        </w:rPr>
        <w:t xml:space="preserve">World Health Organization (2022) </w:t>
      </w:r>
      <w:r w:rsidRPr="005B220A">
        <w:rPr>
          <w:rStyle w:val="Emphasis"/>
          <w:rFonts w:ascii="Arial" w:eastAsiaTheme="majorEastAsia" w:hAnsi="Arial" w:cs="Arial"/>
          <w:sz w:val="22"/>
          <w:szCs w:val="22"/>
        </w:rPr>
        <w:t>Healthy diet</w:t>
      </w:r>
      <w:r w:rsidRPr="005B220A">
        <w:rPr>
          <w:rFonts w:ascii="Arial" w:hAnsi="Arial" w:cs="Arial"/>
          <w:sz w:val="22"/>
          <w:szCs w:val="22"/>
        </w:rPr>
        <w:t>. Geneva: World Health Organization.</w:t>
      </w:r>
    </w:p>
    <w:p w14:paraId="1460BFA5" w14:textId="77777777" w:rsidR="007766DE" w:rsidRPr="005B220A" w:rsidRDefault="007766DE" w:rsidP="005B220A">
      <w:pPr>
        <w:spacing w:after="0" w:line="360" w:lineRule="auto"/>
        <w:jc w:val="both"/>
        <w:rPr>
          <w:rFonts w:ascii="Arial" w:hAnsi="Arial" w:cs="Arial"/>
        </w:rPr>
      </w:pPr>
    </w:p>
    <w:sectPr w:rsidR="007766DE" w:rsidRPr="005B2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5C"/>
    <w:rsid w:val="00002621"/>
    <w:rsid w:val="000035BB"/>
    <w:rsid w:val="0001195C"/>
    <w:rsid w:val="000128B7"/>
    <w:rsid w:val="00015F02"/>
    <w:rsid w:val="00056265"/>
    <w:rsid w:val="00056285"/>
    <w:rsid w:val="000E5F74"/>
    <w:rsid w:val="000F442F"/>
    <w:rsid w:val="0011648F"/>
    <w:rsid w:val="00145498"/>
    <w:rsid w:val="001C3CF4"/>
    <w:rsid w:val="001E27ED"/>
    <w:rsid w:val="001E7057"/>
    <w:rsid w:val="0028282A"/>
    <w:rsid w:val="002D4879"/>
    <w:rsid w:val="002D4CBC"/>
    <w:rsid w:val="00300AE8"/>
    <w:rsid w:val="003401BE"/>
    <w:rsid w:val="003A0740"/>
    <w:rsid w:val="003E38E1"/>
    <w:rsid w:val="003F074A"/>
    <w:rsid w:val="00452A7A"/>
    <w:rsid w:val="004A4048"/>
    <w:rsid w:val="004E6BF5"/>
    <w:rsid w:val="0055495D"/>
    <w:rsid w:val="005A606A"/>
    <w:rsid w:val="005B220A"/>
    <w:rsid w:val="005C43BC"/>
    <w:rsid w:val="005C4A93"/>
    <w:rsid w:val="005C79BA"/>
    <w:rsid w:val="005E3E38"/>
    <w:rsid w:val="00675EE1"/>
    <w:rsid w:val="00676AD7"/>
    <w:rsid w:val="00700E44"/>
    <w:rsid w:val="0073631B"/>
    <w:rsid w:val="007766DE"/>
    <w:rsid w:val="00794874"/>
    <w:rsid w:val="007A0135"/>
    <w:rsid w:val="007B23AB"/>
    <w:rsid w:val="007C21B4"/>
    <w:rsid w:val="007D5EF1"/>
    <w:rsid w:val="007E5B49"/>
    <w:rsid w:val="007F184C"/>
    <w:rsid w:val="008B7116"/>
    <w:rsid w:val="008C09E4"/>
    <w:rsid w:val="008E6702"/>
    <w:rsid w:val="008F32DE"/>
    <w:rsid w:val="00932430"/>
    <w:rsid w:val="0096129B"/>
    <w:rsid w:val="00972A59"/>
    <w:rsid w:val="009916CE"/>
    <w:rsid w:val="009E5B7A"/>
    <w:rsid w:val="00A54FC8"/>
    <w:rsid w:val="00AA63DB"/>
    <w:rsid w:val="00AC1662"/>
    <w:rsid w:val="00AE0C4B"/>
    <w:rsid w:val="00B23CB1"/>
    <w:rsid w:val="00B70F54"/>
    <w:rsid w:val="00BC210D"/>
    <w:rsid w:val="00CD4B23"/>
    <w:rsid w:val="00CF5113"/>
    <w:rsid w:val="00D037AD"/>
    <w:rsid w:val="00D40DFC"/>
    <w:rsid w:val="00D46D05"/>
    <w:rsid w:val="00D572E9"/>
    <w:rsid w:val="00E12387"/>
    <w:rsid w:val="00E209ED"/>
    <w:rsid w:val="00E355D1"/>
    <w:rsid w:val="00E946F6"/>
    <w:rsid w:val="00EB043F"/>
    <w:rsid w:val="00ED0E9C"/>
    <w:rsid w:val="00EE7D5C"/>
    <w:rsid w:val="00F01AB1"/>
    <w:rsid w:val="00FB2FE1"/>
    <w:rsid w:val="00FB5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EEE57"/>
  <w15:chartTrackingRefBased/>
  <w15:docId w15:val="{11BB3CD0-7CBE-4501-90C6-11744B75C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95C"/>
    <w:rPr>
      <w:rFonts w:eastAsiaTheme="majorEastAsia" w:cstheme="majorBidi"/>
      <w:color w:val="272727" w:themeColor="text1" w:themeTint="D8"/>
    </w:rPr>
  </w:style>
  <w:style w:type="paragraph" w:styleId="Title">
    <w:name w:val="Title"/>
    <w:basedOn w:val="Normal"/>
    <w:next w:val="Normal"/>
    <w:link w:val="TitleChar"/>
    <w:uiPriority w:val="10"/>
    <w:qFormat/>
    <w:rsid w:val="00011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95C"/>
    <w:pPr>
      <w:spacing w:before="160"/>
      <w:jc w:val="center"/>
    </w:pPr>
    <w:rPr>
      <w:i/>
      <w:iCs/>
      <w:color w:val="404040" w:themeColor="text1" w:themeTint="BF"/>
    </w:rPr>
  </w:style>
  <w:style w:type="character" w:customStyle="1" w:styleId="QuoteChar">
    <w:name w:val="Quote Char"/>
    <w:basedOn w:val="DefaultParagraphFont"/>
    <w:link w:val="Quote"/>
    <w:uiPriority w:val="29"/>
    <w:rsid w:val="0001195C"/>
    <w:rPr>
      <w:i/>
      <w:iCs/>
      <w:color w:val="404040" w:themeColor="text1" w:themeTint="BF"/>
    </w:rPr>
  </w:style>
  <w:style w:type="paragraph" w:styleId="ListParagraph">
    <w:name w:val="List Paragraph"/>
    <w:basedOn w:val="Normal"/>
    <w:uiPriority w:val="34"/>
    <w:qFormat/>
    <w:rsid w:val="0001195C"/>
    <w:pPr>
      <w:ind w:left="720"/>
      <w:contextualSpacing/>
    </w:pPr>
  </w:style>
  <w:style w:type="character" w:styleId="IntenseEmphasis">
    <w:name w:val="Intense Emphasis"/>
    <w:basedOn w:val="DefaultParagraphFont"/>
    <w:uiPriority w:val="21"/>
    <w:qFormat/>
    <w:rsid w:val="0001195C"/>
    <w:rPr>
      <w:i/>
      <w:iCs/>
      <w:color w:val="0F4761" w:themeColor="accent1" w:themeShade="BF"/>
    </w:rPr>
  </w:style>
  <w:style w:type="paragraph" w:styleId="IntenseQuote">
    <w:name w:val="Intense Quote"/>
    <w:basedOn w:val="Normal"/>
    <w:next w:val="Normal"/>
    <w:link w:val="IntenseQuoteChar"/>
    <w:uiPriority w:val="30"/>
    <w:qFormat/>
    <w:rsid w:val="00011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95C"/>
    <w:rPr>
      <w:i/>
      <w:iCs/>
      <w:color w:val="0F4761" w:themeColor="accent1" w:themeShade="BF"/>
    </w:rPr>
  </w:style>
  <w:style w:type="character" w:styleId="IntenseReference">
    <w:name w:val="Intense Reference"/>
    <w:basedOn w:val="DefaultParagraphFont"/>
    <w:uiPriority w:val="32"/>
    <w:qFormat/>
    <w:rsid w:val="0001195C"/>
    <w:rPr>
      <w:b/>
      <w:bCs/>
      <w:smallCaps/>
      <w:color w:val="0F4761" w:themeColor="accent1" w:themeShade="BF"/>
      <w:spacing w:val="5"/>
    </w:rPr>
  </w:style>
  <w:style w:type="paragraph" w:styleId="NormalWeb">
    <w:name w:val="Normal (Web)"/>
    <w:basedOn w:val="Normal"/>
    <w:uiPriority w:val="99"/>
    <w:unhideWhenUsed/>
    <w:rsid w:val="007C21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C3CF4"/>
    <w:rPr>
      <w:b/>
      <w:bCs/>
    </w:rPr>
  </w:style>
  <w:style w:type="character" w:styleId="Emphasis">
    <w:name w:val="Emphasis"/>
    <w:basedOn w:val="DefaultParagraphFont"/>
    <w:uiPriority w:val="20"/>
    <w:qFormat/>
    <w:rsid w:val="00D037AD"/>
    <w:rPr>
      <w:i/>
      <w:iCs/>
    </w:rPr>
  </w:style>
  <w:style w:type="character" w:customStyle="1" w:styleId="bzpyqfadein">
    <w:name w:val="bz_pyq_fadein"/>
    <w:basedOn w:val="DefaultParagraphFont"/>
    <w:rsid w:val="004E6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9</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nedelcu</dc:creator>
  <cp:keywords/>
  <dc:description/>
  <cp:lastModifiedBy>vasile nedelcu</cp:lastModifiedBy>
  <cp:revision>55</cp:revision>
  <dcterms:created xsi:type="dcterms:W3CDTF">2026-02-23T16:33:00Z</dcterms:created>
  <dcterms:modified xsi:type="dcterms:W3CDTF">2026-03-21T09:03:00Z</dcterms:modified>
</cp:coreProperties>
</file>