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5E4BDF" w:rsidRDefault="005E4BDF">
      <w:pPr>
        <w:spacing w:before="2800" w:after="400"/>
      </w:pPr>
    </w:p>
    <w:p w14:paraId="00000002" w14:textId="77777777" w:rsidR="005E4BDF" w:rsidRDefault="00000000">
      <w:pPr>
        <w:spacing w:after="200"/>
        <w:jc w:val="center"/>
      </w:pPr>
      <w:r>
        <w:rPr>
          <w:b/>
          <w:bCs/>
          <w:sz w:val="28"/>
          <w:szCs w:val="28"/>
        </w:rPr>
        <w:t>THE NURSING ROLE IN HEALTH AND SOCIAL CARE:</w:t>
      </w:r>
    </w:p>
    <w:p w14:paraId="00000003" w14:textId="77777777" w:rsidR="005E4BDF" w:rsidRDefault="00000000">
      <w:pPr>
        <w:spacing w:after="800"/>
        <w:jc w:val="center"/>
      </w:pPr>
      <w:r>
        <w:rPr>
          <w:b/>
          <w:bCs/>
          <w:sz w:val="24"/>
          <w:szCs w:val="24"/>
        </w:rPr>
        <w:t>Skills, Duties, and Strategies for Professional Development</w:t>
      </w:r>
    </w:p>
    <w:p w14:paraId="00000004" w14:textId="427C2232" w:rsidR="005E4BDF" w:rsidRDefault="00000000">
      <w:pPr>
        <w:spacing w:after="200"/>
        <w:jc w:val="center"/>
      </w:pPr>
      <w:r>
        <w:t>Student Name:</w:t>
      </w:r>
      <w:r w:rsidR="00930CAB">
        <w:t xml:space="preserve"> Monica Giesell Charry Lamprea</w:t>
      </w:r>
    </w:p>
    <w:p w14:paraId="00000005" w14:textId="106DEEC3" w:rsidR="005E4BDF" w:rsidRDefault="00000000">
      <w:pPr>
        <w:spacing w:after="200"/>
        <w:jc w:val="center"/>
      </w:pPr>
      <w:r>
        <w:t xml:space="preserve">Student Number: </w:t>
      </w:r>
      <w:r w:rsidR="00930CAB">
        <w:t>2514548</w:t>
      </w:r>
    </w:p>
    <w:p w14:paraId="00000006" w14:textId="2EC35B67" w:rsidR="005E4BDF" w:rsidRDefault="00000000">
      <w:pPr>
        <w:spacing w:after="200"/>
        <w:jc w:val="center"/>
      </w:pPr>
      <w:r>
        <w:t xml:space="preserve">Module Code and Title: </w:t>
      </w:r>
      <w:r w:rsidR="00930CAB">
        <w:t>LCHS 4001</w:t>
      </w:r>
      <w:r>
        <w:t xml:space="preserve">– Academic and </w:t>
      </w:r>
      <w:r w:rsidR="00930CAB">
        <w:t>Employability</w:t>
      </w:r>
      <w:r>
        <w:t xml:space="preserve"> Skills</w:t>
      </w:r>
    </w:p>
    <w:p w14:paraId="00000007" w14:textId="638D6517" w:rsidR="005E4BDF" w:rsidRDefault="00000000">
      <w:pPr>
        <w:spacing w:after="200"/>
        <w:jc w:val="center"/>
      </w:pPr>
      <w:r>
        <w:t>Lecturer's Name:</w:t>
      </w:r>
      <w:r w:rsidR="00930CAB">
        <w:t xml:space="preserve"> Mark Kane</w:t>
      </w:r>
      <w:r>
        <w:t xml:space="preserve"> </w:t>
      </w:r>
    </w:p>
    <w:p w14:paraId="09769B67" w14:textId="77777777" w:rsidR="00930CAB" w:rsidRDefault="00930CAB">
      <w:pPr>
        <w:spacing w:after="200"/>
        <w:jc w:val="center"/>
      </w:pPr>
    </w:p>
    <w:p w14:paraId="44419887" w14:textId="77777777" w:rsidR="00930CAB" w:rsidRDefault="00930CAB">
      <w:pPr>
        <w:spacing w:after="200"/>
        <w:jc w:val="center"/>
      </w:pPr>
    </w:p>
    <w:p w14:paraId="4CF45F7D" w14:textId="77777777" w:rsidR="00930CAB" w:rsidRDefault="00930CAB">
      <w:pPr>
        <w:spacing w:after="200"/>
        <w:jc w:val="center"/>
      </w:pPr>
    </w:p>
    <w:p w14:paraId="5B700F47" w14:textId="77777777" w:rsidR="00930CAB" w:rsidRDefault="00930CAB">
      <w:pPr>
        <w:spacing w:after="200"/>
        <w:jc w:val="center"/>
      </w:pPr>
    </w:p>
    <w:p w14:paraId="25C8EE58" w14:textId="77777777" w:rsidR="00930CAB" w:rsidRDefault="00930CAB">
      <w:pPr>
        <w:spacing w:after="200"/>
        <w:jc w:val="center"/>
      </w:pPr>
    </w:p>
    <w:p w14:paraId="646D4582" w14:textId="77777777" w:rsidR="00930CAB" w:rsidRDefault="00930CAB">
      <w:pPr>
        <w:spacing w:after="200"/>
        <w:jc w:val="center"/>
      </w:pPr>
    </w:p>
    <w:p w14:paraId="46EE4065" w14:textId="77777777" w:rsidR="00930CAB" w:rsidRDefault="00930CAB">
      <w:pPr>
        <w:spacing w:after="200"/>
        <w:jc w:val="center"/>
      </w:pPr>
    </w:p>
    <w:p w14:paraId="7168C60F" w14:textId="77777777" w:rsidR="00930CAB" w:rsidRDefault="00930CAB">
      <w:pPr>
        <w:spacing w:after="200"/>
        <w:jc w:val="center"/>
      </w:pPr>
    </w:p>
    <w:p w14:paraId="5144BF62" w14:textId="77777777" w:rsidR="00930CAB" w:rsidRDefault="00930CAB">
      <w:pPr>
        <w:spacing w:after="200"/>
        <w:jc w:val="center"/>
      </w:pPr>
    </w:p>
    <w:p w14:paraId="1A212BDB" w14:textId="77777777" w:rsidR="00930CAB" w:rsidRDefault="00930CAB">
      <w:pPr>
        <w:spacing w:after="200"/>
        <w:jc w:val="center"/>
      </w:pPr>
    </w:p>
    <w:p w14:paraId="55527A15" w14:textId="77777777" w:rsidR="00930CAB" w:rsidRDefault="00930CAB">
      <w:pPr>
        <w:spacing w:after="200"/>
        <w:jc w:val="center"/>
      </w:pPr>
    </w:p>
    <w:p w14:paraId="39C14191" w14:textId="77777777" w:rsidR="00930CAB" w:rsidRDefault="00930CAB">
      <w:pPr>
        <w:spacing w:after="200"/>
        <w:jc w:val="center"/>
      </w:pPr>
    </w:p>
    <w:p w14:paraId="1A5669AD" w14:textId="77777777" w:rsidR="00930CAB" w:rsidRDefault="00930CAB">
      <w:pPr>
        <w:spacing w:after="200"/>
        <w:jc w:val="center"/>
      </w:pPr>
    </w:p>
    <w:p w14:paraId="04D16C3C" w14:textId="77777777" w:rsidR="00930CAB" w:rsidRDefault="00930CAB">
      <w:pPr>
        <w:spacing w:after="200"/>
        <w:jc w:val="center"/>
      </w:pPr>
    </w:p>
    <w:p w14:paraId="2096F6F0" w14:textId="77777777" w:rsidR="00930CAB" w:rsidRDefault="00930CAB">
      <w:pPr>
        <w:spacing w:after="200"/>
        <w:jc w:val="center"/>
      </w:pPr>
    </w:p>
    <w:p w14:paraId="0000000A" w14:textId="77777777" w:rsidR="005E4BDF" w:rsidRDefault="00000000">
      <w:pPr>
        <w:spacing w:before="400" w:after="600"/>
        <w:jc w:val="center"/>
      </w:pPr>
      <w:r>
        <w:rPr>
          <w:b/>
          <w:bCs/>
          <w:sz w:val="28"/>
          <w:szCs w:val="28"/>
        </w:rPr>
        <w:lastRenderedPageBreak/>
        <w:t>Table of Contents</w:t>
      </w:r>
    </w:p>
    <w:p w14:paraId="0000000B" w14:textId="77777777" w:rsidR="005E4BDF" w:rsidRDefault="005E4BDF">
      <w:pPr>
        <w:spacing w:after="100" w:line="360" w:lineRule="auto"/>
      </w:pPr>
    </w:p>
    <w:p w14:paraId="0000000C" w14:textId="77777777" w:rsidR="005E4BDF" w:rsidRDefault="005E4BDF">
      <w:pPr>
        <w:spacing w:after="100" w:line="360" w:lineRule="auto"/>
      </w:pPr>
    </w:p>
    <w:p w14:paraId="0000000D" w14:textId="77777777" w:rsidR="005E4BDF" w:rsidRDefault="005E4BDF">
      <w:pPr>
        <w:spacing w:after="100" w:line="360" w:lineRule="auto"/>
      </w:pPr>
    </w:p>
    <w:sdt>
      <w:sdtPr>
        <w:id w:val="-1347951029"/>
        <w:docPartObj>
          <w:docPartGallery w:val="Table of Contents"/>
          <w:docPartUnique/>
        </w:docPartObj>
      </w:sdtPr>
      <w:sdtContent>
        <w:p w14:paraId="0000000E" w14:textId="77777777" w:rsidR="005E4BDF" w:rsidRDefault="00000000">
          <w:pPr>
            <w:widowControl w:val="0"/>
            <w:tabs>
              <w:tab w:val="right" w:pos="12000"/>
            </w:tabs>
            <w:spacing w:before="60"/>
            <w:rPr>
              <w:b/>
              <w:bCs/>
              <w:color w:val="000000"/>
            </w:rPr>
          </w:pPr>
          <w:r>
            <w:fldChar w:fldCharType="begin"/>
          </w:r>
          <w:r>
            <w:instrText xml:space="preserve"> TOC \h \u \z \t "Heading 1,1,Heading 2,2,Heading 3,3,Heading 4,4,Heading 5,5,Heading 6,6,"</w:instrText>
          </w:r>
          <w:r>
            <w:fldChar w:fldCharType="separate"/>
          </w:r>
          <w:hyperlink w:anchor="_9p7n41cejg47">
            <w:r w:rsidR="005E4BDF">
              <w:rPr>
                <w:b/>
                <w:bCs/>
                <w:color w:val="000000"/>
              </w:rPr>
              <w:t>TASK 2: Reflective Activity</w:t>
            </w:r>
            <w:r w:rsidR="005E4BDF">
              <w:rPr>
                <w:b/>
                <w:bCs/>
                <w:color w:val="000000"/>
              </w:rPr>
              <w:tab/>
              <w:t>3</w:t>
            </w:r>
          </w:hyperlink>
        </w:p>
        <w:p w14:paraId="0000000F" w14:textId="77777777" w:rsidR="005E4BDF" w:rsidRDefault="005E4BDF">
          <w:pPr>
            <w:widowControl w:val="0"/>
            <w:tabs>
              <w:tab w:val="right" w:pos="12000"/>
            </w:tabs>
            <w:spacing w:before="60"/>
            <w:ind w:left="360"/>
            <w:rPr>
              <w:color w:val="000000"/>
            </w:rPr>
          </w:pPr>
          <w:hyperlink>
            <w:r>
              <w:rPr>
                <w:b/>
                <w:bCs/>
                <w:color w:val="000000"/>
              </w:rPr>
              <w:t>Stage 1: Description – What Happened?</w:t>
            </w:r>
            <w:r>
              <w:rPr>
                <w:b/>
                <w:bCs/>
                <w:color w:val="000000"/>
              </w:rPr>
              <w:tab/>
              <w:t>3</w:t>
            </w:r>
          </w:hyperlink>
        </w:p>
        <w:p w14:paraId="00000010" w14:textId="77777777" w:rsidR="005E4BDF" w:rsidRDefault="005E4BDF">
          <w:pPr>
            <w:widowControl w:val="0"/>
            <w:tabs>
              <w:tab w:val="right" w:pos="12000"/>
            </w:tabs>
            <w:spacing w:before="60"/>
            <w:ind w:left="360"/>
            <w:rPr>
              <w:color w:val="000000"/>
            </w:rPr>
          </w:pPr>
          <w:hyperlink>
            <w:r>
              <w:rPr>
                <w:b/>
                <w:bCs/>
                <w:color w:val="000000"/>
              </w:rPr>
              <w:t>Stage 2: Feelings – What Were You Thinking and Feeling?</w:t>
            </w:r>
            <w:r>
              <w:rPr>
                <w:b/>
                <w:bCs/>
                <w:color w:val="000000"/>
              </w:rPr>
              <w:tab/>
              <w:t>3</w:t>
            </w:r>
          </w:hyperlink>
        </w:p>
        <w:p w14:paraId="00000011" w14:textId="77777777" w:rsidR="005E4BDF" w:rsidRDefault="005E4BDF">
          <w:pPr>
            <w:widowControl w:val="0"/>
            <w:tabs>
              <w:tab w:val="right" w:pos="12000"/>
            </w:tabs>
            <w:spacing w:before="60"/>
            <w:ind w:left="360"/>
            <w:rPr>
              <w:color w:val="000000"/>
            </w:rPr>
          </w:pPr>
          <w:hyperlink>
            <w:r>
              <w:rPr>
                <w:b/>
                <w:bCs/>
                <w:color w:val="000000"/>
              </w:rPr>
              <w:t>Stage 3: Evaluation – What Was Good and Bad?</w:t>
            </w:r>
            <w:r>
              <w:rPr>
                <w:b/>
                <w:bCs/>
                <w:color w:val="000000"/>
              </w:rPr>
              <w:tab/>
              <w:t>3</w:t>
            </w:r>
          </w:hyperlink>
        </w:p>
        <w:p w14:paraId="00000012" w14:textId="77777777" w:rsidR="005E4BDF" w:rsidRDefault="005E4BDF">
          <w:pPr>
            <w:widowControl w:val="0"/>
            <w:tabs>
              <w:tab w:val="right" w:pos="12000"/>
            </w:tabs>
            <w:spacing w:before="60"/>
            <w:ind w:left="360"/>
            <w:rPr>
              <w:color w:val="000000"/>
            </w:rPr>
          </w:pPr>
          <w:hyperlink>
            <w:r>
              <w:rPr>
                <w:b/>
                <w:bCs/>
                <w:color w:val="000000"/>
              </w:rPr>
              <w:t>Stage 4: Analysis – Why Did This Happen?</w:t>
            </w:r>
            <w:r>
              <w:rPr>
                <w:b/>
                <w:bCs/>
                <w:color w:val="000000"/>
              </w:rPr>
              <w:tab/>
              <w:t>4</w:t>
            </w:r>
          </w:hyperlink>
        </w:p>
        <w:p w14:paraId="00000013" w14:textId="77777777" w:rsidR="005E4BDF" w:rsidRDefault="005E4BDF">
          <w:pPr>
            <w:widowControl w:val="0"/>
            <w:tabs>
              <w:tab w:val="right" w:pos="12000"/>
            </w:tabs>
            <w:spacing w:before="60"/>
            <w:ind w:left="360"/>
            <w:rPr>
              <w:color w:val="000000"/>
            </w:rPr>
          </w:pPr>
          <w:hyperlink>
            <w:r>
              <w:rPr>
                <w:b/>
                <w:bCs/>
                <w:color w:val="000000"/>
              </w:rPr>
              <w:t>Stage 5: Conclusion – What Else Could You Have Done?</w:t>
            </w:r>
            <w:r>
              <w:rPr>
                <w:b/>
                <w:bCs/>
                <w:color w:val="000000"/>
              </w:rPr>
              <w:tab/>
              <w:t>4</w:t>
            </w:r>
          </w:hyperlink>
        </w:p>
        <w:p w14:paraId="37059CA2" w14:textId="09009500" w:rsidR="005C7D84" w:rsidRPr="005C7D84" w:rsidRDefault="005E4BDF" w:rsidP="005C7D84">
          <w:pPr>
            <w:widowControl w:val="0"/>
            <w:tabs>
              <w:tab w:val="right" w:pos="12000"/>
            </w:tabs>
            <w:spacing w:before="60"/>
            <w:ind w:left="360"/>
          </w:pPr>
          <w:hyperlink w:anchor="_g0uyo37ip9uj">
            <w:r>
              <w:rPr>
                <w:b/>
                <w:bCs/>
                <w:color w:val="000000"/>
              </w:rPr>
              <w:t>Stage 6: Action Plan – What Will You Do Next Time?</w:t>
            </w:r>
          </w:hyperlink>
          <w:hyperlink w:anchor="_g0uyo37ip9uj">
            <w:r>
              <w:rPr>
                <w:color w:val="000000"/>
              </w:rPr>
              <w:tab/>
              <w:t>4</w:t>
            </w:r>
          </w:hyperlink>
        </w:p>
        <w:p w14:paraId="00000015" w14:textId="77777777" w:rsidR="005E4BDF" w:rsidRDefault="005E4BDF">
          <w:pPr>
            <w:widowControl w:val="0"/>
            <w:tabs>
              <w:tab w:val="right" w:pos="12000"/>
            </w:tabs>
            <w:spacing w:before="60"/>
            <w:rPr>
              <w:b/>
              <w:bCs/>
              <w:color w:val="000000"/>
            </w:rPr>
          </w:pPr>
          <w:hyperlink>
            <w:r>
              <w:rPr>
                <w:b/>
                <w:bCs/>
                <w:color w:val="000000"/>
              </w:rPr>
              <w:t>Introduction</w:t>
            </w:r>
            <w:r>
              <w:rPr>
                <w:b/>
                <w:bCs/>
                <w:color w:val="000000"/>
              </w:rPr>
              <w:tab/>
              <w:t>5</w:t>
            </w:r>
          </w:hyperlink>
        </w:p>
        <w:p w14:paraId="00000016" w14:textId="77777777" w:rsidR="005E4BDF" w:rsidRDefault="005E4BDF">
          <w:pPr>
            <w:widowControl w:val="0"/>
            <w:tabs>
              <w:tab w:val="right" w:pos="12000"/>
            </w:tabs>
            <w:spacing w:before="60"/>
            <w:rPr>
              <w:b/>
              <w:bCs/>
              <w:color w:val="000000"/>
            </w:rPr>
          </w:pPr>
          <w:hyperlink>
            <w:r>
              <w:rPr>
                <w:b/>
                <w:bCs/>
                <w:color w:val="000000"/>
              </w:rPr>
              <w:t>1. The Nursing Role: Duties and Responsibilities</w:t>
            </w:r>
            <w:r>
              <w:rPr>
                <w:b/>
                <w:bCs/>
                <w:color w:val="000000"/>
              </w:rPr>
              <w:tab/>
              <w:t>5</w:t>
            </w:r>
          </w:hyperlink>
        </w:p>
        <w:p w14:paraId="00000017" w14:textId="77777777" w:rsidR="005E4BDF" w:rsidRDefault="005E4BDF">
          <w:pPr>
            <w:widowControl w:val="0"/>
            <w:tabs>
              <w:tab w:val="right" w:pos="12000"/>
            </w:tabs>
            <w:spacing w:before="60"/>
            <w:rPr>
              <w:b/>
              <w:bCs/>
              <w:color w:val="000000"/>
            </w:rPr>
          </w:pPr>
          <w:hyperlink>
            <w:r>
              <w:rPr>
                <w:b/>
                <w:bCs/>
                <w:color w:val="000000"/>
              </w:rPr>
              <w:t>2. Essential Skills for Nursing</w:t>
            </w:r>
            <w:r>
              <w:rPr>
                <w:b/>
                <w:bCs/>
                <w:color w:val="000000"/>
              </w:rPr>
              <w:tab/>
              <w:t>6</w:t>
            </w:r>
          </w:hyperlink>
        </w:p>
        <w:p w14:paraId="00000018" w14:textId="77777777" w:rsidR="005E4BDF" w:rsidRDefault="005E4BDF">
          <w:pPr>
            <w:widowControl w:val="0"/>
            <w:tabs>
              <w:tab w:val="right" w:pos="12000"/>
            </w:tabs>
            <w:spacing w:before="60"/>
            <w:ind w:left="360"/>
            <w:rPr>
              <w:color w:val="000000"/>
            </w:rPr>
          </w:pPr>
          <w:hyperlink>
            <w:r>
              <w:rPr>
                <w:b/>
                <w:bCs/>
                <w:color w:val="000000"/>
              </w:rPr>
              <w:t>2.1 Communication Skills</w:t>
            </w:r>
            <w:r>
              <w:rPr>
                <w:b/>
                <w:bCs/>
                <w:color w:val="000000"/>
              </w:rPr>
              <w:tab/>
              <w:t>6</w:t>
            </w:r>
          </w:hyperlink>
        </w:p>
        <w:p w14:paraId="00000019" w14:textId="77777777" w:rsidR="005E4BDF" w:rsidRDefault="005E4BDF">
          <w:pPr>
            <w:widowControl w:val="0"/>
            <w:tabs>
              <w:tab w:val="right" w:pos="12000"/>
            </w:tabs>
            <w:spacing w:before="60"/>
            <w:ind w:left="360"/>
            <w:rPr>
              <w:color w:val="000000"/>
            </w:rPr>
          </w:pPr>
          <w:hyperlink>
            <w:r>
              <w:rPr>
                <w:b/>
                <w:bCs/>
                <w:color w:val="000000"/>
              </w:rPr>
              <w:t>2.2 Clinical and Technical Competence</w:t>
            </w:r>
            <w:r>
              <w:rPr>
                <w:b/>
                <w:bCs/>
                <w:color w:val="000000"/>
              </w:rPr>
              <w:tab/>
              <w:t>6</w:t>
            </w:r>
          </w:hyperlink>
        </w:p>
        <w:p w14:paraId="0000001A" w14:textId="77777777" w:rsidR="005E4BDF" w:rsidRDefault="005E4BDF">
          <w:pPr>
            <w:widowControl w:val="0"/>
            <w:tabs>
              <w:tab w:val="right" w:pos="12000"/>
            </w:tabs>
            <w:spacing w:before="60"/>
            <w:ind w:left="360"/>
            <w:rPr>
              <w:color w:val="000000"/>
            </w:rPr>
          </w:pPr>
          <w:hyperlink>
            <w:r>
              <w:rPr>
                <w:b/>
                <w:bCs/>
                <w:color w:val="000000"/>
              </w:rPr>
              <w:t>2.3 Empathy and Emotional Resilience</w:t>
            </w:r>
            <w:r>
              <w:rPr>
                <w:b/>
                <w:bCs/>
                <w:color w:val="000000"/>
              </w:rPr>
              <w:tab/>
              <w:t>7</w:t>
            </w:r>
          </w:hyperlink>
        </w:p>
        <w:p w14:paraId="0000001B" w14:textId="77777777" w:rsidR="005E4BDF" w:rsidRDefault="005E4BDF">
          <w:pPr>
            <w:widowControl w:val="0"/>
            <w:tabs>
              <w:tab w:val="right" w:pos="12000"/>
            </w:tabs>
            <w:spacing w:before="60"/>
            <w:rPr>
              <w:b/>
              <w:bCs/>
              <w:color w:val="000000"/>
            </w:rPr>
          </w:pPr>
          <w:hyperlink>
            <w:r>
              <w:rPr>
                <w:b/>
                <w:bCs/>
                <w:color w:val="000000"/>
              </w:rPr>
              <w:t>3. Strategies to Improve Each Skill</w:t>
            </w:r>
            <w:r>
              <w:rPr>
                <w:b/>
                <w:bCs/>
                <w:color w:val="000000"/>
              </w:rPr>
              <w:tab/>
              <w:t>7</w:t>
            </w:r>
          </w:hyperlink>
        </w:p>
        <w:p w14:paraId="0000001C" w14:textId="77777777" w:rsidR="005E4BDF" w:rsidRDefault="005E4BDF">
          <w:pPr>
            <w:widowControl w:val="0"/>
            <w:tabs>
              <w:tab w:val="right" w:pos="12000"/>
            </w:tabs>
            <w:spacing w:before="60"/>
            <w:ind w:left="360"/>
            <w:rPr>
              <w:color w:val="000000"/>
            </w:rPr>
          </w:pPr>
          <w:hyperlink>
            <w:r>
              <w:rPr>
                <w:b/>
                <w:bCs/>
                <w:color w:val="000000"/>
              </w:rPr>
              <w:t>3.1 Strategies to Improve Communication Skills</w:t>
            </w:r>
            <w:r>
              <w:rPr>
                <w:b/>
                <w:bCs/>
                <w:color w:val="000000"/>
              </w:rPr>
              <w:tab/>
              <w:t>7</w:t>
            </w:r>
          </w:hyperlink>
        </w:p>
        <w:p w14:paraId="0000001D" w14:textId="77777777" w:rsidR="005E4BDF" w:rsidRDefault="005E4BDF">
          <w:pPr>
            <w:widowControl w:val="0"/>
            <w:tabs>
              <w:tab w:val="right" w:pos="12000"/>
            </w:tabs>
            <w:spacing w:before="60"/>
            <w:ind w:left="360"/>
            <w:rPr>
              <w:color w:val="000000"/>
            </w:rPr>
          </w:pPr>
          <w:hyperlink>
            <w:r>
              <w:rPr>
                <w:b/>
                <w:bCs/>
                <w:color w:val="000000"/>
              </w:rPr>
              <w:t>3.2 Strategies to Improve Clinical Competence</w:t>
            </w:r>
            <w:r>
              <w:rPr>
                <w:b/>
                <w:bCs/>
                <w:color w:val="000000"/>
              </w:rPr>
              <w:tab/>
              <w:t>8</w:t>
            </w:r>
          </w:hyperlink>
        </w:p>
        <w:p w14:paraId="0000001E" w14:textId="77777777" w:rsidR="005E4BDF" w:rsidRDefault="005E4BDF">
          <w:pPr>
            <w:widowControl w:val="0"/>
            <w:tabs>
              <w:tab w:val="right" w:pos="12000"/>
            </w:tabs>
            <w:spacing w:before="60"/>
            <w:ind w:left="360"/>
            <w:rPr>
              <w:color w:val="000000"/>
            </w:rPr>
          </w:pPr>
          <w:hyperlink>
            <w:r>
              <w:rPr>
                <w:b/>
                <w:bCs/>
                <w:color w:val="000000"/>
              </w:rPr>
              <w:t>3.3 Strategies to Improve Emotional Resilience</w:t>
            </w:r>
            <w:r>
              <w:rPr>
                <w:b/>
                <w:bCs/>
                <w:color w:val="000000"/>
              </w:rPr>
              <w:tab/>
              <w:t>8</w:t>
            </w:r>
          </w:hyperlink>
        </w:p>
        <w:p w14:paraId="0000001F" w14:textId="77777777" w:rsidR="005E4BDF" w:rsidRDefault="005E4BDF">
          <w:pPr>
            <w:widowControl w:val="0"/>
            <w:tabs>
              <w:tab w:val="right" w:pos="12000"/>
            </w:tabs>
            <w:spacing w:before="60"/>
            <w:rPr>
              <w:b/>
              <w:bCs/>
              <w:color w:val="000000"/>
            </w:rPr>
          </w:pPr>
          <w:hyperlink>
            <w:r>
              <w:rPr>
                <w:b/>
                <w:bCs/>
                <w:color w:val="000000"/>
              </w:rPr>
              <w:t>Conclusion</w:t>
            </w:r>
            <w:r>
              <w:rPr>
                <w:b/>
                <w:bCs/>
                <w:color w:val="000000"/>
              </w:rPr>
              <w:tab/>
              <w:t>9</w:t>
            </w:r>
          </w:hyperlink>
        </w:p>
        <w:p w14:paraId="00000020" w14:textId="77777777" w:rsidR="005E4BDF" w:rsidRDefault="005E4BDF">
          <w:pPr>
            <w:widowControl w:val="0"/>
            <w:tabs>
              <w:tab w:val="right" w:pos="12000"/>
            </w:tabs>
            <w:spacing w:before="60"/>
            <w:rPr>
              <w:b/>
              <w:bCs/>
              <w:color w:val="000000"/>
            </w:rPr>
          </w:pPr>
          <w:hyperlink>
            <w:r>
              <w:rPr>
                <w:b/>
                <w:bCs/>
                <w:color w:val="000000"/>
              </w:rPr>
              <w:t>References</w:t>
            </w:r>
            <w:r>
              <w:rPr>
                <w:b/>
                <w:bCs/>
                <w:color w:val="000000"/>
              </w:rPr>
              <w:tab/>
              <w:t>9</w:t>
            </w:r>
          </w:hyperlink>
          <w:r w:rsidR="00000000">
            <w:fldChar w:fldCharType="end"/>
          </w:r>
        </w:p>
      </w:sdtContent>
    </w:sdt>
    <w:p w14:paraId="00000021" w14:textId="77777777" w:rsidR="005E4BDF" w:rsidRDefault="005E4BDF">
      <w:pPr>
        <w:spacing w:after="100" w:line="360" w:lineRule="auto"/>
        <w:sectPr w:rsidR="005E4BDF">
          <w:pgSz w:w="11906" w:h="16838"/>
          <w:pgMar w:top="1440" w:right="1440" w:bottom="1440" w:left="1440" w:header="708" w:footer="708" w:gutter="0"/>
          <w:cols w:space="720"/>
        </w:sectPr>
      </w:pPr>
    </w:p>
    <w:p w14:paraId="00000022" w14:textId="77777777" w:rsidR="005E4BDF" w:rsidRDefault="00000000" w:rsidP="00930CAB">
      <w:pPr>
        <w:pStyle w:val="Heading1"/>
        <w:spacing w:before="200" w:after="300" w:line="360" w:lineRule="auto"/>
        <w:jc w:val="center"/>
      </w:pPr>
      <w:bookmarkStart w:id="0" w:name="_9p7n41cejg47" w:colFirst="0" w:colLast="0"/>
      <w:bookmarkEnd w:id="0"/>
      <w:r>
        <w:lastRenderedPageBreak/>
        <w:t>TASK 2: Reflective Activity</w:t>
      </w:r>
    </w:p>
    <w:p w14:paraId="00000023" w14:textId="77777777" w:rsidR="005E4BDF" w:rsidRDefault="00000000" w:rsidP="00930CAB">
      <w:pPr>
        <w:spacing w:after="400" w:line="360" w:lineRule="auto"/>
        <w:jc w:val="center"/>
      </w:pPr>
      <w:r>
        <w:rPr>
          <w:i/>
          <w:iCs/>
        </w:rPr>
        <w:t>Using Gibbs' Reflective Cycle (1988)</w:t>
      </w:r>
    </w:p>
    <w:p w14:paraId="00000024" w14:textId="77777777" w:rsidR="005E4BDF" w:rsidRDefault="00000000" w:rsidP="00930CAB">
      <w:pPr>
        <w:pStyle w:val="Heading2"/>
        <w:spacing w:line="360" w:lineRule="auto"/>
      </w:pPr>
      <w:r>
        <w:t>Stage 1: Description – What Happened?</w:t>
      </w:r>
    </w:p>
    <w:p w14:paraId="00000025" w14:textId="77777777" w:rsidR="005E4BDF" w:rsidRDefault="00000000" w:rsidP="00930CAB">
      <w:pPr>
        <w:spacing w:after="160" w:line="360" w:lineRule="auto"/>
      </w:pPr>
      <w:r>
        <w:t xml:space="preserve">Task 1: For Task 1, I was required to research the nursing role in health and social </w:t>
      </w:r>
      <w:proofErr w:type="gramStart"/>
      <w:r>
        <w:t>care, and</w:t>
      </w:r>
      <w:proofErr w:type="gramEnd"/>
      <w:r>
        <w:t xml:space="preserve"> then provide an individual video presentation on it. I have selected to address key duties that a registered nurse will need to bear in mind referencing as a starting place the role of a Registered Nurse and my guidance with the NMC Code (2018) and the Royal College of Nursing. I recorded and turned it in as a video show which showed me talking to the camera, describing what nursing was, the role of nurse, and trying to explain what I find in a clear articulate answer, in a clear and strong manner. The presentation was approximately [insert duration] minutes long and was completed independently. This experience involved researching an unfamiliar type of topic, taking it, arranging my results in an academic format, and repeating the information orally in a recorded form – a type of format that I hadn’t previously engaged with in academic assessment activities.</w:t>
      </w:r>
    </w:p>
    <w:p w14:paraId="00000026" w14:textId="77777777" w:rsidR="005E4BDF" w:rsidRDefault="00000000" w:rsidP="00930CAB">
      <w:pPr>
        <w:pStyle w:val="Heading2"/>
        <w:spacing w:line="360" w:lineRule="auto"/>
      </w:pPr>
      <w:r>
        <w:t>Stage 2: Feelings – What Were You Thinking and Feeling?</w:t>
      </w:r>
    </w:p>
    <w:p w14:paraId="00000027" w14:textId="77777777" w:rsidR="005E4BDF" w:rsidRDefault="00000000" w:rsidP="00930CAB">
      <w:pPr>
        <w:spacing w:after="160" w:line="360" w:lineRule="auto"/>
      </w:pPr>
      <w:r>
        <w:t xml:space="preserve">On the research side, I was a little unsure about the first place to start and which sources seemed reliable and credible. I knew that health and social care was a wide area of study, and focusing on my chosen nursing role felt useful and slightly overwhelming given the volume of information available. With more sources and the better I learned, the easier and more confident I was with knowledge and I was more comfortable with what I am learning. I felt much more anxious when recording the video presentation. It's not traditional to appear before cameras or to speak to an audience, I felt very afraid about my delivery, how fast I was speaking and if I was being clear about what I was saying. I worried about missing vital portions or showing my jitters that could have been easily addressed. After completion of the recording, my feelings were </w:t>
      </w:r>
      <w:proofErr w:type="gramStart"/>
      <w:r>
        <w:t>overwhelming</w:t>
      </w:r>
      <w:proofErr w:type="gramEnd"/>
      <w:r>
        <w:t xml:space="preserve"> but I had a sense of relief, but at the same time I wondered whether I had performed in the best way possible. I look back on my anxiety about the actual presentation structure that I found </w:t>
      </w:r>
      <w:proofErr w:type="gramStart"/>
      <w:r>
        <w:t>challenging, and</w:t>
      </w:r>
      <w:proofErr w:type="gramEnd"/>
      <w:r>
        <w:t xml:space="preserve"> realised how that may have affected the fluency and confidence of my delivery.</w:t>
      </w:r>
    </w:p>
    <w:p w14:paraId="00000028" w14:textId="77777777" w:rsidR="005E4BDF" w:rsidRDefault="00000000" w:rsidP="00930CAB">
      <w:pPr>
        <w:pStyle w:val="Heading2"/>
        <w:spacing w:line="360" w:lineRule="auto"/>
      </w:pPr>
      <w:r>
        <w:t>Stage 3: Evaluation – What Was Good and Bad?</w:t>
      </w:r>
    </w:p>
    <w:p w14:paraId="00000029" w14:textId="77777777" w:rsidR="005E4BDF" w:rsidRDefault="00000000" w:rsidP="00930CAB">
      <w:pPr>
        <w:spacing w:after="160" w:line="360" w:lineRule="auto"/>
      </w:pPr>
      <w:r>
        <w:t xml:space="preserve">I had many good results. What I did manage to do was search effectively in the way of research my sources -- I had identified diverse credible sources, including peer-reviewed </w:t>
      </w:r>
      <w:r>
        <w:lastRenderedPageBreak/>
        <w:t>academic journals, the NMC Code, and advice from the RCN. I found it helpful to have connections between everything I presented to people. In the beginning, I logically ordered the information; I started with describing what a nurse is and then talked about the duties and responsibilities of the nurse. My language did not come close to the fluency and confidence I wanted – sometimes I bumbled my words, talked too quickly under pressure, and didn’t sustain eye contact with the camera. In a few places I read from my notes instead of speaking naturally, and that degraded the overall quality of my presentation. I also thought that I might have included more concrete examples from life instead of general, broad descriptions that might convey just one thing: the role of a nurse.</w:t>
      </w:r>
    </w:p>
    <w:p w14:paraId="0000002A" w14:textId="77777777" w:rsidR="005E4BDF" w:rsidRDefault="00000000" w:rsidP="00930CAB">
      <w:pPr>
        <w:pStyle w:val="Heading2"/>
        <w:spacing w:line="360" w:lineRule="auto"/>
      </w:pPr>
      <w:r>
        <w:t>Stage 4: Analysis – Why Did This Happen?</w:t>
      </w:r>
    </w:p>
    <w:p w14:paraId="0000002B" w14:textId="77777777" w:rsidR="005E4BDF" w:rsidRDefault="00000000" w:rsidP="00930CAB">
      <w:pPr>
        <w:spacing w:after="160" w:line="360" w:lineRule="auto"/>
      </w:pPr>
      <w:r>
        <w:t xml:space="preserve">Looking back at why these issues happened, I believe the root cause was insufficient preparation and practice for the video format. Even though I prepared well in terms of content and research, I did not dedicate enough time to rehearsing my delivery. It was an adjustment that I underestimated: presenting to a camera is a different ballgame than writing an essay or even performing for a live audience. Gibbs (1988) asserts that true learning is realised by examining more than just what took place but the reasons behind that experience – here this was the discrepancy between preparing the content and preparing to present. Moreover, I understand that my confidence in academic presentations </w:t>
      </w:r>
      <w:proofErr w:type="gramStart"/>
      <w:r>
        <w:t>as a whole is</w:t>
      </w:r>
      <w:proofErr w:type="gramEnd"/>
      <w:r>
        <w:t xml:space="preserve"> still building. Having limited experience of formal presentations, during this period of my studies, formal presentations were a new experience for me and contributed to my anxiety. Moon (2004) highlights that reflective practice is useful when it yields real insights into the gap between the original intention and performance— and I can easily pin down that gap in this case as a gap between understanding </w:t>
      </w:r>
      <w:proofErr w:type="gramStart"/>
      <w:r>
        <w:t>content, and</w:t>
      </w:r>
      <w:proofErr w:type="gramEnd"/>
      <w:r>
        <w:t xml:space="preserve"> being able to deliver that content fluently under fire.</w:t>
      </w:r>
    </w:p>
    <w:p w14:paraId="0000002C" w14:textId="77777777" w:rsidR="005E4BDF" w:rsidRDefault="00000000" w:rsidP="00930CAB">
      <w:pPr>
        <w:pStyle w:val="Heading2"/>
        <w:spacing w:line="360" w:lineRule="auto"/>
      </w:pPr>
      <w:r>
        <w:t>Stage 5: Conclusion – What Else Could You Have Done?</w:t>
      </w:r>
    </w:p>
    <w:p w14:paraId="0000002D" w14:textId="77777777" w:rsidR="005E4BDF" w:rsidRDefault="00000000" w:rsidP="00930CAB">
      <w:pPr>
        <w:spacing w:after="160" w:line="360" w:lineRule="auto"/>
      </w:pPr>
      <w:r>
        <w:t>Finally, I should have developed a more strategic approach to preparing for my video. Specifically, I should have video-recorded myself several times prior to submitting the final submission—critiquing each practice recording with critical eyes as I adjusted my pacing, tone, and use of examples. I also might have sought feedback from a peer or family member before I submitted, to help me pinpoint my weaknesses in my delivery, as I was too close to the material to notice them myself. In terms of research, I could have been more selective about the examples I provided, ensuring each one was specific and role-relevant rather than generalised.</w:t>
      </w:r>
    </w:p>
    <w:p w14:paraId="0000002E" w14:textId="77777777" w:rsidR="005E4BDF" w:rsidRDefault="00000000" w:rsidP="00930CAB">
      <w:pPr>
        <w:pStyle w:val="Heading2"/>
        <w:spacing w:line="360" w:lineRule="auto"/>
      </w:pPr>
      <w:bookmarkStart w:id="1" w:name="_g0uyo37ip9uj" w:colFirst="0" w:colLast="0"/>
      <w:bookmarkEnd w:id="1"/>
      <w:r>
        <w:lastRenderedPageBreak/>
        <w:t>Stage 6: Action Plan – What Will You Do Next Time?</w:t>
      </w:r>
    </w:p>
    <w:p w14:paraId="0000002F" w14:textId="77777777" w:rsidR="005E4BDF" w:rsidRDefault="00000000" w:rsidP="00930CAB">
      <w:pPr>
        <w:spacing w:after="160" w:line="360" w:lineRule="auto"/>
      </w:pPr>
      <w:r>
        <w:t xml:space="preserve">Next Steps to Enhance My Presentation and Research Skills With reference to Task 3 and subsequent assessments I will follow the following steps </w:t>
      </w:r>
      <w:proofErr w:type="gramStart"/>
      <w:r>
        <w:t>in order to</w:t>
      </w:r>
      <w:proofErr w:type="gramEnd"/>
      <w:r>
        <w:t xml:space="preserve"> improve my presentation and research skills. I am going to practise recording myself for example during the research and writing for Task 3- I will read the sections out loud and gradually gain confidence in sounding academic and clear and fluent. Second, I will develop a structured research plan that starts with a clear research question, then methodically identifies and evaluates sources before writing, </w:t>
      </w:r>
      <w:proofErr w:type="gramStart"/>
      <w:r>
        <w:t>in order to</w:t>
      </w:r>
      <w:proofErr w:type="gramEnd"/>
      <w:r>
        <w:t xml:space="preserve"> optimize my research process as much as possible. Third, I will purposefully build in some specific, role-based examples throughout Task 3, </w:t>
      </w:r>
      <w:proofErr w:type="gramStart"/>
      <w:r>
        <w:t>so as to</w:t>
      </w:r>
      <w:proofErr w:type="gramEnd"/>
      <w:r>
        <w:t xml:space="preserve"> ensure my writing is grounded and illustrative, as opposed to abstract. Lastly, I would work with and get peer feedback on drafts of Task 3 before submission, to understand what I would want to improve and what, if any, aspects I may not notice that would lead to some improvement. Using Gibbs’ Reflective Cycle as a guide through all this has allowed me to reflect on specific and constructive pathways in my development, a model I will use as a regular tool during my studies (Gibbs, 1988).</w:t>
      </w:r>
    </w:p>
    <w:p w14:paraId="00000030" w14:textId="77777777" w:rsidR="005E4BDF" w:rsidRDefault="005E4BDF" w:rsidP="00930CAB">
      <w:pPr>
        <w:spacing w:after="160" w:line="360" w:lineRule="auto"/>
      </w:pPr>
    </w:p>
    <w:p w14:paraId="00000031" w14:textId="77777777" w:rsidR="005E4BDF" w:rsidRDefault="00000000" w:rsidP="00930CAB">
      <w:pPr>
        <w:spacing w:before="400" w:after="300" w:line="360" w:lineRule="auto"/>
        <w:jc w:val="center"/>
      </w:pPr>
      <w:r>
        <w:rPr>
          <w:b/>
          <w:bCs/>
          <w:sz w:val="30"/>
          <w:szCs w:val="30"/>
        </w:rPr>
        <w:t>TASK 3: Report – The Nursing Role</w:t>
      </w:r>
    </w:p>
    <w:p w14:paraId="00000032" w14:textId="77777777" w:rsidR="005E4BDF" w:rsidRDefault="005E4BDF" w:rsidP="00930CAB">
      <w:pPr>
        <w:pStyle w:val="Heading1"/>
        <w:spacing w:line="360" w:lineRule="auto"/>
      </w:pPr>
    </w:p>
    <w:p w14:paraId="00000033" w14:textId="77777777" w:rsidR="005E4BDF" w:rsidRDefault="00000000" w:rsidP="00930CAB">
      <w:pPr>
        <w:pStyle w:val="Heading1"/>
        <w:spacing w:line="360" w:lineRule="auto"/>
      </w:pPr>
      <w:r>
        <w:t>Introduction</w:t>
      </w:r>
    </w:p>
    <w:p w14:paraId="00000034" w14:textId="77777777" w:rsidR="005E4BDF" w:rsidRDefault="00000000" w:rsidP="00930CAB">
      <w:pPr>
        <w:spacing w:after="160" w:line="360" w:lineRule="auto"/>
      </w:pPr>
      <w:r>
        <w:t>Nursing is one of the critical, yet complex professions in health and social care. The role of nurses is to treat people at every level, including hospitals, community health centres, care homes, and patients' own homes. This report will specifically focus on the registered nurse position and describe the main duties and responsibilities, three vital skills necessary to perform the role successfully, and three methods of developing each of those skills. My goal is to show that I understand the responsibilities of a nurse and understand how I can lead a structured and professional development experience in a meaningful way. Each argument is backed up by academic and professional literature.</w:t>
      </w:r>
    </w:p>
    <w:p w14:paraId="00000035" w14:textId="77777777" w:rsidR="005E4BDF" w:rsidRDefault="00000000" w:rsidP="00930CAB">
      <w:pPr>
        <w:pStyle w:val="Heading1"/>
        <w:spacing w:line="360" w:lineRule="auto"/>
      </w:pPr>
      <w:r>
        <w:t>1. The Nursing Role: Duties and Responsibilities</w:t>
      </w:r>
    </w:p>
    <w:p w14:paraId="00000036" w14:textId="77777777" w:rsidR="005E4BDF" w:rsidRDefault="00000000" w:rsidP="00930CAB">
      <w:pPr>
        <w:spacing w:after="160" w:line="360" w:lineRule="auto"/>
      </w:pPr>
      <w:r>
        <w:t xml:space="preserve">An RN is a registered nurse employed through a care facility. The NMC (2018) describes the role of the nurse as one of the </w:t>
      </w:r>
      <w:proofErr w:type="gramStart"/>
      <w:r>
        <w:t>promotion</w:t>
      </w:r>
      <w:proofErr w:type="gramEnd"/>
      <w:r>
        <w:t xml:space="preserve"> of health, the prevention of illness and the delivery </w:t>
      </w:r>
      <w:r>
        <w:lastRenderedPageBreak/>
        <w:t xml:space="preserve">of the most humane care across the life course. Nurses work in multidisciplinary teams with physicians, therapists, social workers and various allied health professionals to provide person-centred, whole person care. Nurses have many roles and responsibilities which are associated with a registered nurse. Nurses perform assessments of patients and check vital signs, medicate and treat patients, dress wounds and change dressings, respond when necessary if medical emergencies present. For instance, a ward nurse could be tasked with caring for an operation, observing and supervising post-op </w:t>
      </w:r>
      <w:proofErr w:type="gramStart"/>
      <w:r>
        <w:t>patients</w:t>
      </w:r>
      <w:proofErr w:type="gramEnd"/>
      <w:r>
        <w:t xml:space="preserve"> post-surgery, making sure that their pain is treated appropriately and any risk of infection or complications is spotted and reported accordingly at the earliest. While nurses have important clinical responsibilities, they also have important nursing care related duties. These services will involve accurate and contemporaneous written information regarding patients to current patient records using the current NMC Code (NMC, 2018), communication with patients and their relatives about treatment, and planning discharge, and collaboration with other practitioners in a care team. Nurses are also responsible for patient education - teaching patients about medication regimens and how they should be followed at home for people with long term conditions (e.g. diabetes or hypertension) </w:t>
      </w:r>
      <w:proofErr w:type="gramStart"/>
      <w:r>
        <w:t>in order to</w:t>
      </w:r>
      <w:proofErr w:type="gramEnd"/>
      <w:r>
        <w:t xml:space="preserve"> enable self-management of these medications (RCN, 2021). In community settings nurses may also do health promotion activities, conduct home visits to provide reassurance over their health; and work with vulnerable people to maintain their independence. As the scope of nursing roles is vast, it necessitates a wide and high level of skill, three of which are examined below.</w:t>
      </w:r>
    </w:p>
    <w:p w14:paraId="00000037" w14:textId="77777777" w:rsidR="005E4BDF" w:rsidRDefault="00000000" w:rsidP="00930CAB">
      <w:pPr>
        <w:pStyle w:val="Heading1"/>
        <w:spacing w:line="360" w:lineRule="auto"/>
      </w:pPr>
      <w:r>
        <w:t>2. Essential Skills for Nursing</w:t>
      </w:r>
    </w:p>
    <w:p w14:paraId="00000038" w14:textId="77777777" w:rsidR="005E4BDF" w:rsidRDefault="00000000" w:rsidP="00930CAB">
      <w:pPr>
        <w:pStyle w:val="Heading2"/>
        <w:spacing w:line="360" w:lineRule="auto"/>
      </w:pPr>
      <w:r>
        <w:t>2.1 Communication Skills</w:t>
      </w:r>
    </w:p>
    <w:p w14:paraId="00000039" w14:textId="77777777" w:rsidR="005E4BDF" w:rsidRDefault="00000000" w:rsidP="00930CAB">
      <w:pPr>
        <w:spacing w:after="160" w:line="360" w:lineRule="auto"/>
      </w:pPr>
      <w:r>
        <w:t xml:space="preserve">Perhaps the most basic skill a nurse must have is effective communication. Nurses also interact with patients, families, colleagues, and other professionals </w:t>
      </w:r>
      <w:proofErr w:type="gramStart"/>
      <w:r>
        <w:t>on a daily basis</w:t>
      </w:r>
      <w:proofErr w:type="gramEnd"/>
      <w:r>
        <w:t xml:space="preserve">, and the quality of that interaction directly impacts patient safety and patient care results. According to Bramhall (2014), ineffective communication is among the top causes of adverse events in healthcare, including medication errors and misdiagnoses. Strong communication, in contrast, supports trust, informed consent, and a sense of recognition in patients’ experiences. Communication for nurses involves more than just verbal clarity: this includes listening, non-verbal awareness, writing, and the ability to tailor language and style to the audience. For example, when explaining a difficult diagnosis to a patient who has little health literacy, they need to talk simply, check for comprehension, and act with sympathy when the patient is emotionally troubled. In handover situations, clear and direct communication—by </w:t>
      </w:r>
      <w:r>
        <w:lastRenderedPageBreak/>
        <w:t>means of e.g. the use of SBAR (Situation, Background, Assessment, Recommendation) tool—is critical for preserving continuity and safety of care (NHS England, 2021).</w:t>
      </w:r>
    </w:p>
    <w:p w14:paraId="0000003A" w14:textId="77777777" w:rsidR="005E4BDF" w:rsidRDefault="00000000" w:rsidP="00930CAB">
      <w:pPr>
        <w:pStyle w:val="Heading2"/>
        <w:spacing w:line="360" w:lineRule="auto"/>
      </w:pPr>
      <w:r>
        <w:t>2.2 Clinical and Technical Competence</w:t>
      </w:r>
    </w:p>
    <w:p w14:paraId="0000003B" w14:textId="77777777" w:rsidR="005E4BDF" w:rsidRDefault="00000000" w:rsidP="00930CAB">
      <w:pPr>
        <w:spacing w:after="160" w:line="360" w:lineRule="auto"/>
      </w:pPr>
      <w:r>
        <w:t>The competence to perform clinical procedures accurately, safely, and in accordance with best evidence-based practice is defined as the nurse's ability. In this context, skills include venepuncture, catheterisation, medication administration, and the use of monitoring equipment. The NMC (2018) states it is a professional requirement that all registered nurses should regularly update and maintain clinical knowledge and skills. Clinical competence is critical given that mistakes in clinical practice pose potentially serious and even fatal risks to patients. For example, a nurse administering the wrong dose of a medication due to a miscalculation may put patient safety in direct danger. Similarly, a nurse who is not competent in recognising early signs of sepsis, a life-threatening, rapidly progressing condition, may fail to escalate care in time (NICE, 2020). Hence, clinical competence should not be considered a one-time achievement but a sustained undertaking of learning and development.</w:t>
      </w:r>
    </w:p>
    <w:p w14:paraId="0000003C" w14:textId="77777777" w:rsidR="005E4BDF" w:rsidRDefault="00000000" w:rsidP="00930CAB">
      <w:pPr>
        <w:pStyle w:val="Heading2"/>
        <w:spacing w:line="360" w:lineRule="auto"/>
      </w:pPr>
      <w:r>
        <w:t>2.3 Empathy and Emotional Resilience</w:t>
      </w:r>
    </w:p>
    <w:p w14:paraId="0000003D" w14:textId="77777777" w:rsidR="005E4BDF" w:rsidRDefault="00000000" w:rsidP="00930CAB">
      <w:pPr>
        <w:spacing w:after="160" w:line="360" w:lineRule="auto"/>
      </w:pPr>
      <w:r>
        <w:t>Empathy — the ability to understand and share the feelings of another — is the fundamental aspect of compassionate, person-centred nursing care. Patients who feel truly understood and cared for are more inclined to participate in their treatment, disclose important information, and achieve positive psychological outcomes (Mercer and Reynolds, 2002). For a nurse, empathy means acknowledging the emotional as well as physical dimensions of a patient's experience; for example, taking time to sit with a patient who has received a serious diagnosis and allowing them to express their fears without judgement. Closely tied to empathy is emotional resilience — the capacity to manage the emotional demands of nursing without becoming overwhelmed. Nurses regularly encounter suffering, death, and distressing situations, and without adequate resilience, the risk of burnout and compassion fatigue is significant (</w:t>
      </w:r>
      <w:proofErr w:type="spellStart"/>
      <w:r>
        <w:t>Posluns</w:t>
      </w:r>
      <w:proofErr w:type="spellEnd"/>
      <w:r>
        <w:t xml:space="preserve"> and Gall, 2020). Emotional resilience enables nurses to maintain their professional effectiveness and wellbeing even in challenging circumstances, benefiting both themselves and the patients in their care.</w:t>
      </w:r>
    </w:p>
    <w:p w14:paraId="0000003E" w14:textId="77777777" w:rsidR="005E4BDF" w:rsidRDefault="00000000" w:rsidP="00930CAB">
      <w:pPr>
        <w:pStyle w:val="Heading1"/>
        <w:spacing w:line="360" w:lineRule="auto"/>
      </w:pPr>
      <w:r>
        <w:t>3. Strategies to Improve Each Skill</w:t>
      </w:r>
    </w:p>
    <w:p w14:paraId="0000003F" w14:textId="77777777" w:rsidR="005E4BDF" w:rsidRDefault="00000000" w:rsidP="00930CAB">
      <w:pPr>
        <w:pStyle w:val="Heading2"/>
        <w:spacing w:line="360" w:lineRule="auto"/>
      </w:pPr>
      <w:r>
        <w:t>3.1 Strategies to Improve Communication Skills</w:t>
      </w:r>
    </w:p>
    <w:p w14:paraId="00000040" w14:textId="77777777" w:rsidR="005E4BDF" w:rsidRDefault="00000000" w:rsidP="00930CAB">
      <w:pPr>
        <w:spacing w:after="160" w:line="360" w:lineRule="auto"/>
      </w:pPr>
      <w:r>
        <w:lastRenderedPageBreak/>
        <w:t>The first strategy is to engage in structured communication training like motivational interviewing, breaking bad news, or cross-cultural communication workshops. Many NHS trusts provide this type of training as part of their continuing professional development (CPD) programmes, and participating in these opportunities directly builds practical communication skills in realistic scenarios. The second strategy is to actively seek and reflect on feedback from patients, colleagues, and supervisors. Using a reflective model such as Gibbs' Reflective Cycle (Gibbs, 1988), a nurse can analyse specific communication interactions — identifying what went well, what could have been improved, and what they would do differently next time. This structured approach to self-evaluation deepens self-awareness and promotes continuous improvement. The third strategy is to utilise formalised communication tools such as SBAR in clinical handovers. Regular, deliberate use of such tools builds confidence and ensures that key information is communicated clearly and consistently, reducing the risk of miscommunication during critical care transitions (NHS England, 2021).</w:t>
      </w:r>
    </w:p>
    <w:p w14:paraId="00000041" w14:textId="77777777" w:rsidR="005E4BDF" w:rsidRDefault="00000000" w:rsidP="00930CAB">
      <w:pPr>
        <w:pStyle w:val="Heading2"/>
        <w:spacing w:line="360" w:lineRule="auto"/>
      </w:pPr>
      <w:r>
        <w:t>3.2 Strategies to Improve Clinical Competence</w:t>
      </w:r>
    </w:p>
    <w:p w14:paraId="00000042" w14:textId="77777777" w:rsidR="005E4BDF" w:rsidRDefault="00000000" w:rsidP="00930CAB">
      <w:pPr>
        <w:spacing w:after="160" w:line="360" w:lineRule="auto"/>
      </w:pPr>
      <w:r>
        <w:t>Simulation-based learning is the first: it is a safe way to train clinical skills without the risk of harming actual patients. High-fidelity simulation — such as through mannequins or virtual reality — enables nurses to practice complex procedures and emergency situations, developing not only technical expertise but also confidence (</w:t>
      </w:r>
      <w:proofErr w:type="gramStart"/>
      <w:r>
        <w:t>Cant</w:t>
      </w:r>
      <w:proofErr w:type="gramEnd"/>
      <w:r>
        <w:t xml:space="preserve"> and Cooper, 2010). The second strategy is to maintain an up-to-date CPD portfolio and engage regularly with clinical guidelines issued by organisations such as NICE and the RCN. Reading and critically appraising new evidence helps nurses to make sure practice follows current standards and research. For instance, reviewing updated sepsis management guidelines helps to keep the clinical recognition and escalation skills </w:t>
      </w:r>
      <w:proofErr w:type="gramStart"/>
      <w:r>
        <w:t>up-to-date</w:t>
      </w:r>
      <w:proofErr w:type="gramEnd"/>
      <w:r>
        <w:t>. The third strategy is to be mentored by more experienced staff. Supervised practice with a senior nurse or clinical mentor allows for the observation of skills, guided practice, and constructive feedback. This apprenticeship-style learning has been especially beneficial for recently graduated nurses who are consolidating the skills learned during training.</w:t>
      </w:r>
    </w:p>
    <w:p w14:paraId="00000043" w14:textId="77777777" w:rsidR="005E4BDF" w:rsidRDefault="00000000" w:rsidP="00930CAB">
      <w:pPr>
        <w:pStyle w:val="Heading2"/>
        <w:spacing w:line="360" w:lineRule="auto"/>
      </w:pPr>
      <w:r>
        <w:t>3.3 Strategies to Improve Emotional Resilience</w:t>
      </w:r>
    </w:p>
    <w:p w14:paraId="00000044" w14:textId="77777777" w:rsidR="005E4BDF" w:rsidRDefault="00000000" w:rsidP="00930CAB">
      <w:pPr>
        <w:spacing w:after="160" w:line="360" w:lineRule="auto"/>
      </w:pPr>
      <w:r>
        <w:t xml:space="preserve">One approach to this is to engage in regular clinical supervision. Clinical supervision provides a structured, confidential space for nurses to process difficult experiences, explore emotional responses, and receive professional support. Cutcliffe and </w:t>
      </w:r>
      <w:proofErr w:type="spellStart"/>
      <w:r>
        <w:t>Hyrkäs</w:t>
      </w:r>
      <w:proofErr w:type="spellEnd"/>
      <w:r>
        <w:t xml:space="preserve"> (2006) demonstrate that clinical supervision is associated with reduced burnout, improved job satisfaction, and higher quality of care. Second, to establish a regular practice of self-care </w:t>
      </w:r>
      <w:r>
        <w:lastRenderedPageBreak/>
        <w:t>that may involve mindfulness, regular physical exercise, adequate sleep, and maintaining clear boundaries between professional and personal life. Organisations such as the NHS have increasingly recognised the importance of staff wellbeing and offer resources such as the NHS Wellbeing Apps and Employee Assistance Programmes to support nurses in managing stress (NHS England, 2021). Third, establish strong peer support networks. Sharing experiences with trusted colleagues, whether informally or through structured peer support groups, reduces feelings of isolation and normalises the emotional challenges of nursing. For example, a newly qualified nurse who regularly debriefs with peers after difficult shifts is likely to feel more supported and better equipped to cope with the emotional demands of the role.</w:t>
      </w:r>
    </w:p>
    <w:p w14:paraId="00000045" w14:textId="77777777" w:rsidR="005E4BDF" w:rsidRDefault="00000000" w:rsidP="00930CAB">
      <w:pPr>
        <w:pStyle w:val="Heading1"/>
        <w:spacing w:line="360" w:lineRule="auto"/>
      </w:pPr>
      <w:r>
        <w:t>Conclusion</w:t>
      </w:r>
    </w:p>
    <w:p w14:paraId="00000046" w14:textId="77777777" w:rsidR="005E4BDF" w:rsidRDefault="00000000" w:rsidP="00930CAB">
      <w:pPr>
        <w:spacing w:after="160" w:line="360" w:lineRule="auto"/>
      </w:pPr>
      <w:r>
        <w:t>This report has analysed the nursing function in the UK’s health and social care industry, its basic responsibilities then it identified three skills which are crucial in nursing (communication, clinical competence, and emotional resilience). Three tangible and role-specific improvement recommendations for each skill have been outlined, based on academic literature and professional guidelines. The study shows that nursing is a complex, demanding, and immensely satisfying profession that focuses on clinical expertise, human and interpersonal skills and psychological fortitude. Nurses need continuous professional development — through training, reflection, mentorship, and self-care — to remain proficient practitioners and maintain wellness in the role over the span of their careers.</w:t>
      </w:r>
    </w:p>
    <w:p w14:paraId="00000047" w14:textId="77777777" w:rsidR="005E4BDF" w:rsidRDefault="00000000" w:rsidP="00930CAB">
      <w:pPr>
        <w:pStyle w:val="Heading1"/>
        <w:spacing w:line="360" w:lineRule="auto"/>
      </w:pPr>
      <w:r>
        <w:t>References</w:t>
      </w:r>
    </w:p>
    <w:p w14:paraId="00000048" w14:textId="77777777" w:rsidR="005E4BDF" w:rsidRDefault="00000000" w:rsidP="00930CAB">
      <w:pPr>
        <w:spacing w:after="160" w:line="360" w:lineRule="auto"/>
      </w:pPr>
      <w:r>
        <w:t xml:space="preserve">Bramhall, E. (2014) 'Effective communication skills in nursing practice', </w:t>
      </w:r>
      <w:r>
        <w:rPr>
          <w:i/>
          <w:iCs/>
        </w:rPr>
        <w:t>Nursing Standard,</w:t>
      </w:r>
      <w:r>
        <w:t xml:space="preserve"> 29(14), pp. 53–59.</w:t>
      </w:r>
    </w:p>
    <w:p w14:paraId="00000049" w14:textId="77777777" w:rsidR="005E4BDF" w:rsidRDefault="00000000" w:rsidP="00930CAB">
      <w:pPr>
        <w:spacing w:after="160" w:line="360" w:lineRule="auto"/>
      </w:pPr>
      <w:proofErr w:type="gramStart"/>
      <w:r>
        <w:t>Cant</w:t>
      </w:r>
      <w:proofErr w:type="gramEnd"/>
      <w:r>
        <w:t xml:space="preserve">, R.P. and Cooper, S.J. (2010) 'Simulation-based learning in nurse education: systematic review', </w:t>
      </w:r>
      <w:r>
        <w:rPr>
          <w:i/>
          <w:iCs/>
        </w:rPr>
        <w:t>Journal of Advanced Nursing,</w:t>
      </w:r>
      <w:r>
        <w:t xml:space="preserve"> 66(1), pp. 3–15.</w:t>
      </w:r>
    </w:p>
    <w:p w14:paraId="0000004A" w14:textId="77777777" w:rsidR="005E4BDF" w:rsidRDefault="00000000" w:rsidP="00930CAB">
      <w:pPr>
        <w:spacing w:after="160" w:line="360" w:lineRule="auto"/>
      </w:pPr>
      <w:r>
        <w:t xml:space="preserve">Cutcliffe, J.R. and </w:t>
      </w:r>
      <w:proofErr w:type="spellStart"/>
      <w:r>
        <w:t>Hyrkäs</w:t>
      </w:r>
      <w:proofErr w:type="spellEnd"/>
      <w:r>
        <w:t xml:space="preserve">, K. (2006) 'Multidisciplinary attitudinal positions regarding clinical supervision', </w:t>
      </w:r>
      <w:r>
        <w:rPr>
          <w:i/>
          <w:iCs/>
        </w:rPr>
        <w:t>Journal of Nursing Management,</w:t>
      </w:r>
      <w:r>
        <w:t xml:space="preserve"> 14(8), pp. 617–627.</w:t>
      </w:r>
    </w:p>
    <w:p w14:paraId="0000004B" w14:textId="77777777" w:rsidR="005E4BDF" w:rsidRDefault="00000000" w:rsidP="00930CAB">
      <w:pPr>
        <w:spacing w:after="160" w:line="360" w:lineRule="auto"/>
      </w:pPr>
      <w:r>
        <w:t xml:space="preserve">Gibbs, G. (1988) </w:t>
      </w:r>
      <w:r>
        <w:rPr>
          <w:i/>
          <w:iCs/>
        </w:rPr>
        <w:t>Learning by Doing: A Guide to Teaching and Learning Methods.</w:t>
      </w:r>
      <w:r>
        <w:t xml:space="preserve"> Oxford: Further Education Unit, Oxford Polytechnic.</w:t>
      </w:r>
    </w:p>
    <w:p w14:paraId="0000004C" w14:textId="77777777" w:rsidR="005E4BDF" w:rsidRDefault="00000000" w:rsidP="00930CAB">
      <w:pPr>
        <w:spacing w:after="160" w:line="360" w:lineRule="auto"/>
      </w:pPr>
      <w:r>
        <w:t xml:space="preserve">Mercer, S.W. and Reynolds, W.J. (2002) 'Empathy and quality of care', </w:t>
      </w:r>
      <w:r>
        <w:rPr>
          <w:i/>
          <w:iCs/>
        </w:rPr>
        <w:t>British Journal of General Practice,</w:t>
      </w:r>
      <w:r>
        <w:t xml:space="preserve"> 52(</w:t>
      </w:r>
      <w:proofErr w:type="spellStart"/>
      <w:r>
        <w:t>Suppl</w:t>
      </w:r>
      <w:proofErr w:type="spellEnd"/>
      <w:r>
        <w:t>), pp. S9–S12.</w:t>
      </w:r>
    </w:p>
    <w:p w14:paraId="0000004D" w14:textId="77777777" w:rsidR="005E4BDF" w:rsidRDefault="00000000" w:rsidP="00930CAB">
      <w:pPr>
        <w:spacing w:after="160" w:line="360" w:lineRule="auto"/>
      </w:pPr>
      <w:r>
        <w:lastRenderedPageBreak/>
        <w:t xml:space="preserve">NHS England (2021) </w:t>
      </w:r>
      <w:r>
        <w:rPr>
          <w:i/>
          <w:iCs/>
        </w:rPr>
        <w:t>Improving Communication in Healthcare.</w:t>
      </w:r>
      <w:r>
        <w:t xml:space="preserve"> London: NHS England.</w:t>
      </w:r>
    </w:p>
    <w:p w14:paraId="0000004E" w14:textId="77777777" w:rsidR="005E4BDF" w:rsidRDefault="00000000" w:rsidP="00930CAB">
      <w:pPr>
        <w:spacing w:after="160" w:line="360" w:lineRule="auto"/>
      </w:pPr>
      <w:r>
        <w:t xml:space="preserve">NICE (2020) </w:t>
      </w:r>
      <w:r>
        <w:rPr>
          <w:i/>
          <w:iCs/>
        </w:rPr>
        <w:t>Sepsis: Recognition, Diagnosis and Early Management. NICE Guideline NG51.</w:t>
      </w:r>
      <w:r>
        <w:t xml:space="preserve"> London: National Institute for Health and Care Excellence.</w:t>
      </w:r>
    </w:p>
    <w:p w14:paraId="0000004F" w14:textId="77777777" w:rsidR="005E4BDF" w:rsidRDefault="00000000" w:rsidP="00930CAB">
      <w:pPr>
        <w:spacing w:after="160" w:line="360" w:lineRule="auto"/>
      </w:pPr>
      <w:r>
        <w:t xml:space="preserve">Nursing and Midwifery Council (NMC) (2018) </w:t>
      </w:r>
      <w:r>
        <w:rPr>
          <w:i/>
          <w:iCs/>
        </w:rPr>
        <w:t>The Code: Professional Standards of Practice and Behaviour for Nurses, Midwives and Nursing Associates.</w:t>
      </w:r>
      <w:r>
        <w:t xml:space="preserve"> London: NMC.</w:t>
      </w:r>
    </w:p>
    <w:p w14:paraId="00000050" w14:textId="77777777" w:rsidR="005E4BDF" w:rsidRDefault="00000000" w:rsidP="00930CAB">
      <w:pPr>
        <w:spacing w:after="160" w:line="360" w:lineRule="auto"/>
      </w:pPr>
      <w:proofErr w:type="spellStart"/>
      <w:r>
        <w:t>Posluns</w:t>
      </w:r>
      <w:proofErr w:type="spellEnd"/>
      <w:r>
        <w:t xml:space="preserve">, K. and Gall, T.L. (2020) 'Dear mental health practitioners: the importance of self-care', </w:t>
      </w:r>
      <w:r>
        <w:rPr>
          <w:i/>
          <w:iCs/>
        </w:rPr>
        <w:t>International Journal for the Advancement of Counselling,</w:t>
      </w:r>
      <w:r>
        <w:t xml:space="preserve"> 42(1), pp. 1–14.</w:t>
      </w:r>
    </w:p>
    <w:p w14:paraId="00000051" w14:textId="77777777" w:rsidR="005E4BDF" w:rsidRDefault="00000000" w:rsidP="00930CAB">
      <w:pPr>
        <w:spacing w:after="160" w:line="360" w:lineRule="auto"/>
      </w:pPr>
      <w:r>
        <w:t xml:space="preserve">Royal College of Nursing (RCN) (2021) </w:t>
      </w:r>
      <w:r>
        <w:rPr>
          <w:i/>
          <w:iCs/>
        </w:rPr>
        <w:t>Nursing Roles and Responsibilities.</w:t>
      </w:r>
      <w:r>
        <w:t xml:space="preserve"> London: RCN.</w:t>
      </w:r>
    </w:p>
    <w:sectPr w:rsidR="005E4BDF">
      <w:footerReference w:type="default" r:id="rId7"/>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0BFE6B" w14:textId="77777777" w:rsidR="008B30F3" w:rsidRDefault="008B30F3">
      <w:r>
        <w:separator/>
      </w:r>
    </w:p>
  </w:endnote>
  <w:endnote w:type="continuationSeparator" w:id="0">
    <w:p w14:paraId="196745AB" w14:textId="77777777" w:rsidR="008B30F3" w:rsidRDefault="008B30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64D76F9A-173B-4538-AE49-F22A885125CC}"/>
  </w:font>
  <w:font w:name="Calibri">
    <w:panose1 w:val="020F0502020204030204"/>
    <w:charset w:val="00"/>
    <w:family w:val="swiss"/>
    <w:pitch w:val="variable"/>
    <w:sig w:usb0="E4002EFF" w:usb1="C200247B" w:usb2="00000009" w:usb3="00000000" w:csb0="000001FF" w:csb1="00000000"/>
    <w:embedRegular r:id="rId2" w:fontKey="{5769C839-6FF5-4764-8845-783F8F5EDE60}"/>
  </w:font>
  <w:font w:name="Cambria">
    <w:panose1 w:val="02040503050406030204"/>
    <w:charset w:val="00"/>
    <w:family w:val="roman"/>
    <w:pitch w:val="variable"/>
    <w:sig w:usb0="E00006FF" w:usb1="420024FF" w:usb2="02000000" w:usb3="00000000" w:csb0="0000019F" w:csb1="00000000"/>
    <w:embedRegular r:id="rId3" w:fontKey="{A67FF39A-79E9-4A31-AA1D-C8244BBE0D5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52" w14:textId="798CED84" w:rsidR="005E4BDF" w:rsidRDefault="00000000">
    <w:pPr>
      <w:jc w:val="center"/>
    </w:pPr>
    <w:r>
      <w:fldChar w:fldCharType="begin"/>
    </w:r>
    <w:r>
      <w:instrText>PAGE</w:instrText>
    </w:r>
    <w:r>
      <w:fldChar w:fldCharType="separate"/>
    </w:r>
    <w:r w:rsidR="00930CAB">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2DDC17" w14:textId="77777777" w:rsidR="008B30F3" w:rsidRDefault="008B30F3">
      <w:r>
        <w:separator/>
      </w:r>
    </w:p>
  </w:footnote>
  <w:footnote w:type="continuationSeparator" w:id="0">
    <w:p w14:paraId="2BD31496" w14:textId="77777777" w:rsidR="008B30F3" w:rsidRDefault="008B30F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4BDF"/>
    <w:rsid w:val="00413C39"/>
    <w:rsid w:val="004204C5"/>
    <w:rsid w:val="005C7D84"/>
    <w:rsid w:val="005E4BDF"/>
    <w:rsid w:val="008B30F3"/>
    <w:rsid w:val="00930CAB"/>
    <w:rsid w:val="00EB6F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0CECD"/>
  <w15:docId w15:val="{8EA44B1C-D42D-4902-BDA1-8557EAE2D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before="360" w:after="200"/>
      <w:outlineLvl w:val="0"/>
    </w:pPr>
    <w:rPr>
      <w:b/>
      <w:bCs/>
      <w:color w:val="000000"/>
      <w:sz w:val="28"/>
      <w:szCs w:val="28"/>
    </w:rPr>
  </w:style>
  <w:style w:type="paragraph" w:styleId="Heading2">
    <w:name w:val="heading 2"/>
    <w:basedOn w:val="Normal"/>
    <w:next w:val="Normal"/>
    <w:uiPriority w:val="9"/>
    <w:unhideWhenUsed/>
    <w:qFormat/>
    <w:pPr>
      <w:pBdr>
        <w:top w:val="nil"/>
        <w:left w:val="nil"/>
        <w:bottom w:val="nil"/>
        <w:right w:val="nil"/>
        <w:between w:val="nil"/>
      </w:pBdr>
      <w:spacing w:before="280" w:after="160"/>
      <w:outlineLvl w:val="1"/>
    </w:pPr>
    <w:rPr>
      <w:b/>
      <w:bCs/>
      <w:color w:val="000000"/>
      <w:sz w:val="24"/>
      <w:szCs w:val="24"/>
    </w:rPr>
  </w:style>
  <w:style w:type="paragraph" w:styleId="Heading3">
    <w:name w:val="heading 3"/>
    <w:basedOn w:val="Normal"/>
    <w:next w:val="Normal"/>
    <w:uiPriority w:val="9"/>
    <w:semiHidden/>
    <w:unhideWhenUsed/>
    <w:qFormat/>
    <w:pPr>
      <w:pBdr>
        <w:top w:val="nil"/>
        <w:left w:val="nil"/>
        <w:bottom w:val="nil"/>
        <w:right w:val="nil"/>
        <w:between w:val="nil"/>
      </w:pBdr>
      <w:outlineLvl w:val="2"/>
    </w:pPr>
    <w:rPr>
      <w:color w:val="1F4D78"/>
      <w:sz w:val="24"/>
      <w:szCs w:val="24"/>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ABDD98-B3B1-455F-971A-01A2907B51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10</Pages>
  <Words>2994</Words>
  <Characters>17072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Nicolas charry lamprea</cp:lastModifiedBy>
  <cp:revision>3</cp:revision>
  <dcterms:created xsi:type="dcterms:W3CDTF">2026-05-02T04:30:00Z</dcterms:created>
  <dcterms:modified xsi:type="dcterms:W3CDTF">2026-05-02T04:48:00Z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a4ea9eab-cb68-448e-b25b-9b0ebd00e57b</vt:lpwstr>
  </property>
</Properties>
</file>