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1"/>
        <w:spacing w:after="80" w:lineRule="auto"/>
        <w:jc w:val="center"/>
        <w:rPr/>
      </w:pPr>
      <w:r w:rsidDel="00000000" w:rsidR="00000000" w:rsidRPr="00000000">
        <w:rPr>
          <w:rFonts w:ascii="Arial" w:cs="Arial" w:eastAsia="Arial" w:hAnsi="Arial"/>
          <w:b w:val="1"/>
          <w:bCs w:val="1"/>
          <w:sz w:val="24"/>
          <w:szCs w:val="24"/>
          <w:rtl w:val="0"/>
        </w:rPr>
        <w:t xml:space="preserve">UNIVERSITY OF WALES TRINITY SAINT DAVID</w:t>
      </w:r>
      <w:r w:rsidDel="00000000" w:rsidR="00000000" w:rsidRPr="00000000">
        <w:rPr>
          <w:rtl w:val="0"/>
        </w:rPr>
      </w:r>
    </w:p>
    <w:p w:rsidR="00000000" w:rsidDel="00000000" w:rsidP="00000000" w:rsidRDefault="00000000" w:rsidRPr="00000000" w14:paraId="00000002">
      <w:pPr>
        <w:widowControl w:val="1"/>
        <w:spacing w:after="280" w:before="1000" w:lineRule="auto"/>
        <w:jc w:val="center"/>
        <w:rPr/>
      </w:pPr>
      <w:r w:rsidDel="00000000" w:rsidR="00000000" w:rsidRPr="00000000">
        <w:rPr>
          <w:rFonts w:ascii="Arial" w:cs="Arial" w:eastAsia="Arial" w:hAnsi="Arial"/>
          <w:b w:val="1"/>
          <w:bCs w:val="1"/>
          <w:sz w:val="28"/>
          <w:szCs w:val="28"/>
          <w:rtl w:val="0"/>
        </w:rPr>
        <w:t xml:space="preserve">Component 2 - Written Assignment (Report)</w:t>
      </w:r>
      <w:r w:rsidDel="00000000" w:rsidR="00000000" w:rsidRPr="00000000">
        <w:rPr>
          <w:rtl w:val="0"/>
        </w:rPr>
      </w:r>
    </w:p>
    <w:p w:rsidR="00000000" w:rsidDel="00000000" w:rsidP="00000000" w:rsidRDefault="00000000" w:rsidRPr="00000000" w14:paraId="00000003">
      <w:pPr>
        <w:widowControl w:val="1"/>
        <w:spacing w:after="520" w:before="320" w:lineRule="auto"/>
        <w:jc w:val="center"/>
        <w:rPr/>
      </w:pPr>
      <w:r w:rsidDel="00000000" w:rsidR="00000000" w:rsidRPr="00000000">
        <w:rPr>
          <w:rFonts w:ascii="Arial" w:cs="Arial" w:eastAsia="Arial" w:hAnsi="Arial"/>
          <w:b w:val="1"/>
          <w:bCs w:val="1"/>
          <w:sz w:val="38"/>
          <w:szCs w:val="38"/>
          <w:rtl w:val="0"/>
        </w:rPr>
        <w:t xml:space="preserve">Attention-Deficit/Hyperactivity Disorder in ICD-11</w:t>
      </w:r>
      <w:r w:rsidDel="00000000" w:rsidR="00000000" w:rsidRPr="00000000">
        <w:rPr>
          <w:rFonts w:ascii="Arial" w:cs="Arial" w:eastAsia="Arial" w:hAnsi="Arial"/>
          <w:b w:val="1"/>
          <w:bCs w:val="1"/>
          <w:sz w:val="30"/>
          <w:szCs w:val="30"/>
          <w:rtl w:val="0"/>
        </w:rPr>
        <w:br w:type="textWrapping"/>
        <w:t xml:space="preserve">Classification, Diagnosis, Treatment, Rehabilitation and Contemporary Debate</w:t>
      </w:r>
      <w:r w:rsidDel="00000000" w:rsidR="00000000" w:rsidRPr="00000000">
        <w:rPr>
          <w:rtl w:val="0"/>
        </w:rPr>
      </w:r>
    </w:p>
    <w:tbl>
      <w:tblPr>
        <w:tblStyle w:val="Table1"/>
        <w:tblW w:w="8504.0" w:type="dxa"/>
        <w:jc w:val="left"/>
        <w:tblInd w:w="-115.0" w:type="dxa"/>
        <w:tblLayout w:type="fixed"/>
        <w:tblLook w:val="0400"/>
      </w:tblPr>
      <w:tblGrid>
        <w:gridCol w:w="2438"/>
        <w:gridCol w:w="6066"/>
        <w:tblGridChange w:id="0">
          <w:tblGrid>
            <w:gridCol w:w="2438"/>
            <w:gridCol w:w="6066"/>
          </w:tblGrid>
        </w:tblGridChange>
      </w:tblGrid>
      <w:tr>
        <w:trPr>
          <w:cantSplit w:val="0"/>
          <w:trHeight w:val="319.4677734375" w:hRule="atLeast"/>
          <w:tblHeader w:val="0"/>
        </w:trPr>
        <w:tc>
          <w:tcPr>
            <w:shd w:fill="e7e6e6" w:val="clear"/>
            <w:vAlign w:val="center"/>
          </w:tcPr>
          <w:p w:rsidR="00000000" w:rsidDel="00000000" w:rsidP="00000000" w:rsidRDefault="00000000" w:rsidRPr="00000000" w14:paraId="00000004">
            <w:pPr>
              <w:spacing w:after="0" w:lineRule="auto"/>
              <w:jc w:val="left"/>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tl w:val="0"/>
              </w:rPr>
            </w:r>
          </w:p>
        </w:tc>
        <w:tc>
          <w:tcPr>
            <w:vAlign w:val="center"/>
          </w:tcPr>
          <w:p w:rsidR="00000000" w:rsidDel="00000000" w:rsidP="00000000" w:rsidRDefault="00000000" w:rsidRPr="00000000" w14:paraId="00000005">
            <w:pPr>
              <w:spacing w:after="0" w:lineRule="auto"/>
              <w:jc w:val="left"/>
              <w:rPr/>
            </w:pPr>
            <w:r w:rsidDel="00000000" w:rsidR="00000000" w:rsidRPr="00000000">
              <w:rPr>
                <w:rtl w:val="0"/>
              </w:rPr>
              <w:t xml:space="preserve">Majida Waseem</w:t>
            </w:r>
          </w:p>
        </w:tc>
      </w:tr>
      <w:tr>
        <w:trPr>
          <w:cantSplit w:val="0"/>
          <w:tblHeader w:val="0"/>
        </w:trPr>
        <w:tc>
          <w:tcPr>
            <w:shd w:fill="e7e6e6" w:val="clear"/>
            <w:vAlign w:val="center"/>
          </w:tcPr>
          <w:p w:rsidR="00000000" w:rsidDel="00000000" w:rsidP="00000000" w:rsidRDefault="00000000" w:rsidRPr="00000000" w14:paraId="00000006">
            <w:pPr>
              <w:spacing w:after="0" w:lineRule="auto"/>
              <w:jc w:val="left"/>
              <w:rPr/>
            </w:pPr>
            <w:r w:rsidDel="00000000" w:rsidR="00000000" w:rsidRPr="00000000">
              <w:rPr>
                <w:rFonts w:ascii="Arial" w:cs="Arial" w:eastAsia="Arial" w:hAnsi="Arial"/>
                <w:b w:val="1"/>
                <w:bCs w:val="1"/>
                <w:sz w:val="22"/>
                <w:szCs w:val="22"/>
                <w:rtl w:val="0"/>
              </w:rPr>
              <w:t xml:space="preserve">Student number</w:t>
            </w:r>
            <w:r w:rsidDel="00000000" w:rsidR="00000000" w:rsidRPr="00000000">
              <w:rPr>
                <w:rtl w:val="0"/>
              </w:rPr>
            </w:r>
          </w:p>
        </w:tc>
        <w:tc>
          <w:tcPr>
            <w:vAlign w:val="center"/>
          </w:tcPr>
          <w:p w:rsidR="00000000" w:rsidDel="00000000" w:rsidP="00000000" w:rsidRDefault="00000000" w:rsidRPr="00000000" w14:paraId="00000007">
            <w:pPr>
              <w:spacing w:after="240" w:before="240" w:lineRule="auto"/>
              <w:jc w:val="both"/>
              <w:rPr/>
            </w:pPr>
            <w:r w:rsidDel="00000000" w:rsidR="00000000" w:rsidRPr="00000000">
              <w:rPr>
                <w:rtl w:val="0"/>
              </w:rPr>
              <w:t xml:space="preserve">2321115</w:t>
            </w:r>
          </w:p>
        </w:tc>
      </w:tr>
      <w:tr>
        <w:trPr>
          <w:cantSplit w:val="0"/>
          <w:tblHeader w:val="0"/>
        </w:trPr>
        <w:tc>
          <w:tcPr>
            <w:shd w:fill="e7e6e6" w:val="clear"/>
            <w:vAlign w:val="center"/>
          </w:tcPr>
          <w:p w:rsidR="00000000" w:rsidDel="00000000" w:rsidP="00000000" w:rsidRDefault="00000000" w:rsidRPr="00000000" w14:paraId="00000008">
            <w:pPr>
              <w:spacing w:after="0" w:lineRule="auto"/>
              <w:jc w:val="left"/>
              <w:rPr/>
            </w:pPr>
            <w:r w:rsidDel="00000000" w:rsidR="00000000" w:rsidRPr="00000000">
              <w:rPr>
                <w:rFonts w:ascii="Arial" w:cs="Arial" w:eastAsia="Arial" w:hAnsi="Arial"/>
                <w:b w:val="1"/>
                <w:bCs w:val="1"/>
                <w:sz w:val="22"/>
                <w:szCs w:val="22"/>
                <w:rtl w:val="0"/>
              </w:rPr>
              <w:t xml:space="preserve">Module code and title</w:t>
            </w:r>
            <w:r w:rsidDel="00000000" w:rsidR="00000000" w:rsidRPr="00000000">
              <w:rPr>
                <w:rtl w:val="0"/>
              </w:rPr>
            </w:r>
          </w:p>
        </w:tc>
        <w:tc>
          <w:tcPr>
            <w:vAlign w:val="center"/>
          </w:tcPr>
          <w:p w:rsidR="00000000" w:rsidDel="00000000" w:rsidP="00000000" w:rsidRDefault="00000000" w:rsidRPr="00000000" w14:paraId="00000009">
            <w:pPr>
              <w:spacing w:after="0" w:lineRule="auto"/>
              <w:jc w:val="left"/>
              <w:rPr/>
            </w:pPr>
            <w:r w:rsidDel="00000000" w:rsidR="00000000" w:rsidRPr="00000000">
              <w:rPr>
                <w:rFonts w:ascii="Arial" w:cs="Arial" w:eastAsia="Arial" w:hAnsi="Arial"/>
                <w:sz w:val="22"/>
                <w:szCs w:val="22"/>
                <w:rtl w:val="0"/>
              </w:rPr>
              <w:t xml:space="preserve">BMHP6029 - Psychopathological Classifications and Provisions</w:t>
            </w:r>
            <w:r w:rsidDel="00000000" w:rsidR="00000000" w:rsidRPr="00000000">
              <w:rPr>
                <w:rtl w:val="0"/>
              </w:rPr>
            </w:r>
          </w:p>
        </w:tc>
      </w:tr>
      <w:tr>
        <w:trPr>
          <w:cantSplit w:val="0"/>
          <w:tblHeader w:val="0"/>
        </w:trPr>
        <w:tc>
          <w:tcPr>
            <w:shd w:fill="e7e6e6" w:val="clear"/>
            <w:vAlign w:val="center"/>
          </w:tcPr>
          <w:p w:rsidR="00000000" w:rsidDel="00000000" w:rsidP="00000000" w:rsidRDefault="00000000" w:rsidRPr="00000000" w14:paraId="0000000A">
            <w:pPr>
              <w:spacing w:after="0" w:lineRule="auto"/>
              <w:jc w:val="left"/>
              <w:rPr/>
            </w:pPr>
            <w:r w:rsidDel="00000000" w:rsidR="00000000" w:rsidRPr="00000000">
              <w:rPr>
                <w:rFonts w:ascii="Arial" w:cs="Arial" w:eastAsia="Arial" w:hAnsi="Arial"/>
                <w:b w:val="1"/>
                <w:bCs w:val="1"/>
                <w:sz w:val="22"/>
                <w:szCs w:val="22"/>
                <w:rtl w:val="0"/>
              </w:rPr>
              <w:t xml:space="preserve">Assessment</w:t>
            </w:r>
            <w:r w:rsidDel="00000000" w:rsidR="00000000" w:rsidRPr="00000000">
              <w:rPr>
                <w:rtl w:val="0"/>
              </w:rPr>
            </w:r>
          </w:p>
        </w:tc>
        <w:tc>
          <w:tcPr>
            <w:vAlign w:val="center"/>
          </w:tcPr>
          <w:p w:rsidR="00000000" w:rsidDel="00000000" w:rsidP="00000000" w:rsidRDefault="00000000" w:rsidRPr="00000000" w14:paraId="0000000B">
            <w:pPr>
              <w:spacing w:after="0" w:lineRule="auto"/>
              <w:jc w:val="left"/>
              <w:rPr/>
            </w:pPr>
            <w:r w:rsidDel="00000000" w:rsidR="00000000" w:rsidRPr="00000000">
              <w:rPr>
                <w:rFonts w:ascii="Arial" w:cs="Arial" w:eastAsia="Arial" w:hAnsi="Arial"/>
                <w:sz w:val="22"/>
                <w:szCs w:val="22"/>
                <w:rtl w:val="0"/>
              </w:rPr>
              <w:t xml:space="preserve">Component 2 - Written Report</w:t>
            </w:r>
            <w:r w:rsidDel="00000000" w:rsidR="00000000" w:rsidRPr="00000000">
              <w:rPr>
                <w:rtl w:val="0"/>
              </w:rPr>
            </w:r>
          </w:p>
        </w:tc>
      </w:tr>
      <w:tr>
        <w:trPr>
          <w:cantSplit w:val="0"/>
          <w:tblHeader w:val="0"/>
        </w:trPr>
        <w:tc>
          <w:tcPr>
            <w:shd w:fill="e7e6e6" w:val="clear"/>
            <w:vAlign w:val="center"/>
          </w:tcPr>
          <w:p w:rsidR="00000000" w:rsidDel="00000000" w:rsidP="00000000" w:rsidRDefault="00000000" w:rsidRPr="00000000" w14:paraId="0000000C">
            <w:pPr>
              <w:spacing w:after="0" w:lineRule="auto"/>
              <w:jc w:val="left"/>
              <w:rPr/>
            </w:pPr>
            <w:r w:rsidDel="00000000" w:rsidR="00000000" w:rsidRPr="00000000">
              <w:rPr>
                <w:rFonts w:ascii="Arial" w:cs="Arial" w:eastAsia="Arial" w:hAnsi="Arial"/>
                <w:b w:val="1"/>
                <w:bCs w:val="1"/>
                <w:sz w:val="22"/>
                <w:szCs w:val="22"/>
                <w:rtl w:val="0"/>
              </w:rPr>
              <w:t xml:space="preserve">Word count</w:t>
            </w:r>
            <w:r w:rsidDel="00000000" w:rsidR="00000000" w:rsidRPr="00000000">
              <w:rPr>
                <w:rtl w:val="0"/>
              </w:rPr>
            </w:r>
          </w:p>
        </w:tc>
        <w:tc>
          <w:tcPr>
            <w:vAlign w:val="center"/>
          </w:tcPr>
          <w:p w:rsidR="00000000" w:rsidDel="00000000" w:rsidP="00000000" w:rsidRDefault="00000000" w:rsidRPr="00000000" w14:paraId="0000000D">
            <w:pPr>
              <w:spacing w:after="0" w:lineRule="auto"/>
              <w:jc w:val="left"/>
              <w:rPr/>
            </w:pPr>
            <w:r w:rsidDel="00000000" w:rsidR="00000000" w:rsidRPr="00000000">
              <w:rPr>
                <w:rFonts w:ascii="Arial" w:cs="Arial" w:eastAsia="Arial" w:hAnsi="Arial"/>
                <w:sz w:val="22"/>
                <w:szCs w:val="22"/>
                <w:rtl w:val="0"/>
              </w:rPr>
              <w:t xml:space="preserve">2</w:t>
            </w:r>
            <w:r w:rsidDel="00000000" w:rsidR="00000000" w:rsidRPr="00000000">
              <w:rPr>
                <w:rtl w:val="0"/>
              </w:rPr>
              <w:t xml:space="preserve">200</w:t>
            </w:r>
            <w:r w:rsidDel="00000000" w:rsidR="00000000" w:rsidRPr="00000000">
              <w:rPr>
                <w:rFonts w:ascii="Arial" w:cs="Arial" w:eastAsia="Arial" w:hAnsi="Arial"/>
                <w:sz w:val="22"/>
                <w:szCs w:val="22"/>
                <w:rtl w:val="0"/>
              </w:rPr>
              <w:t xml:space="preserve"> words (excluding title page, headings and references)</w:t>
            </w:r>
            <w:r w:rsidDel="00000000" w:rsidR="00000000" w:rsidRPr="00000000">
              <w:rPr>
                <w:rtl w:val="0"/>
              </w:rPr>
            </w:r>
          </w:p>
        </w:tc>
      </w:tr>
      <w:tr>
        <w:trPr>
          <w:cantSplit w:val="0"/>
          <w:tblHeader w:val="0"/>
        </w:trPr>
        <w:tc>
          <w:tcPr>
            <w:shd w:fill="e7e6e6" w:val="clear"/>
            <w:vAlign w:val="center"/>
          </w:tcPr>
          <w:p w:rsidR="00000000" w:rsidDel="00000000" w:rsidP="00000000" w:rsidRDefault="00000000" w:rsidRPr="00000000" w14:paraId="0000000E">
            <w:pPr>
              <w:spacing w:after="0" w:lineRule="auto"/>
              <w:jc w:val="left"/>
              <w:rPr/>
            </w:pPr>
            <w:r w:rsidDel="00000000" w:rsidR="00000000" w:rsidRPr="00000000">
              <w:rPr>
                <w:rtl w:val="0"/>
              </w:rPr>
            </w:r>
          </w:p>
        </w:tc>
        <w:tc>
          <w:tcPr>
            <w:vAlign w:val="center"/>
          </w:tcPr>
          <w:p w:rsidR="00000000" w:rsidDel="00000000" w:rsidP="00000000" w:rsidRDefault="00000000" w:rsidRPr="00000000" w14:paraId="0000000F">
            <w:pPr>
              <w:spacing w:after="0" w:lineRule="auto"/>
              <w:jc w:val="left"/>
              <w:rPr/>
            </w:pPr>
            <w:r w:rsidDel="00000000" w:rsidR="00000000" w:rsidRPr="00000000">
              <w:rPr>
                <w:rtl w:val="0"/>
              </w:rPr>
            </w:r>
          </w:p>
        </w:tc>
      </w:tr>
    </w:tbl>
    <w:p w:rsidR="00000000" w:rsidDel="00000000" w:rsidP="00000000" w:rsidRDefault="00000000" w:rsidRPr="00000000" w14:paraId="00000010">
      <w:pPr>
        <w:widowControl w:val="1"/>
        <w:spacing w:before="560" w:lineRule="auto"/>
        <w:jc w:val="center"/>
        <w:rPr/>
        <w:sectPr>
          <w:pgSz w:h="16838" w:w="11906" w:orient="portrait"/>
          <w:pgMar w:bottom="1440" w:top="1440" w:left="1440" w:right="1440" w:header="709" w:footer="709"/>
          <w:pgNumType w:start="1"/>
          <w:titlePg w:val="1"/>
        </w:sectPr>
      </w:pPr>
      <w:r w:rsidDel="00000000" w:rsidR="00000000" w:rsidRPr="00000000">
        <w:rPr>
          <w:rtl w:val="0"/>
        </w:rPr>
      </w:r>
    </w:p>
    <w:p w:rsidR="00000000" w:rsidDel="00000000" w:rsidP="00000000" w:rsidRDefault="00000000" w:rsidRPr="00000000" w14:paraId="00000011">
      <w:pPr>
        <w:widowControl w:val="1"/>
        <w:spacing w:after="280" w:lineRule="auto"/>
        <w:jc w:val="center"/>
        <w:rPr/>
      </w:pPr>
      <w:r w:rsidDel="00000000" w:rsidR="00000000" w:rsidRPr="00000000">
        <w:rPr>
          <w:rFonts w:ascii="Arial" w:cs="Arial" w:eastAsia="Arial" w:hAnsi="Arial"/>
          <w:b w:val="1"/>
          <w:bCs w:val="1"/>
          <w:sz w:val="30"/>
          <w:szCs w:val="30"/>
          <w:rtl w:val="0"/>
        </w:rPr>
        <w:t xml:space="preserve">Attention-Deficit/Hyperactivity Disorder in ICD-11</w:t>
      </w:r>
      <w:r w:rsidDel="00000000" w:rsidR="00000000" w:rsidRPr="00000000">
        <w:rPr>
          <w:rtl w:val="0"/>
        </w:rPr>
      </w:r>
    </w:p>
    <w:p w:rsidR="00000000" w:rsidDel="00000000" w:rsidP="00000000" w:rsidRDefault="00000000" w:rsidRPr="00000000" w14:paraId="00000012">
      <w:pPr>
        <w:pStyle w:val="Heading1"/>
        <w:keepNext w:val="1"/>
        <w:widowControl w:val="1"/>
        <w:jc w:val="left"/>
        <w:rPr/>
      </w:pPr>
      <w:r w:rsidDel="00000000" w:rsidR="00000000" w:rsidRPr="00000000">
        <w:rPr>
          <w:rFonts w:ascii="Arial" w:cs="Arial" w:eastAsia="Arial" w:hAnsi="Arial"/>
          <w:b w:val="1"/>
          <w:bCs w:val="1"/>
          <w:sz w:val="26"/>
          <w:szCs w:val="26"/>
          <w:rtl w:val="0"/>
        </w:rPr>
        <w:t xml:space="preserve">1. Introduction</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Attention-deficit/hyperactivity disorder (ADHD) is considered a neurodevelopmental disorder beginning in childhood but may also be disabling in adulthood (Cortese et al., 2025). Long-term inattention, hyperactivity, and impulsivity may affect education, work, relationships, physical safety, and mental health. But ADHD is contested too: rising referrals are seen as either overdue acknowledgment of a stigmatized group, or as diagnostic inflation stoked by social media and service incentives. The history of provision between single and multi service provision bears this out. Previous models focused on overtly hyperactive boys and specialist child services while current policy acknowledges inattentive presentations, adult persistence, co-occurrence and the need for modifications across daily contexts. In this report, we provide a critical analysis of ADHD as defined in ICD-11, review assessment, treatment and harm reduction, and delve into controversies related to neurodivergence, language, justice, and service delivery. It contends that the ICD-11 offers enhanced recognition across the life span and clinical flexibility relative to the ICD-10, yet flexible guidelines necessitate robust, contextual evaluation. So successful provision is based on treating a to some extent diagnosis or medication as finite solutions. </w:t>
      </w:r>
      <w:r w:rsidDel="00000000" w:rsidR="00000000" w:rsidRPr="00000000">
        <w:rPr>
          <w:rtl w:val="0"/>
        </w:rPr>
      </w:r>
    </w:p>
    <w:p w:rsidR="00000000" w:rsidDel="00000000" w:rsidP="00000000" w:rsidRDefault="00000000" w:rsidRPr="00000000" w14:paraId="00000014">
      <w:pPr>
        <w:pStyle w:val="Heading1"/>
        <w:keepNext w:val="1"/>
        <w:widowControl w:val="1"/>
        <w:jc w:val="left"/>
        <w:rPr/>
      </w:pPr>
      <w:r w:rsidDel="00000000" w:rsidR="00000000" w:rsidRPr="00000000">
        <w:rPr>
          <w:rFonts w:ascii="Arial" w:cs="Arial" w:eastAsia="Arial" w:hAnsi="Arial"/>
          <w:b w:val="1"/>
          <w:bCs w:val="1"/>
          <w:sz w:val="26"/>
          <w:szCs w:val="26"/>
          <w:rtl w:val="0"/>
        </w:rPr>
        <w:t xml:space="preserve">2. Classification, historical development and language</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ADHD is classified by the World Health Organization in ICD-11 Chapter 6 (6A05) as a neurodevelopmental disorder (WHO, 2024). This constitutes a significant historical departure from ICD-10 "hyperkinetic disorders", which required a much narrower band of inattentive, hyperactive and impulsive signs. By contrast, ICD-11 differentiates between Predominantly inattentive (6A05.0), predominantly hyperactive-impulsive (6A05.1), combined (6A05.2), other specified and unspecified categories. The subtypes reflect the current clinical presentation rather than enduring, static subtypes and acknowledge that extreme hyperactivity usually diminishes with age while internal restlessness, disorganisation and making impulsive decisions may persist. In contrast to ICD-10, ICD-11 also allows for a diagnosis of ADHD to be made with that of autism if the criteria for both are met. This reflects contemporary recognition of common co-existing conditions and is less likely to create arbitrary diagnostic barriers to treatment. </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Core symptoms Persistent patterns of inattention and/or hyperactivity-impulsivity that are more frequent and severer than typical variations in children of similar age and level of intellectual development for at least 6 months. To meet the criteria, several symptoms must be directly negatively impacting the individual’s performance in the area of academics, work, or social relations; be causing significant impairment in more than one setting; and other psychiatric, neurological, substance-related, or medication explanations must be ruled out (WHO, 2024). The conceptualization therefore considers impairment, persistence, pervasiveness and developmental incongruity as safeguards against labelling normal distractibility. Its broad definition also does not presuppose a 'one size fits all' symptom count for specific ages or settings. But flexibility means clinicians have power, and training and transparent documentation become critical to prevent idiosyncratic thresholds. </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The term “disorder” is used over and over again in ICD-11. This language conveys clinically significant dysfunction and facilitates coding, treatment reimbursement, and legal accommodations. But it could suggest that the problem is located solely in the individual. Neurodiversity perspectives independently reconceptualize ADHD-related thinking as a form of human variation whose disabling effects are experienced in, rather than caused by, rigid environments (Dwyer, 2022). Both are mistaken. Substituting “disorder” may downplay the impact of significant impairment while deficit-only language may serve to exacerbate stigma and ignore strengths. Person-led terminology in combination with open acknowledgement of difficulties and strengths, may be one of the best defences against a strongly medical or wholly celebratory narrative. </w:t>
      </w:r>
      <w:r w:rsidDel="00000000" w:rsidR="00000000" w:rsidRPr="00000000">
        <w:rPr>
          <w:rtl w:val="0"/>
        </w:rPr>
      </w:r>
    </w:p>
    <w:p w:rsidR="00000000" w:rsidDel="00000000" w:rsidP="00000000" w:rsidRDefault="00000000" w:rsidRPr="00000000" w14:paraId="00000018">
      <w:pPr>
        <w:pStyle w:val="Heading1"/>
        <w:keepNext w:val="1"/>
        <w:widowControl w:val="1"/>
        <w:jc w:val="left"/>
        <w:rPr/>
      </w:pPr>
      <w:r w:rsidDel="00000000" w:rsidR="00000000" w:rsidRPr="00000000">
        <w:rPr>
          <w:rFonts w:ascii="Arial" w:cs="Arial" w:eastAsia="Arial" w:hAnsi="Arial"/>
          <w:b w:val="1"/>
          <w:bCs w:val="1"/>
          <w:sz w:val="26"/>
          <w:szCs w:val="26"/>
          <w:rtl w:val="0"/>
        </w:rPr>
        <w:t xml:space="preserve">3. Diagnosis and assessment</w:t>
      </w:r>
      <w:r w:rsidDel="00000000" w:rsidR="00000000" w:rsidRPr="00000000">
        <w:rPr>
          <w:rtl w:val="0"/>
        </w:rPr>
      </w:r>
    </w:p>
    <w:p w:rsidR="00000000" w:rsidDel="00000000" w:rsidP="00000000" w:rsidRDefault="00000000" w:rsidRPr="00000000" w14:paraId="00000019">
      <w:pPr>
        <w:ind w:firstLine="425"/>
        <w:jc w:val="both"/>
        <w:rPr/>
      </w:pPr>
      <w:r w:rsidDel="00000000" w:rsidR="00000000" w:rsidRPr="00000000">
        <w:rPr>
          <w:rtl w:val="0"/>
        </w:rPr>
        <w:t xml:space="preserve">ICD-11 is intentionally less formulaic than DSM-5-TR, specifying “several” clinically significant symptoms rather than mandating a specified number of symptoms. This has the potential to increase clinical utility worldwide and make room for developmental and cultural diversity, but it also shifts more weight onto professional judgement, which may increase variance between raters (Gomez, Chen and Houghton, 2023). Diagnosis should therefore be a process of formulation rather than a checklist outcome.</w:t>
      </w:r>
    </w:p>
    <w:p w:rsidR="00000000" w:rsidDel="00000000" w:rsidP="00000000" w:rsidRDefault="00000000" w:rsidRPr="00000000" w14:paraId="0000001A">
      <w:pPr>
        <w:ind w:firstLine="425"/>
        <w:jc w:val="both"/>
        <w:rPr/>
      </w:pPr>
      <w:r w:rsidDel="00000000" w:rsidR="00000000" w:rsidRPr="00000000">
        <w:rPr>
          <w:rtl w:val="0"/>
        </w:rPr>
        <w:t xml:space="preserve">NICE (2018) states that a diagnosis must be made by a suitably trained specialist following a comprehensive clinical and psychosocial assessment, including a developmental and psychiatric history, mental-state examination and information from an observer. Rating scales such as Conners or the Adult ADHD Self-Report Scale may organize the evidence but should not drive diagnosis solely. Information from parents, teachers and the child should be evaluated for children in different environments. For adults, childhood onset may be substantiated with school records or collateral reports, though absence of such documentation should trigger caution rather than immediate disqualification, as records might be unavailable and earlier symptoms may have been obscured. Computerised tests of attention or activity, such as QbTest in some children and young people, can supplement with objective information, but no test in a clinic can capture the complexity of life. Neuropsychological tests and brain scans also can not diagnose an individual with ADHD. </w:t>
      </w:r>
    </w:p>
    <w:p w:rsidR="00000000" w:rsidDel="00000000" w:rsidP="00000000" w:rsidRDefault="00000000" w:rsidRPr="00000000" w14:paraId="0000001B">
      <w:pPr>
        <w:ind w:firstLine="425"/>
        <w:jc w:val="both"/>
        <w:rPr/>
      </w:pPr>
      <w:r w:rsidDel="00000000" w:rsidR="00000000" w:rsidRPr="00000000">
        <w:rPr>
          <w:rtl w:val="0"/>
        </w:rPr>
        <w:t xml:space="preserve">Differential diagnosis is crucial as sleep disorders, anxiety, depression, bipolar disorder, trauma, substance misuse, learning difficulties, autism and physical health issues can mimic and/or co-occur with ADHD. Temporal pattern also helps: ADHD is stable and pervasive, while attention difficulties associated only with a mood episode or acute stressor should be explained differently. Impairment, strengths, physical health, safeguarding, substance misuse and the social, educational and occupational context of the person should also be considered in assessment. A formulation should articulate why the balance of evidence points to ADHD, how any co-occurring conditions impact upon the individual and which needs should be addressed even where diagnostic doubt persists.</w:t>
      </w:r>
    </w:p>
    <w:p w:rsidR="00000000" w:rsidDel="00000000" w:rsidP="00000000" w:rsidRDefault="00000000" w:rsidRPr="00000000" w14:paraId="0000001C">
      <w:pPr>
        <w:ind w:firstLine="425"/>
        <w:jc w:val="both"/>
        <w:rPr/>
      </w:pPr>
      <w:r w:rsidDel="00000000" w:rsidR="00000000" w:rsidRPr="00000000">
        <w:rPr>
          <w:rtl w:val="0"/>
        </w:rPr>
        <w:t xml:space="preserve">Practice however leads to contrary errors. Short commercial evaluations and undue reliance on self-report can perhaps give false positives, in particular when typical experiences are framed online as diagnostic signs (Schiros et al., 2025). On the other hand, girls and women go undiagnosed all too often as inattentiveness, internalised distress and compensatory masking are far less disruptive than hyperactivity stereotypically associated with males (Attoe and Climie, 2023; Martin et al., 2024). Cultural norms can also influence whether behaviour is ignored, punished or reported. Diagnostic quality hence relies on several informants, on longitudinal data and on culturally sensitive interpretation, while accepting there is no biomarker that currently establishes ADHD.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pPr>
      <w:r w:rsidDel="00000000" w:rsidR="00000000" w:rsidRPr="00000000">
        <w:rPr>
          <w:rtl w:val="0"/>
        </w:rPr>
      </w:r>
    </w:p>
    <w:p w:rsidR="00000000" w:rsidDel="00000000" w:rsidP="00000000" w:rsidRDefault="00000000" w:rsidRPr="00000000" w14:paraId="0000001E">
      <w:pPr>
        <w:pStyle w:val="Heading1"/>
        <w:keepNext w:val="1"/>
        <w:widowControl w:val="1"/>
        <w:jc w:val="left"/>
        <w:rPr/>
      </w:pPr>
      <w:r w:rsidDel="00000000" w:rsidR="00000000" w:rsidRPr="00000000">
        <w:rPr>
          <w:rFonts w:ascii="Arial" w:cs="Arial" w:eastAsia="Arial" w:hAnsi="Arial"/>
          <w:b w:val="1"/>
          <w:bCs w:val="1"/>
          <w:sz w:val="26"/>
          <w:szCs w:val="26"/>
          <w:rtl w:val="0"/>
        </w:rPr>
        <w:t xml:space="preserve">4. Treatment and rehabilitation</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Care should be tailored to the individual through shared decision-making and should be aimed at reducing impairment rather than focusing solely on changing a rating-scale score. The environmental adjustments and ADHD-specific information are recommended for all ages (NICE, 2018). Parent training is first line for under-fives; medication, specialist caution. For older children who continue to be significantly impaired, methylphenidate is generally used as the first-line pharmacological treatment, with lisdexamfetamine, dexamfetamine, atomoxetine or guanfacine being used if necessary after this. Treatment with methylphenidate or lisdexamfetamine is considered first line for adults, with atomoxetine in case stimulants are not effective or not suitable. </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Medication has the best evidence for reducing symptoms in the short term. A 2024 systematic review report concluded that there are multiple interventions for benefit for children and adolescents with strongest evidence for pharmacological treatments, but the adverse events also (Peterson et al., 2024). In adults, a network meta-analysis demonstrated that stimulants and atomoxetine were associated with reductions in core symptoms after approximately twelve weeks; however, findings regarding broader outcomes and long-term effectiveness were more uncertain (Ostinelli et al., 2025). Pharmacological therapy can improve quality of life on average, but with modest and variable effects (Bellato et al., 2025). Baseline assessment, dose titration and ongoing monitoring are required for appetite suppression, sleep disturbance, cardiovascular changes, emotional effects, compliance problems and stimulant diversion. Medication is thus successful for many people, but not a panacea for the educational marginalisation, relationship problems or cumulative low self-esteem. Its benefits should be assessed against the person's own goals, not perpetuated by virtue of a prescription once proved useful. </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Non- pharmacological management is necessary when drugs are refused, inadequate or not tolerated. Psychoeducation can substitute moral narratives such as laziness with a comprehensible explanation of executive-function difficulty. Cognitive behavioural therapy adapted for ADHD also provides instruction in planning, task initiation, emotional regulation, and techniques for addressing unhelpful cognitions; support is found for positive outcomes with residual symptoms in adults and comorbid anxiety or depression, albeit the evidence base is smaller and less standardised than for pharmacotherapy (Solanto, 2025). Parent-training programmes enhance family interactions and conduct of the young, but should not imply parental blame. Sleep patterns, exercise, and good nutrition contribute to overall wellbeing, but restrictive diets and supplements should not be considered as proven treatments. Peer groups and coaching can facilitate increased confidence and practical organisation, however due to inconsistent qualifications and limited trial evidence they should be considered to complement, rather than replace, regulated care. </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(ICD-11) is a manual of classification and not a protocol for rehabilitation. Its focus on functional impairment, developmental course, and contextual factors, however, is conducive to rehabilitation planning. In the real world, rehabilitation is recapturing participation through reasonable accommodations, learning new skills, and receiving system of care support. Examples include reduced-distraction work areas, written instructions, task chunking, movement breaks, assistive reminders, coaching, exam arrangements, and flexible scheduling. These need to be tested on an individual basis: widely offered accommodations like additional time do not necessarily help, and ill-conceived accommodations can result in maintaining dependence rather than supporting participation. Progress should be monitored by attendance, task completion, relationships, well-being and continued engagement, not solely by symptom scores. </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A strengths-based perspective may enhance person-environment fit. AD/HD employees report the possibility of flourishing in their jobs when such jobs are characterized by autonomy, novelty, clear priorities and supportive supervision (Hotte-Meunier et al., 2024). Yet strengths language should not become a justification for the withholding of clinical care. Symptom management should be integrated with education, work support, family intervention, peer support and a structured transition from child to adult services. Multi-agency working is hampered by siloed provision, as medication, psychological therapy, education and employment support are all commissioned differently . Rehabilitation is best when a single rehabilitation plan maintains consistency for the individual through services and life stage transitions. </w:t>
      </w:r>
      <w:r w:rsidDel="00000000" w:rsidR="00000000" w:rsidRPr="00000000">
        <w:rPr>
          <w:rtl w:val="0"/>
        </w:rPr>
      </w:r>
    </w:p>
    <w:p w:rsidR="00000000" w:rsidDel="00000000" w:rsidP="00000000" w:rsidRDefault="00000000" w:rsidRPr="00000000" w14:paraId="00000024">
      <w:pPr>
        <w:pStyle w:val="Heading1"/>
        <w:keepNext w:val="1"/>
        <w:widowControl w:val="1"/>
        <w:jc w:val="left"/>
        <w:rPr/>
      </w:pPr>
      <w:r w:rsidDel="00000000" w:rsidR="00000000" w:rsidRPr="00000000">
        <w:rPr>
          <w:rFonts w:ascii="Arial" w:cs="Arial" w:eastAsia="Arial" w:hAnsi="Arial"/>
          <w:b w:val="1"/>
          <w:bCs w:val="1"/>
          <w:sz w:val="26"/>
          <w:szCs w:val="26"/>
          <w:rtl w:val="0"/>
        </w:rPr>
        <w:t xml:space="preserve">5. Current debates and emerging issues</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The most prominent controversy is whether ADHD is overdiagnosed. Increased referrals may be due to increased awareness and recognition of persistence into adulthood, the broadening of the ICD-11 diagnostic criteria, and online self-identification. However, a recent systematic review found no definitive post-pandemic increasing trend in the underlying prevalence, differentiating prevalence from increasing incidence, help-seeking and service utilisation (Martin, Rubin and Rogers, 2025). The ADHD Taskforce in England also contends that under-recognition, under-treatment and very long waits continue to characterise the country, and that there was variation in assessment quality and a need for regulation of providers (NHS England, 2025a; 2025b). </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Concept creep is relevant because what is normal procrastination or distraction can become pathologized as diagnostic terminology migrates online. Yet too strict criteria for adult, inattentive, and comorbid presentations recreates the historical exclusion of these groups. The threshold for impairment in ICD-11 is the decisive line: the traits are only diagnosable when they are persistent and pervasive, developmentall abnormal and they cause direct harm to functioning. The response to misinformation on social media should be to provide accessible clinical information, rather than dismissing lived experience or self-referral. Public messaging should also make clear differences between screening, self-identification, and diagnosis; each may prompt help-seeking, but only the latter involves a full clinical assessment. </w:t>
      </w:r>
      <w:r w:rsidDel="00000000" w:rsidR="00000000" w:rsidRPr="00000000">
        <w:rPr>
          <w:rtl w:val="0"/>
        </w:rPr>
      </w:r>
    </w:p>
    <w:p w:rsidR="00000000" w:rsidDel="00000000" w:rsidP="00000000" w:rsidRDefault="00000000" w:rsidRPr="00000000" w14:paraId="00000027">
      <w:pPr>
        <w:ind w:firstLine="425"/>
        <w:jc w:val="both"/>
        <w:rPr/>
      </w:pPr>
      <w:r w:rsidDel="00000000" w:rsidR="00000000" w:rsidRPr="00000000">
        <w:rPr>
          <w:rtl w:val="0"/>
        </w:rPr>
        <w:t xml:space="preserve">The service implications of the neurodiversity argument are that the role of the services are to distinguish difference from avoidable impairment. An identity lens on ADHD can provide validation, community and self-understanding, yet the identity label can also subject individuals to disbelief, stigma and/or assumptions of irresponsibility. The best stance is a relational one: biological and developmental difference are real, but impairment is contingent on demands, resources and social reaction. This supports treatment choice in addition to environmental redesign. It also transforms professional power: lived experience is to inform goals and service design, not to displace evidence, safeguarding or differential diagnosis.</w:t>
      </w:r>
    </w:p>
    <w:p w:rsidR="00000000" w:rsidDel="00000000" w:rsidP="00000000" w:rsidRDefault="00000000" w:rsidRPr="00000000" w14:paraId="00000028">
      <w:pPr>
        <w:ind w:firstLine="425"/>
        <w:jc w:val="both"/>
        <w:rPr/>
      </w:pPr>
      <w:r w:rsidDel="00000000" w:rsidR="00000000" w:rsidRPr="00000000">
        <w:rPr>
          <w:rtl w:val="0"/>
        </w:rPr>
        <w:t xml:space="preserve">There are big policy implications. Needs-based support, not tied to diagnosis, integrated community pathways, workforce development, quality standards, improved data and co-production with people who have ADHD are the recommendations in NHS England (2025b). These reforms could help alleviate waitlist harm and diagnostic silos. Their Achilles' heel is execution: task-sharing and digital assessment may increase availability, but if unsupervised and unaudited they may simply perpetuate the brief, questionnaire-driven practice they seek to supplant. A two-tier market also risks giving wealthy patients quicker access, while those who are poor, burdened with cultural barriers or entangled in the criminal justice system wait longest despite having the greatest need.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pPr>
      <w:r w:rsidDel="00000000" w:rsidR="00000000" w:rsidRPr="00000000">
        <w:rPr>
          <w:rtl w:val="0"/>
        </w:rPr>
      </w:r>
    </w:p>
    <w:p w:rsidR="00000000" w:rsidDel="00000000" w:rsidP="00000000" w:rsidRDefault="00000000" w:rsidRPr="00000000" w14:paraId="0000002A">
      <w:pPr>
        <w:pStyle w:val="Heading1"/>
        <w:keepNext w:val="1"/>
        <w:widowControl w:val="1"/>
        <w:jc w:val="left"/>
        <w:rPr/>
      </w:pPr>
      <w:r w:rsidDel="00000000" w:rsidR="00000000" w:rsidRPr="00000000">
        <w:rPr>
          <w:rFonts w:ascii="Arial" w:cs="Arial" w:eastAsia="Arial" w:hAnsi="Arial"/>
          <w:b w:val="1"/>
          <w:bCs w:val="1"/>
          <w:sz w:val="26"/>
          <w:szCs w:val="26"/>
          <w:rtl w:val="0"/>
        </w:rPr>
        <w:t xml:space="preserve">6. Recommendations</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First, commissioners should establish and enforce nationally auditable standards for developmental history, cross-context evidence, differential diagnosis, assessment of impairment, and documented shared decision-making. Screening instruments and computerized tests should assist, not supplant, clinical formulation. Second, needs-based modifications should be available from education, primary care, mental health and employment services prior to and following diagnosis, with smooth passage across age barriers and a named coordinator for complex cases. Third, training should be given on female, culturally diverse and co-existing manifestations to mitigate unequal identification. Fourth, treatment results should incorporate participation, quality of life, and patient-derived goals in addition to symptom scores. Last but not least, research should give priority to long-term comparative work, the effectiveness of rehabilitation and the co-produced evaluation of stepped-care models, encompassing potential damage of both missed and misguided diagnosis. </w:t>
      </w:r>
      <w:r w:rsidDel="00000000" w:rsidR="00000000" w:rsidRPr="00000000">
        <w:rPr>
          <w:rtl w:val="0"/>
        </w:rPr>
      </w:r>
    </w:p>
    <w:p w:rsidR="00000000" w:rsidDel="00000000" w:rsidP="00000000" w:rsidRDefault="00000000" w:rsidRPr="00000000" w14:paraId="0000002C">
      <w:pPr>
        <w:pStyle w:val="Heading1"/>
        <w:keepNext w:val="1"/>
        <w:widowControl w:val="1"/>
        <w:jc w:val="left"/>
        <w:rPr/>
      </w:pPr>
      <w:r w:rsidDel="00000000" w:rsidR="00000000" w:rsidRPr="00000000">
        <w:rPr>
          <w:rFonts w:ascii="Arial" w:cs="Arial" w:eastAsia="Arial" w:hAnsi="Arial"/>
          <w:b w:val="1"/>
          <w:bCs w:val="1"/>
          <w:sz w:val="26"/>
          <w:szCs w:val="26"/>
          <w:rtl w:val="0"/>
        </w:rPr>
        <w:t xml:space="preserve">7. Conclusion</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425"/>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t xml:space="preserve">The conceptualization of ADHD has shifted from a relatively narrow childhood behaviour disorder to a lifespan neurodevelopmental diagnosis. The ICD-11 enhances inclusion, but also the burden of flexibility in assessment. Practice at Distinction level demands that language be balanced, diagnosis be rigorous, multi-modal treatment and rehabilitation be monitored and that environmental modifications be made to persons as well as place alterations be made to environments. Consequently, policy should promote equitable amplification of support and quality assurance mechanisms, rather than implode under either the pressures of blind diagnostic inflation or renewed disbelief. This kind of balanced attitude reserves access, safety, dignity and meaningful participation through the life course. </w:t>
      </w:r>
      <w:r w:rsidDel="00000000" w:rsidR="00000000" w:rsidRPr="00000000">
        <w:rPr>
          <w:rtl w:val="0"/>
        </w:rPr>
      </w:r>
    </w:p>
    <w:p w:rsidR="00000000" w:rsidDel="00000000" w:rsidP="00000000" w:rsidRDefault="00000000" w:rsidRPr="00000000" w14:paraId="0000002E">
      <w:pPr>
        <w:pStyle w:val="Heading1"/>
        <w:pageBreakBefore w:val="1"/>
        <w:widowControl w:val="1"/>
        <w:rPr/>
      </w:pPr>
      <w:r w:rsidDel="00000000" w:rsidR="00000000" w:rsidRPr="00000000">
        <w:rPr>
          <w:rFonts w:ascii="Arial" w:cs="Arial" w:eastAsia="Arial" w:hAnsi="Arial"/>
          <w:b w:val="1"/>
          <w:bCs w:val="1"/>
          <w:sz w:val="26"/>
          <w:szCs w:val="26"/>
          <w:rtl w:val="0"/>
        </w:rPr>
        <w:t xml:space="preserve">References</w:t>
      </w:r>
      <w:r w:rsidDel="00000000" w:rsidR="00000000" w:rsidRPr="00000000">
        <w:rPr>
          <w:rtl w:val="0"/>
        </w:rPr>
      </w:r>
    </w:p>
    <w:p w:rsidR="00000000" w:rsidDel="00000000" w:rsidP="00000000" w:rsidRDefault="00000000" w:rsidRPr="00000000" w14:paraId="0000002F">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Attoe, D.E. and Climie, E.A. (2023) 'Miss. Diagnosis: a systematic review of ADHD in adult women',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Attention Disorders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27(7), pp. 645-657. Available at: https://doi.org/10.1177/10870547231161533.</w:t>
      </w:r>
    </w:p>
    <w:p w:rsidR="00000000" w:rsidDel="00000000" w:rsidP="00000000" w:rsidRDefault="00000000" w:rsidRPr="00000000" w14:paraId="00000030">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Bellato, A., Perrott, N.J., Marzulli, L., Parlatini, V., Coghill, D. and Cortese, S. (2025) 'Systematic review and meta-analysis: effects of pharmacological treatment for attention-deficit/hyperactivity disorder on quality of life',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the American Academy of Child &amp; Adolescent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64(3), pp. 346-361. Available at: https://doi.org/10.1016/j.jaac.2024.05.023.</w:t>
      </w:r>
    </w:p>
    <w:p w:rsidR="00000000" w:rsidDel="00000000" w:rsidP="00000000" w:rsidRDefault="00000000" w:rsidRPr="00000000" w14:paraId="00000031">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Cortese, S., Bellgrove, M.A., Brikell, I., Franke, B., Goodman, D.W., Hartman, C.A., Larsson, H., Levin, F.R., Ostinelli, E.G., Parlatini, V., Ramos-Quiroga, J.A., Sibley, M.H., Tomlinson, A., Wilens, T.E., Wong, I.C.K., Hoven, N., Didier, J., Correll, C.U., Rohde, L.A. and Faraone, S.V. (2025) 'Attention-deficit/hyperactivity disorder (ADHD) in adults: evidence base, uncertainties and controversies',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24(3), pp. 347-371. Available at: https://doi.org/10.1002/wps.21374.</w:t>
      </w:r>
    </w:p>
    <w:p w:rsidR="00000000" w:rsidDel="00000000" w:rsidP="00000000" w:rsidRDefault="00000000" w:rsidRPr="00000000" w14:paraId="00000032">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Dwyer, P. (2022) 'The neurodiversity approach(es): what are they and what do they mean for researchers?',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Human Development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66(2), pp. 73-92. Available at: https://doi.org/10.1159/000523723.</w:t>
      </w:r>
    </w:p>
    <w:p w:rsidR="00000000" w:rsidDel="00000000" w:rsidP="00000000" w:rsidRDefault="00000000" w:rsidRPr="00000000" w14:paraId="00000033">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Gomez, R., Chen, W. and Houghton, S. (2023) 'Differences between DSM-5-TR and ICD-11 revisions of attention deficit/hyperactivity disorder: a commentary on implications and opportunities',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Journal of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13(5), pp. 138-143. Available at: https://doi.org/10.5498/wjp.v13.i5.138.</w:t>
      </w:r>
    </w:p>
    <w:p w:rsidR="00000000" w:rsidDel="00000000" w:rsidP="00000000" w:rsidRDefault="00000000" w:rsidRPr="00000000" w14:paraId="00000034">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Hotte-Meunier, A., Sarraf, L., Bougeard, A., Bernier, F., Voyer, C., Deng, J., El Asmar, S., Stamate, A.N., Corbiere, M., Villotti, P. and Sauve, G. (2024) 'Strengths and challenges to embrace attention-deficit/hyperactivity disorder in employment: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Neurodiversity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 pp. 1-13. Available at: https://doi.org/10.1177/27546330241287655.</w:t>
      </w:r>
    </w:p>
    <w:p w:rsidR="00000000" w:rsidDel="00000000" w:rsidP="00000000" w:rsidRDefault="00000000" w:rsidRPr="00000000" w14:paraId="00000035">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Martin, A.F., Rubin, G.J., Rogers, M.B., Wessely, S., Greenberg, N., Hall, C.E., Pitt, A., Ellis Logan, P., Lucas, R. and Brooks, S.K. (2025) 'The changing prevalence of ADHD?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Affective Disorders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388, article 119427. Available at: https://doi.org/10.1016/j.jad.2025.119427.</w:t>
      </w:r>
    </w:p>
    <w:p w:rsidR="00000000" w:rsidDel="00000000" w:rsidP="00000000" w:rsidRDefault="00000000" w:rsidRPr="00000000" w14:paraId="00000036">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Martin, J., Langley, K., Cooper, M., Rouquette, O.Y., John, A., Sayal, K., Ford, T. and Thapar, A. (2024) 'Sex differences in attention-deficit hyperactivity disorder diagnosis and clinical care: a national study of population healthcare records in Wales',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Child Psychology and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65, pp. 1648-1658. Available at: https://doi.org/10.1111/jcpp.13987.</w:t>
      </w:r>
    </w:p>
    <w:p w:rsidR="00000000" w:rsidDel="00000000" w:rsidP="00000000" w:rsidRDefault="00000000" w:rsidRPr="00000000" w14:paraId="00000037">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Institute for Health and Care Excellence (NICE) (2018)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Attention deficit hyperactivity disorder: diagnosis and management (NG87)</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Updated 13 September 2019; reviewed 7 May 2025. Available at: https://www.nice.org.uk/guidance/ng87 (Accessed: 14 July 2026).</w:t>
      </w:r>
    </w:p>
    <w:p w:rsidR="00000000" w:rsidDel="00000000" w:rsidP="00000000" w:rsidRDefault="00000000" w:rsidRPr="00000000" w14:paraId="00000038">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(2025a)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Report of the independent ADHD Taskforce: Part 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https://www.england.nhs.uk/long-read/report-of-the-independent-adhd-taskforce-part-1/ (Accessed: 14 July 2026).</w:t>
      </w:r>
    </w:p>
    <w:p w:rsidR="00000000" w:rsidDel="00000000" w:rsidP="00000000" w:rsidRDefault="00000000" w:rsidRPr="00000000" w14:paraId="00000039">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(2025b)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Report of the independent ADHD Taskforce: Part 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https://www.england.nhs.uk/long-read/report-of-the-independent-adhd-taskforce-part-2/ (Accessed: 14 July 2026).</w:t>
      </w:r>
    </w:p>
    <w:p w:rsidR="00000000" w:rsidDel="00000000" w:rsidP="00000000" w:rsidRDefault="00000000" w:rsidRPr="00000000" w14:paraId="0000003A">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Ostinelli, E.G., Schulze, M., Zangani, C., Farhat, L.C., Tomlinson, A., Del Giovane, C., Chamberlain, S.R., Philipsen, A., Young, S., Cowen, P.J., Bilbow, A., Cipriani, A. and Cortese, S. (2025) 'Comparative efficacy and acceptability of pharmacological, psychological, and neurostimulatory interventions for ADHD in adults: a systematic review and component network meta-analysis',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Lancet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12(1), pp. 32-43. Available at: https://doi.org/10.1016/S2215-0366(24)00360-2.</w:t>
      </w:r>
    </w:p>
    <w:p w:rsidR="00000000" w:rsidDel="00000000" w:rsidP="00000000" w:rsidRDefault="00000000" w:rsidRPr="00000000" w14:paraId="0000003B">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Peterson, B.S., Trampush, J., Maglione, M., Bolshakova, M., Rozelle, M., Miles, J., Pakdaman, S., Brown, M., Yagyu, S., Motala, A. and Hempel, S. (2024) 'Treatments for ADHD in children and adolescents: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Pediatrics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153(4), article e2024065787. Available at: https://doi.org/10.1542/peds.2024-065787.</w:t>
      </w:r>
    </w:p>
    <w:p w:rsidR="00000000" w:rsidDel="00000000" w:rsidP="00000000" w:rsidRDefault="00000000" w:rsidRPr="00000000" w14:paraId="0000003C">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Schiros, A., Bowman, N. and Antshel, K. (2025) 'Misinformation mayhem: the effects of TikTok content on ADHD knowledge, stigma, and treatment-seeking intentions',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European Child &amp; Adolescent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34(11), pp. 3521-3533. Available at: https://doi.org/10.1007/s00787-025-02769-8.</w:t>
      </w:r>
    </w:p>
    <w:p w:rsidR="00000000" w:rsidDel="00000000" w:rsidP="00000000" w:rsidRDefault="00000000" w:rsidRPr="00000000" w14:paraId="0000003D">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Solanto, M.V. (2025) 'The efficacy of cognitive-behavioral therapy for adults with ADHD',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24(3), pp. 378-379. Available at: https://doi.org/10.1002/wps.21349.</w:t>
      </w:r>
    </w:p>
    <w:p w:rsidR="00000000" w:rsidDel="00000000" w:rsidP="00000000" w:rsidRDefault="00000000" w:rsidRPr="00000000" w14:paraId="0000003E">
      <w:pPr>
        <w:keepNext w:val="0"/>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World Health Organization (WHO)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Clinical descriptions and diagnostic requirements for ICD-11 mental, behavioural and neurodevelopmental disorders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Geneva: World Health Organization. Available at: https://www.who.int/publications/i/item/9789240077263 (Accessed: 14 July 2026).</w:t>
      </w:r>
    </w:p>
    <w:sectPr>
      <w:headerReference r:id="rId6" w:type="default"/>
      <w:footerReference r:id="rId7" w:type="default"/>
      <w:type w:val="nextPage"/>
      <w:pgSz w:h="16838" w:w="11906" w:orient="portrait"/>
      <w:pgMar w:bottom="1440" w:top="1440"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18"/>
        <w:szCs w:val="1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8"/>
        <w:szCs w:val="18"/>
        <w:u w:val="none"/>
        <w:shd w:fill="auto" w:val="clear"/>
        <w:vertAlign w:val="baseline"/>
        <w:rtl w:val="0"/>
      </w:rPr>
      <w:t xml:space="preserve">BMHP6029 | ADHD and ICD-11</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sz w:val="18"/>
        <w:szCs w:val="18"/>
      </w:rPr>
    </w:pPr>
    <w:r w:rsidDel="00000000" w:rsidR="00000000" w:rsidRPr="00000000">
      <w:rPr>
        <w:rFonts w:ascii="Arial" w:cs="Arial" w:eastAsia="Arial" w:hAnsi="Arial"/>
        <w:b w:val="0"/>
        <w:bCs w:val="0"/>
        <w:i w:val="0"/>
        <w:iCs w:val="0"/>
        <w:smallCaps w:val="0"/>
        <w:strike w:val="0"/>
        <w:color w:val="000000"/>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12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240" w:lineRule="auto"/>
    </w:pPr>
    <w:rPr>
      <w:rFonts w:ascii="Arial" w:cs="Arial" w:eastAsia="Arial" w:hAnsi="Arial"/>
      <w:b w:val="1"/>
      <w:bCs w:val="1"/>
      <w:color w:val="000000"/>
      <w:sz w:val="26"/>
      <w:szCs w:val="26"/>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