
<file path=[Content_Types].xml><?xml version="1.0" encoding="utf-8"?>
<Types xmlns="http://schemas.openxmlformats.org/package/2006/content-types">
  <Default Extension="xml" ContentType="application/xml"/>
  <Default Extension="png" ContentType="image/png"/>
  <Default Extension="rels" ContentType="application/vnd.openxmlformats-package.relationships+xml"/>
  <Override PartName="/word/theme/theme1.xml" ContentType="application/vnd.openxmlformats-officedocument.theme+xml"/>
  <Override PartName="/word/header2.xml" ContentType="application/vnd.openxmlformats-officedocument.wordprocessingml.header+xml"/>
  <Override PartName="/word/fontTable.xml" ContentType="application/vnd.openxmlformats-officedocument.wordprocessingml.fontTable+xml"/>
  <Override PartName="/docProps/core.xml" ContentType="application/vnd.openxmlformats-package.core-properties+xml"/>
  <Override PartName="/word/document.xml" ContentType="application/vnd.openxmlformats-officedocument.wordprocessingml.document.main+xml"/>
  <Override PartName="/word/footer1.xml" ContentType="application/vnd.openxmlformats-officedocument.wordprocessingml.footer+xml"/>
  <Override PartName="/word/numbering.xml" ContentType="application/vnd.openxmlformats-officedocument.wordprocessingml.numbering+xml"/>
  <Override PartName="/word/settings.xml" ContentType="application/vnd.openxmlformats-officedocument.wordprocessingml.settings+xml"/>
  <Override PartName="/docProps/custom.xml" ContentType="application/vnd.openxmlformats-officedocument.custom-properties+xml"/>
  <Override PartName="/word/styles.xml" ContentType="application/vnd.openxmlformats-officedocument.wordprocessingml.styles+xml"/>
  <Override PartName="/docProps/app.xml" ContentType="application/vnd.openxmlformats-officedocument.extended-properties+xml"/>
</Types>
</file>

<file path=_rels/.rels><?xml version="1.0" encoding="UTF-8"?>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 Id="rId4" Type="http://schemas.openxmlformats.org/officeDocument/2006/relationships/custom-properties" Target="docProps/custom.xml"/></Relationships>
</file>

<file path=word/document.xml><?xml version="1.0" encoding="utf-8"?>
<w:document xmlns:w="http://schemas.openxmlformats.org/wordprocessingml/2006/main" xmlns:wp="http://schemas.openxmlformats.org/drawingml/2006/wordprocessingDrawing" xmlns:r="http://schemas.openxmlformats.org/officeDocument/2006/relationships" xmlns:v="urn:schemas-microsoft-com:vml" xmlns:w10="urn:schemas-microsoft-com:office:word" xmlns:o="urn:schemas-microsoft-com:office:office" xmlns:wp14="http://schemas.microsoft.com/office/word/2010/wordprocessingDrawing" xmlns:w14="http://schemas.microsoft.com/office/word/2010/wordml" xmlns:mc="http://schemas.openxmlformats.org/markup-compatibility/2006" xmlns:m="http://schemas.openxmlformats.org/officeDocument/2006/math" xmlns:wps="http://schemas.microsoft.com/office/word/2010/wordprocessingShape" xmlns:wpg="http://schemas.microsoft.com/office/word/2010/wordprocessingGroup" xmlns:wpi="http://schemas.microsoft.com/office/word/2010/wordprocessingInk" xmlns:wpc="http://schemas.microsoft.com/office/word/2010/wordprocessingCanvas" xmlns:wpsCustomData="http://www.wps.cn/officeDocument/2013/wpsCustomData" mc:Ignorable="w14 wp14">
  <w:body>
    <w:p w14:paraId="47448A99">
      <w:pPr>
        <w:pStyle w:val="style0"/>
        <w:jc w:val="center"/>
        <w:rPr>
          <w:b/>
          <w:bCs/>
          <w:sz w:val="28"/>
          <w:szCs w:val="28"/>
        </w:rPr>
      </w:pPr>
      <w:r>
        <w:rPr>
          <w:noProof/>
        </w:rPr>
        <w:drawing>
          <wp:inline distL="0" distT="0" distB="0" distR="0">
            <wp:extent cx="3776663" cy="1506124"/>
            <wp:effectExtent l="0" t="0" r="0" b="0"/>
            <wp:docPr id="1026" name="image1.png"/>
            <wp:cNvGraphicFramePr>
              <a:graphicFrameLocks xmlns:a="http://schemas.openxmlformats.org/drawingml/2006/main" noChangeAspect="false" noSelect="false" noResize="false" noGrp="false"/>
            </wp:cNvGraphicFramePr>
            <a:graphic xmlns:a="http://schemas.openxmlformats.org/drawingml/2006/main">
              <a:graphicData uri="http://schemas.openxmlformats.org/drawingml/2006/picture">
                <pic:pic xmlns:pic="http://schemas.openxmlformats.org/drawingml/2006/picture">
                  <pic:nvPicPr>
                    <pic:cNvPr id="0" name="image1.png"/>
                    <pic:cNvPicPr/>
                  </pic:nvPicPr>
                  <pic:blipFill>
                    <a:blip r:embed="rId2" cstate="print"/>
                    <a:srcRect l="0" t="0" r="0" b="0"/>
                    <a:stretch/>
                  </pic:blipFill>
                  <pic:spPr>
                    <a:xfrm rot="0">
                      <a:off x="0" y="0"/>
                      <a:ext cx="3776663" cy="1506124"/>
                    </a:xfrm>
                    <a:prstGeom prst="rect"/>
                    <a:ln cmpd="sng" cap="flat" w="9525">
                      <a:solidFill>
                        <a:srgbClr val="000000"/>
                      </a:solidFill>
                      <a:prstDash val="solid"/>
                      <a:round/>
                      <a:headEnd/>
                      <a:tailEnd/>
                    </a:ln>
                  </pic:spPr>
                </pic:pic>
              </a:graphicData>
            </a:graphic>
          </wp:inline>
        </w:drawing>
      </w:r>
    </w:p>
    <w:p w14:paraId="6993B47A">
      <w:pPr>
        <w:pStyle w:val="style0"/>
        <w:jc w:val="center"/>
        <w:rPr>
          <w:b/>
          <w:bCs/>
          <w:sz w:val="28"/>
          <w:szCs w:val="28"/>
        </w:rPr>
      </w:pPr>
    </w:p>
    <w:p w14:paraId="627FA1E2">
      <w:pPr>
        <w:pStyle w:val="style0"/>
        <w:jc w:val="center"/>
        <w:rPr>
          <w:b/>
          <w:bCs/>
          <w:sz w:val="28"/>
          <w:szCs w:val="28"/>
        </w:rPr>
      </w:pPr>
      <w:r>
        <w:rPr>
          <w:b/>
          <w:bCs/>
          <w:sz w:val="28"/>
          <w:szCs w:val="28"/>
        </w:rPr>
        <w:t xml:space="preserve">Student Name: </w:t>
      </w:r>
      <w:r>
        <w:rPr>
          <w:b/>
          <w:bCs/>
          <w:sz w:val="28"/>
          <w:szCs w:val="28"/>
          <w:lang w:val="en-US"/>
        </w:rPr>
        <w:t xml:space="preserve">Nirav Kanubhai Patel </w:t>
      </w:r>
    </w:p>
    <w:p w14:paraId="557234B7">
      <w:pPr>
        <w:pStyle w:val="style0"/>
        <w:jc w:val="center"/>
        <w:rPr>
          <w:b/>
          <w:bCs/>
          <w:sz w:val="28"/>
          <w:szCs w:val="28"/>
          <w:lang w:val="en-US"/>
        </w:rPr>
      </w:pPr>
      <w:r>
        <w:rPr>
          <w:b/>
          <w:bCs/>
          <w:sz w:val="28"/>
          <w:szCs w:val="28"/>
        </w:rPr>
        <w:t xml:space="preserve">Student ID: </w:t>
      </w:r>
      <w:r>
        <w:rPr>
          <w:b/>
          <w:bCs/>
          <w:sz w:val="28"/>
          <w:szCs w:val="28"/>
          <w:lang w:val="en-US"/>
        </w:rPr>
        <w:t>2540461</w:t>
      </w:r>
    </w:p>
    <w:p w14:paraId="F890A30B">
      <w:pPr>
        <w:pStyle w:val="style0"/>
        <w:jc w:val="center"/>
        <w:rPr>
          <w:rFonts w:ascii="Arial" w:cs="Arial" w:eastAsia="Arial" w:hAnsi="Arial" w:hint="default"/>
          <w:b/>
          <w:bCs/>
          <w:i w:val="false"/>
          <w:iCs w:val="false"/>
          <w:color w:val="auto"/>
          <w:sz w:val="28"/>
          <w:szCs w:val="28"/>
          <w:highlight w:val="none"/>
          <w:vertAlign w:val="baseline"/>
          <w:em w:val="none"/>
          <w:lang w:val="en-GB" w:eastAsia="zh-CN"/>
        </w:rPr>
      </w:pPr>
      <w:r>
        <w:rPr>
          <w:rFonts w:ascii="Arial" w:cs="Arial" w:eastAsia="Arial" w:hAnsi="Arial" w:hint="default"/>
          <w:b/>
          <w:bCs/>
          <w:i w:val="false"/>
          <w:iCs w:val="false"/>
          <w:color w:val="auto"/>
          <w:sz w:val="28"/>
          <w:szCs w:val="28"/>
          <w:highlight w:val="none"/>
          <w:vertAlign w:val="baseline"/>
          <w:em w:val="none"/>
          <w:lang w:val="en-GB" w:eastAsia="zh-CN"/>
        </w:rPr>
        <w:t>Marketing</w:t>
      </w:r>
      <w:r>
        <w:rPr>
          <w:rFonts w:ascii="Arial" w:cs="Arial" w:eastAsia="Arial" w:hAnsi="Arial" w:hint="default"/>
          <w:b/>
          <w:bCs/>
          <w:i w:val="false"/>
          <w:iCs w:val="false"/>
          <w:color w:val="auto"/>
          <w:sz w:val="28"/>
          <w:szCs w:val="28"/>
          <w:highlight w:val="none"/>
          <w:vertAlign w:val="baseline"/>
          <w:em w:val="none"/>
          <w:lang w:val="en-GB" w:eastAsia="zh-CN"/>
        </w:rPr>
        <w:t xml:space="preserve"> </w:t>
      </w:r>
      <w:r>
        <w:rPr>
          <w:rFonts w:ascii="Arial" w:cs="Arial" w:eastAsia="Arial" w:hAnsi="Arial" w:hint="default"/>
          <w:b/>
          <w:bCs/>
          <w:i w:val="false"/>
          <w:iCs w:val="false"/>
          <w:color w:val="auto"/>
          <w:sz w:val="28"/>
          <w:szCs w:val="28"/>
          <w:highlight w:val="none"/>
          <w:vertAlign w:val="baseline"/>
          <w:em w:val="none"/>
          <w:lang w:val="en-GB" w:eastAsia="zh-CN"/>
        </w:rPr>
        <w:t>Management</w:t>
      </w:r>
    </w:p>
    <w:p w14:paraId="13C6D6A7">
      <w:pPr>
        <w:pStyle w:val="style0"/>
        <w:jc w:val="center"/>
        <w:rPr>
          <w:b/>
          <w:bCs/>
          <w:sz w:val="28"/>
          <w:szCs w:val="28"/>
        </w:rPr>
      </w:pPr>
      <w:r>
        <w:rPr>
          <w:rFonts w:ascii="Arial" w:cs="Arial" w:eastAsia="Arial" w:hAnsi="Arial" w:hint="default"/>
          <w:b/>
          <w:bCs/>
          <w:i w:val="false"/>
          <w:iCs w:val="false"/>
          <w:color w:val="auto"/>
          <w:sz w:val="28"/>
          <w:szCs w:val="28"/>
          <w:highlight w:val="none"/>
          <w:vertAlign w:val="baseline"/>
          <w:em w:val="none"/>
          <w:lang w:val="en-GB" w:eastAsia="zh-CN"/>
        </w:rPr>
        <w:t>Module</w:t>
      </w:r>
      <w:r>
        <w:rPr>
          <w:rFonts w:ascii="Arial" w:cs="Arial" w:eastAsia="Arial" w:hAnsi="Arial" w:hint="default"/>
          <w:b/>
          <w:bCs/>
          <w:i w:val="false"/>
          <w:iCs w:val="false"/>
          <w:color w:val="auto"/>
          <w:sz w:val="28"/>
          <w:szCs w:val="28"/>
          <w:highlight w:val="none"/>
          <w:vertAlign w:val="baseline"/>
          <w:em w:val="none"/>
          <w:lang w:val="en-GB" w:eastAsia="zh-CN"/>
        </w:rPr>
        <w:t xml:space="preserve"> </w:t>
      </w:r>
      <w:r>
        <w:rPr>
          <w:rFonts w:ascii="Arial" w:cs="Arial" w:eastAsia="Arial" w:hAnsi="Arial" w:hint="default"/>
          <w:b/>
          <w:bCs/>
          <w:i w:val="false"/>
          <w:iCs w:val="false"/>
          <w:color w:val="auto"/>
          <w:sz w:val="28"/>
          <w:szCs w:val="28"/>
          <w:highlight w:val="none"/>
          <w:vertAlign w:val="baseline"/>
          <w:em w:val="none"/>
          <w:lang w:val="en-GB" w:eastAsia="zh-CN"/>
        </w:rPr>
        <w:t>Code:</w:t>
      </w:r>
      <w:r>
        <w:rPr>
          <w:rFonts w:ascii="Arial" w:cs="Arial" w:eastAsia="Arial" w:hAnsi="Arial" w:hint="default"/>
          <w:b/>
          <w:bCs/>
          <w:i w:val="false"/>
          <w:iCs w:val="false"/>
          <w:color w:val="auto"/>
          <w:sz w:val="28"/>
          <w:szCs w:val="28"/>
          <w:highlight w:val="none"/>
          <w:vertAlign w:val="baseline"/>
          <w:em w:val="none"/>
          <w:lang w:val="en-GB" w:eastAsia="zh-CN"/>
        </w:rPr>
        <w:t xml:space="preserve"> </w:t>
      </w:r>
      <w:r>
        <w:rPr>
          <w:rFonts w:ascii="Arial" w:cs="Arial" w:eastAsia="Arial" w:hAnsi="Arial" w:hint="default"/>
          <w:b/>
          <w:bCs/>
          <w:i w:val="false"/>
          <w:iCs w:val="false"/>
          <w:color w:val="auto"/>
          <w:sz w:val="28"/>
          <w:szCs w:val="28"/>
          <w:highlight w:val="none"/>
          <w:vertAlign w:val="baseline"/>
          <w:em w:val="none"/>
          <w:lang w:val="en-GB" w:eastAsia="zh-CN"/>
        </w:rPr>
        <w:t>LCMB7024</w:t>
      </w:r>
    </w:p>
    <w:p w14:paraId="FF16A9DC">
      <w:pPr>
        <w:pStyle w:val="style0"/>
        <w:jc w:val="center"/>
        <w:rPr>
          <w:b/>
          <w:bCs/>
          <w:sz w:val="28"/>
          <w:szCs w:val="28"/>
        </w:rPr>
      </w:pPr>
      <w:r>
        <w:rPr>
          <w:b/>
          <w:bCs/>
          <w:sz w:val="28"/>
          <w:szCs w:val="28"/>
        </w:rPr>
        <w:t>Lecturer: Laila Maazouz</w:t>
      </w:r>
      <w:r>
        <w:rPr>
          <w:b/>
          <w:bCs/>
          <w:sz w:val="28"/>
          <w:szCs w:val="28"/>
          <w:lang w:val="en-US"/>
        </w:rPr>
        <w:t xml:space="preserve"> </w:t>
      </w:r>
    </w:p>
    <w:p w14:paraId="721F653D">
      <w:pPr>
        <w:pStyle w:val="style0"/>
        <w:jc w:val="center"/>
        <w:rPr>
          <w:rFonts w:ascii="Arial" w:cs="Arial" w:eastAsia="Arial" w:hAnsi="Arial" w:hint="default"/>
          <w:b/>
          <w:bCs/>
          <w:i w:val="false"/>
          <w:iCs w:val="false"/>
          <w:color w:val="auto"/>
          <w:sz w:val="28"/>
          <w:szCs w:val="28"/>
          <w:highlight w:val="none"/>
          <w:vertAlign w:val="baseline"/>
          <w:em w:val="none"/>
          <w:lang w:val="en-GB" w:eastAsia="zh-CN"/>
        </w:rPr>
      </w:pPr>
      <w:r>
        <w:rPr>
          <w:rFonts w:ascii="Arial" w:cs="Arial" w:eastAsia="Arial" w:hAnsi="Arial" w:hint="default"/>
          <w:b/>
          <w:bCs/>
          <w:i w:val="false"/>
          <w:iCs w:val="false"/>
          <w:color w:val="auto"/>
          <w:sz w:val="28"/>
          <w:szCs w:val="28"/>
          <w:highlight w:val="none"/>
          <w:vertAlign w:val="baseline"/>
          <w:em w:val="none"/>
          <w:lang w:val="en-GB" w:eastAsia="zh-CN"/>
        </w:rPr>
        <w:t>Montblanc</w:t>
      </w:r>
      <w:r>
        <w:rPr>
          <w:rFonts w:ascii="Arial" w:cs="Arial" w:eastAsia="Arial" w:hAnsi="Arial" w:hint="default"/>
          <w:b/>
          <w:bCs/>
          <w:i w:val="false"/>
          <w:iCs w:val="false"/>
          <w:color w:val="auto"/>
          <w:sz w:val="28"/>
          <w:szCs w:val="28"/>
          <w:highlight w:val="none"/>
          <w:vertAlign w:val="baseline"/>
          <w:em w:val="none"/>
          <w:lang w:val="en-GB" w:eastAsia="zh-CN"/>
        </w:rPr>
        <w:t xml:space="preserve"> </w:t>
      </w:r>
      <w:r>
        <w:rPr>
          <w:rFonts w:ascii="Arial" w:cs="Arial" w:eastAsia="Arial" w:hAnsi="Arial" w:hint="default"/>
          <w:b/>
          <w:bCs/>
          <w:i w:val="false"/>
          <w:iCs w:val="false"/>
          <w:color w:val="auto"/>
          <w:sz w:val="28"/>
          <w:szCs w:val="28"/>
          <w:highlight w:val="none"/>
          <w:vertAlign w:val="baseline"/>
          <w:em w:val="none"/>
          <w:lang w:val="en-GB" w:eastAsia="zh-CN"/>
        </w:rPr>
        <w:t>Refillable</w:t>
      </w:r>
      <w:r>
        <w:rPr>
          <w:rFonts w:ascii="Arial" w:cs="Arial" w:eastAsia="Arial" w:hAnsi="Arial" w:hint="default"/>
          <w:b/>
          <w:bCs/>
          <w:i w:val="false"/>
          <w:iCs w:val="false"/>
          <w:color w:val="auto"/>
          <w:sz w:val="28"/>
          <w:szCs w:val="28"/>
          <w:highlight w:val="none"/>
          <w:vertAlign w:val="baseline"/>
          <w:em w:val="none"/>
          <w:lang w:val="en-GB" w:eastAsia="zh-CN"/>
        </w:rPr>
        <w:t xml:space="preserve"> </w:t>
      </w:r>
      <w:r>
        <w:rPr>
          <w:rFonts w:ascii="Arial" w:cs="Arial" w:eastAsia="Arial" w:hAnsi="Arial" w:hint="default"/>
          <w:b/>
          <w:bCs/>
          <w:i w:val="false"/>
          <w:iCs w:val="false"/>
          <w:color w:val="auto"/>
          <w:sz w:val="28"/>
          <w:szCs w:val="28"/>
          <w:highlight w:val="none"/>
          <w:vertAlign w:val="baseline"/>
          <w:em w:val="none"/>
          <w:lang w:val="en-GB" w:eastAsia="zh-CN"/>
        </w:rPr>
        <w:t>Smart</w:t>
      </w:r>
      <w:r>
        <w:rPr>
          <w:rFonts w:ascii="Arial" w:cs="Arial" w:eastAsia="Arial" w:hAnsi="Arial" w:hint="default"/>
          <w:b/>
          <w:bCs/>
          <w:i w:val="false"/>
          <w:iCs w:val="false"/>
          <w:color w:val="auto"/>
          <w:sz w:val="28"/>
          <w:szCs w:val="28"/>
          <w:highlight w:val="none"/>
          <w:vertAlign w:val="baseline"/>
          <w:em w:val="none"/>
          <w:lang w:val="en-GB" w:eastAsia="zh-CN"/>
        </w:rPr>
        <w:t xml:space="preserve"> </w:t>
      </w:r>
      <w:r>
        <w:rPr>
          <w:rFonts w:ascii="Arial" w:cs="Arial" w:eastAsia="Arial" w:hAnsi="Arial" w:hint="default"/>
          <w:b/>
          <w:bCs/>
          <w:i w:val="false"/>
          <w:iCs w:val="false"/>
          <w:color w:val="auto"/>
          <w:sz w:val="28"/>
          <w:szCs w:val="28"/>
          <w:highlight w:val="none"/>
          <w:vertAlign w:val="baseline"/>
          <w:em w:val="none"/>
          <w:lang w:val="en-GB" w:eastAsia="zh-CN"/>
        </w:rPr>
        <w:t>Writing</w:t>
      </w:r>
      <w:r>
        <w:rPr>
          <w:rFonts w:ascii="Arial" w:cs="Arial" w:eastAsia="Arial" w:hAnsi="Arial" w:hint="default"/>
          <w:b/>
          <w:bCs/>
          <w:i w:val="false"/>
          <w:iCs w:val="false"/>
          <w:color w:val="auto"/>
          <w:sz w:val="28"/>
          <w:szCs w:val="28"/>
          <w:highlight w:val="none"/>
          <w:vertAlign w:val="baseline"/>
          <w:em w:val="none"/>
          <w:lang w:val="en-GB" w:eastAsia="zh-CN"/>
        </w:rPr>
        <w:t xml:space="preserve"> </w:t>
      </w:r>
      <w:r>
        <w:rPr>
          <w:rFonts w:ascii="Arial" w:cs="Arial" w:eastAsia="Arial" w:hAnsi="Arial" w:hint="default"/>
          <w:b/>
          <w:bCs/>
          <w:i w:val="false"/>
          <w:iCs w:val="false"/>
          <w:color w:val="auto"/>
          <w:sz w:val="28"/>
          <w:szCs w:val="28"/>
          <w:highlight w:val="none"/>
          <w:vertAlign w:val="baseline"/>
          <w:em w:val="none"/>
          <w:lang w:val="en-GB" w:eastAsia="zh-CN"/>
        </w:rPr>
        <w:t>Instrument:</w:t>
      </w:r>
      <w:r>
        <w:rPr>
          <w:rFonts w:ascii="Arial" w:cs="Arial" w:eastAsia="Arial" w:hAnsi="Arial" w:hint="default"/>
          <w:b/>
          <w:bCs/>
          <w:i w:val="false"/>
          <w:iCs w:val="false"/>
          <w:color w:val="auto"/>
          <w:sz w:val="28"/>
          <w:szCs w:val="28"/>
          <w:highlight w:val="none"/>
          <w:vertAlign w:val="baseline"/>
          <w:em w:val="none"/>
          <w:lang w:val="en-GB" w:eastAsia="zh-CN"/>
        </w:rPr>
        <w:t xml:space="preserve"> </w:t>
      </w:r>
      <w:r>
        <w:rPr>
          <w:rFonts w:ascii="Arial" w:cs="Arial" w:eastAsia="Arial" w:hAnsi="Arial" w:hint="default"/>
          <w:b/>
          <w:bCs/>
          <w:i w:val="false"/>
          <w:iCs w:val="false"/>
          <w:color w:val="auto"/>
          <w:sz w:val="28"/>
          <w:szCs w:val="28"/>
          <w:highlight w:val="none"/>
          <w:vertAlign w:val="baseline"/>
          <w:em w:val="none"/>
          <w:lang w:val="en-GB" w:eastAsia="zh-CN"/>
        </w:rPr>
        <w:t>Sustainable</w:t>
      </w:r>
      <w:r>
        <w:rPr>
          <w:rFonts w:ascii="Arial" w:cs="Arial" w:eastAsia="Arial" w:hAnsi="Arial" w:hint="default"/>
          <w:b/>
          <w:bCs/>
          <w:i w:val="false"/>
          <w:iCs w:val="false"/>
          <w:color w:val="auto"/>
          <w:sz w:val="28"/>
          <w:szCs w:val="28"/>
          <w:highlight w:val="none"/>
          <w:vertAlign w:val="baseline"/>
          <w:em w:val="none"/>
          <w:lang w:val="en-GB" w:eastAsia="zh-CN"/>
        </w:rPr>
        <w:t xml:space="preserve"> </w:t>
      </w:r>
      <w:r>
        <w:rPr>
          <w:rFonts w:ascii="Arial" w:cs="Arial" w:eastAsia="Arial" w:hAnsi="Arial" w:hint="default"/>
          <w:b/>
          <w:bCs/>
          <w:i w:val="false"/>
          <w:iCs w:val="false"/>
          <w:color w:val="auto"/>
          <w:sz w:val="28"/>
          <w:szCs w:val="28"/>
          <w:highlight w:val="none"/>
          <w:vertAlign w:val="baseline"/>
          <w:em w:val="none"/>
          <w:lang w:val="en-GB" w:eastAsia="zh-CN"/>
        </w:rPr>
        <w:t>Brand</w:t>
      </w:r>
      <w:r>
        <w:rPr>
          <w:rFonts w:ascii="Arial" w:cs="Arial" w:eastAsia="Arial" w:hAnsi="Arial" w:hint="default"/>
          <w:b/>
          <w:bCs/>
          <w:i w:val="false"/>
          <w:iCs w:val="false"/>
          <w:color w:val="auto"/>
          <w:sz w:val="28"/>
          <w:szCs w:val="28"/>
          <w:highlight w:val="none"/>
          <w:vertAlign w:val="baseline"/>
          <w:em w:val="none"/>
          <w:lang w:val="en-GB" w:eastAsia="zh-CN"/>
        </w:rPr>
        <w:t xml:space="preserve"> </w:t>
      </w:r>
      <w:r>
        <w:rPr>
          <w:rFonts w:ascii="Arial" w:cs="Arial" w:eastAsia="Arial" w:hAnsi="Arial" w:hint="default"/>
          <w:b/>
          <w:bCs/>
          <w:i w:val="false"/>
          <w:iCs w:val="false"/>
          <w:color w:val="auto"/>
          <w:sz w:val="28"/>
          <w:szCs w:val="28"/>
          <w:highlight w:val="none"/>
          <w:vertAlign w:val="baseline"/>
          <w:em w:val="none"/>
          <w:lang w:val="en-GB" w:eastAsia="zh-CN"/>
        </w:rPr>
        <w:t>Extension</w:t>
      </w:r>
      <w:r>
        <w:rPr>
          <w:rFonts w:ascii="Arial" w:cs="Arial" w:eastAsia="Arial" w:hAnsi="Arial" w:hint="default"/>
          <w:b/>
          <w:bCs/>
          <w:i w:val="false"/>
          <w:iCs w:val="false"/>
          <w:color w:val="auto"/>
          <w:sz w:val="28"/>
          <w:szCs w:val="28"/>
          <w:highlight w:val="none"/>
          <w:vertAlign w:val="baseline"/>
          <w:em w:val="none"/>
          <w:lang w:val="en-GB" w:eastAsia="zh-CN"/>
        </w:rPr>
        <w:t xml:space="preserve"> </w:t>
      </w:r>
      <w:r>
        <w:rPr>
          <w:rFonts w:ascii="Arial" w:cs="Arial" w:eastAsia="Arial" w:hAnsi="Arial" w:hint="default"/>
          <w:b/>
          <w:bCs/>
          <w:i w:val="false"/>
          <w:iCs w:val="false"/>
          <w:color w:val="auto"/>
          <w:sz w:val="28"/>
          <w:szCs w:val="28"/>
          <w:highlight w:val="none"/>
          <w:vertAlign w:val="baseline"/>
          <w:em w:val="none"/>
          <w:lang w:val="en-GB" w:eastAsia="zh-CN"/>
        </w:rPr>
        <w:t>Marketing</w:t>
      </w:r>
      <w:r>
        <w:rPr>
          <w:rFonts w:ascii="Arial" w:cs="Arial" w:eastAsia="Arial" w:hAnsi="Arial" w:hint="default"/>
          <w:b/>
          <w:bCs/>
          <w:i w:val="false"/>
          <w:iCs w:val="false"/>
          <w:color w:val="auto"/>
          <w:sz w:val="28"/>
          <w:szCs w:val="28"/>
          <w:highlight w:val="none"/>
          <w:vertAlign w:val="baseline"/>
          <w:em w:val="none"/>
          <w:lang w:val="en-GB" w:eastAsia="zh-CN"/>
        </w:rPr>
        <w:t xml:space="preserve"> </w:t>
      </w:r>
      <w:r>
        <w:rPr>
          <w:rFonts w:ascii="Arial" w:cs="Arial" w:eastAsia="Arial" w:hAnsi="Arial" w:hint="default"/>
          <w:b/>
          <w:bCs/>
          <w:i w:val="false"/>
          <w:iCs w:val="false"/>
          <w:color w:val="auto"/>
          <w:sz w:val="28"/>
          <w:szCs w:val="28"/>
          <w:highlight w:val="none"/>
          <w:vertAlign w:val="baseline"/>
          <w:em w:val="none"/>
          <w:lang w:val="en-GB" w:eastAsia="zh-CN"/>
        </w:rPr>
        <w:t>Strategy</w:t>
      </w:r>
    </w:p>
    <w:p w14:paraId="195D339D">
      <w:pPr>
        <w:pStyle w:val="style0"/>
        <w:jc w:val="center"/>
        <w:rPr/>
      </w:pPr>
      <w:r>
        <w:rPr>
          <w:rFonts w:ascii="Arial" w:cs="Arial" w:eastAsia="Arial" w:hAnsi="Arial" w:hint="default"/>
          <w:b/>
          <w:bCs/>
          <w:i w:val="false"/>
          <w:iCs w:val="false"/>
          <w:color w:val="auto"/>
          <w:sz w:val="28"/>
          <w:szCs w:val="28"/>
          <w:highlight w:val="none"/>
          <w:vertAlign w:val="baseline"/>
          <w:em w:val="none"/>
          <w:lang w:val="en-US" w:eastAsia="zh-CN"/>
        </w:rPr>
        <w:t>Term1</w:t>
      </w:r>
      <w:r>
        <w:br w:type="page"/>
      </w:r>
    </w:p>
    <w:p w14:paraId="2791CD6D">
      <w:pPr>
        <w:pStyle w:val="style0"/>
        <w:jc w:val="center"/>
        <w:rPr>
          <w:b/>
          <w:bCs/>
        </w:rPr>
      </w:pPr>
      <w:r>
        <w:rPr>
          <w:b/>
          <w:bCs/>
        </w:rPr>
        <w:t>TABLE OF CONTENTS</w:t>
      </w:r>
    </w:p>
    <w:p w14:paraId="2875F13E">
      <w:pPr>
        <w:pStyle w:val="style19"/>
        <w:tabs>
          <w:tab w:val="right" w:leader="dot" w:pos="9019"/>
        </w:tabs>
        <w:rPr>
          <w:noProof/>
        </w:rPr>
      </w:pPr>
      <w:r>
        <w:rPr/>
        <w:fldChar w:fldCharType="begin"/>
      </w:r>
      <w:r>
        <w:instrText xml:space="preserve"> TOC \h \u \z \t "Heading 1,1,Heading 2,2,Heading 3,3,Heading 4,4,Heading 5,5,Heading 6,6,"</w:instrText>
      </w:r>
      <w:r>
        <w:rPr/>
        <w:fldChar w:fldCharType="separate"/>
      </w:r>
      <w:r>
        <w:rPr/>
        <w:fldChar w:fldCharType="begin"/>
      </w:r>
      <w:r>
        <w:instrText xml:space="preserve"> HYPERLINK \l "_Toc237388058" </w:instrText>
      </w:r>
      <w:r>
        <w:rPr/>
        <w:fldChar w:fldCharType="separate"/>
      </w:r>
      <w:r>
        <w:rPr>
          <w:rStyle w:val="style85"/>
          <w:noProof/>
        </w:rPr>
        <w:t>Element 1 – Sustainable Brand Extension Poster</w:t>
      </w:r>
      <w:r>
        <w:rPr>
          <w:noProof/>
          <w:webHidden/>
        </w:rPr>
        <w:tab/>
      </w:r>
      <w:r>
        <w:rPr>
          <w:noProof/>
          <w:webHidden/>
        </w:rPr>
        <w:fldChar w:fldCharType="begin"/>
      </w:r>
      <w:r>
        <w:rPr>
          <w:noProof/>
          <w:webHidden/>
        </w:rPr>
        <w:instrText xml:space="preserve"> PAGEREF _Toc237388058 \h </w:instrText>
      </w:r>
      <w:r>
        <w:rPr>
          <w:noProof/>
          <w:webHidden/>
        </w:rPr>
        <w:fldChar w:fldCharType="separate"/>
      </w:r>
      <w:r>
        <w:rPr>
          <w:noProof/>
          <w:webHidden/>
        </w:rPr>
        <w:t>3</w:t>
      </w:r>
      <w:r>
        <w:rPr>
          <w:noProof/>
          <w:webHidden/>
        </w:rPr>
        <w:fldChar w:fldCharType="end"/>
      </w:r>
      <w:r>
        <w:rPr/>
        <w:fldChar w:fldCharType="end"/>
      </w:r>
    </w:p>
    <w:p w14:paraId="4FB4B0D6">
      <w:pPr>
        <w:pStyle w:val="style19"/>
        <w:tabs>
          <w:tab w:val="right" w:leader="dot" w:pos="9019"/>
        </w:tabs>
        <w:rPr>
          <w:noProof/>
        </w:rPr>
      </w:pPr>
      <w:r>
        <w:rPr/>
        <w:fldChar w:fldCharType="begin"/>
      </w:r>
      <w:r>
        <w:instrText xml:space="preserve"> HYPERLINK \l "_Toc237388059" </w:instrText>
      </w:r>
      <w:r>
        <w:rPr/>
        <w:fldChar w:fldCharType="separate"/>
      </w:r>
      <w:r>
        <w:rPr>
          <w:rStyle w:val="style85"/>
          <w:noProof/>
        </w:rPr>
        <w:t>Element 2: Segmentation, Targeting, Differentiation and Positioning Analysis</w:t>
      </w:r>
      <w:r>
        <w:rPr>
          <w:noProof/>
          <w:webHidden/>
        </w:rPr>
        <w:tab/>
      </w:r>
      <w:r>
        <w:rPr>
          <w:noProof/>
          <w:webHidden/>
        </w:rPr>
        <w:fldChar w:fldCharType="begin"/>
      </w:r>
      <w:r>
        <w:rPr>
          <w:noProof/>
          <w:webHidden/>
        </w:rPr>
        <w:instrText xml:space="preserve"> PAGEREF _Toc237388059 \h </w:instrText>
      </w:r>
      <w:r>
        <w:rPr>
          <w:noProof/>
          <w:webHidden/>
        </w:rPr>
        <w:fldChar w:fldCharType="separate"/>
      </w:r>
      <w:r>
        <w:rPr>
          <w:noProof/>
          <w:webHidden/>
        </w:rPr>
        <w:t>4</w:t>
      </w:r>
      <w:r>
        <w:rPr>
          <w:noProof/>
          <w:webHidden/>
        </w:rPr>
        <w:fldChar w:fldCharType="end"/>
      </w:r>
      <w:r>
        <w:rPr/>
        <w:fldChar w:fldCharType="end"/>
      </w:r>
    </w:p>
    <w:p w14:paraId="61F0EF5C">
      <w:pPr>
        <w:pStyle w:val="style20"/>
        <w:tabs>
          <w:tab w:val="right" w:leader="dot" w:pos="9019"/>
        </w:tabs>
        <w:rPr>
          <w:noProof/>
        </w:rPr>
      </w:pPr>
      <w:r>
        <w:rPr/>
        <w:fldChar w:fldCharType="begin"/>
      </w:r>
      <w:r>
        <w:instrText xml:space="preserve"> HYPERLINK \l "_Toc237388060" </w:instrText>
      </w:r>
      <w:r>
        <w:rPr/>
        <w:fldChar w:fldCharType="separate"/>
      </w:r>
      <w:r>
        <w:rPr>
          <w:rStyle w:val="style85"/>
          <w:noProof/>
        </w:rPr>
        <w:t>2.1 Segmentation</w:t>
      </w:r>
      <w:r>
        <w:rPr>
          <w:noProof/>
          <w:webHidden/>
        </w:rPr>
        <w:tab/>
      </w:r>
      <w:r>
        <w:rPr>
          <w:noProof/>
          <w:webHidden/>
        </w:rPr>
        <w:fldChar w:fldCharType="begin"/>
      </w:r>
      <w:r>
        <w:rPr>
          <w:noProof/>
          <w:webHidden/>
        </w:rPr>
        <w:instrText xml:space="preserve"> PAGEREF _Toc237388060 \h </w:instrText>
      </w:r>
      <w:r>
        <w:rPr>
          <w:noProof/>
          <w:webHidden/>
        </w:rPr>
        <w:fldChar w:fldCharType="separate"/>
      </w:r>
      <w:r>
        <w:rPr>
          <w:noProof/>
          <w:webHidden/>
        </w:rPr>
        <w:t>4</w:t>
      </w:r>
      <w:r>
        <w:rPr>
          <w:noProof/>
          <w:webHidden/>
        </w:rPr>
        <w:fldChar w:fldCharType="end"/>
      </w:r>
      <w:r>
        <w:rPr/>
        <w:fldChar w:fldCharType="end"/>
      </w:r>
    </w:p>
    <w:p w14:paraId="731B92A8">
      <w:pPr>
        <w:pStyle w:val="style20"/>
        <w:tabs>
          <w:tab w:val="right" w:leader="dot" w:pos="9019"/>
        </w:tabs>
        <w:rPr>
          <w:noProof/>
        </w:rPr>
      </w:pPr>
      <w:r>
        <w:rPr/>
        <w:fldChar w:fldCharType="begin"/>
      </w:r>
      <w:r>
        <w:instrText xml:space="preserve"> HYPERLINK \l "_Toc237388061" </w:instrText>
      </w:r>
      <w:r>
        <w:rPr/>
        <w:fldChar w:fldCharType="separate"/>
      </w:r>
      <w:r>
        <w:rPr>
          <w:rStyle w:val="style85"/>
          <w:noProof/>
        </w:rPr>
        <w:t>2.2 Targeting</w:t>
      </w:r>
      <w:r>
        <w:rPr>
          <w:noProof/>
          <w:webHidden/>
        </w:rPr>
        <w:tab/>
      </w:r>
      <w:r>
        <w:rPr>
          <w:noProof/>
          <w:webHidden/>
        </w:rPr>
        <w:fldChar w:fldCharType="begin"/>
      </w:r>
      <w:r>
        <w:rPr>
          <w:noProof/>
          <w:webHidden/>
        </w:rPr>
        <w:instrText xml:space="preserve"> PAGEREF _Toc237388061 \h </w:instrText>
      </w:r>
      <w:r>
        <w:rPr>
          <w:noProof/>
          <w:webHidden/>
        </w:rPr>
        <w:fldChar w:fldCharType="separate"/>
      </w:r>
      <w:r>
        <w:rPr>
          <w:noProof/>
          <w:webHidden/>
        </w:rPr>
        <w:t>5</w:t>
      </w:r>
      <w:r>
        <w:rPr>
          <w:noProof/>
          <w:webHidden/>
        </w:rPr>
        <w:fldChar w:fldCharType="end"/>
      </w:r>
      <w:r>
        <w:rPr/>
        <w:fldChar w:fldCharType="end"/>
      </w:r>
    </w:p>
    <w:p w14:paraId="03D62900">
      <w:pPr>
        <w:pStyle w:val="style20"/>
        <w:tabs>
          <w:tab w:val="right" w:leader="dot" w:pos="9019"/>
        </w:tabs>
        <w:rPr>
          <w:noProof/>
        </w:rPr>
      </w:pPr>
      <w:r>
        <w:rPr/>
        <w:fldChar w:fldCharType="begin"/>
      </w:r>
      <w:r>
        <w:instrText xml:space="preserve"> HYPERLINK \l "_Toc237388062" </w:instrText>
      </w:r>
      <w:r>
        <w:rPr/>
        <w:fldChar w:fldCharType="separate"/>
      </w:r>
      <w:r>
        <w:rPr>
          <w:rStyle w:val="style85"/>
          <w:noProof/>
        </w:rPr>
        <w:t>2.3 Differentiation</w:t>
      </w:r>
      <w:r>
        <w:rPr>
          <w:noProof/>
          <w:webHidden/>
        </w:rPr>
        <w:tab/>
      </w:r>
      <w:r>
        <w:rPr>
          <w:noProof/>
          <w:webHidden/>
        </w:rPr>
        <w:fldChar w:fldCharType="begin"/>
      </w:r>
      <w:r>
        <w:rPr>
          <w:noProof/>
          <w:webHidden/>
        </w:rPr>
        <w:instrText xml:space="preserve"> PAGEREF _Toc237388062 \h </w:instrText>
      </w:r>
      <w:r>
        <w:rPr>
          <w:noProof/>
          <w:webHidden/>
        </w:rPr>
        <w:fldChar w:fldCharType="separate"/>
      </w:r>
      <w:r>
        <w:rPr>
          <w:noProof/>
          <w:webHidden/>
        </w:rPr>
        <w:t>6</w:t>
      </w:r>
      <w:r>
        <w:rPr>
          <w:noProof/>
          <w:webHidden/>
        </w:rPr>
        <w:fldChar w:fldCharType="end"/>
      </w:r>
      <w:r>
        <w:rPr/>
        <w:fldChar w:fldCharType="end"/>
      </w:r>
    </w:p>
    <w:p w14:paraId="49EFA31E">
      <w:pPr>
        <w:pStyle w:val="style20"/>
        <w:tabs>
          <w:tab w:val="right" w:leader="dot" w:pos="9019"/>
        </w:tabs>
        <w:rPr>
          <w:noProof/>
        </w:rPr>
      </w:pPr>
      <w:r>
        <w:rPr/>
        <w:fldChar w:fldCharType="begin"/>
      </w:r>
      <w:r>
        <w:instrText xml:space="preserve"> HYPERLINK \l "_Toc237388063" </w:instrText>
      </w:r>
      <w:r>
        <w:rPr/>
        <w:fldChar w:fldCharType="separate"/>
      </w:r>
      <w:r>
        <w:rPr>
          <w:rStyle w:val="style85"/>
          <w:noProof/>
        </w:rPr>
        <w:t>2.4 Positioning</w:t>
      </w:r>
      <w:r>
        <w:rPr>
          <w:noProof/>
          <w:webHidden/>
        </w:rPr>
        <w:tab/>
      </w:r>
      <w:r>
        <w:rPr>
          <w:noProof/>
          <w:webHidden/>
        </w:rPr>
        <w:fldChar w:fldCharType="begin"/>
      </w:r>
      <w:r>
        <w:rPr>
          <w:noProof/>
          <w:webHidden/>
        </w:rPr>
        <w:instrText xml:space="preserve"> PAGEREF _Toc237388063 \h </w:instrText>
      </w:r>
      <w:r>
        <w:rPr>
          <w:noProof/>
          <w:webHidden/>
        </w:rPr>
        <w:fldChar w:fldCharType="separate"/>
      </w:r>
      <w:r>
        <w:rPr>
          <w:noProof/>
          <w:webHidden/>
        </w:rPr>
        <w:t>7</w:t>
      </w:r>
      <w:r>
        <w:rPr>
          <w:noProof/>
          <w:webHidden/>
        </w:rPr>
        <w:fldChar w:fldCharType="end"/>
      </w:r>
      <w:r>
        <w:rPr/>
        <w:fldChar w:fldCharType="end"/>
      </w:r>
    </w:p>
    <w:p w14:paraId="09517FA2">
      <w:pPr>
        <w:pStyle w:val="style19"/>
        <w:tabs>
          <w:tab w:val="right" w:leader="dot" w:pos="9019"/>
        </w:tabs>
        <w:rPr>
          <w:noProof/>
        </w:rPr>
      </w:pPr>
      <w:r>
        <w:rPr/>
        <w:fldChar w:fldCharType="begin"/>
      </w:r>
      <w:r>
        <w:instrText xml:space="preserve"> HYPERLINK \l "_Toc237388064" </w:instrText>
      </w:r>
      <w:r>
        <w:rPr/>
        <w:fldChar w:fldCharType="separate"/>
      </w:r>
      <w:r>
        <w:rPr>
          <w:rStyle w:val="style85"/>
          <w:noProof/>
        </w:rPr>
        <w:t>Element 3: Marketing Mix: 7Ps</w:t>
      </w:r>
      <w:r>
        <w:rPr>
          <w:noProof/>
          <w:webHidden/>
        </w:rPr>
        <w:tab/>
      </w:r>
      <w:r>
        <w:rPr>
          <w:noProof/>
          <w:webHidden/>
        </w:rPr>
        <w:fldChar w:fldCharType="begin"/>
      </w:r>
      <w:r>
        <w:rPr>
          <w:noProof/>
          <w:webHidden/>
        </w:rPr>
        <w:instrText xml:space="preserve"> PAGEREF _Toc237388064 \h </w:instrText>
      </w:r>
      <w:r>
        <w:rPr>
          <w:noProof/>
          <w:webHidden/>
        </w:rPr>
        <w:fldChar w:fldCharType="separate"/>
      </w:r>
      <w:r>
        <w:rPr>
          <w:noProof/>
          <w:webHidden/>
        </w:rPr>
        <w:t>8</w:t>
      </w:r>
      <w:r>
        <w:rPr>
          <w:noProof/>
          <w:webHidden/>
        </w:rPr>
        <w:fldChar w:fldCharType="end"/>
      </w:r>
      <w:r>
        <w:rPr/>
        <w:fldChar w:fldCharType="end"/>
      </w:r>
    </w:p>
    <w:p w14:paraId="169A1324">
      <w:pPr>
        <w:pStyle w:val="style20"/>
        <w:tabs>
          <w:tab w:val="right" w:leader="dot" w:pos="9019"/>
        </w:tabs>
        <w:rPr>
          <w:noProof/>
        </w:rPr>
      </w:pPr>
      <w:r>
        <w:rPr/>
        <w:fldChar w:fldCharType="begin"/>
      </w:r>
      <w:r>
        <w:instrText xml:space="preserve"> HYPERLINK \l "_Toc237388065" </w:instrText>
      </w:r>
      <w:r>
        <w:rPr/>
        <w:fldChar w:fldCharType="separate"/>
      </w:r>
      <w:r>
        <w:rPr>
          <w:rStyle w:val="style85"/>
          <w:noProof/>
        </w:rPr>
        <w:t>3.1 Product</w:t>
      </w:r>
      <w:r>
        <w:rPr>
          <w:noProof/>
          <w:webHidden/>
        </w:rPr>
        <w:tab/>
      </w:r>
      <w:r>
        <w:rPr>
          <w:noProof/>
          <w:webHidden/>
        </w:rPr>
        <w:fldChar w:fldCharType="begin"/>
      </w:r>
      <w:r>
        <w:rPr>
          <w:noProof/>
          <w:webHidden/>
        </w:rPr>
        <w:instrText xml:space="preserve"> PAGEREF _Toc237388065 \h </w:instrText>
      </w:r>
      <w:r>
        <w:rPr>
          <w:noProof/>
          <w:webHidden/>
        </w:rPr>
        <w:fldChar w:fldCharType="separate"/>
      </w:r>
      <w:r>
        <w:rPr>
          <w:noProof/>
          <w:webHidden/>
        </w:rPr>
        <w:t>8</w:t>
      </w:r>
      <w:r>
        <w:rPr>
          <w:noProof/>
          <w:webHidden/>
        </w:rPr>
        <w:fldChar w:fldCharType="end"/>
      </w:r>
      <w:r>
        <w:rPr/>
        <w:fldChar w:fldCharType="end"/>
      </w:r>
    </w:p>
    <w:p w14:paraId="2FDD02C7">
      <w:pPr>
        <w:pStyle w:val="style20"/>
        <w:tabs>
          <w:tab w:val="right" w:leader="dot" w:pos="9019"/>
        </w:tabs>
        <w:rPr>
          <w:noProof/>
        </w:rPr>
      </w:pPr>
      <w:r>
        <w:rPr/>
        <w:fldChar w:fldCharType="begin"/>
      </w:r>
      <w:r>
        <w:instrText xml:space="preserve"> HYPERLINK \l "_Toc237388066" </w:instrText>
      </w:r>
      <w:r>
        <w:rPr/>
        <w:fldChar w:fldCharType="separate"/>
      </w:r>
      <w:r>
        <w:rPr>
          <w:rStyle w:val="style85"/>
          <w:noProof/>
        </w:rPr>
        <w:t>3.2 Price</w:t>
      </w:r>
      <w:r>
        <w:rPr>
          <w:noProof/>
          <w:webHidden/>
        </w:rPr>
        <w:tab/>
      </w:r>
      <w:r>
        <w:rPr>
          <w:noProof/>
          <w:webHidden/>
        </w:rPr>
        <w:fldChar w:fldCharType="begin"/>
      </w:r>
      <w:r>
        <w:rPr>
          <w:noProof/>
          <w:webHidden/>
        </w:rPr>
        <w:instrText xml:space="preserve"> PAGEREF _Toc237388066 \h </w:instrText>
      </w:r>
      <w:r>
        <w:rPr>
          <w:noProof/>
          <w:webHidden/>
        </w:rPr>
        <w:fldChar w:fldCharType="separate"/>
      </w:r>
      <w:r>
        <w:rPr>
          <w:noProof/>
          <w:webHidden/>
        </w:rPr>
        <w:t>9</w:t>
      </w:r>
      <w:r>
        <w:rPr>
          <w:noProof/>
          <w:webHidden/>
        </w:rPr>
        <w:fldChar w:fldCharType="end"/>
      </w:r>
      <w:r>
        <w:rPr/>
        <w:fldChar w:fldCharType="end"/>
      </w:r>
    </w:p>
    <w:p w14:paraId="4CC056B2">
      <w:pPr>
        <w:pStyle w:val="style20"/>
        <w:tabs>
          <w:tab w:val="right" w:leader="dot" w:pos="9019"/>
        </w:tabs>
        <w:rPr>
          <w:noProof/>
        </w:rPr>
      </w:pPr>
      <w:r>
        <w:rPr/>
        <w:fldChar w:fldCharType="begin"/>
      </w:r>
      <w:r>
        <w:instrText xml:space="preserve"> HYPERLINK \l "_Toc237388067" </w:instrText>
      </w:r>
      <w:r>
        <w:rPr/>
        <w:fldChar w:fldCharType="separate"/>
      </w:r>
      <w:r>
        <w:rPr>
          <w:rStyle w:val="style85"/>
          <w:noProof/>
        </w:rPr>
        <w:t>3.3 Place</w:t>
      </w:r>
      <w:r>
        <w:rPr>
          <w:noProof/>
          <w:webHidden/>
        </w:rPr>
        <w:tab/>
      </w:r>
      <w:r>
        <w:rPr>
          <w:noProof/>
          <w:webHidden/>
        </w:rPr>
        <w:fldChar w:fldCharType="begin"/>
      </w:r>
      <w:r>
        <w:rPr>
          <w:noProof/>
          <w:webHidden/>
        </w:rPr>
        <w:instrText xml:space="preserve"> PAGEREF _Toc237388067 \h </w:instrText>
      </w:r>
      <w:r>
        <w:rPr>
          <w:noProof/>
          <w:webHidden/>
        </w:rPr>
        <w:fldChar w:fldCharType="separate"/>
      </w:r>
      <w:r>
        <w:rPr>
          <w:noProof/>
          <w:webHidden/>
        </w:rPr>
        <w:t>9</w:t>
      </w:r>
      <w:r>
        <w:rPr>
          <w:noProof/>
          <w:webHidden/>
        </w:rPr>
        <w:fldChar w:fldCharType="end"/>
      </w:r>
      <w:r>
        <w:rPr/>
        <w:fldChar w:fldCharType="end"/>
      </w:r>
    </w:p>
    <w:p w14:paraId="09CAD2AB">
      <w:pPr>
        <w:pStyle w:val="style20"/>
        <w:tabs>
          <w:tab w:val="right" w:leader="dot" w:pos="9019"/>
        </w:tabs>
        <w:rPr>
          <w:noProof/>
        </w:rPr>
      </w:pPr>
      <w:r>
        <w:rPr/>
        <w:fldChar w:fldCharType="begin"/>
      </w:r>
      <w:r>
        <w:instrText xml:space="preserve"> HYPERLINK \l "_Toc237388068" </w:instrText>
      </w:r>
      <w:r>
        <w:rPr/>
        <w:fldChar w:fldCharType="separate"/>
      </w:r>
      <w:r>
        <w:rPr>
          <w:rStyle w:val="style85"/>
          <w:noProof/>
        </w:rPr>
        <w:t>3.4 Promotion</w:t>
      </w:r>
      <w:r>
        <w:rPr>
          <w:noProof/>
          <w:webHidden/>
        </w:rPr>
        <w:tab/>
      </w:r>
      <w:r>
        <w:rPr>
          <w:noProof/>
          <w:webHidden/>
        </w:rPr>
        <w:fldChar w:fldCharType="begin"/>
      </w:r>
      <w:r>
        <w:rPr>
          <w:noProof/>
          <w:webHidden/>
        </w:rPr>
        <w:instrText xml:space="preserve"> PAGEREF _Toc237388068 \h </w:instrText>
      </w:r>
      <w:r>
        <w:rPr>
          <w:noProof/>
          <w:webHidden/>
        </w:rPr>
        <w:fldChar w:fldCharType="separate"/>
      </w:r>
      <w:r>
        <w:rPr>
          <w:noProof/>
          <w:webHidden/>
        </w:rPr>
        <w:t>10</w:t>
      </w:r>
      <w:r>
        <w:rPr>
          <w:noProof/>
          <w:webHidden/>
        </w:rPr>
        <w:fldChar w:fldCharType="end"/>
      </w:r>
      <w:r>
        <w:rPr/>
        <w:fldChar w:fldCharType="end"/>
      </w:r>
    </w:p>
    <w:p w14:paraId="4500A218">
      <w:pPr>
        <w:pStyle w:val="style20"/>
        <w:tabs>
          <w:tab w:val="right" w:leader="dot" w:pos="9019"/>
        </w:tabs>
        <w:rPr>
          <w:noProof/>
        </w:rPr>
      </w:pPr>
      <w:r>
        <w:rPr/>
        <w:fldChar w:fldCharType="begin"/>
      </w:r>
      <w:r>
        <w:instrText xml:space="preserve"> HYPERLINK \l "_Toc237388069" </w:instrText>
      </w:r>
      <w:r>
        <w:rPr/>
        <w:fldChar w:fldCharType="separate"/>
      </w:r>
      <w:r>
        <w:rPr>
          <w:rStyle w:val="style85"/>
          <w:noProof/>
        </w:rPr>
        <w:t>3.5 People</w:t>
      </w:r>
      <w:r>
        <w:rPr>
          <w:noProof/>
          <w:webHidden/>
        </w:rPr>
        <w:tab/>
      </w:r>
      <w:r>
        <w:rPr>
          <w:noProof/>
          <w:webHidden/>
        </w:rPr>
        <w:fldChar w:fldCharType="begin"/>
      </w:r>
      <w:r>
        <w:rPr>
          <w:noProof/>
          <w:webHidden/>
        </w:rPr>
        <w:instrText xml:space="preserve"> PAGEREF _Toc237388069 \h </w:instrText>
      </w:r>
      <w:r>
        <w:rPr>
          <w:noProof/>
          <w:webHidden/>
        </w:rPr>
        <w:fldChar w:fldCharType="separate"/>
      </w:r>
      <w:r>
        <w:rPr>
          <w:noProof/>
          <w:webHidden/>
        </w:rPr>
        <w:t>11</w:t>
      </w:r>
      <w:r>
        <w:rPr>
          <w:noProof/>
          <w:webHidden/>
        </w:rPr>
        <w:fldChar w:fldCharType="end"/>
      </w:r>
      <w:r>
        <w:rPr/>
        <w:fldChar w:fldCharType="end"/>
      </w:r>
    </w:p>
    <w:p w14:paraId="4457407F">
      <w:pPr>
        <w:pStyle w:val="style20"/>
        <w:tabs>
          <w:tab w:val="right" w:leader="dot" w:pos="9019"/>
        </w:tabs>
        <w:rPr>
          <w:noProof/>
        </w:rPr>
      </w:pPr>
      <w:r>
        <w:rPr/>
        <w:fldChar w:fldCharType="begin"/>
      </w:r>
      <w:r>
        <w:instrText xml:space="preserve"> HYPERLINK \l "_Toc237388070" </w:instrText>
      </w:r>
      <w:r>
        <w:rPr/>
        <w:fldChar w:fldCharType="separate"/>
      </w:r>
      <w:r>
        <w:rPr>
          <w:rStyle w:val="style85"/>
          <w:noProof/>
        </w:rPr>
        <w:t>3.6 Process</w:t>
      </w:r>
      <w:r>
        <w:rPr>
          <w:noProof/>
          <w:webHidden/>
        </w:rPr>
        <w:tab/>
      </w:r>
      <w:r>
        <w:rPr>
          <w:noProof/>
          <w:webHidden/>
        </w:rPr>
        <w:fldChar w:fldCharType="begin"/>
      </w:r>
      <w:r>
        <w:rPr>
          <w:noProof/>
          <w:webHidden/>
        </w:rPr>
        <w:instrText xml:space="preserve"> PAGEREF _Toc237388070 \h </w:instrText>
      </w:r>
      <w:r>
        <w:rPr>
          <w:noProof/>
          <w:webHidden/>
        </w:rPr>
        <w:fldChar w:fldCharType="separate"/>
      </w:r>
      <w:r>
        <w:rPr>
          <w:noProof/>
          <w:webHidden/>
        </w:rPr>
        <w:t>11</w:t>
      </w:r>
      <w:r>
        <w:rPr>
          <w:noProof/>
          <w:webHidden/>
        </w:rPr>
        <w:fldChar w:fldCharType="end"/>
      </w:r>
      <w:r>
        <w:rPr/>
        <w:fldChar w:fldCharType="end"/>
      </w:r>
    </w:p>
    <w:p w14:paraId="62521071">
      <w:pPr>
        <w:pStyle w:val="style20"/>
        <w:tabs>
          <w:tab w:val="right" w:leader="dot" w:pos="9019"/>
        </w:tabs>
        <w:rPr>
          <w:noProof/>
        </w:rPr>
      </w:pPr>
      <w:r>
        <w:rPr/>
        <w:fldChar w:fldCharType="begin"/>
      </w:r>
      <w:r>
        <w:instrText xml:space="preserve"> HYPERLINK \l "_Toc237388071" </w:instrText>
      </w:r>
      <w:r>
        <w:rPr/>
        <w:fldChar w:fldCharType="separate"/>
      </w:r>
      <w:r>
        <w:rPr>
          <w:rStyle w:val="style85"/>
          <w:noProof/>
        </w:rPr>
        <w:t>3.7 Physical Evidence</w:t>
      </w:r>
      <w:r>
        <w:rPr>
          <w:noProof/>
          <w:webHidden/>
        </w:rPr>
        <w:tab/>
      </w:r>
      <w:r>
        <w:rPr>
          <w:noProof/>
          <w:webHidden/>
        </w:rPr>
        <w:fldChar w:fldCharType="begin"/>
      </w:r>
      <w:r>
        <w:rPr>
          <w:noProof/>
          <w:webHidden/>
        </w:rPr>
        <w:instrText xml:space="preserve"> PAGEREF _Toc237388071 \h </w:instrText>
      </w:r>
      <w:r>
        <w:rPr>
          <w:noProof/>
          <w:webHidden/>
        </w:rPr>
        <w:fldChar w:fldCharType="separate"/>
      </w:r>
      <w:r>
        <w:rPr>
          <w:noProof/>
          <w:webHidden/>
        </w:rPr>
        <w:t>12</w:t>
      </w:r>
      <w:r>
        <w:rPr>
          <w:noProof/>
          <w:webHidden/>
        </w:rPr>
        <w:fldChar w:fldCharType="end"/>
      </w:r>
      <w:r>
        <w:rPr/>
        <w:fldChar w:fldCharType="end"/>
      </w:r>
    </w:p>
    <w:p w14:paraId="014DA3C2">
      <w:pPr>
        <w:pStyle w:val="style19"/>
        <w:tabs>
          <w:tab w:val="right" w:leader="dot" w:pos="9019"/>
        </w:tabs>
        <w:rPr>
          <w:noProof/>
        </w:rPr>
      </w:pPr>
      <w:r>
        <w:rPr/>
        <w:fldChar w:fldCharType="begin"/>
      </w:r>
      <w:r>
        <w:instrText xml:space="preserve"> HYPERLINK \l "_Toc237388072" </w:instrText>
      </w:r>
      <w:r>
        <w:rPr/>
        <w:fldChar w:fldCharType="separate"/>
      </w:r>
      <w:r>
        <w:rPr>
          <w:rStyle w:val="style85"/>
          <w:noProof/>
        </w:rPr>
        <w:t>Element 4 – Critical Reflection</w:t>
      </w:r>
      <w:r>
        <w:rPr>
          <w:noProof/>
          <w:webHidden/>
        </w:rPr>
        <w:tab/>
      </w:r>
      <w:r>
        <w:rPr>
          <w:noProof/>
          <w:webHidden/>
        </w:rPr>
        <w:fldChar w:fldCharType="begin"/>
      </w:r>
      <w:r>
        <w:rPr>
          <w:noProof/>
          <w:webHidden/>
        </w:rPr>
        <w:instrText xml:space="preserve"> PAGEREF _Toc237388072 \h </w:instrText>
      </w:r>
      <w:r>
        <w:rPr>
          <w:noProof/>
          <w:webHidden/>
        </w:rPr>
        <w:fldChar w:fldCharType="separate"/>
      </w:r>
      <w:r>
        <w:rPr>
          <w:noProof/>
          <w:webHidden/>
        </w:rPr>
        <w:t>13</w:t>
      </w:r>
      <w:r>
        <w:rPr>
          <w:noProof/>
          <w:webHidden/>
        </w:rPr>
        <w:fldChar w:fldCharType="end"/>
      </w:r>
      <w:r>
        <w:rPr/>
        <w:fldChar w:fldCharType="end"/>
      </w:r>
    </w:p>
    <w:p w14:paraId="1A9001C0">
      <w:pPr>
        <w:pStyle w:val="style20"/>
        <w:tabs>
          <w:tab w:val="right" w:leader="dot" w:pos="9019"/>
        </w:tabs>
        <w:rPr>
          <w:noProof/>
        </w:rPr>
      </w:pPr>
      <w:r>
        <w:rPr/>
        <w:fldChar w:fldCharType="begin"/>
      </w:r>
      <w:r>
        <w:instrText xml:space="preserve"> HYPERLINK \l "_Toc237388073" </w:instrText>
      </w:r>
      <w:r>
        <w:rPr/>
        <w:fldChar w:fldCharType="separate"/>
      </w:r>
      <w:r>
        <w:rPr>
          <w:rStyle w:val="style85"/>
          <w:noProof/>
        </w:rPr>
        <w:t>4.1 Concrete Experience</w:t>
      </w:r>
      <w:r>
        <w:rPr>
          <w:noProof/>
          <w:webHidden/>
        </w:rPr>
        <w:tab/>
      </w:r>
      <w:r>
        <w:rPr>
          <w:noProof/>
          <w:webHidden/>
        </w:rPr>
        <w:fldChar w:fldCharType="begin"/>
      </w:r>
      <w:r>
        <w:rPr>
          <w:noProof/>
          <w:webHidden/>
        </w:rPr>
        <w:instrText xml:space="preserve"> PAGEREF _Toc237388073 \h </w:instrText>
      </w:r>
      <w:r>
        <w:rPr>
          <w:noProof/>
          <w:webHidden/>
        </w:rPr>
        <w:fldChar w:fldCharType="separate"/>
      </w:r>
      <w:r>
        <w:rPr>
          <w:noProof/>
          <w:webHidden/>
        </w:rPr>
        <w:t>13</w:t>
      </w:r>
      <w:r>
        <w:rPr>
          <w:noProof/>
          <w:webHidden/>
        </w:rPr>
        <w:fldChar w:fldCharType="end"/>
      </w:r>
      <w:r>
        <w:rPr/>
        <w:fldChar w:fldCharType="end"/>
      </w:r>
    </w:p>
    <w:p w14:paraId="219FE60A">
      <w:pPr>
        <w:pStyle w:val="style20"/>
        <w:tabs>
          <w:tab w:val="right" w:leader="dot" w:pos="9019"/>
        </w:tabs>
        <w:rPr>
          <w:noProof/>
        </w:rPr>
      </w:pPr>
      <w:r>
        <w:rPr/>
        <w:fldChar w:fldCharType="begin"/>
      </w:r>
      <w:r>
        <w:instrText xml:space="preserve"> HYPERLINK \l "_Toc237388074" </w:instrText>
      </w:r>
      <w:r>
        <w:rPr/>
        <w:fldChar w:fldCharType="separate"/>
      </w:r>
      <w:r>
        <w:rPr>
          <w:rStyle w:val="style85"/>
          <w:noProof/>
        </w:rPr>
        <w:t>4.2 Reflective Observation</w:t>
      </w:r>
      <w:r>
        <w:rPr>
          <w:noProof/>
          <w:webHidden/>
        </w:rPr>
        <w:tab/>
      </w:r>
      <w:r>
        <w:rPr>
          <w:noProof/>
          <w:webHidden/>
        </w:rPr>
        <w:fldChar w:fldCharType="begin"/>
      </w:r>
      <w:r>
        <w:rPr>
          <w:noProof/>
          <w:webHidden/>
        </w:rPr>
        <w:instrText xml:space="preserve"> PAGEREF _Toc237388074 \h </w:instrText>
      </w:r>
      <w:r>
        <w:rPr>
          <w:noProof/>
          <w:webHidden/>
        </w:rPr>
        <w:fldChar w:fldCharType="separate"/>
      </w:r>
      <w:r>
        <w:rPr>
          <w:noProof/>
          <w:webHidden/>
        </w:rPr>
        <w:t>13</w:t>
      </w:r>
      <w:r>
        <w:rPr>
          <w:noProof/>
          <w:webHidden/>
        </w:rPr>
        <w:fldChar w:fldCharType="end"/>
      </w:r>
      <w:r>
        <w:rPr/>
        <w:fldChar w:fldCharType="end"/>
      </w:r>
    </w:p>
    <w:p w14:paraId="0E48D0F6">
      <w:pPr>
        <w:pStyle w:val="style20"/>
        <w:tabs>
          <w:tab w:val="right" w:leader="dot" w:pos="9019"/>
        </w:tabs>
        <w:rPr>
          <w:noProof/>
        </w:rPr>
      </w:pPr>
      <w:r>
        <w:rPr/>
        <w:fldChar w:fldCharType="begin"/>
      </w:r>
      <w:r>
        <w:instrText xml:space="preserve"> HYPERLINK \l "_Toc237388075" </w:instrText>
      </w:r>
      <w:r>
        <w:rPr/>
        <w:fldChar w:fldCharType="separate"/>
      </w:r>
      <w:r>
        <w:rPr>
          <w:rStyle w:val="style85"/>
          <w:noProof/>
        </w:rPr>
        <w:t>4.3 Abstract Conceptualisation</w:t>
      </w:r>
      <w:r>
        <w:rPr>
          <w:noProof/>
          <w:webHidden/>
        </w:rPr>
        <w:tab/>
      </w:r>
      <w:r>
        <w:rPr>
          <w:noProof/>
          <w:webHidden/>
        </w:rPr>
        <w:fldChar w:fldCharType="begin"/>
      </w:r>
      <w:r>
        <w:rPr>
          <w:noProof/>
          <w:webHidden/>
        </w:rPr>
        <w:instrText xml:space="preserve"> PAGEREF _Toc237388075 \h </w:instrText>
      </w:r>
      <w:r>
        <w:rPr>
          <w:noProof/>
          <w:webHidden/>
        </w:rPr>
        <w:fldChar w:fldCharType="separate"/>
      </w:r>
      <w:r>
        <w:rPr>
          <w:noProof/>
          <w:webHidden/>
        </w:rPr>
        <w:t>13</w:t>
      </w:r>
      <w:r>
        <w:rPr>
          <w:noProof/>
          <w:webHidden/>
        </w:rPr>
        <w:fldChar w:fldCharType="end"/>
      </w:r>
      <w:r>
        <w:rPr/>
        <w:fldChar w:fldCharType="end"/>
      </w:r>
    </w:p>
    <w:p w14:paraId="1A85157E">
      <w:pPr>
        <w:pStyle w:val="style20"/>
        <w:tabs>
          <w:tab w:val="right" w:leader="dot" w:pos="9019"/>
        </w:tabs>
        <w:rPr>
          <w:noProof/>
        </w:rPr>
      </w:pPr>
      <w:r>
        <w:rPr/>
        <w:fldChar w:fldCharType="begin"/>
      </w:r>
      <w:r>
        <w:instrText xml:space="preserve"> HYPERLINK \l "_Toc237388076" </w:instrText>
      </w:r>
      <w:r>
        <w:rPr/>
        <w:fldChar w:fldCharType="separate"/>
      </w:r>
      <w:r>
        <w:rPr>
          <w:rStyle w:val="style85"/>
          <w:noProof/>
        </w:rPr>
        <w:t>4.4 Active Experimentation</w:t>
      </w:r>
      <w:r>
        <w:rPr>
          <w:noProof/>
          <w:webHidden/>
        </w:rPr>
        <w:tab/>
      </w:r>
      <w:r>
        <w:rPr>
          <w:noProof/>
          <w:webHidden/>
        </w:rPr>
        <w:fldChar w:fldCharType="begin"/>
      </w:r>
      <w:r>
        <w:rPr>
          <w:noProof/>
          <w:webHidden/>
        </w:rPr>
        <w:instrText xml:space="preserve"> PAGEREF _Toc237388076 \h </w:instrText>
      </w:r>
      <w:r>
        <w:rPr>
          <w:noProof/>
          <w:webHidden/>
        </w:rPr>
        <w:fldChar w:fldCharType="separate"/>
      </w:r>
      <w:r>
        <w:rPr>
          <w:noProof/>
          <w:webHidden/>
        </w:rPr>
        <w:t>14</w:t>
      </w:r>
      <w:r>
        <w:rPr>
          <w:noProof/>
          <w:webHidden/>
        </w:rPr>
        <w:fldChar w:fldCharType="end"/>
      </w:r>
      <w:r>
        <w:rPr/>
        <w:fldChar w:fldCharType="end"/>
      </w:r>
    </w:p>
    <w:p w14:paraId="7E9653BB">
      <w:pPr>
        <w:pStyle w:val="style19"/>
        <w:tabs>
          <w:tab w:val="right" w:leader="dot" w:pos="9019"/>
        </w:tabs>
        <w:rPr>
          <w:noProof/>
        </w:rPr>
      </w:pPr>
      <w:r>
        <w:rPr/>
        <w:fldChar w:fldCharType="begin"/>
      </w:r>
      <w:r>
        <w:instrText xml:space="preserve"> HYPERLINK \l "_Toc237388077" </w:instrText>
      </w:r>
      <w:r>
        <w:rPr/>
        <w:fldChar w:fldCharType="separate"/>
      </w:r>
      <w:r>
        <w:rPr>
          <w:rStyle w:val="style85"/>
          <w:noProof/>
        </w:rPr>
        <w:t>References</w:t>
      </w:r>
      <w:r>
        <w:rPr>
          <w:noProof/>
          <w:webHidden/>
        </w:rPr>
        <w:tab/>
      </w:r>
      <w:r>
        <w:rPr>
          <w:noProof/>
          <w:webHidden/>
        </w:rPr>
        <w:fldChar w:fldCharType="begin"/>
      </w:r>
      <w:r>
        <w:rPr>
          <w:noProof/>
          <w:webHidden/>
        </w:rPr>
        <w:instrText xml:space="preserve"> PAGEREF _Toc237388077 \h </w:instrText>
      </w:r>
      <w:r>
        <w:rPr>
          <w:noProof/>
          <w:webHidden/>
        </w:rPr>
        <w:fldChar w:fldCharType="separate"/>
      </w:r>
      <w:r>
        <w:rPr>
          <w:noProof/>
          <w:webHidden/>
        </w:rPr>
        <w:t>15</w:t>
      </w:r>
      <w:r>
        <w:rPr>
          <w:noProof/>
          <w:webHidden/>
        </w:rPr>
        <w:fldChar w:fldCharType="end"/>
      </w:r>
      <w:r>
        <w:rPr/>
        <w:fldChar w:fldCharType="end"/>
      </w:r>
    </w:p>
    <w:p w14:paraId="796D185B">
      <w:pPr>
        <w:pStyle w:val="style0"/>
        <w:widowControl w:val="false"/>
        <w:tabs>
          <w:tab w:val="right" w:leader="dot" w:pos="9025"/>
        </w:tabs>
        <w:spacing w:before="60" w:after="0" w:lineRule="auto" w:line="240"/>
        <w:jc w:val="left"/>
        <w:rPr>
          <w:b/>
          <w:bCs/>
          <w:color w:val="000000"/>
        </w:rPr>
      </w:pPr>
      <w:r>
        <w:rPr/>
        <w:fldChar w:fldCharType="end"/>
      </w:r>
    </w:p>
    <w:p w14:paraId="694C5E2E">
      <w:pPr>
        <w:pStyle w:val="style0"/>
        <w:rPr/>
      </w:pPr>
      <w:r>
        <w:br w:type="page"/>
      </w:r>
    </w:p>
    <w:bookmarkStart w:id="0" w:name="_Toc237388058"/>
    <w:p w14:paraId="31C6061E">
      <w:pPr>
        <w:pStyle w:val="style1"/>
        <w:rPr/>
      </w:pPr>
      <w:r>
        <w:t>Element 1 – Sustainable Brand Extension Poster</w:t>
      </w:r>
      <w:bookmarkEnd w:id="0"/>
    </w:p>
    <w:p w14:paraId="14E58CF6">
      <w:pPr>
        <w:pStyle w:val="style0"/>
        <w:jc w:val="center"/>
        <w:rPr>
          <w:b/>
          <w:bCs/>
        </w:rPr>
      </w:pPr>
      <w:r>
        <w:rPr>
          <w:b/>
          <w:bCs/>
          <w:noProof/>
        </w:rPr>
        <w:drawing>
          <wp:inline distL="0" distT="0" distB="0" distR="0">
            <wp:extent cx="4061619" cy="5748338"/>
            <wp:effectExtent l="0" t="0" r="0" b="0"/>
            <wp:docPr id="1027" name="image4.png"/>
            <wp:cNvGraphicFramePr>
              <a:graphicFrameLocks xmlns:a="http://schemas.openxmlformats.org/drawingml/2006/main" noChangeAspect="false" noSelect="false" noResize="false" noGrp="false"/>
            </wp:cNvGraphicFramePr>
            <a:graphic xmlns:a="http://schemas.openxmlformats.org/drawingml/2006/main">
              <a:graphicData uri="http://schemas.openxmlformats.org/drawingml/2006/picture">
                <pic:pic xmlns:pic="http://schemas.openxmlformats.org/drawingml/2006/picture">
                  <pic:nvPicPr>
                    <pic:cNvPr id="1" name="image4.png"/>
                    <pic:cNvPicPr/>
                  </pic:nvPicPr>
                  <pic:blipFill>
                    <a:blip r:embed="rId3" cstate="print"/>
                    <a:srcRect l="0" t="0" r="0" b="0"/>
                    <a:stretch/>
                  </pic:blipFill>
                  <pic:spPr>
                    <a:xfrm rot="0">
                      <a:off x="0" y="0"/>
                      <a:ext cx="4061619" cy="5748338"/>
                    </a:xfrm>
                    <a:prstGeom prst="rect"/>
                    <a:ln cmpd="sng" cap="flat" w="9525">
                      <a:solidFill>
                        <a:srgbClr val="000000"/>
                      </a:solidFill>
                      <a:prstDash val="solid"/>
                      <a:round/>
                      <a:headEnd/>
                      <a:tailEnd/>
                    </a:ln>
                  </pic:spPr>
                </pic:pic>
              </a:graphicData>
            </a:graphic>
          </wp:inline>
        </w:drawing>
      </w:r>
    </w:p>
    <w:p w14:paraId="455D6799">
      <w:pPr>
        <w:pStyle w:val="style0"/>
        <w:jc w:val="center"/>
        <w:rPr/>
      </w:pPr>
      <w:r>
        <w:rPr>
          <w:b/>
          <w:bCs/>
        </w:rPr>
        <w:t>Figure 1: Montblanc Sustainable Brand Extension Poster</w:t>
      </w:r>
    </w:p>
    <w:p w14:paraId="2B5C3532">
      <w:pPr>
        <w:pStyle w:val="style0"/>
        <w:rPr/>
      </w:pPr>
      <w:r>
        <w:t xml:space="preserve">The offered Montblanc Refillable Smart Writing Instrument transfers the legacy of the luxury writing of the brand to a digitally connected, more sustainable model of ownership. The idea is to join a high-end fountain pen or rollerball to a refillable ink, metal durability, a substitutable sensor module and an equal application to record and manage handwritten notes. The extension maintains the tactile and symbolic importance of handwriting in response to the productive needs of the hybrid professionals. The trend is indicative of the rising focus on longevity, quality and </w:t>
      </w:r>
      <w:r>
        <w:t>renewed relevance in the luxury markets (Bain &amp; Company, 2025) and the concept of sustainability is becoming progressively part of the luxury value, rather than acting as a differentiated claim category (Sai Reddy et al., 2026). The principle also helps in the circular consumption by enabling refillability and repairability and replacement of components. Agarwal et al. (2025) and Serra and Alfinito (2025) focus on the role of consumer involvement in transitions to the circular-economy, whereas Roskladka et al. (2025) appeal to repairable design as one of the methods of preventing premature obsolescence. As a result, the extension is closest to SDG 12: Responsible Consumption and Production, whereas its related functionality can be viewed as innovation related to SDG 9 (UN DESA, 2026).</w:t>
      </w:r>
    </w:p>
    <w:bookmarkStart w:id="1" w:name="_Toc237388059"/>
    <w:p w14:paraId="0B718620">
      <w:pPr>
        <w:pStyle w:val="style1"/>
        <w:rPr/>
      </w:pPr>
      <w:r>
        <w:t>Element 2: Segmentation, Targeting, Differentiation and Positioning Analysis</w:t>
      </w:r>
      <w:bookmarkEnd w:id="1"/>
    </w:p>
    <w:bookmarkStart w:id="2" w:name="_Toc237388060"/>
    <w:p w14:paraId="1D332DA1">
      <w:pPr>
        <w:pStyle w:val="style2"/>
        <w:keepNext w:val="false"/>
        <w:keepLines w:val="false"/>
        <w:rPr>
          <w:sz w:val="26"/>
          <w:szCs w:val="26"/>
        </w:rPr>
      </w:pPr>
      <w:r>
        <w:t>2.1 Segmentation</w:t>
      </w:r>
      <w:bookmarkEnd w:id="2"/>
    </w:p>
    <w:p w14:paraId="4F6A2F36">
      <w:pPr>
        <w:pStyle w:val="style0"/>
        <w:rPr/>
      </w:pPr>
      <w:r>
        <w:t>The extension suggested should be consumer-focused at the crosspoint at the luxury, professional note-taking, digital productivity and sustainability. The shift in luxury expectations, whereby these are experience-related and innovation-related of the company is noted by Deloitte (2026) and the relevance and meaningful value are highlighted by Bain and Company (2025). Geographically, the best opportunities lie in big metropolis luxury markets, comprised of affluent professionals and high digitalization. The targeted market, in demographic terms is professionals aged about 2850 years old, consisting of executives, and consultants, as well as entrepreneurs and creatives. On the psychographic front, they cherish craftsmanship, prestige, organisation, sustainability and meaningful technology (Agarwal et al., 2025). On behavioural front, they have those who take a lot of notes, people who use quality stationery, hybrid workers and customer who wish to refill, maintain and repair long lasting products. This dimension of behaviour is especially critical since refill, repair and retention benefits of the circular-economy rely on the ongoing consumer engagement in these types of practices (Serra and Alfinito, 2025).</w:t>
      </w:r>
    </w:p>
    <w:p w14:paraId="37A20D86">
      <w:pPr>
        <w:pStyle w:val="style0"/>
        <w:jc w:val="center"/>
        <w:rPr>
          <w:b/>
          <w:bCs/>
        </w:rPr>
      </w:pPr>
      <w:r>
        <w:rPr>
          <w:b/>
          <w:bCs/>
        </w:rPr>
        <w:t>Table 1: Segmentation Profile for the Brand Extension</w:t>
      </w:r>
    </w:p>
    <w:tbl>
      <w:tblPr>
        <w:tblStyle w:val="style4098"/>
        <w:tblW w:w="9025" w:type="dxa"/>
        <w:tblInd w:w="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783"/>
        <w:gridCol w:w="4026"/>
        <w:gridCol w:w="3216"/>
      </w:tblGrid>
      <w:tr w14:paraId="1E8AD0DE">
        <w:trPr>
          <w:trHeight w:val="770" w:hRule="atLeast"/>
        </w:trPr>
        <w:tc>
          <w:tcPr>
            <w:tcW w:w="1783"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EED9E87">
            <w:pPr>
              <w:pStyle w:val="style0"/>
              <w:rPr/>
            </w:pPr>
            <w:r>
              <w:rPr>
                <w:b/>
                <w:bCs/>
              </w:rPr>
              <w:t>Segmentation basis</w:t>
            </w:r>
          </w:p>
        </w:tc>
        <w:tc>
          <w:tcPr>
            <w:tcW w:w="402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CE77A82">
            <w:pPr>
              <w:pStyle w:val="style0"/>
              <w:rPr/>
            </w:pPr>
            <w:r>
              <w:rPr>
                <w:b/>
                <w:bCs/>
              </w:rPr>
              <w:t>Proposed characteristics</w:t>
            </w:r>
          </w:p>
        </w:tc>
        <w:tc>
          <w:tcPr>
            <w:tcW w:w="321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753A26C">
            <w:pPr>
              <w:pStyle w:val="style0"/>
              <w:rPr/>
            </w:pPr>
            <w:r>
              <w:rPr>
                <w:b/>
                <w:bCs/>
              </w:rPr>
              <w:t>Strategic relevance</w:t>
            </w:r>
          </w:p>
        </w:tc>
      </w:tr>
      <w:tr w14:paraId="5A47E79E">
        <w:tblPrEx/>
        <w:trPr>
          <w:trHeight w:val="770" w:hRule="atLeast"/>
        </w:trPr>
        <w:tc>
          <w:tcPr>
            <w:tcW w:w="1783"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E7BA100">
            <w:pPr>
              <w:pStyle w:val="style0"/>
              <w:rPr/>
            </w:pPr>
            <w:r>
              <w:t>Geographic</w:t>
            </w:r>
          </w:p>
        </w:tc>
        <w:tc>
          <w:tcPr>
            <w:tcW w:w="402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7DC5A5C">
            <w:pPr>
              <w:pStyle w:val="style0"/>
              <w:rPr/>
            </w:pPr>
            <w:r>
              <w:t>Major metropolitan luxury markets with developed digital infrastructure</w:t>
            </w:r>
          </w:p>
        </w:tc>
        <w:tc>
          <w:tcPr>
            <w:tcW w:w="321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B8361B3">
            <w:pPr>
              <w:pStyle w:val="style0"/>
              <w:rPr/>
            </w:pPr>
            <w:r>
              <w:t>Access to affluent professionals and established premium retail</w:t>
            </w:r>
          </w:p>
        </w:tc>
      </w:tr>
      <w:tr w14:paraId="780951DE">
        <w:tblPrEx/>
        <w:trPr>
          <w:trHeight w:val="770" w:hRule="atLeast"/>
        </w:trPr>
        <w:tc>
          <w:tcPr>
            <w:tcW w:w="1783"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38D7F34">
            <w:pPr>
              <w:pStyle w:val="style0"/>
              <w:rPr/>
            </w:pPr>
            <w:r>
              <w:t>Demographic</w:t>
            </w:r>
          </w:p>
        </w:tc>
        <w:tc>
          <w:tcPr>
            <w:tcW w:w="402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655A976">
            <w:pPr>
              <w:pStyle w:val="style0"/>
              <w:rPr/>
            </w:pPr>
            <w:r>
              <w:t>Affluent professionals aged approximately 28–50</w:t>
            </w:r>
          </w:p>
        </w:tc>
        <w:tc>
          <w:tcPr>
            <w:tcW w:w="321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F52D6DB">
            <w:pPr>
              <w:pStyle w:val="style0"/>
              <w:rPr/>
            </w:pPr>
            <w:r>
              <w:t>Strong purchasing power and frequent professional use</w:t>
            </w:r>
          </w:p>
        </w:tc>
      </w:tr>
      <w:tr w14:paraId="37E33B1C">
        <w:tblPrEx/>
        <w:trPr>
          <w:trHeight w:val="1040" w:hRule="atLeast"/>
        </w:trPr>
        <w:tc>
          <w:tcPr>
            <w:tcW w:w="1783"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896A856">
            <w:pPr>
              <w:pStyle w:val="style0"/>
              <w:rPr/>
            </w:pPr>
            <w:r>
              <w:t>Psychographic</w:t>
            </w:r>
          </w:p>
        </w:tc>
        <w:tc>
          <w:tcPr>
            <w:tcW w:w="402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6C4BA4A">
            <w:pPr>
              <w:pStyle w:val="style0"/>
              <w:rPr/>
            </w:pPr>
            <w:r>
              <w:t>Craftsmanship-, prestige-, sustainability- and productivity-oriented</w:t>
            </w:r>
          </w:p>
        </w:tc>
        <w:tc>
          <w:tcPr>
            <w:tcW w:w="321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42B9AED">
            <w:pPr>
              <w:pStyle w:val="style0"/>
              <w:rPr/>
            </w:pPr>
            <w:r>
              <w:t>Strong alignment with Montblanc's premium proposition</w:t>
            </w:r>
          </w:p>
        </w:tc>
      </w:tr>
      <w:tr w14:paraId="7968410D">
        <w:tblPrEx/>
        <w:trPr>
          <w:trHeight w:val="1040" w:hRule="atLeast"/>
        </w:trPr>
        <w:tc>
          <w:tcPr>
            <w:tcW w:w="1783"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35F5FD0">
            <w:pPr>
              <w:pStyle w:val="style0"/>
              <w:rPr/>
            </w:pPr>
            <w:r>
              <w:t>Behavioural</w:t>
            </w:r>
          </w:p>
        </w:tc>
        <w:tc>
          <w:tcPr>
            <w:tcW w:w="402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CEB82B6">
            <w:pPr>
              <w:pStyle w:val="style0"/>
              <w:rPr/>
            </w:pPr>
            <w:r>
              <w:t>Frequent writers, hybrid workers, refill/repair-positive consumers and gift buyers</w:t>
            </w:r>
          </w:p>
        </w:tc>
        <w:tc>
          <w:tcPr>
            <w:tcW w:w="321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20232EC">
            <w:pPr>
              <w:pStyle w:val="style0"/>
              <w:rPr/>
            </w:pPr>
            <w:r>
              <w:t>Supports repeated use and circular ownership</w:t>
            </w:r>
          </w:p>
        </w:tc>
      </w:tr>
      <w:bookmarkStart w:id="3" w:name="_Toc237388061"/>
    </w:tbl>
    <w:p w14:paraId="2F948E34">
      <w:pPr>
        <w:pStyle w:val="style2"/>
        <w:rPr/>
      </w:pPr>
      <w:r>
        <w:t>2.2 Targeting</w:t>
      </w:r>
      <w:bookmarkEnd w:id="3"/>
    </w:p>
    <w:p w14:paraId="71202BBE">
      <w:pPr>
        <w:pStyle w:val="style0"/>
        <w:rPr/>
      </w:pPr>
      <w:r>
        <w:t xml:space="preserve">The strategy of differentiated targeting is correct. The main audience must be high-earning hybrid-workers who use handwritten notes on a regular basis but who must have those notes to become an effective part of digital processes. This audience gives the best match between the functional need, compatibility with premium brand and willingness to pay. Another audience can be creative professionals, executive or post graduate students and corporate-gifting buyers of premium quality. Targeting should not be done too broadly as this can undermine exclusivity and establish a bad chord with premium pricing. According to Bain and Company (2025), the consumers of the luxury segment are becoming more discerning, and focusing on segments that have a definite need to spend, as opposed to engaging everyone en-masse. Selection of </w:t>
      </w:r>
      <w:r>
        <w:t>targets should also be impacted by sustainability. Li et al. (2026) discuss the impact of marketing green luxury on purchase intentions and discover that the related consumption of luxury through the aspect of sustainability can yield complex behavioural responses. Montblanc ought to focus therefore on the customers who have the durability, repairability and long time ownership as positive perceptions as opposed to customers who are captured by mere cosmetic environmental symbolism. This strategy is also more aligned with the overall sustainability course that is conveyed by Richemont (2026).</w:t>
      </w:r>
    </w:p>
    <w:bookmarkStart w:id="4" w:name="_Toc237388062"/>
    <w:p w14:paraId="7A3B0378">
      <w:pPr>
        <w:pStyle w:val="style2"/>
        <w:rPr/>
      </w:pPr>
      <w:r>
        <w:t>2.3 Differentiation</w:t>
      </w:r>
      <w:bookmarkEnd w:id="4"/>
    </w:p>
    <w:p w14:paraId="4500FEB7">
      <w:pPr>
        <w:pStyle w:val="style0"/>
        <w:rPr/>
      </w:pPr>
      <w:r>
        <w:t>The proposed extension must stand out with the following offer: “Luxurious analogue writing and not to compromise the digital productivity”. The competitive advantage must not be based only on smart sensors as technological functionality can be copied. Rather than that, the set of actually writing the ink, high-quality craftsmanship, longevity, refillable, modular electronics, professional repair services, and digitally connected will differentiate. The developing significance of phygital luxury is illustrated by Henkin, Perez and Otterbring (2025) and the development of the concept of luxury experience superimposition amid interconnected physical and online interactions is further conceptualised in Klaus et al. (2026). Instead of reducing the traditional writing experience that Montblanc had, the smart technology should augment it. When differentiation is directly undertaken through sustainability, then it may be reinforced. The strategic significance of sustainability-specific extensions in luxurious settings is illustrated by Jing et al. (2026), whereas the design-for-repair approaches are used to offset the obsolescence of electronics (Roskladka et al., 2025). A replaceable smart module would then enable the luxurious pen body to be put into service again even when electronic parts need fixing or updating technology, and shift the value proposition of quick replacement to long-time ownership.</w:t>
      </w:r>
    </w:p>
    <w:p w14:paraId="52389084">
      <w:pPr>
        <w:pStyle w:val="style0"/>
        <w:jc w:val="center"/>
        <w:rPr>
          <w:color w:val="222222"/>
          <w:sz w:val="20"/>
          <w:szCs w:val="20"/>
        </w:rPr>
      </w:pPr>
      <w:r>
        <w:rPr>
          <w:noProof/>
          <w:color w:val="222222"/>
          <w:sz w:val="20"/>
          <w:szCs w:val="20"/>
        </w:rPr>
        <w:drawing>
          <wp:inline distL="0" distT="0" distB="0" distR="0">
            <wp:extent cx="4233863" cy="4226830"/>
            <wp:effectExtent l="0" t="0" r="0" b="0"/>
            <wp:docPr id="1028" name="image2.png"/>
            <wp:cNvGraphicFramePr>
              <a:graphicFrameLocks xmlns:a="http://schemas.openxmlformats.org/drawingml/2006/main" noChangeAspect="false" noSelect="false" noResize="false" noGrp="false"/>
            </wp:cNvGraphicFramePr>
            <a:graphic xmlns:a="http://schemas.openxmlformats.org/drawingml/2006/main">
              <a:graphicData uri="http://schemas.openxmlformats.org/drawingml/2006/picture">
                <pic:pic xmlns:pic="http://schemas.openxmlformats.org/drawingml/2006/picture">
                  <pic:nvPicPr>
                    <pic:cNvPr id="2" name="image2.png"/>
                    <pic:cNvPicPr/>
                  </pic:nvPicPr>
                  <pic:blipFill>
                    <a:blip r:embed="rId4" cstate="print"/>
                    <a:srcRect l="0" t="0" r="0" b="0"/>
                    <a:stretch/>
                  </pic:blipFill>
                  <pic:spPr>
                    <a:xfrm rot="0">
                      <a:off x="0" y="0"/>
                      <a:ext cx="4233863" cy="4226830"/>
                    </a:xfrm>
                    <a:prstGeom prst="rect"/>
                    <a:ln cmpd="sng" cap="flat" w="9525">
                      <a:solidFill>
                        <a:srgbClr val="000000"/>
                      </a:solidFill>
                      <a:prstDash val="solid"/>
                      <a:round/>
                      <a:headEnd/>
                      <a:tailEnd/>
                    </a:ln>
                  </pic:spPr>
                </pic:pic>
              </a:graphicData>
            </a:graphic>
          </wp:inline>
        </w:drawing>
      </w:r>
    </w:p>
    <w:p w14:paraId="5F0CF038">
      <w:pPr>
        <w:pStyle w:val="style0"/>
        <w:jc w:val="center"/>
        <w:rPr>
          <w:b/>
          <w:bCs/>
        </w:rPr>
      </w:pPr>
      <w:r>
        <w:rPr>
          <w:b/>
          <w:bCs/>
        </w:rPr>
        <w:t>Figure 2: Market Segmentation, Targeting, Differentiation and Positioning</w:t>
      </w:r>
    </w:p>
    <w:p w14:paraId="0E686D23">
      <w:pPr>
        <w:pStyle w:val="style0"/>
        <w:jc w:val="center"/>
        <w:rPr/>
      </w:pPr>
      <w:r>
        <w:t>(Source: Helmold, 2022)</w:t>
      </w:r>
    </w:p>
    <w:bookmarkStart w:id="5" w:name="_Toc237388063"/>
    <w:p w14:paraId="572F948E">
      <w:pPr>
        <w:pStyle w:val="style2"/>
        <w:rPr/>
      </w:pPr>
      <w:r>
        <w:t>2.4 Positioning</w:t>
      </w:r>
      <w:bookmarkEnd w:id="5"/>
    </w:p>
    <w:p w14:paraId="5762F84E">
      <w:pPr>
        <w:pStyle w:val="style0"/>
        <w:rPr/>
      </w:pPr>
      <w:r>
        <w:t>The extension must take a high-luxury, high-digital-integration role with a real analogue writing experience.</w:t>
      </w:r>
    </w:p>
    <w:p w14:paraId="0ADCB7AF">
      <w:pPr>
        <w:pStyle w:val="style0"/>
        <w:jc w:val="center"/>
        <w:rPr>
          <w:b/>
          <w:bCs/>
        </w:rPr>
      </w:pPr>
      <w:r>
        <w:rPr>
          <w:b/>
          <w:bCs/>
        </w:rPr>
        <w:t>Table 2: Proposed Positioning Framework</w:t>
      </w:r>
    </w:p>
    <w:tbl>
      <w:tblPr>
        <w:tblStyle w:val="style4099"/>
        <w:tblW w:w="9025" w:type="dxa"/>
        <w:tblInd w:w="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772"/>
        <w:gridCol w:w="7253"/>
      </w:tblGrid>
      <w:tr w14:paraId="64D478AC">
        <w:trPr>
          <w:trHeight w:val="770" w:hRule="atLeast"/>
        </w:trPr>
        <w:tc>
          <w:tcPr>
            <w:tcW w:w="1772"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07F64E7">
            <w:pPr>
              <w:pStyle w:val="style0"/>
              <w:rPr/>
            </w:pPr>
            <w:r>
              <w:rPr>
                <w:b/>
                <w:bCs/>
              </w:rPr>
              <w:t>Positioning dimension</w:t>
            </w:r>
          </w:p>
        </w:tc>
        <w:tc>
          <w:tcPr>
            <w:tcW w:w="7252"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24ED1D4">
            <w:pPr>
              <w:pStyle w:val="style0"/>
              <w:rPr/>
            </w:pPr>
            <w:r>
              <w:rPr>
                <w:b/>
                <w:bCs/>
              </w:rPr>
              <w:t>Proposed position</w:t>
            </w:r>
          </w:p>
        </w:tc>
      </w:tr>
      <w:tr w14:paraId="18C7DAF9">
        <w:tblPrEx/>
        <w:trPr>
          <w:trHeight w:val="770" w:hRule="atLeast"/>
        </w:trPr>
        <w:tc>
          <w:tcPr>
            <w:tcW w:w="1772"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6264356">
            <w:pPr>
              <w:pStyle w:val="style0"/>
              <w:rPr/>
            </w:pPr>
            <w:r>
              <w:t>Frame of reference</w:t>
            </w:r>
          </w:p>
        </w:tc>
        <w:tc>
          <w:tcPr>
            <w:tcW w:w="7252"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4F226D0">
            <w:pPr>
              <w:pStyle w:val="style0"/>
              <w:rPr/>
            </w:pPr>
            <w:r>
              <w:t>Premium writing instruments and professional productivity tools</w:t>
            </w:r>
          </w:p>
        </w:tc>
      </w:tr>
      <w:tr w14:paraId="4E3D7917">
        <w:tblPrEx/>
        <w:trPr>
          <w:trHeight w:val="770" w:hRule="atLeast"/>
        </w:trPr>
        <w:tc>
          <w:tcPr>
            <w:tcW w:w="1772"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6283B07">
            <w:pPr>
              <w:pStyle w:val="style0"/>
              <w:rPr/>
            </w:pPr>
            <w:r>
              <w:t>Point of difference</w:t>
            </w:r>
          </w:p>
        </w:tc>
        <w:tc>
          <w:tcPr>
            <w:tcW w:w="7252"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06D5AB5">
            <w:pPr>
              <w:pStyle w:val="style0"/>
              <w:rPr/>
            </w:pPr>
            <w:r>
              <w:t>Real-ink luxury writing with digital capture, refillability and modular repairability</w:t>
            </w:r>
          </w:p>
        </w:tc>
      </w:tr>
      <w:tr w14:paraId="6ACD2CE7">
        <w:tblPrEx/>
        <w:trPr>
          <w:trHeight w:val="770" w:hRule="atLeast"/>
        </w:trPr>
        <w:tc>
          <w:tcPr>
            <w:tcW w:w="1772"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75B4F0F">
            <w:pPr>
              <w:pStyle w:val="style0"/>
              <w:rPr/>
            </w:pPr>
            <w:r>
              <w:t>Functional benefit</w:t>
            </w:r>
          </w:p>
        </w:tc>
        <w:tc>
          <w:tcPr>
            <w:tcW w:w="7252"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4F4B4E8">
            <w:pPr>
              <w:pStyle w:val="style0"/>
              <w:rPr/>
            </w:pPr>
            <w:r>
              <w:t>Handwriting combined with organised digital continuity</w:t>
            </w:r>
          </w:p>
        </w:tc>
      </w:tr>
      <w:tr w14:paraId="012A15A4">
        <w:tblPrEx/>
        <w:trPr>
          <w:trHeight w:val="770" w:hRule="atLeast"/>
        </w:trPr>
        <w:tc>
          <w:tcPr>
            <w:tcW w:w="1772"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C40873D">
            <w:pPr>
              <w:pStyle w:val="style0"/>
              <w:rPr/>
            </w:pPr>
            <w:r>
              <w:t>Emotional benefit</w:t>
            </w:r>
          </w:p>
        </w:tc>
        <w:tc>
          <w:tcPr>
            <w:tcW w:w="7252"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291099A">
            <w:pPr>
              <w:pStyle w:val="style0"/>
              <w:rPr/>
            </w:pPr>
            <w:r>
              <w:t>Prestige, craftsmanship and professional confidence</w:t>
            </w:r>
          </w:p>
        </w:tc>
      </w:tr>
      <w:tr w14:paraId="18626E1E">
        <w:tblPrEx/>
        <w:trPr>
          <w:trHeight w:val="770" w:hRule="atLeast"/>
        </w:trPr>
        <w:tc>
          <w:tcPr>
            <w:tcW w:w="1772"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68CED00">
            <w:pPr>
              <w:pStyle w:val="style0"/>
              <w:rPr/>
            </w:pPr>
            <w:r>
              <w:t>Sustainability benefit</w:t>
            </w:r>
          </w:p>
        </w:tc>
        <w:tc>
          <w:tcPr>
            <w:tcW w:w="7252"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76CEA3A">
            <w:pPr>
              <w:pStyle w:val="style0"/>
              <w:rPr/>
            </w:pPr>
            <w:r>
              <w:t>Extended product life and reduced replacement</w:t>
            </w:r>
          </w:p>
        </w:tc>
      </w:tr>
      <w:tr w14:paraId="12B640D1">
        <w:tblPrEx/>
        <w:trPr>
          <w:trHeight w:val="1325" w:hRule="atLeast"/>
        </w:trPr>
        <w:tc>
          <w:tcPr>
            <w:tcW w:w="1772"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3272D79">
            <w:pPr>
              <w:pStyle w:val="style0"/>
              <w:rPr/>
            </w:pPr>
            <w:r>
              <w:t>Positioning statement</w:t>
            </w:r>
          </w:p>
        </w:tc>
        <w:tc>
          <w:tcPr>
            <w:tcW w:w="7252"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10833C0">
            <w:pPr>
              <w:pStyle w:val="style0"/>
              <w:rPr/>
            </w:pPr>
            <w:r>
              <w:t>For discerning professionals who value handwriting but require digital productivity, Montblanc offers a refillable smart writing instrument combining luxury craftsmanship, connected note capture and modular design for longer ownership.</w:t>
            </w:r>
          </w:p>
        </w:tc>
      </w:tr>
    </w:tbl>
    <w:p w14:paraId="74E15343">
      <w:pPr>
        <w:pStyle w:val="style0"/>
        <w:rPr/>
      </w:pPr>
      <w:r>
        <w:t>This stance does not make some ambiguous environmentally claims. According to Daou et al. (2025), one of the obstacles to sustainable marketing and brand-consumer relations is greenwashing. Sustainability must be verified on design, repair mechanisms and quantifiable results as opposed to merely naming the extension as being “green”.</w:t>
      </w:r>
    </w:p>
    <w:bookmarkStart w:id="6" w:name="_Toc237388064"/>
    <w:p w14:paraId="03441A2B">
      <w:pPr>
        <w:pStyle w:val="style1"/>
        <w:rPr/>
      </w:pPr>
      <w:r>
        <w:t>Element 3: Marketing Mix: 7Ps</w:t>
      </w:r>
      <w:bookmarkEnd w:id="6"/>
    </w:p>
    <w:bookmarkStart w:id="7" w:name="_Toc237388065"/>
    <w:p w14:paraId="66AC9B97">
      <w:pPr>
        <w:pStyle w:val="style2"/>
        <w:rPr/>
      </w:pPr>
      <w:r>
        <w:t>3.1 Product</w:t>
      </w:r>
      <w:bookmarkEnd w:id="7"/>
    </w:p>
    <w:p w14:paraId="06D9E400">
      <w:pPr>
        <w:pStyle w:val="style0"/>
        <w:rPr/>
      </w:pPr>
      <w:r>
        <w:t xml:space="preserve">The extension must include premium fountain-pen and rollerball options that have refillable ink, metal construction, replaceable sensor module, companion app and lifetime repair coverage. The quality of writing must not be diminished, instead digital capabilities complement capturing, organising and synchronising notes. To enable the customer value and the sustainability, product design must incorporate repairability </w:t>
      </w:r>
      <w:r>
        <w:t xml:space="preserve">enabling the replacement of electronic components without dumping the high-end pen body (Roskladka et al., 2025). Matters, packaging and lifecycle planning ought to include wider sustainability commitments of Richemont, too (Richemont, 2026). Refillability, repairability and longevity make the highest SDG fit between SDG 12 because responsible consumption can be achieved (UN DESA, 2026). The SDG 13 claim must be based on the proven lifecycle evidence, not assumptions. </w:t>
      </w:r>
    </w:p>
    <w:bookmarkStart w:id="8" w:name="_Toc237388066"/>
    <w:p w14:paraId="700C8CF1">
      <w:pPr>
        <w:pStyle w:val="style2"/>
        <w:rPr/>
      </w:pPr>
      <w:r>
        <w:t>3.2 Price</w:t>
      </w:r>
      <w:bookmarkEnd w:id="8"/>
    </w:p>
    <w:p w14:paraId="2C87FB8E">
      <w:pPr>
        <w:pStyle w:val="style0"/>
        <w:rPr/>
      </w:pPr>
      <w:r>
        <w:t>Premium value-based pricing strategy is suitable owing to the combination of craftsmanship, digital capability and specialised after sales services in the product. Cost must be used to enhance exclusivity, but can be justified by the quality of writing, smart functionality (useful), and the ability to be repaired and provide lifetime ownership. Bain &amp; Company (2025) emphasizes the necessity of luxury businesses to enhance creativity, quality and customer value instead of focusing on increasing prices. Montblanc ought not to enforce an artificial green premium, however. Sustainability is required to add to the perceived value by duration and service life. A more affordable smart design might form part of the tiered approach, which would also include more polished editions and customised corporate-gifting designs. Servicing and optional, digital services could be a source of recurring revenue, even without creating the need to replace the main instrument unnecessarily.</w:t>
      </w:r>
    </w:p>
    <w:bookmarkStart w:id="9" w:name="_Toc237388067"/>
    <w:p w14:paraId="77CA2FC1">
      <w:pPr>
        <w:pStyle w:val="style2"/>
        <w:rPr/>
      </w:pPr>
      <w:r>
        <w:t>3.3 Place</w:t>
      </w:r>
      <w:bookmarkEnd w:id="9"/>
    </w:p>
    <w:p w14:paraId="2296EFA8">
      <w:pPr>
        <w:pStyle w:val="style0"/>
        <w:rPr/>
      </w:pPr>
      <w:r>
        <w:t xml:space="preserve">The distribution should continue to be selective and omnichannel to preserve exclusivity and offer convenient access. The extension must be offered via Montblanc boutiques, the official online store, selected carefully beforehand premium department stores and had control over corporate-gifting programmes. Physical boutiques hold special significance since consumers can feel the quality of writing, sensor functionality and application matching, prior to making a premium purchase commitment. Product configuration, engraving, refill ordering, repair enbooking and ownership can further be supported using digital channels. Dasmi, Nechaeva and Rovai (2026) reveal the importance of the omnichannel sustainability communication to the engagement with the luxury brand. Product, service and sustainability story that the same product represents must thus be reflected in stores, online outlets, the </w:t>
      </w:r>
      <w:r>
        <w:t>companion application and after sales messages. Lack of uniformity in the messages across the touchpoints may demoralize the customer.</w:t>
      </w:r>
    </w:p>
    <w:bookmarkStart w:id="10" w:name="_Toc237388068"/>
    <w:p w14:paraId="1374D348">
      <w:pPr>
        <w:pStyle w:val="style2"/>
        <w:rPr/>
      </w:pPr>
      <w:r>
        <w:t>3.4 Promotion</w:t>
      </w:r>
      <w:bookmarkEnd w:id="10"/>
    </w:p>
    <w:p w14:paraId="03DA1D11">
      <w:pPr>
        <w:pStyle w:val="style0"/>
        <w:rPr/>
      </w:pPr>
      <w:r>
        <w:t>The message should be promoted with the focus on enjoyment of handwriting and demonstrate how the tool allows a person to be more productive in the professional setting. One such campaign can be the “Write for today. Keep it for years” campaign, which can tie craftsmanship, technology and longevity together via demonstrations in the boutique, professional, digital narrative and selective corporate trials (Klaus et al., 2026). The allegations of sustainability should not be hollow since greenwashing may bring in harm to trust and brand relationship (Daou et al., 2025). Montblanc ought to therefore inform about the particular features like refillability, maintenance access, replaced components and confirmed life cycle performance (Kozik-Kołodziej, 2026). The packaging must be as little as possible, reusable and high quality because recyclable and high quality packaging can impact the consumer perception and green brand image (Plotkina, Rabeson and Bambauer-Sachse, 2025). The phygital experience should also be reinforced with promotion, the companion app should support and provide care instruction, refill notifications, booking and ownership history of repair, and engagement with customers past purchase (Henkin, Perez and Otterbring, 2025).</w:t>
      </w:r>
    </w:p>
    <w:p w14:paraId="6199D995">
      <w:pPr>
        <w:pStyle w:val="style0"/>
        <w:jc w:val="center"/>
        <w:rPr/>
      </w:pPr>
      <w:r>
        <w:rPr>
          <w:noProof/>
        </w:rPr>
        <w:drawing>
          <wp:inline distL="0" distT="0" distB="0" distR="0">
            <wp:extent cx="5731200" cy="3975100"/>
            <wp:effectExtent l="0" t="0" r="0" b="0"/>
            <wp:docPr id="1029" name="image3.png"/>
            <wp:cNvGraphicFramePr>
              <a:graphicFrameLocks xmlns:a="http://schemas.openxmlformats.org/drawingml/2006/main" noChangeAspect="false" noSelect="false" noResize="false" noGrp="false"/>
            </wp:cNvGraphicFramePr>
            <a:graphic xmlns:a="http://schemas.openxmlformats.org/drawingml/2006/main">
              <a:graphicData uri="http://schemas.openxmlformats.org/drawingml/2006/picture">
                <pic:pic xmlns:pic="http://schemas.openxmlformats.org/drawingml/2006/picture">
                  <pic:nvPicPr>
                    <pic:cNvPr id="3" name="image3.png"/>
                    <pic:cNvPicPr/>
                  </pic:nvPicPr>
                  <pic:blipFill>
                    <a:blip r:embed="rId5" cstate="print"/>
                    <a:srcRect l="0" t="0" r="0" b="0"/>
                    <a:stretch/>
                  </pic:blipFill>
                  <pic:spPr>
                    <a:xfrm rot="0">
                      <a:off x="0" y="0"/>
                      <a:ext cx="5731200" cy="3975100"/>
                    </a:xfrm>
                    <a:prstGeom prst="rect"/>
                    <a:ln cmpd="sng" cap="flat" w="9525">
                      <a:solidFill>
                        <a:srgbClr val="000000"/>
                      </a:solidFill>
                      <a:prstDash val="solid"/>
                      <a:round/>
                      <a:headEnd/>
                      <a:tailEnd/>
                    </a:ln>
                  </pic:spPr>
                </pic:pic>
              </a:graphicData>
            </a:graphic>
          </wp:inline>
        </w:drawing>
      </w:r>
    </w:p>
    <w:p w14:paraId="663D231C">
      <w:pPr>
        <w:pStyle w:val="style0"/>
        <w:jc w:val="center"/>
        <w:rPr>
          <w:b/>
          <w:bCs/>
        </w:rPr>
      </w:pPr>
      <w:r>
        <w:rPr>
          <w:b/>
          <w:bCs/>
        </w:rPr>
        <w:t>Figure 3: 7Ps marketing mix</w:t>
      </w:r>
    </w:p>
    <w:p w14:paraId="5278DE49">
      <w:pPr>
        <w:pStyle w:val="style0"/>
        <w:jc w:val="center"/>
        <w:rPr/>
      </w:pPr>
      <w:r>
        <w:t>(Source: Hindi et al., 2019)</w:t>
      </w:r>
    </w:p>
    <w:bookmarkStart w:id="11" w:name="_Toc237388069"/>
    <w:p w14:paraId="01F46CB1">
      <w:pPr>
        <w:pStyle w:val="style2"/>
        <w:rPr/>
      </w:pPr>
      <w:r>
        <w:t>3.5 People</w:t>
      </w:r>
      <w:bookmarkEnd w:id="11"/>
    </w:p>
    <w:p w14:paraId="18FA716F">
      <w:pPr>
        <w:pStyle w:val="style0"/>
        <w:rPr/>
      </w:pPr>
      <w:r>
        <w:t>The focus on people means that the extension will be a mix of conventional luxury retailing, online onboarding and support, and specialists after sales. Boutique advisers need to be familiar with the writing tool, application matching, data-management features, refill, maintenance, and sustainability features. The customer-service and repair staff should also possess adequate technical expertise to help correct issues without affecting the quality premium experience. The relevance of customer experience in the context of luxury markets is ongoing as Deloitte (2026) points out. The expertise of the staff, discretion and responsiveness should be thus a component of the brand-extension proposal and not just an operational support.</w:t>
      </w:r>
    </w:p>
    <w:bookmarkStart w:id="12" w:name="_Toc237388070"/>
    <w:p w14:paraId="5ADE6C77">
      <w:pPr>
        <w:pStyle w:val="style2"/>
        <w:rPr/>
      </w:pPr>
      <w:r>
        <w:t>3.6 Process</w:t>
      </w:r>
      <w:bookmarkEnd w:id="12"/>
    </w:p>
    <w:p w14:paraId="21F40A77">
      <w:pPr>
        <w:pStyle w:val="style0"/>
        <w:rPr/>
      </w:pPr>
      <w:r>
        <w:t xml:space="preserve">Proposed customer process is Discovery and Demonstration, Purchase and Personalisation, App Pairing, Writing and Synchronisation, Replenishment and Refill, </w:t>
      </w:r>
      <w:r>
        <w:t>Maintenance and Repair, Module Replacement, and Responsible End of Life Management. The inconvenience during each stage should be reduced. Request for repairs should be digitally submitted and recorded in boutiques with clear estimates and the status of service. Few studies have highlighted the importance of consumers' involvement in the success of the circular economy, such as those of Agarwal et al., 2025 and Serra and Alfinito, 2025. High cost, lack of access, and time-consuming services cannot reasonably be expected to motivate customers to refill or repair products. Montblanc needs to therefore make circulating ownership easy, with the provision of spare parts, accessible servicing and clear costs of repairs. A transition from a 'do what you will' intention to a 'do what you can' practical service system - Sustainability.</w:t>
      </w:r>
    </w:p>
    <w:bookmarkStart w:id="13" w:name="_Toc237388071"/>
    <w:p w14:paraId="2A424D06">
      <w:pPr>
        <w:pStyle w:val="style2"/>
        <w:rPr/>
      </w:pPr>
      <w:r>
        <w:t>3.7 Physical Evidence</w:t>
      </w:r>
      <w:bookmarkEnd w:id="13"/>
    </w:p>
    <w:p w14:paraId="4C91B832">
      <w:pPr>
        <w:pStyle w:val="style0"/>
        <w:rPr/>
      </w:pPr>
      <w:r>
        <w:t>Physical evidence should convey both a sense of luxury and a sense of technological sophistication and sustainability at the same time. Perceived value is formed by the weight, finish, quality of nib or rollerball in pen, including the package, the presentation in the boutique, the interface provided on the application, warranty and repair forms as well. Kozik-Kołodziej (2026) and Plotkina, Rabeson and Bambauer-Sachse (2025) show the significance of packaging when it comes to shaping sustainability perceptions. Recyclable packaging must consequently strive to uphold a quality unboxing experience rather than seem low-cost or too pragmatic. Physical evidence must not be an aesthetic but a verifying aspect. It might be that a digital ownership log is able to supply details of materials, servicing, completed replaced modules and service history. Dasmi, Nechaeva and Rovai (2026) solidify the importance of coherent sustainability communication across touchpoints, and Sai Reddy et al. (2026) emphasize that the careful planning of sustainability into the modern luxury marketing context is a more whole-hearted idea. This would enable such transparency to render sustainability observable in product longevity and service quality and not the service of pictures of the environment alone.</w:t>
      </w:r>
    </w:p>
    <w:p w14:paraId="0D5427EA">
      <w:pPr>
        <w:pStyle w:val="style0"/>
        <w:rPr/>
      </w:pPr>
    </w:p>
    <w:bookmarkStart w:id="14" w:name="_Toc237388072"/>
    <w:p w14:paraId="708BF600">
      <w:pPr>
        <w:pStyle w:val="style1"/>
        <w:rPr/>
      </w:pPr>
      <w:r>
        <w:t>Element 4 – Critical Reflection</w:t>
      </w:r>
      <w:bookmarkEnd w:id="14"/>
    </w:p>
    <w:p w14:paraId="44694E78">
      <w:pPr>
        <w:pStyle w:val="style0"/>
        <w:rPr/>
      </w:pPr>
      <w:r>
        <w:t>Kolb’s reflective model provides a useful framework for evaluating the development of the Montblanc refillable smart writing concept through four stages: Concrete Experience, Reflective Observation, Abstract Conceptualisation and Active Experimentation.</w:t>
      </w:r>
    </w:p>
    <w:bookmarkStart w:id="15" w:name="_Toc237388073"/>
    <w:p w14:paraId="16F41DCC">
      <w:pPr>
        <w:pStyle w:val="style2"/>
        <w:rPr/>
      </w:pPr>
      <w:r>
        <w:t>4.1 Concrete Experience</w:t>
      </w:r>
      <w:bookmarkEnd w:id="15"/>
    </w:p>
    <w:p w14:paraId="2E27EA89">
      <w:pPr>
        <w:pStyle w:val="style0"/>
        <w:rPr/>
      </w:pPr>
      <w:r>
        <w:t>The overarching experience entailed creating a sustainable brand extension of Montblanc and converting the concept to a poster, STDP analysis and marketing mix. When I first encountered innovation, I knew it primarily as a way of providing digital functionality to an upmarket writing tool. The project however revealed that effective brand extension necessitates that there is systematization of needs of the customers, the brand heritage, sustainability and competitive differentiation. Bain and Company (2025) and Deloitte (2026) supported the significance of unique value and valuable customer experiences in the modern luxury market. This prompted me to focus the main target on the wealthy hybrid professionals and not various narrow groups.</w:t>
      </w:r>
    </w:p>
    <w:bookmarkStart w:id="16" w:name="_Toc237388074"/>
    <w:p w14:paraId="4C5D51ED">
      <w:pPr>
        <w:pStyle w:val="style2"/>
        <w:rPr/>
      </w:pPr>
      <w:r>
        <w:t>4.2 Reflective Observation</w:t>
      </w:r>
      <w:bookmarkEnd w:id="16"/>
    </w:p>
    <w:p w14:paraId="331CC7DE">
      <w:pPr>
        <w:pStyle w:val="style0"/>
        <w:rPr/>
      </w:pPr>
      <w:r>
        <w:t>The reflection of the process led to a trace of weaknesses in my original sustainability approach. Initially, I did not pay much attention to the refillable ink and recyclable packaging. Nevertheless, Roskladka et al. (2025) placed significance on repairability, and Agarwal et al. (2025) and Serra and Alfinito (2025) proved that consumer involvement is also important in the context of the circular consumption. This motivated me to reinforce the idea by providing a renewable smart module and service. Visual communication weaknesses were also displayed in the poster. Despite conveying the idea, the elements of market appeal and sustainability objectives, parts of it had excessive text and the market was initially too general. This proved the value of precise and succinct marketing communications.</w:t>
      </w:r>
    </w:p>
    <w:bookmarkStart w:id="17" w:name="_Toc237388075"/>
    <w:p w14:paraId="722C5029">
      <w:pPr>
        <w:pStyle w:val="style2"/>
        <w:rPr/>
      </w:pPr>
      <w:r>
        <w:t>4.3 Abstract Conceptualisation</w:t>
      </w:r>
      <w:bookmarkEnd w:id="17"/>
    </w:p>
    <w:p w14:paraId="290C1DCC">
      <w:pPr>
        <w:pStyle w:val="style0"/>
        <w:rPr/>
      </w:pPr>
      <w:r>
        <w:t xml:space="preserve">The experience enhanced my perception that the key elements required to achieve sustainable luxury are integration of craftsmanship, digital innovation, customer value and credible environmental responsibility. Daou et al. (2025) noted the dangers of </w:t>
      </w:r>
      <w:r>
        <w:t>greenwashing, and Li et al. (2026) demonstrated that promotional messages related to green luxuries do not necessarily generate positive effects on the consumer. Consequently, sustainability must be reinforced by evidences that are quantifiable as opposed to vague environmental declarations. My comprehension of phygital luxury was also enhanced by Henkin, Perez and Otterbring (2025) and Klaus et al. (2026). One thing I acquired is that technology must augment the physical luxury experience, as opposed to take up its dominance.</w:t>
      </w:r>
    </w:p>
    <w:bookmarkStart w:id="18" w:name="_Toc237388076"/>
    <w:p w14:paraId="50DFD9F9">
      <w:pPr>
        <w:pStyle w:val="style2"/>
        <w:rPr/>
      </w:pPr>
      <w:r>
        <w:t>4.4 Active Experimentation</w:t>
      </w:r>
      <w:bookmarkEnd w:id="18"/>
    </w:p>
    <w:p w14:paraId="36BA0E82">
      <w:pPr>
        <w:pStyle w:val="style0"/>
        <w:rPr/>
      </w:pPr>
      <w:r>
        <w:t>I would also undertake competitor analysis and research with customers earlier on, such as professional interviews, willingness-to-pay tests and prototype testing in future projects. I also would experiment with the packaging since Plotkina, Rabeson and Bambauer-Sachse (2025) and Kozik-Kołodziej (2026) show its impact on sustainability perceptions. One would also collect lifecycle evidence prior to asserting substantial environmental claims. All in all, this project helped me to become more proficient at tying the luxury positioning, sustainability, and digital innovation into a consistent marketing approach.</w:t>
      </w:r>
    </w:p>
    <w:bookmarkStart w:id="19" w:name="_7sau6gxe5lgq" w:colFirst="0" w:colLast="0"/>
    <w:bookmarkEnd w:id="19"/>
    <w:p w14:paraId="1ACB5E08">
      <w:pPr>
        <w:pStyle w:val="style1"/>
        <w:keepNext w:val="false"/>
        <w:keepLines w:val="false"/>
        <w:rPr>
          <w:sz w:val="24"/>
          <w:szCs w:val="24"/>
        </w:rPr>
      </w:pPr>
      <w:r>
        <w:br w:type="page"/>
      </w:r>
    </w:p>
    <w:bookmarkStart w:id="20" w:name="_Toc237388077"/>
    <w:p w14:paraId="06E3135B">
      <w:pPr>
        <w:pStyle w:val="style1"/>
        <w:rPr/>
      </w:pPr>
      <w:r>
        <w:t>References</w:t>
      </w:r>
      <w:bookmarkEnd w:id="20"/>
    </w:p>
    <w:p w14:paraId="4EC497E8">
      <w:pPr>
        <w:pStyle w:val="style0"/>
        <w:spacing w:before="240" w:after="240"/>
        <w:rPr/>
      </w:pPr>
      <w:r>
        <w:rPr>
          <w:color w:val="222222"/>
        </w:rPr>
        <w:t xml:space="preserve">Agarwal, S., Kweh, Q.L., Goh, K.W. and Wider, W., 2025. Redefining marketing strategies through sustainability: Influencing consumer behavior in the circular economy: A systematic review and future research roadmap. </w:t>
      </w:r>
      <w:r>
        <w:rPr>
          <w:i/>
          <w:iCs/>
          <w:color w:val="222222"/>
        </w:rPr>
        <w:t>Cleaner and Responsible Consumption</w:t>
      </w:r>
      <w:r>
        <w:rPr>
          <w:color w:val="222222"/>
        </w:rPr>
        <w:t xml:space="preserve">, </w:t>
      </w:r>
      <w:r>
        <w:rPr>
          <w:i/>
          <w:iCs/>
          <w:color w:val="222222"/>
        </w:rPr>
        <w:t>18</w:t>
      </w:r>
      <w:r>
        <w:rPr>
          <w:color w:val="222222"/>
        </w:rPr>
        <w:t>, p.100298.</w:t>
      </w:r>
      <w:r>
        <w:rPr/>
        <w:fldChar w:fldCharType="begin"/>
      </w:r>
      <w:r>
        <w:instrText xml:space="preserve"> HYPERLINK "https://www.sciencedirect.com/science/article/pii/S266678432500049X" </w:instrText>
      </w:r>
      <w:r>
        <w:rPr/>
        <w:fldChar w:fldCharType="separate"/>
      </w:r>
      <w:r>
        <w:rPr>
          <w:color w:val="1155cc"/>
          <w:u w:val="single"/>
        </w:rPr>
        <w:t>https://www.sciencedirect.com/science/article/pii/S266678432500049X</w:t>
      </w:r>
      <w:r>
        <w:rPr/>
        <w:fldChar w:fldCharType="end"/>
      </w:r>
      <w:r>
        <w:t xml:space="preserve"> </w:t>
      </w:r>
    </w:p>
    <w:p w14:paraId="67047479">
      <w:pPr>
        <w:pStyle w:val="style0"/>
        <w:spacing w:before="240" w:after="240"/>
        <w:rPr/>
      </w:pPr>
      <w:r>
        <w:t xml:space="preserve">Bain &amp; Company, 2025. </w:t>
      </w:r>
      <w:r>
        <w:rPr>
          <w:i/>
          <w:iCs/>
        </w:rPr>
        <w:t>Finding a New Longevity for Luxury</w:t>
      </w:r>
      <w:r>
        <w:t>. Bain &amp; Company.</w:t>
      </w:r>
      <w:r>
        <w:rPr/>
        <w:fldChar w:fldCharType="begin"/>
      </w:r>
      <w:r>
        <w:instrText xml:space="preserve"> HYPERLINK "https://www.bain.com/insights/finding-a-new-longevity-for-luxury/" </w:instrText>
      </w:r>
      <w:r>
        <w:rPr/>
        <w:fldChar w:fldCharType="separate"/>
      </w:r>
      <w:r>
        <w:rPr>
          <w:color w:val="1155cc"/>
          <w:u w:val="single"/>
        </w:rPr>
        <w:t>https://www.bain.com/insights/finding-a-new-longevity-for-luxury/</w:t>
      </w:r>
      <w:r>
        <w:rPr/>
        <w:fldChar w:fldCharType="end"/>
      </w:r>
      <w:r>
        <w:t xml:space="preserve"> </w:t>
      </w:r>
    </w:p>
    <w:p w14:paraId="30F533F4">
      <w:pPr>
        <w:pStyle w:val="style0"/>
        <w:spacing w:before="240" w:after="240"/>
        <w:rPr/>
      </w:pPr>
      <w:r>
        <w:rPr>
          <w:color w:val="222222"/>
        </w:rPr>
        <w:t xml:space="preserve">Daou, L., Sayegh, E., Atallah, E., Jabbour Al Maalouf, N. and Sarkis, N., 2025. Greenwashing as a barrier to sustainable marketing: Expectation disconfirmation, confusion, and brand–consumer relationships. </w:t>
      </w:r>
      <w:r>
        <w:rPr>
          <w:i/>
          <w:iCs/>
          <w:color w:val="222222"/>
        </w:rPr>
        <w:t>Sustainability</w:t>
      </w:r>
      <w:r>
        <w:rPr>
          <w:color w:val="222222"/>
        </w:rPr>
        <w:t xml:space="preserve">, </w:t>
      </w:r>
      <w:r>
        <w:rPr>
          <w:i/>
          <w:iCs/>
          <w:color w:val="222222"/>
        </w:rPr>
        <w:t>17</w:t>
      </w:r>
      <w:r>
        <w:rPr>
          <w:color w:val="222222"/>
        </w:rPr>
        <w:t>(22), p.9979.</w:t>
      </w:r>
      <w:r>
        <w:rPr/>
        <w:fldChar w:fldCharType="begin"/>
      </w:r>
      <w:r>
        <w:instrText xml:space="preserve"> HYPERLINK "https://www.mdpi.com/2071-1050/17/22/9979" </w:instrText>
      </w:r>
      <w:r>
        <w:rPr/>
        <w:fldChar w:fldCharType="separate"/>
      </w:r>
      <w:r>
        <w:rPr>
          <w:color w:val="1155cc"/>
          <w:u w:val="single"/>
        </w:rPr>
        <w:t>https://www.mdpi.com/2071-1050/17/22/9979</w:t>
      </w:r>
      <w:r>
        <w:rPr/>
        <w:fldChar w:fldCharType="end"/>
      </w:r>
      <w:r>
        <w:t xml:space="preserve"> </w:t>
      </w:r>
    </w:p>
    <w:p w14:paraId="49D6E3FE">
      <w:pPr>
        <w:pStyle w:val="style0"/>
        <w:spacing w:before="240" w:after="240"/>
        <w:rPr/>
      </w:pPr>
      <w:r>
        <w:rPr>
          <w:color w:val="222222"/>
        </w:rPr>
        <w:t xml:space="preserve">Dasmi, C., Nechaeva, O. and Rovai, S., 2026. Linking sustainability to consumer brand engagement in omnichannel communication of luxury fashion brands. </w:t>
      </w:r>
      <w:r>
        <w:rPr>
          <w:i/>
          <w:iCs/>
          <w:color w:val="222222"/>
        </w:rPr>
        <w:t>Journal of Consumer Marketing</w:t>
      </w:r>
      <w:r>
        <w:rPr>
          <w:color w:val="222222"/>
        </w:rPr>
        <w:t>, pp.1-19.</w:t>
      </w:r>
      <w:r>
        <w:rPr/>
        <w:fldChar w:fldCharType="begin"/>
      </w:r>
      <w:r>
        <w:instrText xml:space="preserve"> HYPERLINK "https://www.emerald.com/jcm/article-pdf/doi/10.1108/JCM-11-2024-7378/11505094/jcm-11-2024-7378en.pdf" </w:instrText>
      </w:r>
      <w:r>
        <w:rPr/>
        <w:fldChar w:fldCharType="separate"/>
      </w:r>
      <w:r>
        <w:rPr>
          <w:color w:val="1155cc"/>
          <w:u w:val="single"/>
        </w:rPr>
        <w:t>https://www.emerald.com/jcm/article-pdf/doi/10.1108/JCM-11-2024-7378/11505094/jcm-11-2024-7378en.pdf</w:t>
      </w:r>
      <w:r>
        <w:rPr/>
        <w:fldChar w:fldCharType="end"/>
      </w:r>
      <w:r>
        <w:t xml:space="preserve"> </w:t>
      </w:r>
    </w:p>
    <w:p w14:paraId="53F564A2">
      <w:pPr>
        <w:pStyle w:val="style0"/>
        <w:spacing w:before="240" w:after="240"/>
        <w:rPr/>
      </w:pPr>
      <w:r>
        <w:t xml:space="preserve">Deloitte, 2026. </w:t>
      </w:r>
      <w:r>
        <w:rPr>
          <w:i/>
          <w:iCs/>
        </w:rPr>
        <w:t>Global Powers of Luxury 2026</w:t>
      </w:r>
      <w:r>
        <w:t>. Deloitte.</w:t>
      </w:r>
      <w:r>
        <w:rPr/>
        <w:fldChar w:fldCharType="begin"/>
      </w:r>
      <w:r>
        <w:instrText xml:space="preserve"> HYPERLINK "https://www.deloitte.com/global/en/industries/consumer/perspectives/global-powers-of-luxury.html" </w:instrText>
      </w:r>
      <w:r>
        <w:rPr/>
        <w:fldChar w:fldCharType="separate"/>
      </w:r>
      <w:r>
        <w:rPr>
          <w:color w:val="1155cc"/>
          <w:u w:val="single"/>
        </w:rPr>
        <w:t>https://www.deloitte.com/global/en/industries/consumer/perspectives/global-powers-of-luxury.html</w:t>
      </w:r>
      <w:r>
        <w:rPr/>
        <w:fldChar w:fldCharType="end"/>
      </w:r>
      <w:r>
        <w:t xml:space="preserve"> </w:t>
      </w:r>
    </w:p>
    <w:p w14:paraId="08228122">
      <w:pPr>
        <w:pStyle w:val="style0"/>
        <w:rPr/>
      </w:pPr>
      <w:r>
        <w:t xml:space="preserve">Helmold, M., 2022. Market segmentation, targeting, differentiation and positioning. In </w:t>
      </w:r>
      <w:r>
        <w:rPr>
          <w:i/>
          <w:iCs/>
        </w:rPr>
        <w:t>Performance Excellence in Marketing, Sales and Pricing: Leveraging Change, Lean and Innovation Management</w:t>
      </w:r>
      <w:r>
        <w:t xml:space="preserve"> (pp. 105-116). Cham: Springer International Publishing. </w:t>
      </w:r>
      <w:r>
        <w:rPr/>
        <w:fldChar w:fldCharType="begin"/>
      </w:r>
      <w:r>
        <w:instrText xml:space="preserve"> HYPERLINK "https://link.springer.com/chapter/10.1007/978-3-031-10097-0_10" </w:instrText>
      </w:r>
      <w:r>
        <w:rPr/>
        <w:fldChar w:fldCharType="separate"/>
      </w:r>
      <w:r>
        <w:rPr>
          <w:color w:val="1155cc"/>
          <w:u w:val="single"/>
        </w:rPr>
        <w:t>https://link.springer.com/chapter/10.1007/978-3-031-10097-0_10</w:t>
      </w:r>
      <w:r>
        <w:rPr/>
        <w:fldChar w:fldCharType="end"/>
      </w:r>
      <w:r>
        <w:t xml:space="preserve"> </w:t>
      </w:r>
    </w:p>
    <w:p w14:paraId="2EC0A682">
      <w:pPr>
        <w:pStyle w:val="style0"/>
        <w:spacing w:before="240" w:after="240"/>
        <w:rPr/>
      </w:pPr>
      <w:r>
        <w:rPr>
          <w:color w:val="222222"/>
        </w:rPr>
        <w:t xml:space="preserve">Henkin, R., Perez, D. and Otterbring, T., 2025. Phygital luxury: the influence of NFT-linked digital twins on consumer responses to physical luxury products. </w:t>
      </w:r>
      <w:r>
        <w:rPr>
          <w:i/>
          <w:iCs/>
          <w:color w:val="222222"/>
        </w:rPr>
        <w:t>Journal of the Association for Consumer Research</w:t>
      </w:r>
      <w:r>
        <w:rPr>
          <w:color w:val="222222"/>
        </w:rPr>
        <w:t xml:space="preserve">, </w:t>
      </w:r>
      <w:r>
        <w:rPr>
          <w:i/>
          <w:iCs/>
          <w:color w:val="222222"/>
        </w:rPr>
        <w:t>10</w:t>
      </w:r>
      <w:r>
        <w:rPr>
          <w:color w:val="222222"/>
        </w:rPr>
        <w:t>(2), pp.165-179.</w:t>
      </w:r>
      <w:r>
        <w:rPr/>
        <w:fldChar w:fldCharType="begin"/>
      </w:r>
      <w:r>
        <w:instrText xml:space="preserve"> HYPERLINK "https://www.academia.edu/download/122670684/2025_Phygital_Luxury_JACR.pdf" </w:instrText>
      </w:r>
      <w:r>
        <w:rPr/>
        <w:fldChar w:fldCharType="separate"/>
      </w:r>
      <w:r>
        <w:rPr>
          <w:color w:val="1155cc"/>
          <w:u w:val="single"/>
        </w:rPr>
        <w:t>https://www.academia.edu/download/122670684/2025_Phygital_Luxury_JACR.pdf</w:t>
      </w:r>
      <w:r>
        <w:rPr/>
        <w:fldChar w:fldCharType="end"/>
      </w:r>
      <w:r>
        <w:t xml:space="preserve"> </w:t>
      </w:r>
    </w:p>
    <w:p w14:paraId="2FC082B3">
      <w:pPr>
        <w:pStyle w:val="style0"/>
        <w:rPr/>
      </w:pPr>
      <w:r>
        <w:t xml:space="preserve">Hindi, A.M., Schafheutle, E.I. and Jacobs, S., 2019. Community pharmacy integration within the primary care pathway for people with long-term conditions: a focus group study of patients’, pharmacists’ and GPs’ experiences and expectations. </w:t>
      </w:r>
      <w:r>
        <w:rPr>
          <w:i/>
          <w:iCs/>
        </w:rPr>
        <w:t>BMC family practice</w:t>
      </w:r>
      <w:r>
        <w:t xml:space="preserve">, </w:t>
      </w:r>
      <w:r>
        <w:rPr>
          <w:i/>
          <w:iCs/>
        </w:rPr>
        <w:t>20</w:t>
      </w:r>
      <w:r>
        <w:t xml:space="preserve">(1), p.26. </w:t>
      </w:r>
      <w:r>
        <w:rPr/>
        <w:fldChar w:fldCharType="begin"/>
      </w:r>
      <w:r>
        <w:instrText xml:space="preserve"> HYPERLINK "https://link.springer.com/content/pdf/10.1186/s12875-019-0912-0.pdf" </w:instrText>
      </w:r>
      <w:r>
        <w:rPr/>
        <w:fldChar w:fldCharType="separate"/>
      </w:r>
      <w:r>
        <w:rPr>
          <w:color w:val="1155cc"/>
          <w:u w:val="single"/>
        </w:rPr>
        <w:t>https://link.springer.com/content/pdf/10.1186/s12875-019-0912-0.pdf</w:t>
      </w:r>
      <w:r>
        <w:rPr/>
        <w:fldChar w:fldCharType="end"/>
      </w:r>
      <w:r>
        <w:t xml:space="preserve"> </w:t>
      </w:r>
    </w:p>
    <w:p w14:paraId="0762CCB8">
      <w:pPr>
        <w:pStyle w:val="style0"/>
        <w:spacing w:before="240" w:after="240"/>
        <w:rPr/>
      </w:pPr>
      <w:r>
        <w:rPr>
          <w:color w:val="222222"/>
        </w:rPr>
        <w:t xml:space="preserve">Jing, T., Shi, G., Liu, M.T. and Zhu, M., 2026. Fast fashion vs. Luxury fashion: who is better fitting with sustainable extension? The comparison of recycling and upcycling. </w:t>
      </w:r>
      <w:r>
        <w:rPr>
          <w:i/>
          <w:iCs/>
          <w:color w:val="222222"/>
        </w:rPr>
        <w:t>Journal of Product &amp; Brand Management</w:t>
      </w:r>
      <w:r>
        <w:rPr>
          <w:color w:val="222222"/>
        </w:rPr>
        <w:t xml:space="preserve">, </w:t>
      </w:r>
      <w:r>
        <w:rPr>
          <w:i/>
          <w:iCs/>
          <w:color w:val="222222"/>
        </w:rPr>
        <w:t>35</w:t>
      </w:r>
      <w:r>
        <w:rPr>
          <w:color w:val="222222"/>
        </w:rPr>
        <w:t>(1), pp.148-163.</w:t>
      </w:r>
      <w:r>
        <w:rPr/>
        <w:fldChar w:fldCharType="begin"/>
      </w:r>
      <w:r>
        <w:instrText xml:space="preserve"> HYPERLINK "https://www.emerald.com/jpbm/article/doi/10.1108/JPBM-02-2025-5818/1315479" </w:instrText>
      </w:r>
      <w:r>
        <w:rPr/>
        <w:fldChar w:fldCharType="separate"/>
      </w:r>
      <w:r>
        <w:rPr>
          <w:color w:val="1155cc"/>
          <w:u w:val="single"/>
        </w:rPr>
        <w:t>https://www.emerald.com/jpbm/article/doi/10.1108/JPBM-02-2025-5818/1315479</w:t>
      </w:r>
      <w:r>
        <w:rPr/>
        <w:fldChar w:fldCharType="end"/>
      </w:r>
      <w:r>
        <w:t xml:space="preserve"> </w:t>
      </w:r>
    </w:p>
    <w:p w14:paraId="74547174">
      <w:pPr>
        <w:pStyle w:val="style0"/>
        <w:spacing w:before="240" w:after="240"/>
        <w:rPr/>
      </w:pPr>
      <w:r>
        <w:rPr>
          <w:color w:val="222222"/>
        </w:rPr>
        <w:t xml:space="preserve">Klaus, P.P., Manthiou, A., Luong, V.H., Norman, E., Gornostaeva, G. and Otterbring, T., 2026. The big five of phygital luxury experience (PH-LX): A transformative luxury research perspective. </w:t>
      </w:r>
      <w:r>
        <w:rPr>
          <w:i/>
          <w:iCs/>
          <w:color w:val="222222"/>
        </w:rPr>
        <w:t>Journal of Macromarketing</w:t>
      </w:r>
      <w:r>
        <w:rPr>
          <w:color w:val="222222"/>
        </w:rPr>
        <w:t>, p.02761467261416743.</w:t>
      </w:r>
      <w:r>
        <w:rPr/>
        <w:fldChar w:fldCharType="begin"/>
      </w:r>
      <w:r>
        <w:instrText xml:space="preserve"> HYPERLINK "https://journals.sagepub.com/doi/abs/10.1177/02761467261416743" </w:instrText>
      </w:r>
      <w:r>
        <w:rPr/>
        <w:fldChar w:fldCharType="separate"/>
      </w:r>
      <w:r>
        <w:rPr>
          <w:color w:val="1155cc"/>
          <w:u w:val="single"/>
        </w:rPr>
        <w:t>https://journals.sagepub.com/doi/abs/10.1177/02761467261416743</w:t>
      </w:r>
      <w:r>
        <w:rPr/>
        <w:fldChar w:fldCharType="end"/>
      </w:r>
      <w:r>
        <w:t xml:space="preserve"> </w:t>
      </w:r>
    </w:p>
    <w:p w14:paraId="66915B56">
      <w:pPr>
        <w:pStyle w:val="style0"/>
        <w:spacing w:before="240" w:after="240"/>
        <w:rPr/>
      </w:pPr>
      <w:r>
        <w:rPr>
          <w:color w:val="222222"/>
        </w:rPr>
        <w:t xml:space="preserve">Kozik-Kołodziej, N., 2026. Consumer attitudes and perceptions toward sustainable packaging: A systematic literature review. </w:t>
      </w:r>
      <w:r>
        <w:rPr>
          <w:i/>
          <w:iCs/>
          <w:color w:val="222222"/>
        </w:rPr>
        <w:t>Sustainability</w:t>
      </w:r>
      <w:r>
        <w:rPr>
          <w:color w:val="222222"/>
        </w:rPr>
        <w:t xml:space="preserve">, </w:t>
      </w:r>
      <w:r>
        <w:rPr>
          <w:i/>
          <w:iCs/>
          <w:color w:val="222222"/>
        </w:rPr>
        <w:t>18</w:t>
      </w:r>
      <w:r>
        <w:rPr>
          <w:color w:val="222222"/>
        </w:rPr>
        <w:t>(3), p.1235.</w:t>
      </w:r>
      <w:r>
        <w:rPr/>
        <w:fldChar w:fldCharType="begin"/>
      </w:r>
      <w:r>
        <w:instrText xml:space="preserve"> HYPERLINK "https://www.mdpi.com/2071-1050/18/3/1235" </w:instrText>
      </w:r>
      <w:r>
        <w:rPr/>
        <w:fldChar w:fldCharType="separate"/>
      </w:r>
      <w:r>
        <w:rPr>
          <w:color w:val="1155cc"/>
          <w:u w:val="single"/>
        </w:rPr>
        <w:t>https://www.mdpi.com/2071-1050/18/3/1235</w:t>
      </w:r>
      <w:r>
        <w:rPr/>
        <w:fldChar w:fldCharType="end"/>
      </w:r>
      <w:r>
        <w:t xml:space="preserve"> </w:t>
      </w:r>
    </w:p>
    <w:p w14:paraId="7169D72B">
      <w:pPr>
        <w:pStyle w:val="style0"/>
        <w:spacing w:before="240" w:after="240"/>
        <w:rPr>
          <w:color w:val="222222"/>
        </w:rPr>
      </w:pPr>
      <w:r>
        <w:rPr>
          <w:color w:val="222222"/>
        </w:rPr>
        <w:t xml:space="preserve">Li, Z., Xiao, J., Zhang, X., Xiao, C. and Li, Q., 2026. The licensing effect of green luxury: Investigating the influence of green marketing on consumer purchase intentions for luxury products. </w:t>
      </w:r>
      <w:r>
        <w:rPr>
          <w:i/>
          <w:iCs/>
          <w:color w:val="222222"/>
        </w:rPr>
        <w:t>Sustainable Futures</w:t>
      </w:r>
      <w:r>
        <w:rPr>
          <w:color w:val="222222"/>
        </w:rPr>
        <w:t xml:space="preserve">, </w:t>
      </w:r>
      <w:r>
        <w:rPr>
          <w:i/>
          <w:iCs/>
          <w:color w:val="222222"/>
        </w:rPr>
        <w:t>11</w:t>
      </w:r>
      <w:r>
        <w:rPr>
          <w:color w:val="222222"/>
        </w:rPr>
        <w:t>, p.101655.</w:t>
      </w:r>
      <w:r>
        <w:rPr/>
        <w:fldChar w:fldCharType="begin"/>
      </w:r>
      <w:r>
        <w:instrText xml:space="preserve"> HYPERLINK "https://www.sciencedirect.com/science/article/pii/S2666188826000146" </w:instrText>
      </w:r>
      <w:r>
        <w:rPr/>
        <w:fldChar w:fldCharType="separate"/>
      </w:r>
      <w:r>
        <w:rPr>
          <w:color w:val="1155cc"/>
          <w:u w:val="single"/>
        </w:rPr>
        <w:t>https://www.sciencedirect.com/science/article/pii/S2666188826000146</w:t>
      </w:r>
      <w:r>
        <w:rPr/>
        <w:fldChar w:fldCharType="end"/>
      </w:r>
      <w:r>
        <w:rPr>
          <w:color w:val="222222"/>
        </w:rPr>
        <w:t xml:space="preserve"> </w:t>
      </w:r>
    </w:p>
    <w:p w14:paraId="0470802A">
      <w:pPr>
        <w:pStyle w:val="style0"/>
        <w:spacing w:before="240" w:after="240"/>
        <w:rPr>
          <w:color w:val="222222"/>
        </w:rPr>
      </w:pPr>
      <w:r>
        <w:rPr>
          <w:color w:val="222222"/>
        </w:rPr>
        <w:t xml:space="preserve">Plotkina, D., Rabeson, L. and Bambauer-Sachse, S., 2025. The role of green brand image in explaining European consumers’ reactions to different types of sustainable packaging. </w:t>
      </w:r>
      <w:r>
        <w:rPr>
          <w:i/>
          <w:iCs/>
          <w:color w:val="222222"/>
        </w:rPr>
        <w:t>Journal of Retailing and Consumer Services</w:t>
      </w:r>
      <w:r>
        <w:rPr>
          <w:color w:val="222222"/>
        </w:rPr>
        <w:t xml:space="preserve">, </w:t>
      </w:r>
      <w:r>
        <w:rPr>
          <w:i/>
          <w:iCs/>
          <w:color w:val="222222"/>
        </w:rPr>
        <w:t>84</w:t>
      </w:r>
      <w:r>
        <w:rPr>
          <w:color w:val="222222"/>
        </w:rPr>
        <w:t>, p.104228.</w:t>
      </w:r>
      <w:r>
        <w:rPr/>
        <w:fldChar w:fldCharType="begin"/>
      </w:r>
      <w:r>
        <w:instrText xml:space="preserve"> HYPERLINK "https://www.sciencedirect.com/science/article/pii/S0969698925000074" </w:instrText>
      </w:r>
      <w:r>
        <w:rPr/>
        <w:fldChar w:fldCharType="separate"/>
      </w:r>
      <w:r>
        <w:rPr>
          <w:color w:val="1155cc"/>
          <w:u w:val="single"/>
        </w:rPr>
        <w:t>https://www.sciencedirect.com/science/article/pii/S0969698925000074</w:t>
      </w:r>
      <w:r>
        <w:rPr/>
        <w:fldChar w:fldCharType="end"/>
      </w:r>
      <w:r>
        <w:rPr>
          <w:color w:val="222222"/>
        </w:rPr>
        <w:t xml:space="preserve"> </w:t>
      </w:r>
    </w:p>
    <w:p w14:paraId="6AF18254">
      <w:pPr>
        <w:pStyle w:val="style0"/>
        <w:spacing w:before="240" w:after="240"/>
        <w:rPr>
          <w:color w:val="222222"/>
        </w:rPr>
      </w:pPr>
      <w:r>
        <w:rPr>
          <w:color w:val="222222"/>
        </w:rPr>
        <w:t xml:space="preserve">Richemont, 2026. </w:t>
      </w:r>
      <w:r>
        <w:rPr>
          <w:i/>
          <w:iCs/>
          <w:color w:val="222222"/>
        </w:rPr>
        <w:t>Non-Financial Report 2026</w:t>
      </w:r>
      <w:r>
        <w:rPr>
          <w:color w:val="222222"/>
        </w:rPr>
        <w:t>. Compagnie Financière Richemont SA.</w:t>
      </w:r>
      <w:r>
        <w:rPr/>
        <w:fldChar w:fldCharType="begin"/>
      </w:r>
      <w:r>
        <w:instrText xml:space="preserve"> HYPERLINK "https://www.richemont.com/media/cskglbj3/richemont-non-financial-report-2026.pdf" </w:instrText>
      </w:r>
      <w:r>
        <w:rPr/>
        <w:fldChar w:fldCharType="separate"/>
      </w:r>
      <w:r>
        <w:rPr>
          <w:color w:val="1155cc"/>
          <w:u w:val="single"/>
        </w:rPr>
        <w:t>https://www.richemont.com/media/cskglbj3/richemont-non-financial-report-2026.pdf</w:t>
      </w:r>
      <w:r>
        <w:rPr/>
        <w:fldChar w:fldCharType="end"/>
      </w:r>
      <w:r>
        <w:rPr>
          <w:color w:val="222222"/>
        </w:rPr>
        <w:t xml:space="preserve"> </w:t>
      </w:r>
    </w:p>
    <w:p w14:paraId="4E21BDC3">
      <w:pPr>
        <w:pStyle w:val="style0"/>
        <w:spacing w:before="240" w:after="240"/>
        <w:rPr>
          <w:color w:val="222222"/>
        </w:rPr>
      </w:pPr>
      <w:r>
        <w:rPr>
          <w:color w:val="222222"/>
        </w:rPr>
        <w:t xml:space="preserve">Roskladka, N., Bressanelli, G., Saccani, N., &amp; Miragliotta, G. (2025). Repairable electronic products for the circular economy: a review of design for repair features, practices and measures to contrast obsolescence. </w:t>
      </w:r>
      <w:r>
        <w:rPr>
          <w:i/>
          <w:iCs/>
          <w:color w:val="222222"/>
        </w:rPr>
        <w:t>Discover Sustainability</w:t>
      </w:r>
      <w:r>
        <w:rPr>
          <w:color w:val="222222"/>
        </w:rPr>
        <w:t xml:space="preserve">, </w:t>
      </w:r>
      <w:r>
        <w:rPr>
          <w:i/>
          <w:iCs/>
          <w:color w:val="222222"/>
        </w:rPr>
        <w:t>6</w:t>
      </w:r>
      <w:r>
        <w:rPr>
          <w:color w:val="222222"/>
        </w:rPr>
        <w:t>(1), 66.</w:t>
      </w:r>
      <w:r>
        <w:rPr/>
        <w:fldChar w:fldCharType="begin"/>
      </w:r>
      <w:r>
        <w:instrText xml:space="preserve"> HYPERLINK "https://link.springer.com/content/pdf/10.1007/s43621-024-00753-x.pdf" </w:instrText>
      </w:r>
      <w:r>
        <w:rPr/>
        <w:fldChar w:fldCharType="separate"/>
      </w:r>
      <w:r>
        <w:rPr>
          <w:color w:val="1155cc"/>
          <w:u w:val="single"/>
        </w:rPr>
        <w:t>https://link.springer.com/content/pdf/10.1007/s43621-024-00753-x.pdf</w:t>
      </w:r>
      <w:r>
        <w:rPr/>
        <w:fldChar w:fldCharType="end"/>
      </w:r>
      <w:r>
        <w:rPr>
          <w:color w:val="222222"/>
        </w:rPr>
        <w:t xml:space="preserve"> </w:t>
      </w:r>
    </w:p>
    <w:p w14:paraId="7F79B562">
      <w:pPr>
        <w:pStyle w:val="style0"/>
        <w:spacing w:before="240" w:after="240"/>
        <w:rPr>
          <w:color w:val="222222"/>
        </w:rPr>
      </w:pPr>
      <w:r>
        <w:rPr>
          <w:color w:val="222222"/>
        </w:rPr>
        <w:t xml:space="preserve">Sai Reddy, Y.Y., VS, S. and Meenakshy, M., 2026. Redefining luxury in the era of sustainability: a systematic review and qualitative investigation into sustainable luxury marketing. </w:t>
      </w:r>
      <w:r>
        <w:rPr>
          <w:i/>
          <w:iCs/>
          <w:color w:val="222222"/>
        </w:rPr>
        <w:t>Cogent Business &amp; Management</w:t>
      </w:r>
      <w:r>
        <w:rPr>
          <w:color w:val="222222"/>
        </w:rPr>
        <w:t xml:space="preserve">, </w:t>
      </w:r>
      <w:r>
        <w:rPr>
          <w:i/>
          <w:iCs/>
          <w:color w:val="222222"/>
        </w:rPr>
        <w:t>13</w:t>
      </w:r>
      <w:r>
        <w:rPr>
          <w:color w:val="222222"/>
        </w:rPr>
        <w:t>(1), p.2624172.</w:t>
      </w:r>
      <w:r>
        <w:rPr/>
        <w:fldChar w:fldCharType="begin"/>
      </w:r>
      <w:r>
        <w:instrText xml:space="preserve"> HYPERLINK "https://www.tandfonline.com/doi/pdf/10.1080/23311975.2026.2624172" </w:instrText>
      </w:r>
      <w:r>
        <w:rPr/>
        <w:fldChar w:fldCharType="separate"/>
      </w:r>
      <w:r>
        <w:rPr>
          <w:color w:val="1155cc"/>
          <w:u w:val="single"/>
        </w:rPr>
        <w:t>https://www.tandfonline.com/doi/pdf/10.1080/23311975.2026.2624172</w:t>
      </w:r>
      <w:r>
        <w:rPr/>
        <w:fldChar w:fldCharType="end"/>
      </w:r>
      <w:r>
        <w:rPr>
          <w:color w:val="222222"/>
        </w:rPr>
        <w:t xml:space="preserve"> </w:t>
      </w:r>
    </w:p>
    <w:p w14:paraId="7B305EBE">
      <w:pPr>
        <w:pStyle w:val="style0"/>
        <w:spacing w:before="240" w:after="240"/>
        <w:rPr>
          <w:color w:val="222222"/>
        </w:rPr>
      </w:pPr>
      <w:r>
        <w:rPr>
          <w:color w:val="222222"/>
        </w:rPr>
        <w:t xml:space="preserve">Serra, L. S., &amp; Alfinito, S. (2025). Consumer behavior in the circular economy: a systematic review of high-impact studies. </w:t>
      </w:r>
      <w:r>
        <w:rPr>
          <w:i/>
          <w:iCs/>
          <w:color w:val="222222"/>
        </w:rPr>
        <w:t>Circular Economy and Sustainability</w:t>
      </w:r>
      <w:r>
        <w:rPr>
          <w:color w:val="222222"/>
        </w:rPr>
        <w:t xml:space="preserve">, </w:t>
      </w:r>
      <w:r>
        <w:rPr>
          <w:i/>
          <w:iCs/>
          <w:color w:val="222222"/>
        </w:rPr>
        <w:t>5</w:t>
      </w:r>
      <w:r>
        <w:rPr>
          <w:color w:val="222222"/>
        </w:rPr>
        <w:t>(6), 5315-5349.</w:t>
      </w:r>
      <w:r>
        <w:rPr/>
        <w:fldChar w:fldCharType="begin"/>
      </w:r>
      <w:r>
        <w:instrText xml:space="preserve"> HYPERLINK "https://link.springer.com/article/10.1007/s43615-025-00679-0" </w:instrText>
      </w:r>
      <w:r>
        <w:rPr/>
        <w:fldChar w:fldCharType="separate"/>
      </w:r>
      <w:r>
        <w:rPr>
          <w:color w:val="1155cc"/>
          <w:u w:val="single"/>
        </w:rPr>
        <w:t>https://link.springer.com/article/10.1007/s43615-025-00679-0</w:t>
      </w:r>
      <w:r>
        <w:rPr/>
        <w:fldChar w:fldCharType="end"/>
      </w:r>
      <w:r>
        <w:rPr>
          <w:color w:val="222222"/>
        </w:rPr>
        <w:t xml:space="preserve"> </w:t>
      </w:r>
    </w:p>
    <w:p w14:paraId="09AF9FD4">
      <w:pPr>
        <w:pStyle w:val="style0"/>
        <w:spacing w:before="240" w:after="240"/>
        <w:rPr/>
      </w:pPr>
      <w:r>
        <w:rPr>
          <w:color w:val="222222"/>
        </w:rPr>
        <w:t xml:space="preserve">United Nations Department of Economic and Social Affairs (UN DESA), 2026. </w:t>
      </w:r>
      <w:r>
        <w:rPr>
          <w:i/>
          <w:iCs/>
          <w:color w:val="222222"/>
        </w:rPr>
        <w:t>The Sustainable Development Goals Report 2026</w:t>
      </w:r>
      <w:r>
        <w:rPr>
          <w:color w:val="222222"/>
        </w:rPr>
        <w:t>.</w:t>
      </w:r>
      <w:r>
        <w:rPr/>
        <w:fldChar w:fldCharType="begin"/>
      </w:r>
      <w:r>
        <w:instrText xml:space="preserve"> HYPERLINK "https://unstats.un.org/sdgs/report/2026/" </w:instrText>
      </w:r>
      <w:r>
        <w:rPr/>
        <w:fldChar w:fldCharType="separate"/>
      </w:r>
      <w:r>
        <w:rPr>
          <w:color w:val="1155cc"/>
          <w:u w:val="single"/>
        </w:rPr>
        <w:t>https://unstats.un.org/sdgs/report/2026/</w:t>
      </w:r>
      <w:r>
        <w:rPr/>
        <w:fldChar w:fldCharType="end"/>
      </w:r>
      <w:r>
        <w:rPr>
          <w:color w:val="222222"/>
        </w:rPr>
        <w:t xml:space="preserve"> </w:t>
      </w:r>
    </w:p>
    <w:sectPr>
      <w:footerReference w:type="default" r:id="rId6"/>
      <w:headerReference w:type="first" r:id="rId7"/>
      <w:pgSz w:w="11909" w:h="16834" w:orient="portrait"/>
      <w:pgMar w:top="1440" w:right="1440" w:bottom="1440" w:left="1440" w:header="720" w:footer="720" w:gutter="0"/>
      <w:pgNumType w:start="1"/>
      <w:cols w:space="720"/>
      <w:titlePg/>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Arial">
    <w:altName w:val="Arial"/>
    <w:panose1 w:val="020b0604020002020204"/>
    <w:charset w:val="00"/>
    <w:family w:val="swiss"/>
    <w:pitch w:val="variable"/>
    <w:sig w:usb0="E0002EFF" w:usb1="C000785B" w:usb2="00000009" w:usb3="00000000" w:csb0="000001FF" w:csb1="00000000"/>
  </w:font>
  <w:font w:name="Times New Roman">
    <w:altName w:val="Times New Roman"/>
    <w:panose1 w:val="02020603050004020304"/>
    <w:charset w:val="00"/>
    <w:family w:val="roman"/>
    <w:pitch w:val="variable"/>
    <w:sig w:usb0="E0002EFF" w:usb1="C000785B" w:usb2="00000009" w:usb3="00000000" w:csb0="000001FF" w:csb1="00000000"/>
  </w:font>
  <w:font w:name="SimSun">
    <w:altName w:val="宋体"/>
    <w:panose1 w:val="02010600030001010101"/>
    <w:charset w:val="86"/>
    <w:family w:val="auto"/>
    <w:pitch w:val="variable"/>
    <w:sig w:usb0="00000203" w:usb1="288F0000" w:usb2="00000016" w:usb3="00000000" w:csb0="00040001" w:csb1="00000000"/>
  </w:font>
  <w:font w:name="Calibri">
    <w:altName w:val="Calibri"/>
    <w:panose1 w:val="020f0502020002030204"/>
    <w:charset w:val="00"/>
    <w:family w:val="swiss"/>
    <w:pitch w:val="variable"/>
    <w:sig w:usb0="E4002EFF" w:usb1="C200247B" w:usb2="00000009" w:usb3="00000000" w:csb0="000001FF" w:csb1="00000000"/>
  </w:font>
  <w:font w:name="Cambria">
    <w:altName w:val="Cambria"/>
    <w:panose1 w:val="02040503050004030204"/>
    <w:charset w:val="00"/>
    <w:family w:val="roman"/>
    <w:pitch w:val="variable"/>
    <w:sig w:usb0="E00006FF" w:usb1="420024FF" w:usb2="02000000" w:usb3="00000000" w:csb0="0000019F" w:csb1="00000000"/>
  </w:font>
</w:fonts>
</file>

<file path=word/footer1.xml><?xml version="1.0" encoding="utf-8"?>
<w:ftr xmlns:w="http://schemas.openxmlformats.org/wordprocessingml/2006/main" xmlns:wp="http://schemas.openxmlformats.org/drawingml/2006/wordprocessingDrawing" xmlns:r="http://schemas.openxmlformats.org/officeDocument/2006/relationships" xmlns:v="urn:schemas-microsoft-com:vml" xmlns:w10="urn:schemas-microsoft-com:office:word" xmlns:o="urn:schemas-microsoft-com:office:office" xmlns:wp14="http://schemas.microsoft.com/office/word/2010/wordprocessingDrawing" xmlns:w14="http://schemas.microsoft.com/office/word/2010/wordml" xmlns:mc="http://schemas.openxmlformats.org/markup-compatibility/2006" xmlns:m="http://schemas.openxmlformats.org/officeDocument/2006/math" xmlns:wps="http://schemas.microsoft.com/office/word/2010/wordprocessingShape" xmlns:wpg="http://schemas.microsoft.com/office/word/2010/wordprocessingGroup" xmlns:wpi="http://schemas.microsoft.com/office/word/2010/wordprocessingInk" xmlns:wpc="http://schemas.microsoft.com/office/word/2010/wordprocessingCanvas" xmlns:wpsCustomData="http://www.wps.cn/officeDocument/2013/wpsCustomData" mc:Ignorable="w14 wp14">
  <w:p w14:paraId="60B21EA9">
    <w:pPr>
      <w:pStyle w:val="style0"/>
      <w:jc w:val="right"/>
      <w:rPr/>
    </w:pPr>
    <w:r>
      <w:rPr/>
      <w:fldChar w:fldCharType="begin"/>
    </w:r>
    <w:r>
      <w:instrText>PAGE</w:instrText>
    </w:r>
    <w:r>
      <w:rPr/>
      <w:fldChar w:fldCharType="separate"/>
    </w:r>
    <w:r>
      <w:rPr>
        <w:noProof/>
      </w:rPr>
      <w:t>2</w:t>
    </w:r>
    <w:r>
      <w:rPr/>
      <w:fldChar w:fldCharType="end"/>
    </w:r>
  </w:p>
</w:ftr>
</file>

<file path=word/header2.xml><?xml version="1.0" encoding="utf-8"?>
<w:hdr xmlns:w="http://schemas.openxmlformats.org/wordprocessingml/2006/main" xmlns:wp="http://schemas.openxmlformats.org/drawingml/2006/wordprocessingDrawing" xmlns:r="http://schemas.openxmlformats.org/officeDocument/2006/relationships" xmlns:v="urn:schemas-microsoft-com:vml" xmlns:w10="urn:schemas-microsoft-com:office:word" xmlns:o="urn:schemas-microsoft-com:office:office" xmlns:wp14="http://schemas.microsoft.com/office/word/2010/wordprocessingDrawing" xmlns:w14="http://schemas.microsoft.com/office/word/2010/wordml" xmlns:mc="http://schemas.openxmlformats.org/markup-compatibility/2006" xmlns:m="http://schemas.openxmlformats.org/officeDocument/2006/math" xmlns:wps="http://schemas.microsoft.com/office/word/2010/wordprocessingShape" xmlns:wpg="http://schemas.microsoft.com/office/word/2010/wordprocessingGroup" xmlns:wpi="http://schemas.microsoft.com/office/word/2010/wordprocessingInk" xmlns:wpc="http://schemas.microsoft.com/office/word/2010/wordprocessingCanvas" xmlns:wpsCustomData="http://www.wps.cn/officeDocument/2013/wpsCustomData" mc:Ignorable="w14 wp14">
  <w:p w14:paraId="75CEDAD9">
    <w:pPr>
      <w:pStyle w:val="style0"/>
      <w:rPr/>
    </w:pPr>
  </w:p>
</w:hdr>
</file>

<file path=word/numbering.xml><?xml version="1.0" encoding="utf-8"?>
<w:numbering xmlns:wpc="http://schemas.microsoft.com/office/word/2010/wordprocessingCanvas" xmlns:mc="http://schemas.openxmlformats.org/markup-compatibility/2006" xmlns:o="urn:schemas-microsoft-com:office:office" xmlns:r="http://schemas.openxmlformats.org/package/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file>

<file path=word/settings.xml><?xml version="1.0" encoding="utf-8"?>
<w:settings xmlns:w="http://schemas.openxmlformats.org/wordprocessingml/2006/main" xmlns:r="http://schemas.openxmlformats.org/officeDocument/2006/relationships" xmlns:m="http://schemas.openxmlformats.org/officeDocument/2006/math">
  <w:zoom w:percent="100"/>
  <w:embedTrueTypeFonts/>
  <w:stylePaneFormatFilter w:val="5024" w:allStyles="0" w:customStyles="0" w:latentStyles="1" w:stylesInUse="0" w:headingStyles="1" w:numberingStyles="0" w:tableStyles="0" w:directFormattingOnRuns="0" w:directFormattingOnParagraphs="0" w:directFormattingOnNumbering="0" w:directFormattingOnTables="0" w:clearFormatting="1" w:top3HeadingStyles="0" w:visibleStyles="1" w:alternateStyleNames="0"/>
  <w:stylePaneSortMethod w:val="0001"/>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m:mathPr>
    <m:mathFont m:val="Cambria Math"/>
    <m:brkBin m:val="before"/>
    <m:brkBinSub m:val="--"/>
    <m:smallFrac m:val="0"/>
    <m:dispDef/>
    <m:lMargin m:val="0"/>
    <m:rMargin m:val="0"/>
    <m:defJc m:val="centerGroup"/>
    <m:wrapIndent m:val="1440"/>
    <m:intLim m:val="subSup"/>
    <m:naryLim m:val="undOvr"/>
  </m:mathPr>
  <w:themeFontLang w:val="en-IN" w:eastAsia="zh-CN"/>
  <w:clrSchemeMapping w:bg1="light1" w:t1="dark1" w:bg2="light2" w:t2="dark2" w:accent1="accent1" w:accent2="accent2" w:accent3="accent3" w:accent4="accent4" w:accent5="accent5" w:accent6="accent6" w:hyperlink="hyperlink" w:followedHyperlink="followedHyperlink"/>
  <w:decimalSymbol w:val="."/>
  <w:listSeparator w:val=","/>
</w:settings>
</file>

<file path=word/styles.xml><?xml version="1.0" encoding="utf-8"?>
<w:styles xmlns:mc="http://schemas.openxmlformats.org/markup-compatibility/2006" xmlns:w="http://schemas.openxmlformats.org/wordprocessingml/2006/main" xmlns:w14="http://schemas.microsoft.com/office/word/2010/wordml" mc:Ignorable="w14">
  <w:docDefaults>
    <w:rPrDefault>
      <w:rPr>
        <w:rFonts w:ascii="Arial" w:cs="Arial" w:eastAsia="Arial" w:hAnsi="Arial"/>
        <w:sz w:val="24"/>
        <w:szCs w:val="24"/>
        <w:lang w:val="en-GB" w:bidi="ar-SA" w:eastAsia="zh-CN"/>
      </w:rPr>
    </w:rPrDefault>
    <w:pPrDefault>
      <w:pPr>
        <w:spacing w:before="200" w:after="200" w:lineRule="auto" w:line="360"/>
        <w:jc w:val="both"/>
      </w:pPr>
    </w:pPrDefault>
  </w:docDefaults>
  <w:style w:type="paragraph" w:default="1" w:styleId="style0">
    <w:name w:val="Normal"/>
    <w:next w:val="style0"/>
    <w:qFormat/>
    <w:pPr/>
  </w:style>
  <w:style w:type="paragraph" w:styleId="style1">
    <w:name w:val="heading 1"/>
    <w:basedOn w:val="style0"/>
    <w:next w:val="style0"/>
    <w:qFormat/>
    <w:uiPriority w:val="9"/>
    <w:pPr>
      <w:keepNext/>
      <w:keepLines/>
      <w:outlineLvl w:val="0"/>
    </w:pPr>
    <w:rPr>
      <w:b/>
      <w:bCs/>
      <w:sz w:val="28"/>
      <w:szCs w:val="28"/>
    </w:rPr>
  </w:style>
  <w:style w:type="paragraph" w:styleId="style2">
    <w:name w:val="heading 2"/>
    <w:basedOn w:val="style0"/>
    <w:next w:val="style0"/>
    <w:qFormat/>
    <w:uiPriority w:val="9"/>
    <w:pPr>
      <w:keepNext/>
      <w:keepLines/>
      <w:outlineLvl w:val="1"/>
    </w:pPr>
    <w:rPr>
      <w:b/>
      <w:bCs/>
    </w:rPr>
  </w:style>
  <w:style w:type="paragraph" w:styleId="style3">
    <w:name w:val="heading 3"/>
    <w:basedOn w:val="style0"/>
    <w:next w:val="style0"/>
    <w:qFormat/>
    <w:uiPriority w:val="9"/>
    <w:pPr>
      <w:keepNext/>
      <w:keepLines/>
      <w:spacing w:before="320" w:after="80"/>
      <w:outlineLvl w:val="2"/>
    </w:pPr>
    <w:rPr>
      <w:color w:val="434343"/>
      <w:sz w:val="28"/>
      <w:szCs w:val="28"/>
    </w:rPr>
  </w:style>
  <w:style w:type="paragraph" w:styleId="style4">
    <w:name w:val="heading 4"/>
    <w:basedOn w:val="style0"/>
    <w:next w:val="style0"/>
    <w:qFormat/>
    <w:uiPriority w:val="9"/>
    <w:pPr>
      <w:keepNext/>
      <w:keepLines/>
      <w:spacing w:before="280" w:after="80"/>
      <w:outlineLvl w:val="3"/>
    </w:pPr>
    <w:rPr>
      <w:color w:val="666666"/>
    </w:rPr>
  </w:style>
  <w:style w:type="paragraph" w:styleId="style5">
    <w:name w:val="heading 5"/>
    <w:basedOn w:val="style0"/>
    <w:next w:val="style0"/>
    <w:qFormat/>
    <w:uiPriority w:val="9"/>
    <w:pPr>
      <w:keepNext/>
      <w:keepLines/>
      <w:spacing w:before="240" w:after="80"/>
      <w:outlineLvl w:val="4"/>
    </w:pPr>
    <w:rPr>
      <w:color w:val="666666"/>
      <w:sz w:val="22"/>
      <w:szCs w:val="22"/>
    </w:rPr>
  </w:style>
  <w:style w:type="paragraph" w:styleId="style6">
    <w:name w:val="heading 6"/>
    <w:basedOn w:val="style0"/>
    <w:next w:val="style0"/>
    <w:qFormat/>
    <w:uiPriority w:val="9"/>
    <w:pPr>
      <w:keepNext/>
      <w:keepLines/>
      <w:spacing w:before="240" w:after="80"/>
      <w:outlineLvl w:val="5"/>
    </w:pPr>
    <w:rPr>
      <w:i/>
      <w:iCs/>
      <w:color w:val="666666"/>
      <w:sz w:val="22"/>
      <w:szCs w:val="22"/>
    </w:rPr>
  </w:style>
  <w:style w:type="character" w:default="1" w:styleId="style65">
    <w:name w:val="Default Paragraph Font"/>
    <w:next w:val="style65"/>
    <w:uiPriority w:val="1"/>
  </w:style>
  <w:style w:type="table" w:default="1" w:styleId="style105">
    <w:name w:val="Normal Table"/>
    <w:next w:val="style105"/>
    <w:uiPriority w:val="99"/>
    <w:pPr/>
    <w:rPr/>
    <w:tblPr>
      <w:tblInd w:w="0" w:type="dxa"/>
      <w:tblCellMar>
        <w:top w:w="0" w:type="dxa"/>
        <w:left w:w="108" w:type="dxa"/>
        <w:bottom w:w="0" w:type="dxa"/>
        <w:right w:w="108" w:type="dxa"/>
      </w:tblCellMar>
    </w:tblPr>
    <w:tcPr>
      <w:tcBorders/>
    </w:tcPr>
  </w:style>
  <w:style w:type="numbering" w:default="1" w:styleId="style107">
    <w:name w:val="No List"/>
    <w:next w:val="style107"/>
    <w:uiPriority w:val="99"/>
    <w:pPr/>
  </w:style>
  <w:style w:type="table" w:customStyle="1" w:styleId="style4097">
    <w:name w:val="TableNormal"/>
    <w:next w:val="style4097"/>
    <w:pPr/>
    <w:rPr/>
    <w:tblPr>
      <w:tblCellMar>
        <w:top w:w="100" w:type="dxa"/>
        <w:left w:w="100" w:type="dxa"/>
        <w:bottom w:w="100" w:type="dxa"/>
        <w:right w:w="100" w:type="dxa"/>
      </w:tblCellMar>
    </w:tblPr>
    <w:tcPr>
      <w:tcBorders/>
    </w:tcPr>
  </w:style>
  <w:style w:type="paragraph" w:styleId="style62">
    <w:name w:val="Title"/>
    <w:basedOn w:val="style0"/>
    <w:next w:val="style0"/>
    <w:qFormat/>
    <w:uiPriority w:val="10"/>
    <w:pPr>
      <w:keepNext/>
      <w:keepLines/>
      <w:spacing w:before="0" w:after="60"/>
    </w:pPr>
    <w:rPr>
      <w:sz w:val="52"/>
      <w:szCs w:val="52"/>
    </w:rPr>
  </w:style>
  <w:style w:type="paragraph" w:styleId="style74">
    <w:name w:val="Subtitle"/>
    <w:basedOn w:val="style0"/>
    <w:next w:val="style0"/>
    <w:qFormat/>
    <w:uiPriority w:val="11"/>
    <w:pPr>
      <w:keepNext/>
      <w:keepLines/>
      <w:spacing w:before="0" w:after="320"/>
    </w:pPr>
    <w:rPr>
      <w:color w:val="666666"/>
      <w:sz w:val="30"/>
      <w:szCs w:val="30"/>
    </w:rPr>
  </w:style>
  <w:style w:type="table" w:customStyle="1" w:styleId="style4098">
    <w:basedOn w:val="style4097"/>
    <w:next w:val="style4098"/>
    <w:pPr/>
    <w:rPr/>
    <w:tblPr>
      <w:tblStyleRowBandSize w:val="1"/>
      <w:tblStyleColBandSize w:val="1"/>
    </w:tblPr>
    <w:tcPr>
      <w:tcBorders/>
    </w:tcPr>
  </w:style>
  <w:style w:type="table" w:customStyle="1" w:styleId="style4099">
    <w:basedOn w:val="style4097"/>
    <w:next w:val="style4099"/>
    <w:pPr/>
    <w:rPr/>
    <w:tblPr>
      <w:tblStyleRowBandSize w:val="1"/>
      <w:tblStyleColBandSize w:val="1"/>
    </w:tblPr>
    <w:tcPr>
      <w:tcBorders/>
    </w:tcPr>
  </w:style>
  <w:style w:type="paragraph" w:styleId="style19">
    <w:name w:val="toc 1"/>
    <w:basedOn w:val="style0"/>
    <w:next w:val="style0"/>
    <w:uiPriority w:val="39"/>
    <w:pPr>
      <w:spacing w:after="100"/>
    </w:pPr>
    <w:rPr/>
  </w:style>
  <w:style w:type="paragraph" w:styleId="style20">
    <w:name w:val="toc 2"/>
    <w:basedOn w:val="style0"/>
    <w:next w:val="style0"/>
    <w:uiPriority w:val="39"/>
    <w:pPr>
      <w:spacing w:after="100"/>
      <w:ind w:left="240"/>
    </w:pPr>
    <w:rPr/>
  </w:style>
  <w:style w:type="character" w:styleId="style85">
    <w:name w:val="Hyperlink"/>
    <w:basedOn w:val="style65"/>
    <w:next w:val="style85"/>
    <w:uiPriority w:val="99"/>
    <w:rPr>
      <w:color w:val="0000ff"/>
      <w:u w:val="single"/>
    </w:rPr>
  </w:style>
</w:styles>
</file>

<file path=word/_rels/document.xml.rels><?xml version="1.0" encoding="UTF-8"?>
<Relationships xmlns="http://schemas.openxmlformats.org/package/2006/relationships"><Relationship Id="rId1" Type="http://schemas.openxmlformats.org/officeDocument/2006/relationships/numbering" Target="numbering.xml"/><Relationship Id="rId2" Type="http://schemas.openxmlformats.org/officeDocument/2006/relationships/image" Target="media/image1.png"/><Relationship Id="rId3" Type="http://schemas.openxmlformats.org/officeDocument/2006/relationships/image" Target="media/image2.png"/><Relationship Id="rId4" Type="http://schemas.openxmlformats.org/officeDocument/2006/relationships/image" Target="media/image3.png"/><Relationship Id="rId11" Type="http://schemas.openxmlformats.org/officeDocument/2006/relationships/theme" Target="theme/theme1.xml"/><Relationship Id="rId10" Type="http://schemas.openxmlformats.org/officeDocument/2006/relationships/settings" Target="settings.xml"/><Relationship Id="rId9" Type="http://schemas.openxmlformats.org/officeDocument/2006/relationships/fontTable" Target="fontTable.xml"/><Relationship Id="rId5" Type="http://schemas.openxmlformats.org/officeDocument/2006/relationships/image" Target="media/image4.png"/><Relationship Id="rId6" Type="http://schemas.openxmlformats.org/officeDocument/2006/relationships/footer" Target="footer1.xml"/><Relationship Id="rId7" Type="http://schemas.openxmlformats.org/officeDocument/2006/relationships/header" Target="header2.xml"/><Relationship Id="rId8"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Words>3175</Words>
  <Pages>17</Pages>
  <Characters>20677</Characters>
  <Application>WPS Office</Application>
  <DocSecurity>0</DocSecurity>
  <Paragraphs>147</Paragraphs>
  <ScaleCrop>false</ScaleCrop>
  <LinksUpToDate>false</LinksUpToDate>
  <CharactersWithSpaces>23752</CharactersWithSpaces>
  <SharedDoc>false</SharedDoc>
  <HyperlinksChanged>false</HyperlinksChanged>
  <AppVersion>16.000</AppVersion>
</Properties>
</file>

<file path=docProps/core.xml><?xml version="1.0" encoding="utf-8"?>
<coreProperties xmlns="http://schemas.openxmlformats.org/package/2006/metadata/core-properties" xmlns:cp="http://schemas.openxmlformats.org/package/2006/metadata/core-properties" xmlns:dc="http://purl.org/dc/elements/1.1/" xmlns:dcterms="http://purl.org/dc/terms/" xmlns:xsi="http://www.w3.org/2001/XMLSchema-instance">
  <dcterms:created xsi:type="dcterms:W3CDTF">2026-08-11T19:17:00Z</dcterms:created>
  <dc:creator>WPS Office</dc:creator>
  <lastModifiedBy>motorola edge 60 fusion</lastModifiedBy>
  <dcterms:modified xsi:type="dcterms:W3CDTF">2026-08-11T20:42:20Z</dcterms:modified>
  <revision>2</revision>
</coreProperties>
</file>

<file path=docProps/custom.xml><?xml version="1.0" encoding="utf-8"?>
<Properties xmlns="http://schemas.openxmlformats.org/officeDocument/2006/custom-properties" xmlns:vt="http://schemas.openxmlformats.org/officeDocument/2006/docPropsVTypes">
  <property fmtid="{D5CDD505-2E9C-101B-9397-08002B2CF9AE}" pid="2" name="ICV">
    <vt:lpwstr>940a016c441445cfbc60c29ce3b22da5_23</vt:lpwstr>
  </property>
</Properties>
</file>