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FA0295" w14:textId="15AA4330" w:rsidR="00C605D7" w:rsidRDefault="00C605D7" w:rsidP="00C605D7">
      <w:pPr>
        <w:pStyle w:val="Heading1"/>
        <w:tabs>
          <w:tab w:val="left" w:pos="3660"/>
        </w:tabs>
      </w:pPr>
      <w:bookmarkStart w:id="0" w:name="_Toc134339564"/>
      <w:r>
        <w:t>Language</w:t>
      </w:r>
      <w:bookmarkEnd w:id="0"/>
      <w:r>
        <w:t xml:space="preserve"> politics</w:t>
      </w:r>
      <w:r w:rsidR="00AE1A3B">
        <w:t xml:space="preserve"> and </w:t>
      </w:r>
      <w:r w:rsidR="00D33723">
        <w:t xml:space="preserve">‘postcolonial’ </w:t>
      </w:r>
      <w:r w:rsidR="00AE1A3B">
        <w:t>Brittany</w:t>
      </w:r>
      <w:r>
        <w:tab/>
      </w:r>
    </w:p>
    <w:p w14:paraId="3841EB7E" w14:textId="77777777" w:rsidR="00C605D7" w:rsidRDefault="00C605D7" w:rsidP="00C605D7">
      <w:r>
        <w:t xml:space="preserve">By the second half of the twentieth century, the relationship between the two main languages of Brittany had been reversed. Whereas in Brizeux’s day most of his countrymen would have been unable to understand </w:t>
      </w:r>
      <w:r>
        <w:rPr>
          <w:i/>
          <w:iCs/>
        </w:rPr>
        <w:t>Marie</w:t>
      </w:r>
      <w:r>
        <w:t xml:space="preserve"> and </w:t>
      </w:r>
      <w:r>
        <w:rPr>
          <w:i/>
          <w:iCs/>
        </w:rPr>
        <w:t>Les Bretons</w:t>
      </w:r>
      <w:r>
        <w:t xml:space="preserve"> because he had chosen to write them in French, by now </w:t>
      </w:r>
      <w:proofErr w:type="gramStart"/>
      <w:r>
        <w:t>the majority of</w:t>
      </w:r>
      <w:proofErr w:type="gramEnd"/>
      <w:r>
        <w:t xml:space="preserve"> Bretons were unable to understand material written in Breton. Despite this turnaround, or indeed in large part because of it, Francophone Breton literature was just as much produced </w:t>
      </w:r>
      <w:r>
        <w:rPr>
          <w:i/>
          <w:iCs/>
        </w:rPr>
        <w:t>in</w:t>
      </w:r>
      <w:r>
        <w:t xml:space="preserve"> </w:t>
      </w:r>
      <w:r>
        <w:rPr>
          <w:i/>
          <w:iCs/>
        </w:rPr>
        <w:t>between</w:t>
      </w:r>
      <w:r>
        <w:t xml:space="preserve"> these two languages as it had been in the 1830s. A writer was theoretically still faced with a choice of writing either in the indigenous language of Brittany, or in the ever more dominant French language that had been imposed by the French state. What had changed beyond recognition was the nature of this choice. Writing in Breton now frequently meant writing in a second language, learnt from scratch, as many families had not handed the language down to the next generation. Writing in Breton also certainly meant a narrowing of one’s potential readership,</w:t>
      </w:r>
      <w:r>
        <w:rPr>
          <w:rStyle w:val="FootnoteReference"/>
        </w:rPr>
        <w:footnoteReference w:id="1"/>
      </w:r>
      <w:r>
        <w:t xml:space="preserve"> although paradoxically the pioneering work of the </w:t>
      </w:r>
      <w:r>
        <w:rPr>
          <w:i/>
          <w:iCs/>
        </w:rPr>
        <w:t>Gwalarn</w:t>
      </w:r>
      <w:r>
        <w:t xml:space="preserve"> movement in the first half of the twentieth century meant that there was now a tradition of modern literature written in Breton, with a small but extremely dedicated readership. What had in Brizeux’s day been a relatively pragmatic choice between two linguistic media was now seen by many in the Breton movement as a radical political one, because by the time the ‘revolutionary’ poets of the 1960s and 1970s were writing, Brittany had awoken to its status as arguably postcolonial. Suppression of its language by the French state </w:t>
      </w:r>
      <w:proofErr w:type="gramStart"/>
      <w:r>
        <w:t>was seen as</w:t>
      </w:r>
      <w:proofErr w:type="gramEnd"/>
      <w:r>
        <w:t xml:space="preserve"> a key in this issue. </w:t>
      </w:r>
    </w:p>
    <w:p w14:paraId="53F400B0" w14:textId="6D793948" w:rsidR="00C605D7" w:rsidRDefault="00C605D7" w:rsidP="00C605D7">
      <w:pPr>
        <w:pStyle w:val="NormalIndent"/>
      </w:pPr>
      <w:r>
        <w:t xml:space="preserve">This politicization is inseparable from the cultural explosion, </w:t>
      </w:r>
      <w:proofErr w:type="gramStart"/>
      <w:r>
        <w:t>in particular from</w:t>
      </w:r>
      <w:proofErr w:type="gramEnd"/>
      <w:r>
        <w:t xml:space="preserve"> the work of the self-styled ‘poets of decolonization’, writing in the 1960s and 1970s. The ‘awakening’ of Brittany also has a crucial relationship with other decolonization movements, and the ways in which the Bretons draw inspiration from and proclaim solidarity with the postcolonial cultures of other areas colonized by France will be highlighted. I shall then survey selected literary works from the 1960s and 1970s. In order to assess how revolutionary this writing is I investigate the theories of poetic language propounded by the Breton ‘poets of decolonization’, and also the relationship between the work of these poets and past literature, particularly the work of the Romantic and post-Romantic writers who pioneered the French-language representation of Brittany. I argue that this relationship with the founding texts of Francophone Breton writing is crucial to an understanding of the nature of French-language writing in Brittany today. The final section will also suggest how postcolonial literary criticism, with its close attention to the detail of language – syntax and lexis – has been responsible for </w:t>
      </w:r>
      <w:proofErr w:type="gramStart"/>
      <w:r>
        <w:t>opening up</w:t>
      </w:r>
      <w:proofErr w:type="gramEnd"/>
      <w:r>
        <w:t xml:space="preserve"> this question. </w:t>
      </w:r>
    </w:p>
    <w:p w14:paraId="52CB3774" w14:textId="013C931C" w:rsidR="00C605D7" w:rsidRPr="00D33723" w:rsidRDefault="00C605D7" w:rsidP="00C605D7">
      <w:pPr>
        <w:pStyle w:val="Heading2"/>
        <w:rPr>
          <w:b/>
          <w:bCs w:val="0"/>
          <w:sz w:val="28"/>
          <w:szCs w:val="28"/>
        </w:rPr>
      </w:pPr>
      <w:bookmarkStart w:id="1" w:name="_Toc134339565"/>
      <w:r w:rsidRPr="00D33723">
        <w:rPr>
          <w:b/>
          <w:bCs w:val="0"/>
          <w:sz w:val="28"/>
          <w:szCs w:val="28"/>
        </w:rPr>
        <w:t>Bretagne = colonie?</w:t>
      </w:r>
      <w:bookmarkEnd w:id="1"/>
      <w:r w:rsidRPr="00D33723">
        <w:rPr>
          <w:b/>
          <w:bCs w:val="0"/>
          <w:sz w:val="28"/>
          <w:szCs w:val="28"/>
        </w:rPr>
        <w:t xml:space="preserve"> Or Can we call Brittany a colony?</w:t>
      </w:r>
    </w:p>
    <w:p w14:paraId="591B3CF9" w14:textId="77777777" w:rsidR="00C605D7" w:rsidRDefault="00C605D7" w:rsidP="00C605D7">
      <w:pPr>
        <w:spacing w:line="240" w:lineRule="auto"/>
      </w:pPr>
      <w:proofErr w:type="gramStart"/>
      <w:r>
        <w:t>In the course of</w:t>
      </w:r>
      <w:proofErr w:type="gramEnd"/>
      <w:r>
        <w:t xml:space="preserve"> the twentieth century the Breton movement became thoroughly politicized. For its first century or so it had been essentially a cultural movement, deeply committed to the protection of the Breton language and </w:t>
      </w:r>
      <w:proofErr w:type="gramStart"/>
      <w:r>
        <w:t>culture, but</w:t>
      </w:r>
      <w:proofErr w:type="gramEnd"/>
      <w:r>
        <w:t xml:space="preserve"> stopping short of political engagement. All this changed with the new century and a new awareness of events on the world stage. The Breton movement had been internationalist in its outlook from the outset. In the nineteenth century, in the wake of the enthusiasm for Celtic philology, Brittany’s attentions had naturally turned towards other Celtic regions, notably its Brythonic cousin Wales, whose rich medieval literary heritage made it a particularly attractive point of comparison. The ‘Poésie des races celtiques’ provides a famous example of such trans-national solidarity, as Renan here attempts to borrow for Brittany’s benefit some of the glory of the Welsh tradition. </w:t>
      </w:r>
    </w:p>
    <w:p w14:paraId="04FF0283" w14:textId="77777777" w:rsidR="00C605D7" w:rsidRDefault="00C605D7" w:rsidP="00C605D7">
      <w:pPr>
        <w:spacing w:line="240" w:lineRule="auto"/>
        <w:ind w:firstLine="454"/>
      </w:pPr>
      <w:r>
        <w:lastRenderedPageBreak/>
        <w:t xml:space="preserve">Literary and cultural ties between Wales and Brittany gave way to more political inter-Celtic co-operation in the twentieth century, with Ireland becoming the preferred point of comparison. While Wales still held special significance for politicized writers in the 1960s: witness the symptomatic fact that Paol Keineg specifies that his </w:t>
      </w:r>
      <w:r>
        <w:rPr>
          <w:i/>
          <w:iCs/>
        </w:rPr>
        <w:t>Hommes liges des talus en transes</w:t>
      </w:r>
      <w:r>
        <w:t>, dedicated to ETA, was written in 1968 in Brest and Merthyr Tydfil,</w:t>
      </w:r>
      <w:r>
        <w:rPr>
          <w:rStyle w:val="FootnoteReference"/>
        </w:rPr>
        <w:footnoteReference w:id="2"/>
      </w:r>
      <w:r>
        <w:t xml:space="preserve"> Bretons had by now turned increasingly towards Ireland for inspiration. It was the experience of being in Ireland that prompted Yann Fouéré to lament the Bretons’ lack of freedom within France,</w:t>
      </w:r>
      <w:r>
        <w:rPr>
          <w:rStyle w:val="FootnoteReference"/>
        </w:rPr>
        <w:footnoteReference w:id="3"/>
      </w:r>
      <w:r>
        <w:t xml:space="preserve"> it was from Dublin that Caouissin made his manifesto statement for the Front de Libération de la Bretagne (FLB) in 1968,</w:t>
      </w:r>
      <w:r>
        <w:rPr>
          <w:rStyle w:val="FootnoteReference"/>
        </w:rPr>
        <w:footnoteReference w:id="4"/>
      </w:r>
      <w:r>
        <w:t xml:space="preserve"> and it was to Dublin that Roparz Hémon was exiled. This internationalist outlook, </w:t>
      </w:r>
      <w:proofErr w:type="gramStart"/>
      <w:r>
        <w:t>in the course of</w:t>
      </w:r>
      <w:proofErr w:type="gramEnd"/>
      <w:r>
        <w:t xml:space="preserve"> the twentieth century, led to a scrutinizing of France’s role on the world stage in what was an era of decolonization. This gave Bretons a new perspective on local problems such as the crisis in agriculture that plagued the French provinces, and led them, along with other regionalists in France (notably the Occitans), to campaign against the general economic underdevelopment of the regions of France, that was the result of the over-centralization of the French state. </w:t>
      </w:r>
    </w:p>
    <w:p w14:paraId="46101E33" w14:textId="1FCA5682" w:rsidR="00C605D7" w:rsidRDefault="00C605D7" w:rsidP="00C605D7">
      <w:pPr>
        <w:pStyle w:val="NormalIndent"/>
      </w:pPr>
      <w:r>
        <w:t>Brittany, Occitania, and other regions of France were united in their opposition to the political and economic domination of the peripheral parts of the Hexagon by Paris. This state of affairs was also recognized beyond the ranks of the regionalist movement proper, and was provocatively termed ‘séparisianisme’ by Champaud in 1977, in a study that described the domination by Paris as ‘le plus formidable séparatisme économique, social et politique que la France ait jamais connu: le séparatisme parisien, ou “séparisianisme”’</w:t>
      </w:r>
      <w:r w:rsidR="002B2BAB">
        <w:t xml:space="preserve"> [the most impressive economic</w:t>
      </w:r>
      <w:r w:rsidR="00FA6B6A">
        <w:t>, social and political</w:t>
      </w:r>
      <w:r w:rsidR="002B2BAB">
        <w:t xml:space="preserve"> separatism</w:t>
      </w:r>
      <w:r w:rsidR="00FA6B6A">
        <w:t xml:space="preserve"> that France has ever seen: Parisain separatism or ‘separisianism’</w:t>
      </w:r>
      <w:r w:rsidR="00654B90">
        <w:t>]</w:t>
      </w:r>
      <w:r>
        <w:t>.</w:t>
      </w:r>
      <w:r>
        <w:rPr>
          <w:rStyle w:val="FootnoteReference"/>
        </w:rPr>
        <w:footnoteReference w:id="5"/>
      </w:r>
      <w:r>
        <w:t xml:space="preserve"> Such was the fervour by the 1970s that Richardot was able to claim that, ‘La France que nous connaissons va exploser. Elle va tomber en miettes’.</w:t>
      </w:r>
      <w:r>
        <w:rPr>
          <w:rStyle w:val="FootnoteReference"/>
        </w:rPr>
        <w:footnoteReference w:id="6"/>
      </w:r>
      <w:r>
        <w:t xml:space="preserve"> When local problems were seen in the wider context of Parisian indifference towards the provinces on the one hand, and Parisian participation in decolonization on the other, solidarity between the French regions was finally cemented in the doctrine of ‘internal colonialism’, because as Champaud argued: ‘le séparatisme parisien est un système de type colonial au sens strictement économique et social du terme’.</w:t>
      </w:r>
      <w:r>
        <w:rPr>
          <w:rStyle w:val="FootnoteReference"/>
        </w:rPr>
        <w:footnoteReference w:id="7"/>
      </w:r>
      <w:r>
        <w:t xml:space="preserve"> The actual term ‘internal colonialism’ was probably used for the first time in the winter of 1961–62 as a response to the strike of the Décazeville miners in Occitania. Like the demise of the Forges d’Hennebont metal-works in Brittany, Décazeville occupies a symbolic position in the history of interior colonialism, and is considered symptomatic of the behaviour of the French State by Robert Lafont, the most prolific theorist of the Occitan movement, in his key text </w:t>
      </w:r>
      <w:r>
        <w:rPr>
          <w:i/>
          <w:iCs/>
        </w:rPr>
        <w:t>La Révolution régionaliste</w:t>
      </w:r>
      <w:r>
        <w:t xml:space="preserve"> of 1967. This study was the most cogent exposition of internal colonialism to </w:t>
      </w:r>
      <w:proofErr w:type="gramStart"/>
      <w:r>
        <w:t>date, and</w:t>
      </w:r>
      <w:proofErr w:type="gramEnd"/>
      <w:r>
        <w:t xml:space="preserve"> was soon joined in 1969 by a document in the same vein about Brittany. This was the manifesto of the FLB, which set out the ways in which Brittany too was in ‘une situation coloniale type’.</w:t>
      </w:r>
      <w:r>
        <w:rPr>
          <w:rStyle w:val="FootnoteReference"/>
        </w:rPr>
        <w:footnoteReference w:id="8"/>
      </w:r>
      <w:r>
        <w:t xml:space="preserve"> </w:t>
      </w:r>
    </w:p>
    <w:p w14:paraId="736376B9" w14:textId="2D3726B1" w:rsidR="00C605D7" w:rsidRDefault="00C605D7" w:rsidP="00C605D7">
      <w:pPr>
        <w:pStyle w:val="NormalIndent"/>
      </w:pPr>
      <w:r>
        <w:t xml:space="preserve">However, the Breton movement had long been pointing a finger at the French state’s colonial record. In 1929 in </w:t>
      </w:r>
      <w:r>
        <w:rPr>
          <w:i/>
          <w:iCs/>
        </w:rPr>
        <w:t>La Question bretonne dans son cadre européen</w:t>
      </w:r>
      <w:r>
        <w:t xml:space="preserve"> (1929) Maurice Duhamel attacked the so-called ‘unity’ of France as a myth, using its colonial record to expose France’s darker side. A similar attitude fills the columns of </w:t>
      </w:r>
      <w:r>
        <w:rPr>
          <w:i/>
          <w:iCs/>
        </w:rPr>
        <w:t>Breiz Atao</w:t>
      </w:r>
      <w:r>
        <w:t xml:space="preserve">, mouthpiece of the Breton nationalist movement. From the 1930s its readers were urged not to take up the French Government’s offer of farms in Algeria (November 1936), France’s superior attitude and attacks on Ethiopia were condemned: ‘Nous refusons de souscrire aux attaques répugnantes des Français de droite contre la prétendue sauvagerie des Ethiopiens’ </w:t>
      </w:r>
      <w:r w:rsidR="00E5439A">
        <w:t xml:space="preserve">[we </w:t>
      </w:r>
      <w:r w:rsidR="00D57D09">
        <w:t xml:space="preserve">disassociate ourselves from </w:t>
      </w:r>
      <w:r w:rsidR="00314041">
        <w:t>the repugnant attacks of right-wing French on the alleged savagery/p</w:t>
      </w:r>
      <w:r w:rsidR="00A67D12">
        <w:t>rimitiveness</w:t>
      </w:r>
      <w:r w:rsidR="00314041">
        <w:t xml:space="preserve"> of Ethiopians] </w:t>
      </w:r>
      <w:r>
        <w:t xml:space="preserve">(September 1935, February 1936), and the policies of Blum in North Africa were rejected (April 1937). These instances are no exceptions; the very first editorial of </w:t>
      </w:r>
      <w:r>
        <w:rPr>
          <w:i/>
          <w:iCs/>
        </w:rPr>
        <w:t>Le Peuple breton</w:t>
      </w:r>
      <w:r>
        <w:t xml:space="preserve">, written by Joseph Martray in 1947, is devoted to Algeria, and such an outlook then </w:t>
      </w:r>
      <w:r>
        <w:lastRenderedPageBreak/>
        <w:t>proves to be a guiding principle of this publication. By the time Yann Poupinot labelled Brittany ‘une colonie qui s’ignore’</w:t>
      </w:r>
      <w:r w:rsidR="00A67D12">
        <w:t xml:space="preserve"> [a colony that does not know it]</w:t>
      </w:r>
      <w:r>
        <w:t xml:space="preserve"> in his study of economic underdevelopment in Brittany and Algeria,</w:t>
      </w:r>
      <w:r>
        <w:rPr>
          <w:rStyle w:val="FootnoteReference"/>
        </w:rPr>
        <w:footnoteReference w:id="9"/>
      </w:r>
      <w:r>
        <w:t xml:space="preserve"> the comparison between the two had become almost routine. However, the Algerian war was undoubtedly responsible for a sea change within the Breton movement. The Union Démocratique Bretonne (UDB) </w:t>
      </w:r>
      <w:proofErr w:type="gramStart"/>
      <w:r>
        <w:t>actually presents</w:t>
      </w:r>
      <w:proofErr w:type="gramEnd"/>
      <w:r>
        <w:t xml:space="preserve"> its mission statement, entitled </w:t>
      </w:r>
      <w:r>
        <w:rPr>
          <w:i/>
          <w:iCs/>
        </w:rPr>
        <w:t>Bretagne=colonie</w:t>
      </w:r>
      <w:r>
        <w:t xml:space="preserve"> (1972), as largely a response to the war on the part of young Bretons:</w:t>
      </w:r>
    </w:p>
    <w:p w14:paraId="49CE7C23" w14:textId="37D41C75" w:rsidR="00C605D7" w:rsidRDefault="00C605D7" w:rsidP="00C605D7">
      <w:pPr>
        <w:pStyle w:val="DisplayQuote"/>
        <w:rPr>
          <w:lang w:val="fr-FR"/>
        </w:rPr>
      </w:pPr>
      <w:r w:rsidRPr="0082625F">
        <w:rPr>
          <w:lang w:val="fr-FR"/>
        </w:rPr>
        <w:t xml:space="preserve">L’UDB a été fondée en 1964 par un groupe de jeunes qui avaient pris conscience, à la lumière de la guerre d’Algérie et des premières manifestations populaires, du malaise breton, de la situation coloniale de la Bretagne au sein de l’Etat français. </w:t>
      </w:r>
      <w:r w:rsidRPr="00C605D7">
        <w:rPr>
          <w:lang w:val="fr-FR"/>
        </w:rPr>
        <w:t>[…] Luttant pour réclamer une solution démocratique en Algérie, ils ont été conduits à réfléchir en même temps à la situation concrète du peuple breton et, par voie de comparaison, à découvrir le caractère colonial de cette situation (mais sans identification simpliste).</w:t>
      </w:r>
      <w:r>
        <w:rPr>
          <w:rStyle w:val="FootnoteReference"/>
        </w:rPr>
        <w:footnoteReference w:id="10"/>
      </w:r>
    </w:p>
    <w:p w14:paraId="5F548B45" w14:textId="6B7371B5" w:rsidR="00A67D12" w:rsidRDefault="00812B84" w:rsidP="00A67D12">
      <w:pPr>
        <w:pStyle w:val="BodyText"/>
        <w:ind w:left="454"/>
      </w:pPr>
      <w:r>
        <w:t>[</w:t>
      </w:r>
      <w:r w:rsidR="00A67D12" w:rsidRPr="00A67D12">
        <w:t>The UDB was founded i</w:t>
      </w:r>
      <w:r w:rsidR="00A67D12">
        <w:t xml:space="preserve">n 1964 by a group of young people who had realized, in the light of the Algerian war and of the first popular protests, of Breton </w:t>
      </w:r>
      <w:r w:rsidR="00F158A1">
        <w:t>discontent</w:t>
      </w:r>
      <w:r w:rsidR="00A67D12">
        <w:t xml:space="preserve">, of the colonial situation of Brittany withing the French State….. </w:t>
      </w:r>
      <w:r w:rsidR="00F158A1">
        <w:t>Fighting for a democratic solut</w:t>
      </w:r>
      <w:r w:rsidR="009D5382">
        <w:t xml:space="preserve">ion in Algeria, they started thinking at the same time about the situation of the Breton people, and by way of comparison, discovered the colonial character of this situation (without any simplistic </w:t>
      </w:r>
      <w:r w:rsidR="00886BE4">
        <w:t>identification).</w:t>
      </w:r>
      <w:r>
        <w:t>]</w:t>
      </w:r>
      <w:r w:rsidR="00886BE4">
        <w:t xml:space="preserve"> </w:t>
      </w:r>
    </w:p>
    <w:p w14:paraId="11680C85" w14:textId="77777777" w:rsidR="00A67D12" w:rsidRPr="00A67D12" w:rsidRDefault="00A67D12" w:rsidP="00A67D12">
      <w:pPr>
        <w:pStyle w:val="BodyText"/>
      </w:pPr>
    </w:p>
    <w:p w14:paraId="117D17F8" w14:textId="1318B0F4" w:rsidR="00C605D7" w:rsidRDefault="00C605D7" w:rsidP="00C605D7">
      <w:pPr>
        <w:pStyle w:val="NormalIndent"/>
        <w:ind w:firstLine="0"/>
      </w:pPr>
      <w:r>
        <w:t xml:space="preserve">This is echoed by Morvan Lebesque in his celebrated essay </w:t>
      </w:r>
      <w:r>
        <w:rPr>
          <w:i/>
          <w:iCs/>
        </w:rPr>
        <w:t>Comment peut-on être breton?</w:t>
      </w:r>
      <w:r>
        <w:t xml:space="preserve">, where he claims that it is essentially </w:t>
      </w:r>
      <w:r>
        <w:rPr>
          <w:i/>
          <w:iCs/>
        </w:rPr>
        <w:t>since the Algerian war</w:t>
      </w:r>
      <w:r>
        <w:t xml:space="preserve"> that he has hated France.</w:t>
      </w:r>
      <w:r>
        <w:rPr>
          <w:rStyle w:val="FootnoteReference"/>
        </w:rPr>
        <w:footnoteReference w:id="11"/>
      </w:r>
      <w:r>
        <w:t xml:space="preserve"> This reaction was not confined to Brittany; in the Occitan movement the term ‘algérisation’ was coined as a precise way of conveying the extent of the underdevelopment suffered by the French regions.</w:t>
      </w:r>
      <w:r>
        <w:rPr>
          <w:rStyle w:val="FootnoteReference"/>
        </w:rPr>
        <w:footnoteReference w:id="12"/>
      </w:r>
      <w:r>
        <w:t xml:space="preserve"> The Breton movement, and more generally the regional question in France, had been radically changed, inspired by other countries fighting free from their colonial masters: ‘L’ère de la décolonisation intérieure d’Etats capitalistes est à réaliser, maintenant que la décolonisation politique du Tiers-Monde est avancée’</w:t>
      </w:r>
      <w:r w:rsidR="00DA7787">
        <w:t xml:space="preserve"> [the </w:t>
      </w:r>
      <w:r w:rsidR="007E792F">
        <w:t>era of internal</w:t>
      </w:r>
      <w:r w:rsidR="00DA7787">
        <w:t xml:space="preserve"> </w:t>
      </w:r>
      <w:r w:rsidR="007E792F">
        <w:t xml:space="preserve">decolonization in capitalist States </w:t>
      </w:r>
      <w:r w:rsidR="00ED69D2">
        <w:t xml:space="preserve">must </w:t>
      </w:r>
      <w:r w:rsidR="00CD5D3C">
        <w:t xml:space="preserve">come, now that the political decolonization of the Third World is well </w:t>
      </w:r>
      <w:r w:rsidR="00ED69D2">
        <w:t>advanced]</w:t>
      </w:r>
      <w:r>
        <w:t>,</w:t>
      </w:r>
      <w:r>
        <w:rPr>
          <w:rStyle w:val="FootnoteReference"/>
        </w:rPr>
        <w:footnoteReference w:id="13"/>
      </w:r>
      <w:r>
        <w:t xml:space="preserve"> claimed the UDB. </w:t>
      </w:r>
    </w:p>
    <w:p w14:paraId="070D42FD" w14:textId="5D334AD7" w:rsidR="00C605D7" w:rsidRDefault="00C605D7" w:rsidP="00C605D7">
      <w:pPr>
        <w:pStyle w:val="NormalIndent"/>
      </w:pPr>
      <w:r>
        <w:t>If the economic arguments for the postcolonial status of some of France’s regions were substantial, what really cemented the solidarity between different types of ‘colony’ was the shared experience of State education: ‘l’école est la même pour tous: Bretons, Africains, Arabes hier’</w:t>
      </w:r>
      <w:r w:rsidR="00ED69D2">
        <w:t xml:space="preserve"> [school is the same for everyone: Bretons, Africans, Arabs yesterday]</w:t>
      </w:r>
      <w:r>
        <w:t>.</w:t>
      </w:r>
      <w:r>
        <w:rPr>
          <w:rStyle w:val="FootnoteReference"/>
        </w:rPr>
        <w:footnoteReference w:id="14"/>
      </w:r>
      <w:r>
        <w:t xml:space="preserve"> Educational and linguistic policy in the French regions had been every bit as oppressive as that experienced in France’s overseas colonies. The way the French education system inculcated a centralizing, biased account of history amounted to more than selectivity with the truth. For Bretons of the ‘revolutionary’ generation it constituted a lie, and thus the major part of </w:t>
      </w:r>
      <w:r>
        <w:rPr>
          <w:i/>
          <w:iCs/>
        </w:rPr>
        <w:t>Comment peut-on être breton?</w:t>
      </w:r>
      <w:r>
        <w:t xml:space="preserve"> is devoted to demonstrating how France has provided Bretons with a pseudo-history, while just as deliberately robbing them of their mother tongue. </w:t>
      </w:r>
    </w:p>
    <w:p w14:paraId="22CF98BD" w14:textId="77777777" w:rsidR="00C605D7" w:rsidRDefault="00C605D7" w:rsidP="00C605D7">
      <w:pPr>
        <w:pStyle w:val="NormalIndent"/>
      </w:pPr>
      <w:r>
        <w:t xml:space="preserve">Suppression of language is one of the main instruments of colonialism, and from the Revolution of 1789 in particular, France’s regional languages were notoriously persecuted. Initially they were tainted by association with counter-revolution, and then a century later, the education reforms of the early 1880s were parallel in strategy to the assimilationist educational policy pursued in French territories abroad. Well into the twentieth century, children who were heard speaking a language other than French in school would be punished, and forced to wear what was called the ‘symbole’ in Brittany, to signify their failure to modernize and assimilate. This sense of cultural affinity with other colonized peoples accounts for the fact that work on Arabic language and culture appeared so regularly in Brittany, for instance poems of combat, directly comparing Breton and Algerian problems, were translated into Breton in the journal </w:t>
      </w:r>
      <w:r>
        <w:rPr>
          <w:i/>
          <w:iCs/>
        </w:rPr>
        <w:t>Al Liamm</w:t>
      </w:r>
      <w:r>
        <w:t>,</w:t>
      </w:r>
      <w:r>
        <w:rPr>
          <w:rStyle w:val="FootnoteReference"/>
        </w:rPr>
        <w:footnoteReference w:id="15"/>
      </w:r>
      <w:r>
        <w:t xml:space="preserve"> and throughout the 1960s </w:t>
      </w:r>
      <w:r>
        <w:rPr>
          <w:i/>
          <w:iCs/>
        </w:rPr>
        <w:t>Al Liamm</w:t>
      </w:r>
      <w:r>
        <w:t xml:space="preserve"> typically gave attention to </w:t>
      </w:r>
      <w:r>
        <w:lastRenderedPageBreak/>
        <w:t xml:space="preserve">comparisons of the status of Breton and Arabic on the radio (1962), to the place of Arabic in the education system (1964), to ‘Arabisation’ in Algeria (1966), and to cultural decolonization in Algeria (1967). </w:t>
      </w:r>
      <w:r>
        <w:rPr>
          <w:i/>
          <w:iCs/>
        </w:rPr>
        <w:t>Pobl vreizh/ Le Peuple breton</w:t>
      </w:r>
      <w:r>
        <w:t xml:space="preserve"> also published much similar material in the 1970s. </w:t>
      </w:r>
    </w:p>
    <w:p w14:paraId="11234050" w14:textId="1C2A1B7D" w:rsidR="00C605D7" w:rsidRDefault="00C605D7" w:rsidP="00C605D7">
      <w:pPr>
        <w:pStyle w:val="NormalIndent"/>
      </w:pPr>
      <w:r>
        <w:t>The symbolic importance of a shared, standardized language as a prerequisite for the creation of a feeling of group identity is perhaps best illustrated by the case of French itself.</w:t>
      </w:r>
      <w:r>
        <w:rPr>
          <w:rStyle w:val="FootnoteReference"/>
        </w:rPr>
        <w:footnoteReference w:id="16"/>
      </w:r>
      <w:r>
        <w:t xml:space="preserve"> The fact that the phrase: ‘le français est la langue de la République’ </w:t>
      </w:r>
      <w:r w:rsidR="00ED69D2">
        <w:t xml:space="preserve">[Frech is the language of the Republic] </w:t>
      </w:r>
      <w:r>
        <w:t xml:space="preserve">was added to the Constitution in 1992, on the ratification of the Maastricht treaty, shows a desire to protect French from the perceived threat of English, but it also suggests the inseparability of the notion of Frenchness from the French language. In practice the addition of this phrase constitutes a renewed threat to regional languages, and to France’s own cultural diversity. </w:t>
      </w:r>
    </w:p>
    <w:p w14:paraId="1066F2A4" w14:textId="6B728192" w:rsidR="00C605D7" w:rsidRPr="00744E41" w:rsidRDefault="00C605D7" w:rsidP="00C605D7">
      <w:pPr>
        <w:pStyle w:val="NormalIndent"/>
      </w:pPr>
      <w:r>
        <w:t xml:space="preserve">This new political awareness infused the work of the so-called poets of decolonization, who included Paol Keineg, Kristian Keginer, and Yann-Ber Piriou. These were poets who saw themselves as activists as much as artists, and whose purpose it was to engage people in the political process. Forewords to collections of poetry from this time are infused with the language of political struggle, or, in some cases, calls to arms. </w:t>
      </w:r>
      <w:r w:rsidRPr="00744E41">
        <w:t xml:space="preserve">In his preface to Paol Keineg’s </w:t>
      </w:r>
      <w:r w:rsidRPr="00744E41">
        <w:rPr>
          <w:i/>
          <w:iCs/>
        </w:rPr>
        <w:t>Chroniques et croquis des villages verrouillés</w:t>
      </w:r>
      <w:r w:rsidR="00744E41" w:rsidRPr="00744E41">
        <w:t xml:space="preserve"> [Chronicl</w:t>
      </w:r>
      <w:r w:rsidR="00E53B5D">
        <w:t>e</w:t>
      </w:r>
      <w:r w:rsidR="00744E41" w:rsidRPr="00744E41">
        <w:t>s an</w:t>
      </w:r>
      <w:r w:rsidR="00744E41">
        <w:t xml:space="preserve">d sketches of </w:t>
      </w:r>
      <w:r w:rsidR="00175E34">
        <w:t>locked villages]</w:t>
      </w:r>
      <w:r w:rsidRPr="00744E41">
        <w:t>, published by Oswald, Yves Rouquette explains:</w:t>
      </w:r>
    </w:p>
    <w:p w14:paraId="58772C2F" w14:textId="77777777" w:rsidR="00C605D7" w:rsidRPr="0082625F" w:rsidRDefault="00C605D7" w:rsidP="00C605D7">
      <w:pPr>
        <w:pStyle w:val="DisplayQuote"/>
        <w:rPr>
          <w:lang w:val="fr-FR"/>
        </w:rPr>
      </w:pPr>
      <w:r w:rsidRPr="0082625F">
        <w:rPr>
          <w:lang w:val="fr-FR"/>
        </w:rPr>
        <w:t xml:space="preserve">Pour présenter </w:t>
      </w:r>
      <w:r w:rsidRPr="0082625F">
        <w:rPr>
          <w:i/>
          <w:iCs/>
          <w:lang w:val="fr-FR"/>
        </w:rPr>
        <w:t>Hommes liges des talus en transes</w:t>
      </w:r>
      <w:r w:rsidRPr="0082625F">
        <w:rPr>
          <w:lang w:val="fr-FR"/>
        </w:rPr>
        <w:t xml:space="preserve">, Oswald avait fait appel non pas à un poète, mais à un militant politique </w:t>
      </w:r>
      <w:proofErr w:type="gramStart"/>
      <w:r w:rsidRPr="0082625F">
        <w:rPr>
          <w:lang w:val="fr-FR"/>
        </w:rPr>
        <w:t>breton:</w:t>
      </w:r>
      <w:proofErr w:type="gramEnd"/>
      <w:r w:rsidRPr="0082625F">
        <w:rPr>
          <w:lang w:val="fr-FR"/>
        </w:rPr>
        <w:t xml:space="preserve"> Le Scouëzec. Je veux croire qu’aujourd’hui, avec moi, c’est moins à l’écrivain qu’au militant occitaniste qu’il a recours. Il fallait en effet un militant politique […].</w:t>
      </w:r>
      <w:r>
        <w:rPr>
          <w:rStyle w:val="FootnoteReference"/>
        </w:rPr>
        <w:footnoteReference w:id="17"/>
      </w:r>
    </w:p>
    <w:p w14:paraId="78451B20" w14:textId="47E310B0" w:rsidR="00ED69D2" w:rsidRPr="00AF2705" w:rsidRDefault="00ED69D2" w:rsidP="002E2036">
      <w:pPr>
        <w:pStyle w:val="NormalIndent"/>
        <w:ind w:left="454" w:firstLine="0"/>
      </w:pPr>
      <w:r w:rsidRPr="00A62995">
        <w:t xml:space="preserve">To present </w:t>
      </w:r>
      <w:r w:rsidR="009C5A3A" w:rsidRPr="00A62995">
        <w:rPr>
          <w:i/>
          <w:iCs/>
        </w:rPr>
        <w:t>Hommes liges des talus en transes</w:t>
      </w:r>
      <w:r w:rsidR="00CF77CA">
        <w:t xml:space="preserve"> [something like: </w:t>
      </w:r>
      <w:r w:rsidR="00CB4B74" w:rsidRPr="00A62995">
        <w:t>Liegemen</w:t>
      </w:r>
      <w:r w:rsidR="004E3104" w:rsidRPr="00A62995">
        <w:t xml:space="preserve"> of the </w:t>
      </w:r>
      <w:r w:rsidR="00A62995" w:rsidRPr="00A62995">
        <w:t>he</w:t>
      </w:r>
      <w:r w:rsidR="00A62995">
        <w:t xml:space="preserve">dgerows </w:t>
      </w:r>
      <w:r w:rsidR="00CF77CA">
        <w:t>in fury</w:t>
      </w:r>
      <w:r w:rsidR="00AF2705">
        <w:t>, with hedgerows understood as cultur</w:t>
      </w:r>
      <w:r w:rsidR="00DD31C4">
        <w:t>ally sensitive</w:t>
      </w:r>
      <w:r w:rsidR="00CF77CA">
        <w:t xml:space="preserve">], Oswald </w:t>
      </w:r>
      <w:r w:rsidR="00AF2705">
        <w:t xml:space="preserve">called not on a poet but a Breton militant: Le </w:t>
      </w:r>
      <w:r w:rsidR="00AF2705" w:rsidRPr="00AF2705">
        <w:t>Scouëzec</w:t>
      </w:r>
      <w:r w:rsidR="00AF2705">
        <w:t xml:space="preserve">. </w:t>
      </w:r>
      <w:proofErr w:type="gramStart"/>
      <w:r w:rsidR="00DD31C4">
        <w:t>I’d</w:t>
      </w:r>
      <w:proofErr w:type="gramEnd"/>
      <w:r w:rsidR="00DD31C4">
        <w:t xml:space="preserve"> like to believe that today, with me, it’s not so much </w:t>
      </w:r>
      <w:r w:rsidR="0026650A">
        <w:t xml:space="preserve">the writer but the Occitan militant that he is calling on. A political militant </w:t>
      </w:r>
      <w:r w:rsidR="00FA141C">
        <w:t>is what was needed</w:t>
      </w:r>
      <w:proofErr w:type="gramStart"/>
      <w:r w:rsidR="00FA141C">
        <w:t>…..</w:t>
      </w:r>
      <w:proofErr w:type="gramEnd"/>
    </w:p>
    <w:p w14:paraId="0D65BCF0" w14:textId="77777777" w:rsidR="009C5A3A" w:rsidRPr="00A62995" w:rsidRDefault="009C5A3A" w:rsidP="00C605D7">
      <w:pPr>
        <w:pStyle w:val="NormalIndent"/>
        <w:ind w:firstLine="0"/>
      </w:pPr>
    </w:p>
    <w:p w14:paraId="6EE6E029" w14:textId="7588130D" w:rsidR="00C605D7" w:rsidRDefault="00C605D7" w:rsidP="00C605D7">
      <w:pPr>
        <w:pStyle w:val="NormalIndent"/>
        <w:ind w:firstLine="0"/>
      </w:pPr>
      <w:r w:rsidRPr="00AE1A3B">
        <w:t xml:space="preserve">Yann-Ber Piriou’s preface in his edited collection </w:t>
      </w:r>
      <w:r w:rsidRPr="00AE1A3B">
        <w:rPr>
          <w:i/>
          <w:iCs/>
        </w:rPr>
        <w:t>Défense de cracher par terre et de parler breton: poèmes de combat</w:t>
      </w:r>
      <w:r w:rsidR="00FA141C">
        <w:t xml:space="preserve"> [No spitting or Breton speaking: poems of combat]</w:t>
      </w:r>
      <w:r w:rsidRPr="00AE1A3B">
        <w:t xml:space="preserve">, reads like a political tract, giving a characteristically extreme and flowery summary of oppression at the hands of the French. </w:t>
      </w:r>
      <w:r>
        <w:t xml:space="preserve">Musicians, singers, and poets alike saw it as their responsibility to express support for strikers, impoverished farmers and imprisoned militants, and so strikes and protests provided opportunities for songs to be sung and poems to be written, with the whole event rounded off by a </w:t>
      </w:r>
      <w:r>
        <w:rPr>
          <w:i/>
          <w:iCs/>
        </w:rPr>
        <w:t>fest</w:t>
      </w:r>
      <w:r>
        <w:t>-</w:t>
      </w:r>
      <w:r>
        <w:rPr>
          <w:i/>
          <w:iCs/>
        </w:rPr>
        <w:t>noz</w:t>
      </w:r>
      <w:r>
        <w:t xml:space="preserve"> (evening of traditional Breton dancing). Political events frequently provided impetus for literary activity; for instance Xavier Grall wrote </w:t>
      </w:r>
      <w:r>
        <w:rPr>
          <w:i/>
          <w:iCs/>
        </w:rPr>
        <w:t>Keltika Blues</w:t>
      </w:r>
      <w:r>
        <w:t xml:space="preserve"> on FLB (Front de Libération de la Bretagne) arrests, and he and Anjela Duval went as far as to write letters and articles in support of FLB and Armée Révolutionnaire Bretonne prisoners.</w:t>
      </w:r>
      <w:r>
        <w:rPr>
          <w:rStyle w:val="FootnoteReference"/>
        </w:rPr>
        <w:footnoteReference w:id="18"/>
      </w:r>
      <w:r>
        <w:t xml:space="preserve"> </w:t>
      </w:r>
    </w:p>
    <w:p w14:paraId="2A3283F9" w14:textId="0A9F597D" w:rsidR="00C605D7" w:rsidRDefault="00C605D7" w:rsidP="00C605D7">
      <w:pPr>
        <w:pStyle w:val="NormalIndent"/>
        <w:rPr>
          <w:sz w:val="18"/>
        </w:rPr>
      </w:pPr>
      <w:r>
        <w:t xml:space="preserve">This intimate connection between the cultural and the political was far from being unique to Brittany. It is worth rememberting that the word ‘négritude’ first appeared in Césaire’s </w:t>
      </w:r>
      <w:r>
        <w:rPr>
          <w:i/>
          <w:iCs/>
        </w:rPr>
        <w:t>Cahier d’un retour au pays natal</w:t>
      </w:r>
      <w:r>
        <w:t xml:space="preserve">, and not in a political treatise. Indeed Francophone theorists frequently provide inspiration for the Breton movement, and their work is also used for backup, as in the UDB booklet, which made explicit reference to Albert Memmi’s ‘Portrait du colonisateur et du colonisé’ in explaining how Brittany’s case fulfilled the criteria of cultural colonialism, and cited Sekou Touré as an authority for the definition ‘colonisé’. The Bretons’ poetry is full of references to key figures such as Malcolm X and Aimé Césaire, along with more general statements of solidarity with groups such as the Basque separatists Euzkadi ta Azkatasuna (ETA) ‘victimes de la répression française et espagnole’ </w:t>
      </w:r>
      <w:r w:rsidR="002B04CB">
        <w:t xml:space="preserve">[victims of French and Spanish repression] </w:t>
      </w:r>
      <w:r>
        <w:t>(dedication of Keineg’s ‘Hommes liges des talus en transes’), and other colonies, as in the following example:</w:t>
      </w:r>
    </w:p>
    <w:p w14:paraId="6EFDC3B1" w14:textId="77777777" w:rsidR="00C605D7" w:rsidRPr="0082625F" w:rsidRDefault="00C605D7" w:rsidP="00C605D7">
      <w:pPr>
        <w:pStyle w:val="DisplayQuote"/>
        <w:spacing w:after="0"/>
        <w:rPr>
          <w:lang w:val="fr-FR"/>
        </w:rPr>
      </w:pPr>
      <w:proofErr w:type="gramStart"/>
      <w:r w:rsidRPr="0082625F">
        <w:rPr>
          <w:lang w:val="fr-FR"/>
        </w:rPr>
        <w:lastRenderedPageBreak/>
        <w:t>c’est</w:t>
      </w:r>
      <w:proofErr w:type="gramEnd"/>
      <w:r w:rsidRPr="0082625F">
        <w:rPr>
          <w:lang w:val="fr-FR"/>
        </w:rPr>
        <w:t xml:space="preserve"> un de nos villages qui brûle </w:t>
      </w:r>
    </w:p>
    <w:p w14:paraId="18494E25" w14:textId="77777777" w:rsidR="00C605D7" w:rsidRPr="0082625F" w:rsidRDefault="00C605D7" w:rsidP="00C605D7">
      <w:pPr>
        <w:pStyle w:val="DisplayQuote"/>
        <w:spacing w:before="0" w:after="0"/>
        <w:rPr>
          <w:lang w:val="fr-FR"/>
        </w:rPr>
      </w:pPr>
      <w:proofErr w:type="gramStart"/>
      <w:r w:rsidRPr="0082625F">
        <w:rPr>
          <w:lang w:val="fr-FR"/>
        </w:rPr>
        <w:t>quand</w:t>
      </w:r>
      <w:proofErr w:type="gramEnd"/>
      <w:r w:rsidRPr="0082625F">
        <w:rPr>
          <w:lang w:val="fr-FR"/>
        </w:rPr>
        <w:t xml:space="preserve"> un de nos frères saccage un village vietnamien</w:t>
      </w:r>
    </w:p>
    <w:p w14:paraId="4F47AA32" w14:textId="77777777" w:rsidR="00C605D7" w:rsidRPr="0082625F" w:rsidRDefault="00C605D7" w:rsidP="00C605D7">
      <w:pPr>
        <w:pStyle w:val="DisplayQuote"/>
        <w:spacing w:before="0" w:after="0"/>
        <w:rPr>
          <w:lang w:val="fr-FR"/>
        </w:rPr>
      </w:pPr>
      <w:proofErr w:type="gramStart"/>
      <w:r w:rsidRPr="0082625F">
        <w:rPr>
          <w:lang w:val="fr-FR"/>
        </w:rPr>
        <w:t>c’est</w:t>
      </w:r>
      <w:proofErr w:type="gramEnd"/>
      <w:r w:rsidRPr="0082625F">
        <w:rPr>
          <w:lang w:val="fr-FR"/>
        </w:rPr>
        <w:t xml:space="preserve"> nous tous qu’il assassine</w:t>
      </w:r>
    </w:p>
    <w:p w14:paraId="0B592851" w14:textId="77777777" w:rsidR="00C605D7" w:rsidRPr="0082625F" w:rsidRDefault="00C605D7" w:rsidP="00C605D7">
      <w:pPr>
        <w:pStyle w:val="DisplayQuote"/>
        <w:spacing w:before="0"/>
        <w:rPr>
          <w:lang w:val="fr-FR"/>
        </w:rPr>
      </w:pPr>
      <w:proofErr w:type="gramStart"/>
      <w:r w:rsidRPr="0082625F">
        <w:rPr>
          <w:lang w:val="fr-FR"/>
        </w:rPr>
        <w:t>quand</w:t>
      </w:r>
      <w:proofErr w:type="gramEnd"/>
      <w:r w:rsidRPr="0082625F">
        <w:rPr>
          <w:lang w:val="fr-FR"/>
        </w:rPr>
        <w:t xml:space="preserve"> il fracasse le crâne d’un enfant algérien.</w:t>
      </w:r>
      <w:r>
        <w:rPr>
          <w:rStyle w:val="FootnoteReference"/>
        </w:rPr>
        <w:footnoteReference w:id="19"/>
      </w:r>
    </w:p>
    <w:p w14:paraId="58BFE60D" w14:textId="77777777" w:rsidR="003064C0" w:rsidRDefault="003064C0" w:rsidP="003064C0">
      <w:pPr>
        <w:ind w:left="454"/>
        <w:rPr>
          <w:rFonts w:ascii="Arial" w:hAnsi="Arial" w:cs="Arial"/>
          <w:sz w:val="20"/>
        </w:rPr>
      </w:pPr>
      <w:r>
        <w:rPr>
          <w:rFonts w:ascii="Arial" w:hAnsi="Arial" w:cs="Arial"/>
          <w:sz w:val="20"/>
        </w:rPr>
        <w:t>[</w:t>
      </w:r>
      <w:proofErr w:type="gramStart"/>
      <w:r>
        <w:rPr>
          <w:rFonts w:ascii="Arial" w:hAnsi="Arial" w:cs="Arial"/>
          <w:sz w:val="20"/>
        </w:rPr>
        <w:t>it’s</w:t>
      </w:r>
      <w:proofErr w:type="gramEnd"/>
      <w:r>
        <w:rPr>
          <w:rFonts w:ascii="Arial" w:hAnsi="Arial" w:cs="Arial"/>
          <w:sz w:val="20"/>
        </w:rPr>
        <w:t xml:space="preserve"> one of our villages that burns</w:t>
      </w:r>
    </w:p>
    <w:p w14:paraId="54E969D9" w14:textId="77777777" w:rsidR="003064C0" w:rsidRDefault="003064C0" w:rsidP="003064C0">
      <w:pPr>
        <w:ind w:left="454"/>
        <w:rPr>
          <w:rFonts w:ascii="Arial" w:hAnsi="Arial" w:cs="Arial"/>
          <w:sz w:val="20"/>
        </w:rPr>
      </w:pPr>
      <w:r>
        <w:rPr>
          <w:rFonts w:ascii="Arial" w:hAnsi="Arial" w:cs="Arial"/>
          <w:sz w:val="20"/>
        </w:rPr>
        <w:t>when one of our brothers ransacks a village in Vietnam</w:t>
      </w:r>
    </w:p>
    <w:p w14:paraId="198E7D9B" w14:textId="77777777" w:rsidR="003064C0" w:rsidRDefault="003064C0" w:rsidP="003064C0">
      <w:pPr>
        <w:ind w:left="454"/>
        <w:rPr>
          <w:rFonts w:ascii="Arial" w:hAnsi="Arial" w:cs="Arial"/>
          <w:sz w:val="20"/>
        </w:rPr>
      </w:pPr>
      <w:proofErr w:type="gramStart"/>
      <w:r>
        <w:rPr>
          <w:rFonts w:ascii="Arial" w:hAnsi="Arial" w:cs="Arial"/>
          <w:sz w:val="20"/>
        </w:rPr>
        <w:t>it’s</w:t>
      </w:r>
      <w:proofErr w:type="gramEnd"/>
      <w:r>
        <w:rPr>
          <w:rFonts w:ascii="Arial" w:hAnsi="Arial" w:cs="Arial"/>
          <w:sz w:val="20"/>
        </w:rPr>
        <w:t xml:space="preserve"> all of us he is killing</w:t>
      </w:r>
    </w:p>
    <w:p w14:paraId="0A7559A3" w14:textId="77777777" w:rsidR="003064C0" w:rsidRDefault="003064C0" w:rsidP="003064C0">
      <w:pPr>
        <w:ind w:left="454"/>
        <w:rPr>
          <w:rFonts w:ascii="Arial" w:hAnsi="Arial" w:cs="Arial"/>
          <w:sz w:val="20"/>
        </w:rPr>
      </w:pPr>
      <w:r>
        <w:rPr>
          <w:rFonts w:ascii="Arial" w:hAnsi="Arial" w:cs="Arial"/>
          <w:sz w:val="20"/>
        </w:rPr>
        <w:t>with the smash of an Algerian child’s skull].</w:t>
      </w:r>
    </w:p>
    <w:p w14:paraId="03ED7F90" w14:textId="77777777" w:rsidR="002B04CB" w:rsidRPr="003064C0" w:rsidRDefault="002B04CB" w:rsidP="00C605D7"/>
    <w:p w14:paraId="766C7155" w14:textId="4672FF8E" w:rsidR="00C605D7" w:rsidRPr="003064C0" w:rsidRDefault="00C605D7" w:rsidP="00C605D7">
      <w:r w:rsidRPr="003064C0">
        <w:t xml:space="preserve">In describing the new generation of poets in Brittany Piriou draws comparisons with Algerians who have lost their mother tongue, as well as with Basques, and the collection </w:t>
      </w:r>
      <w:r w:rsidRPr="003064C0">
        <w:rPr>
          <w:i/>
        </w:rPr>
        <w:t>Défense de cracher par terre et de parler breton</w:t>
      </w:r>
      <w:r w:rsidRPr="003064C0">
        <w:t xml:space="preserve"> is dedicated: ‘aux Africains et aux Antillais qui savent ce qu’“être colonise” veut dire; aux Français; aux Occitans, aux Catalans; aux Basques de l’Hexagone’ </w:t>
      </w:r>
      <w:r w:rsidR="003064C0" w:rsidRPr="003064C0">
        <w:t xml:space="preserve">[to </w:t>
      </w:r>
      <w:r w:rsidR="003064C0">
        <w:t>African</w:t>
      </w:r>
      <w:r w:rsidR="00800D5B">
        <w:t xml:space="preserve">s, West Indians, </w:t>
      </w:r>
      <w:r w:rsidR="00A471C9">
        <w:t xml:space="preserve">who know what ‘being colonized’ means; to the French, the Occitans, the Catalans, the Basques of the Hexagon] </w:t>
      </w:r>
      <w:r w:rsidRPr="003064C0">
        <w:t xml:space="preserve">(p.36). </w:t>
      </w:r>
    </w:p>
    <w:p w14:paraId="3944B5C7" w14:textId="77777777" w:rsidR="00C605D7" w:rsidRDefault="00C605D7" w:rsidP="00C605D7">
      <w:pPr>
        <w:pStyle w:val="NormalIndent"/>
      </w:pPr>
      <w:r>
        <w:t xml:space="preserve">Breton literature could never be the same again. It now looked outwards and onwards, rather than backwards to an idealized Celtic past, as so much nineteenth-century work had done. This same political awakening also profoundly affected Bretons’ attitude towards the past and its literary production, as the situation in nineteenth-century Brittany was now recognized, in retrospect, as a colonial one. After the Revolution, the task of redefining the new, modern France had naturally involved a certain focus on its opposite, that is on what France was not. In this way, the primitive cultures found in the New World and in France’s overseas colonies generated much interest, becoming a point of comparison for Brittany, as it was perceived as primitive and backward compared to the rest of France. </w:t>
      </w:r>
      <w:proofErr w:type="gramStart"/>
      <w:r>
        <w:t>Indeed</w:t>
      </w:r>
      <w:proofErr w:type="gramEnd"/>
      <w:r>
        <w:t xml:space="preserve"> the gulf of cultural difference that separated nineteenth-century Brittany from the rest of the </w:t>
      </w:r>
      <w:r>
        <w:rPr>
          <w:i/>
        </w:rPr>
        <w:t>République une et indivisible</w:t>
      </w:r>
      <w:r>
        <w:t xml:space="preserve"> was felt by some to be so vast as to warrant the use of the language of colonialism: </w:t>
      </w:r>
    </w:p>
    <w:p w14:paraId="1BFE5C5A" w14:textId="77777777" w:rsidR="00C605D7" w:rsidRPr="00AE1A3B" w:rsidRDefault="00C605D7" w:rsidP="00C605D7">
      <w:pPr>
        <w:pStyle w:val="DisplayQuote"/>
      </w:pPr>
      <w:r w:rsidRPr="0082625F">
        <w:rPr>
          <w:lang w:val="fr-FR"/>
        </w:rPr>
        <w:t xml:space="preserve">La Basse-Bretagne, je ne cesserai de le dire, est une contrée à part, qui n’est plus la France. Exceptez-en les villes, le reste devrait être soumis à une sorte de régime colonial. </w:t>
      </w:r>
      <w:r w:rsidRPr="00AE1A3B">
        <w:t xml:space="preserve">Je n’avance rien d’éxagéré, </w:t>
      </w:r>
    </w:p>
    <w:p w14:paraId="01E1B9A6" w14:textId="1FFE80C3" w:rsidR="00A471C9" w:rsidRDefault="00E74AEF" w:rsidP="00E74AEF">
      <w:pPr>
        <w:pStyle w:val="Footer"/>
        <w:tabs>
          <w:tab w:val="clear" w:pos="4153"/>
          <w:tab w:val="clear" w:pos="8306"/>
        </w:tabs>
        <w:ind w:left="454"/>
      </w:pPr>
      <w:r>
        <w:t>[</w:t>
      </w:r>
      <w:r w:rsidR="00A471C9">
        <w:t>Lower [i.e. Western] Brittany, I</w:t>
      </w:r>
      <w:r w:rsidR="00006B42">
        <w:t xml:space="preserve"> shall keep saying it, is a country apart, that is no longer France. </w:t>
      </w:r>
      <w:r w:rsidR="00C06C44">
        <w:t xml:space="preserve">Apart from the towns, the rest of it should be put under a sort of colonial regime. </w:t>
      </w:r>
      <w:r w:rsidR="00C06C44" w:rsidRPr="00E74AEF">
        <w:t>This is no</w:t>
      </w:r>
      <w:r w:rsidRPr="00E74AEF">
        <w:t xml:space="preserve"> e</w:t>
      </w:r>
      <w:r>
        <w:t>xaggeration]</w:t>
      </w:r>
    </w:p>
    <w:p w14:paraId="019E86C5" w14:textId="77777777" w:rsidR="00E74AEF" w:rsidRPr="00E74AEF" w:rsidRDefault="00E74AEF" w:rsidP="00E74AEF">
      <w:pPr>
        <w:pStyle w:val="Footer"/>
        <w:tabs>
          <w:tab w:val="clear" w:pos="4153"/>
          <w:tab w:val="clear" w:pos="8306"/>
        </w:tabs>
        <w:ind w:left="454"/>
      </w:pPr>
    </w:p>
    <w:p w14:paraId="08299FFF" w14:textId="44C2D7E8" w:rsidR="00C605D7" w:rsidRDefault="00C605D7" w:rsidP="00C605D7">
      <w:pPr>
        <w:pStyle w:val="Footer"/>
        <w:tabs>
          <w:tab w:val="clear" w:pos="4153"/>
          <w:tab w:val="clear" w:pos="8306"/>
        </w:tabs>
      </w:pPr>
      <w:r w:rsidRPr="00E74AEF">
        <w:t xml:space="preserve">wrote Auguste Romieu, the ‘sous-préfet’ of Quimperlé (Finistère), for the </w:t>
      </w:r>
      <w:r w:rsidRPr="00E74AEF">
        <w:rPr>
          <w:i/>
          <w:iCs/>
        </w:rPr>
        <w:t>Revue de Paris</w:t>
      </w:r>
      <w:r w:rsidRPr="00E74AEF">
        <w:t xml:space="preserve"> in 1831.</w:t>
      </w:r>
      <w:r>
        <w:rPr>
          <w:rStyle w:val="FootnoteReference"/>
        </w:rPr>
        <w:footnoteReference w:id="20"/>
      </w:r>
      <w:r w:rsidRPr="00E74AEF">
        <w:t xml:space="preserve"> </w:t>
      </w:r>
      <w:r>
        <w:t xml:space="preserve">Balzac’s language in his novel </w:t>
      </w:r>
      <w:r>
        <w:rPr>
          <w:i/>
          <w:iCs/>
        </w:rPr>
        <w:t>Les Chouans</w:t>
      </w:r>
      <w:r>
        <w:t>, written around the same time, may be less explicit, but it is no less ‘colonizing’ in the frequent comparisons of Bretons to primitive native Americans.</w:t>
      </w:r>
      <w:r>
        <w:rPr>
          <w:i/>
          <w:iCs/>
        </w:rPr>
        <w:t xml:space="preserve"> </w:t>
      </w:r>
    </w:p>
    <w:p w14:paraId="3FEBAF10" w14:textId="77777777" w:rsidR="00C605D7" w:rsidRDefault="00C605D7" w:rsidP="00C605D7">
      <w:pPr>
        <w:pStyle w:val="NormalIndent"/>
      </w:pPr>
      <w:r>
        <w:t>Whether or not we agree that the situation in Brittany can be legitimately, or even usefully compared to a colonial one, we see that Balzac certainly thought so, and that administrators in the nineteenth century were also happy to do so. What is even clearer is that the statement ‘Bretagne=colonie’ became, in the 1960s and 1970s especially, much more than the title of a polemical booklet by the UDB, and more even than a political slogan. It was built into a coherent doctrine that inspired a generation to political involvement, while also transforming the face of literature in Brittany.</w:t>
      </w:r>
    </w:p>
    <w:sectPr w:rsidR="00C605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4D6ED6" w14:textId="77777777" w:rsidR="00C605D7" w:rsidRDefault="00C605D7" w:rsidP="00C605D7">
      <w:pPr>
        <w:spacing w:line="240" w:lineRule="auto"/>
      </w:pPr>
      <w:r>
        <w:separator/>
      </w:r>
    </w:p>
  </w:endnote>
  <w:endnote w:type="continuationSeparator" w:id="0">
    <w:p w14:paraId="6964E6E0" w14:textId="77777777" w:rsidR="00C605D7" w:rsidRDefault="00C605D7" w:rsidP="00C605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993645" w14:textId="77777777" w:rsidR="00C605D7" w:rsidRDefault="00C605D7" w:rsidP="00C605D7">
      <w:pPr>
        <w:spacing w:line="240" w:lineRule="auto"/>
      </w:pPr>
      <w:r>
        <w:separator/>
      </w:r>
    </w:p>
  </w:footnote>
  <w:footnote w:type="continuationSeparator" w:id="0">
    <w:p w14:paraId="5A9C813A" w14:textId="77777777" w:rsidR="00C605D7" w:rsidRDefault="00C605D7" w:rsidP="00C605D7">
      <w:pPr>
        <w:spacing w:line="240" w:lineRule="auto"/>
      </w:pPr>
      <w:r>
        <w:continuationSeparator/>
      </w:r>
    </w:p>
  </w:footnote>
  <w:footnote w:id="1">
    <w:p w14:paraId="23D5724B" w14:textId="77777777" w:rsidR="00C605D7" w:rsidRDefault="00C605D7" w:rsidP="00C605D7">
      <w:pPr>
        <w:pStyle w:val="FootnoteText"/>
      </w:pPr>
      <w:r>
        <w:rPr>
          <w:rStyle w:val="FootnoteReference"/>
          <w:vertAlign w:val="baseline"/>
        </w:rPr>
        <w:footnoteRef/>
      </w:r>
      <w:r>
        <w:t xml:space="preserve"> </w:t>
      </w:r>
      <w:r>
        <w:tab/>
        <w:t>The Breton-language readership had never been large, but people could and did access Breton poetry such as Brizeux’s through hearing poems sung.</w:t>
      </w:r>
    </w:p>
  </w:footnote>
  <w:footnote w:id="2">
    <w:p w14:paraId="4E8E6BF4" w14:textId="77777777" w:rsidR="00C605D7" w:rsidRPr="0082625F" w:rsidRDefault="00C605D7" w:rsidP="00C605D7">
      <w:pPr>
        <w:pStyle w:val="FootnoteText"/>
        <w:rPr>
          <w:lang w:val="fr-FR"/>
        </w:rPr>
      </w:pPr>
      <w:r>
        <w:rPr>
          <w:rStyle w:val="FootnoteReference"/>
          <w:vertAlign w:val="baseline"/>
        </w:rPr>
        <w:footnoteRef/>
      </w:r>
      <w:r w:rsidRPr="0082625F">
        <w:rPr>
          <w:lang w:val="fr-FR"/>
        </w:rPr>
        <w:tab/>
        <w:t xml:space="preserve">Paol Keineg, </w:t>
      </w:r>
      <w:r w:rsidRPr="0082625F">
        <w:rPr>
          <w:i/>
          <w:iCs/>
          <w:lang w:val="fr-FR"/>
        </w:rPr>
        <w:t>Hommes liges des talus en transes, réédition augmentée de Le poème du pays qui a faim, et suivi de Vent de Harlem</w:t>
      </w:r>
      <w:r w:rsidRPr="0082625F">
        <w:rPr>
          <w:lang w:val="fr-FR"/>
        </w:rPr>
        <w:t>, préface de Gwenc’hlan Le Scouëzec (</w:t>
      </w:r>
      <w:proofErr w:type="gramStart"/>
      <w:r w:rsidRPr="0082625F">
        <w:rPr>
          <w:lang w:val="fr-FR"/>
        </w:rPr>
        <w:t>Paris:</w:t>
      </w:r>
      <w:proofErr w:type="gramEnd"/>
      <w:r w:rsidRPr="0082625F">
        <w:rPr>
          <w:lang w:val="fr-FR"/>
        </w:rPr>
        <w:t xml:space="preserve"> P. J. Oswald, 1969).</w:t>
      </w:r>
    </w:p>
  </w:footnote>
  <w:footnote w:id="3">
    <w:p w14:paraId="48D05F22"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t xml:space="preserve">Yann Fouéré, </w:t>
      </w:r>
      <w:r w:rsidRPr="0082625F">
        <w:rPr>
          <w:i/>
          <w:iCs/>
          <w:lang w:val="fr-FR"/>
        </w:rPr>
        <w:t>En prison pour le FLB</w:t>
      </w:r>
      <w:r w:rsidRPr="0082625F">
        <w:rPr>
          <w:lang w:val="fr-FR"/>
        </w:rPr>
        <w:t xml:space="preserve"> (</w:t>
      </w:r>
      <w:proofErr w:type="gramStart"/>
      <w:r w:rsidRPr="0082625F">
        <w:rPr>
          <w:lang w:val="fr-FR"/>
        </w:rPr>
        <w:t>Paris:</w:t>
      </w:r>
      <w:proofErr w:type="gramEnd"/>
      <w:r w:rsidRPr="0082625F">
        <w:rPr>
          <w:lang w:val="fr-FR"/>
        </w:rPr>
        <w:t xml:space="preserve"> Nouvelles éditions latines, 1977), pp.32–3.</w:t>
      </w:r>
    </w:p>
  </w:footnote>
  <w:footnote w:id="4">
    <w:p w14:paraId="7CDE7FFA"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t xml:space="preserve">Statement made from Dublin, 28 December 1968, diffused by the Comité de la Bretagne Libre, and reprinted in Caerléon (pseudonym of R. Caouissin), </w:t>
      </w:r>
      <w:r w:rsidRPr="0082625F">
        <w:rPr>
          <w:i/>
          <w:iCs/>
          <w:lang w:val="fr-FR"/>
        </w:rPr>
        <w:t>La Révolution bretonne permanente</w:t>
      </w:r>
      <w:r w:rsidRPr="0082625F">
        <w:rPr>
          <w:lang w:val="fr-FR"/>
        </w:rPr>
        <w:t xml:space="preserve"> (</w:t>
      </w:r>
      <w:proofErr w:type="gramStart"/>
      <w:r w:rsidRPr="0082625F">
        <w:rPr>
          <w:lang w:val="fr-FR"/>
        </w:rPr>
        <w:t>Paris:</w:t>
      </w:r>
      <w:proofErr w:type="gramEnd"/>
      <w:r w:rsidRPr="0082625F">
        <w:rPr>
          <w:lang w:val="fr-FR"/>
        </w:rPr>
        <w:t xml:space="preserve"> La Table Ronde, 1969), pp.289–94.</w:t>
      </w:r>
    </w:p>
  </w:footnote>
  <w:footnote w:id="5">
    <w:p w14:paraId="7EE097D9"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t xml:space="preserve">Claude Champaud, </w:t>
      </w:r>
      <w:r w:rsidRPr="0082625F">
        <w:rPr>
          <w:i/>
          <w:iCs/>
          <w:lang w:val="fr-FR"/>
        </w:rPr>
        <w:t>Le Séparisianisme</w:t>
      </w:r>
      <w:r w:rsidRPr="0082625F">
        <w:rPr>
          <w:lang w:val="fr-FR"/>
        </w:rPr>
        <w:t xml:space="preserve"> (</w:t>
      </w:r>
      <w:proofErr w:type="gramStart"/>
      <w:r w:rsidRPr="0082625F">
        <w:rPr>
          <w:lang w:val="fr-FR"/>
        </w:rPr>
        <w:t>Rennes:</w:t>
      </w:r>
      <w:proofErr w:type="gramEnd"/>
      <w:r w:rsidRPr="0082625F">
        <w:rPr>
          <w:lang w:val="fr-FR"/>
        </w:rPr>
        <w:t xml:space="preserve"> Armor-Editeur, 1977), p.17.</w:t>
      </w:r>
    </w:p>
  </w:footnote>
  <w:footnote w:id="6">
    <w:p w14:paraId="092E4DC1"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t xml:space="preserve">Jean-Pierre Richardot, </w:t>
      </w:r>
      <w:r w:rsidRPr="0082625F">
        <w:rPr>
          <w:i/>
          <w:iCs/>
          <w:lang w:val="fr-FR"/>
        </w:rPr>
        <w:t>La France en miettes</w:t>
      </w:r>
      <w:r w:rsidRPr="0082625F">
        <w:rPr>
          <w:lang w:val="fr-FR"/>
        </w:rPr>
        <w:t xml:space="preserve"> (</w:t>
      </w:r>
      <w:proofErr w:type="gramStart"/>
      <w:r w:rsidRPr="0082625F">
        <w:rPr>
          <w:lang w:val="fr-FR"/>
        </w:rPr>
        <w:t>Paris:</w:t>
      </w:r>
      <w:proofErr w:type="gramEnd"/>
      <w:r w:rsidRPr="0082625F">
        <w:rPr>
          <w:lang w:val="fr-FR"/>
        </w:rPr>
        <w:t xml:space="preserve"> Pierre Belfond, 1976).</w:t>
      </w:r>
    </w:p>
  </w:footnote>
  <w:footnote w:id="7">
    <w:p w14:paraId="5069AA92" w14:textId="77777777" w:rsidR="00C605D7" w:rsidRDefault="00C605D7" w:rsidP="00C605D7">
      <w:pPr>
        <w:pStyle w:val="FootnoteText"/>
        <w:rPr>
          <w:rStyle w:val="FootnoteReference"/>
          <w:vertAlign w:val="baseline"/>
        </w:rPr>
      </w:pPr>
      <w:r>
        <w:rPr>
          <w:rStyle w:val="FootnoteReference"/>
          <w:vertAlign w:val="baseline"/>
        </w:rPr>
        <w:footnoteRef/>
      </w:r>
      <w:r>
        <w:rPr>
          <w:rStyle w:val="FootnoteReference"/>
          <w:vertAlign w:val="baseline"/>
        </w:rPr>
        <w:t xml:space="preserve"> </w:t>
      </w:r>
      <w:r>
        <w:rPr>
          <w:rStyle w:val="FootnoteReference"/>
          <w:vertAlign w:val="baseline"/>
        </w:rPr>
        <w:tab/>
        <w:t xml:space="preserve">Claude Champaud, </w:t>
      </w:r>
      <w:r>
        <w:rPr>
          <w:rStyle w:val="FootnoteReference"/>
          <w:i/>
          <w:iCs/>
          <w:vertAlign w:val="baseline"/>
        </w:rPr>
        <w:t>Le Séparisianisme</w:t>
      </w:r>
      <w:r>
        <w:rPr>
          <w:rStyle w:val="FootnoteReference"/>
          <w:vertAlign w:val="baseline"/>
        </w:rPr>
        <w:t>, p.59.</w:t>
      </w:r>
    </w:p>
  </w:footnote>
  <w:footnote w:id="8">
    <w:p w14:paraId="00C18B7E" w14:textId="77777777" w:rsidR="00C605D7" w:rsidRPr="0082625F" w:rsidRDefault="00C605D7" w:rsidP="00C605D7">
      <w:pPr>
        <w:pStyle w:val="FootnoteText"/>
        <w:rPr>
          <w:lang w:val="fr-FR"/>
        </w:rPr>
      </w:pPr>
      <w:r>
        <w:rPr>
          <w:rStyle w:val="FootnoteReference"/>
          <w:vertAlign w:val="baseline"/>
        </w:rPr>
        <w:footnoteRef/>
      </w:r>
      <w:r w:rsidRPr="0082625F">
        <w:rPr>
          <w:lang w:val="fr-FR"/>
        </w:rPr>
        <w:tab/>
        <w:t xml:space="preserve">Caerléon, </w:t>
      </w:r>
      <w:r w:rsidRPr="0082625F">
        <w:rPr>
          <w:i/>
          <w:iCs/>
          <w:lang w:val="fr-FR"/>
        </w:rPr>
        <w:t>La Révolution bretonne permanente</w:t>
      </w:r>
      <w:r w:rsidRPr="0082625F">
        <w:rPr>
          <w:lang w:val="fr-FR"/>
        </w:rPr>
        <w:t>, pp.289–94 (289).</w:t>
      </w:r>
    </w:p>
  </w:footnote>
  <w:footnote w:id="9">
    <w:p w14:paraId="1C111C32" w14:textId="77777777" w:rsidR="00C605D7" w:rsidRPr="0082625F" w:rsidRDefault="00C605D7" w:rsidP="00C605D7">
      <w:pPr>
        <w:pStyle w:val="FootnoteText"/>
        <w:rPr>
          <w:lang w:val="fr-FR"/>
        </w:rPr>
      </w:pPr>
      <w:r>
        <w:rPr>
          <w:rStyle w:val="FootnoteReference"/>
          <w:vertAlign w:val="baseline"/>
        </w:rPr>
        <w:footnoteRef/>
      </w:r>
      <w:r w:rsidRPr="0082625F">
        <w:rPr>
          <w:lang w:val="fr-FR"/>
        </w:rPr>
        <w:tab/>
        <w:t xml:space="preserve">Yann Poupinot, </w:t>
      </w:r>
      <w:r w:rsidRPr="0082625F">
        <w:rPr>
          <w:i/>
          <w:iCs/>
          <w:lang w:val="fr-FR"/>
        </w:rPr>
        <w:t>Les Bretons à l’heure de l’Europe</w:t>
      </w:r>
      <w:r w:rsidRPr="0082625F">
        <w:rPr>
          <w:lang w:val="fr-FR"/>
        </w:rPr>
        <w:t xml:space="preserve"> (</w:t>
      </w:r>
      <w:proofErr w:type="gramStart"/>
      <w:r w:rsidRPr="0082625F">
        <w:rPr>
          <w:lang w:val="fr-FR"/>
        </w:rPr>
        <w:t>Paris:</w:t>
      </w:r>
      <w:proofErr w:type="gramEnd"/>
      <w:r w:rsidRPr="0082625F">
        <w:rPr>
          <w:lang w:val="fr-FR"/>
        </w:rPr>
        <w:t xml:space="preserve"> Nouvelles Éditions Latines, 1961), p.70.</w:t>
      </w:r>
    </w:p>
  </w:footnote>
  <w:footnote w:id="10">
    <w:p w14:paraId="57735F37"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r>
      <w:r w:rsidRPr="0082625F">
        <w:rPr>
          <w:i/>
          <w:iCs/>
          <w:lang w:val="fr-FR"/>
        </w:rPr>
        <w:t>Bretagne=colonie</w:t>
      </w:r>
      <w:r w:rsidRPr="0082625F">
        <w:rPr>
          <w:lang w:val="fr-FR"/>
        </w:rPr>
        <w:t xml:space="preserve"> (</w:t>
      </w:r>
      <w:proofErr w:type="gramStart"/>
      <w:r w:rsidRPr="0082625F">
        <w:rPr>
          <w:lang w:val="fr-FR"/>
        </w:rPr>
        <w:t>Rennes:</w:t>
      </w:r>
      <w:proofErr w:type="gramEnd"/>
      <w:r w:rsidRPr="0082625F">
        <w:rPr>
          <w:lang w:val="fr-FR"/>
        </w:rPr>
        <w:t xml:space="preserve"> UDB, 1972), pp.105–6.</w:t>
      </w:r>
    </w:p>
  </w:footnote>
  <w:footnote w:id="11">
    <w:p w14:paraId="0018970A" w14:textId="77777777" w:rsidR="00C605D7" w:rsidRPr="0082625F" w:rsidRDefault="00C605D7" w:rsidP="00C605D7">
      <w:pPr>
        <w:pStyle w:val="FootnoteText"/>
        <w:rPr>
          <w:lang w:val="fr-FR"/>
        </w:rPr>
      </w:pPr>
      <w:r>
        <w:rPr>
          <w:rStyle w:val="FootnoteReference"/>
          <w:vertAlign w:val="baseline"/>
        </w:rPr>
        <w:footnoteRef/>
      </w:r>
      <w:r w:rsidRPr="0082625F">
        <w:rPr>
          <w:lang w:val="fr-FR"/>
        </w:rPr>
        <w:tab/>
        <w:t xml:space="preserve">Morvan Lebesque, </w:t>
      </w:r>
      <w:r w:rsidRPr="0082625F">
        <w:rPr>
          <w:i/>
          <w:iCs/>
          <w:lang w:val="fr-FR"/>
        </w:rPr>
        <w:t xml:space="preserve">Comment peut-on être </w:t>
      </w:r>
      <w:proofErr w:type="gramStart"/>
      <w:r w:rsidRPr="0082625F">
        <w:rPr>
          <w:i/>
          <w:iCs/>
          <w:lang w:val="fr-FR"/>
        </w:rPr>
        <w:t>breton?</w:t>
      </w:r>
      <w:r w:rsidRPr="0082625F">
        <w:rPr>
          <w:lang w:val="fr-FR"/>
        </w:rPr>
        <w:t>,</w:t>
      </w:r>
      <w:proofErr w:type="gramEnd"/>
      <w:r w:rsidRPr="0082625F">
        <w:rPr>
          <w:lang w:val="fr-FR"/>
        </w:rPr>
        <w:t xml:space="preserve"> vii.</w:t>
      </w:r>
    </w:p>
  </w:footnote>
  <w:footnote w:id="12">
    <w:p w14:paraId="4A671287" w14:textId="77777777" w:rsidR="00C605D7" w:rsidRPr="0082625F" w:rsidRDefault="00C605D7" w:rsidP="00C605D7">
      <w:pPr>
        <w:pStyle w:val="FootnoteText"/>
        <w:rPr>
          <w:lang w:val="fr-FR"/>
        </w:rPr>
      </w:pPr>
      <w:r>
        <w:rPr>
          <w:rStyle w:val="FootnoteReference"/>
          <w:vertAlign w:val="baseline"/>
        </w:rPr>
        <w:footnoteRef/>
      </w:r>
      <w:r w:rsidRPr="0082625F">
        <w:rPr>
          <w:lang w:val="fr-FR"/>
        </w:rPr>
        <w:tab/>
        <w:t xml:space="preserve">Robert Lafont, </w:t>
      </w:r>
      <w:r w:rsidRPr="0082625F">
        <w:rPr>
          <w:i/>
          <w:iCs/>
          <w:lang w:val="fr-FR"/>
        </w:rPr>
        <w:t>La Revendication occitane</w:t>
      </w:r>
      <w:r w:rsidRPr="0082625F">
        <w:rPr>
          <w:lang w:val="fr-FR"/>
        </w:rPr>
        <w:t xml:space="preserve"> (</w:t>
      </w:r>
      <w:proofErr w:type="gramStart"/>
      <w:r w:rsidRPr="0082625F">
        <w:rPr>
          <w:lang w:val="fr-FR"/>
        </w:rPr>
        <w:t>Paris:</w:t>
      </w:r>
      <w:proofErr w:type="gramEnd"/>
      <w:r w:rsidRPr="0082625F">
        <w:rPr>
          <w:lang w:val="fr-FR"/>
        </w:rPr>
        <w:t xml:space="preserve"> Flammarion 1974), p.270.</w:t>
      </w:r>
    </w:p>
  </w:footnote>
  <w:footnote w:id="13">
    <w:p w14:paraId="6F3EB236"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r>
      <w:r w:rsidRPr="0082625F">
        <w:rPr>
          <w:i/>
          <w:iCs/>
          <w:lang w:val="fr-FR"/>
        </w:rPr>
        <w:t>Bretagne = colonie</w:t>
      </w:r>
      <w:r w:rsidRPr="0082625F">
        <w:rPr>
          <w:lang w:val="fr-FR"/>
        </w:rPr>
        <w:t>, p.110.</w:t>
      </w:r>
    </w:p>
  </w:footnote>
  <w:footnote w:id="14">
    <w:p w14:paraId="5347C20B"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t xml:space="preserve">Marie Rouanet, ed., </w:t>
      </w:r>
      <w:r w:rsidRPr="0082625F">
        <w:rPr>
          <w:i/>
          <w:iCs/>
          <w:lang w:val="fr-FR"/>
        </w:rPr>
        <w:t xml:space="preserve">Occitanie </w:t>
      </w:r>
      <w:proofErr w:type="gramStart"/>
      <w:r w:rsidRPr="0082625F">
        <w:rPr>
          <w:i/>
          <w:iCs/>
          <w:lang w:val="fr-FR"/>
        </w:rPr>
        <w:t>1970</w:t>
      </w:r>
      <w:r w:rsidRPr="0082625F">
        <w:rPr>
          <w:lang w:val="fr-FR"/>
        </w:rPr>
        <w:t>:</w:t>
      </w:r>
      <w:proofErr w:type="gramEnd"/>
      <w:r w:rsidRPr="0082625F">
        <w:rPr>
          <w:lang w:val="fr-FR"/>
        </w:rPr>
        <w:t xml:space="preserve"> </w:t>
      </w:r>
      <w:r w:rsidRPr="0082625F">
        <w:rPr>
          <w:i/>
          <w:iCs/>
          <w:lang w:val="fr-FR"/>
        </w:rPr>
        <w:t>Les poètes de la décolonisation/ Occitania 1970: los poètas de la descolonizacion: anthologie bilingue</w:t>
      </w:r>
      <w:r w:rsidRPr="0082625F">
        <w:rPr>
          <w:lang w:val="fr-FR"/>
        </w:rPr>
        <w:t xml:space="preserve"> (Paris: Oswald, 1971), p.9. </w:t>
      </w:r>
    </w:p>
  </w:footnote>
  <w:footnote w:id="15">
    <w:p w14:paraId="02EC06BA" w14:textId="77777777" w:rsidR="00C605D7" w:rsidRDefault="00C605D7" w:rsidP="00C605D7">
      <w:pPr>
        <w:pStyle w:val="FootnoteText"/>
      </w:pPr>
      <w:r>
        <w:rPr>
          <w:rStyle w:val="FootnoteReference"/>
          <w:vertAlign w:val="baseline"/>
        </w:rPr>
        <w:footnoteRef/>
      </w:r>
      <w:r>
        <w:t xml:space="preserve"> </w:t>
      </w:r>
      <w:r>
        <w:tab/>
        <w:t xml:space="preserve">See Yann-Ber Piriou, ‘Barzhed er Gorventenn’, </w:t>
      </w:r>
      <w:r>
        <w:rPr>
          <w:i/>
          <w:iCs/>
        </w:rPr>
        <w:t>Al Liamm</w:t>
      </w:r>
      <w:r>
        <w:t>, 88, pp.339–47.</w:t>
      </w:r>
    </w:p>
  </w:footnote>
  <w:footnote w:id="16">
    <w:p w14:paraId="33CAC22C" w14:textId="77777777" w:rsidR="00C605D7" w:rsidRDefault="00C605D7" w:rsidP="00C605D7">
      <w:pPr>
        <w:pStyle w:val="FootnoteText"/>
      </w:pPr>
      <w:r>
        <w:rPr>
          <w:rStyle w:val="FootnoteReference"/>
          <w:vertAlign w:val="baseline"/>
        </w:rPr>
        <w:footnoteRef/>
      </w:r>
      <w:r>
        <w:t xml:space="preserve"> </w:t>
      </w:r>
      <w:r>
        <w:tab/>
        <w:t xml:space="preserve">For a discussion of this, in the context of internal colonization, see Peter McPhee, ‘A Case of Internal Colonization: The </w:t>
      </w:r>
      <w:r>
        <w:rPr>
          <w:i/>
          <w:iCs/>
        </w:rPr>
        <w:t>Francisation</w:t>
      </w:r>
      <w:r>
        <w:t xml:space="preserve"> of Northern Catalonia’, </w:t>
      </w:r>
      <w:r>
        <w:rPr>
          <w:i/>
          <w:iCs/>
        </w:rPr>
        <w:t>Review</w:t>
      </w:r>
      <w:r>
        <w:t>, 3:3 (1980), 399–428 (406).</w:t>
      </w:r>
    </w:p>
  </w:footnote>
  <w:footnote w:id="17">
    <w:p w14:paraId="0487D919"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t>Yves Rouquette, preface to Paol Keineg</w:t>
      </w:r>
      <w:r w:rsidRPr="0082625F">
        <w:rPr>
          <w:i/>
          <w:iCs/>
          <w:lang w:val="fr-FR"/>
        </w:rPr>
        <w:t xml:space="preserve">, Chroniques et croquis des villages verrouillés comprenant, en édition bilingue, Barzhonegou-trakt (poèmes-tracts), </w:t>
      </w:r>
      <w:r w:rsidRPr="0082625F">
        <w:rPr>
          <w:lang w:val="fr-FR"/>
        </w:rPr>
        <w:t>preface by Yves Rouquette (</w:t>
      </w:r>
      <w:proofErr w:type="gramStart"/>
      <w:r w:rsidRPr="0082625F">
        <w:rPr>
          <w:lang w:val="fr-FR"/>
        </w:rPr>
        <w:t>Honfleur:</w:t>
      </w:r>
      <w:proofErr w:type="gramEnd"/>
      <w:r w:rsidRPr="0082625F">
        <w:rPr>
          <w:lang w:val="fr-FR"/>
        </w:rPr>
        <w:t xml:space="preserve"> P.J. Oswald, 1971), pp.7–8.</w:t>
      </w:r>
    </w:p>
  </w:footnote>
  <w:footnote w:id="18">
    <w:p w14:paraId="6AA046A8" w14:textId="77777777" w:rsidR="00C605D7" w:rsidRDefault="00C605D7" w:rsidP="00C605D7">
      <w:pPr>
        <w:pStyle w:val="FootnoteText"/>
      </w:pPr>
      <w:r>
        <w:rPr>
          <w:rStyle w:val="FootnoteReference"/>
          <w:vertAlign w:val="baseline"/>
        </w:rPr>
        <w:footnoteRef/>
      </w:r>
      <w:r>
        <w:t xml:space="preserve"> </w:t>
      </w:r>
      <w:r>
        <w:tab/>
        <w:t xml:space="preserve">The close ties between political activism and poetry in Brittany at this time are explored in </w:t>
      </w:r>
      <w:r>
        <w:rPr>
          <w:i/>
          <w:iCs/>
        </w:rPr>
        <w:t xml:space="preserve">Nos années Breizh, La Bretagne des années </w:t>
      </w:r>
      <w:r>
        <w:t xml:space="preserve">70, ed. by Yves Quentel and Daniel Yonnetf (Rennes: Apogée, 1998). </w:t>
      </w:r>
    </w:p>
  </w:footnote>
  <w:footnote w:id="19">
    <w:p w14:paraId="21C38C2D" w14:textId="77777777" w:rsidR="00C605D7" w:rsidRPr="0082625F" w:rsidRDefault="00C605D7" w:rsidP="00C605D7">
      <w:pPr>
        <w:pStyle w:val="FootnoteText"/>
        <w:rPr>
          <w:lang w:val="fr-FR"/>
        </w:rPr>
      </w:pPr>
      <w:r>
        <w:rPr>
          <w:rStyle w:val="FootnoteReference"/>
          <w:vertAlign w:val="baseline"/>
        </w:rPr>
        <w:footnoteRef/>
      </w:r>
      <w:r w:rsidRPr="0082625F">
        <w:rPr>
          <w:lang w:val="fr-FR"/>
        </w:rPr>
        <w:t xml:space="preserve"> </w:t>
      </w:r>
      <w:r w:rsidRPr="0082625F">
        <w:rPr>
          <w:lang w:val="fr-FR"/>
        </w:rPr>
        <w:tab/>
        <w:t xml:space="preserve">Paol Keineg, </w:t>
      </w:r>
      <w:r w:rsidRPr="0082625F">
        <w:rPr>
          <w:i/>
          <w:iCs/>
          <w:lang w:val="fr-FR"/>
        </w:rPr>
        <w:t>Hommes liges des talus en transes</w:t>
      </w:r>
      <w:r w:rsidRPr="0082625F">
        <w:rPr>
          <w:lang w:val="fr-FR"/>
        </w:rPr>
        <w:t>, p.52.</w:t>
      </w:r>
    </w:p>
  </w:footnote>
  <w:footnote w:id="20">
    <w:p w14:paraId="65E55876" w14:textId="77777777" w:rsidR="00C605D7" w:rsidRDefault="00C605D7" w:rsidP="00C605D7">
      <w:pPr>
        <w:pStyle w:val="FootnoteText"/>
      </w:pPr>
      <w:r>
        <w:rPr>
          <w:rStyle w:val="FootnoteReference"/>
          <w:vertAlign w:val="baseline"/>
        </w:rPr>
        <w:footnoteRef/>
      </w:r>
      <w:r>
        <w:tab/>
        <w:t xml:space="preserve">From an article on the ‘Chouans’, the last in a series of four by Auguste Romieu, in the </w:t>
      </w:r>
      <w:r>
        <w:rPr>
          <w:i/>
        </w:rPr>
        <w:t>Revue de Paris</w:t>
      </w:r>
      <w:r>
        <w:t>, 30 (1831), 145–54 (153).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5D7"/>
    <w:rsid w:val="00006B42"/>
    <w:rsid w:val="00175E34"/>
    <w:rsid w:val="00210BE3"/>
    <w:rsid w:val="0026650A"/>
    <w:rsid w:val="002B04CB"/>
    <w:rsid w:val="002B2BAB"/>
    <w:rsid w:val="002E2036"/>
    <w:rsid w:val="003064C0"/>
    <w:rsid w:val="00314041"/>
    <w:rsid w:val="004E3104"/>
    <w:rsid w:val="00654B90"/>
    <w:rsid w:val="00744E41"/>
    <w:rsid w:val="007E792F"/>
    <w:rsid w:val="00800D5B"/>
    <w:rsid w:val="00812B84"/>
    <w:rsid w:val="00886BE4"/>
    <w:rsid w:val="009C5A3A"/>
    <w:rsid w:val="009D5382"/>
    <w:rsid w:val="00A471C9"/>
    <w:rsid w:val="00A62995"/>
    <w:rsid w:val="00A67D12"/>
    <w:rsid w:val="00AE1A3B"/>
    <w:rsid w:val="00AF2705"/>
    <w:rsid w:val="00C06C44"/>
    <w:rsid w:val="00C605D7"/>
    <w:rsid w:val="00CB4B74"/>
    <w:rsid w:val="00CD5D3C"/>
    <w:rsid w:val="00CF77CA"/>
    <w:rsid w:val="00D33723"/>
    <w:rsid w:val="00D57D09"/>
    <w:rsid w:val="00DA7787"/>
    <w:rsid w:val="00DD31C4"/>
    <w:rsid w:val="00E53B5D"/>
    <w:rsid w:val="00E5439A"/>
    <w:rsid w:val="00E74AEF"/>
    <w:rsid w:val="00ED69D2"/>
    <w:rsid w:val="00F158A1"/>
    <w:rsid w:val="00FA141C"/>
    <w:rsid w:val="00FA6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3282D"/>
  <w15:chartTrackingRefBased/>
  <w15:docId w15:val="{56F11B24-0281-4BEB-896C-24E260DE6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5D7"/>
    <w:pPr>
      <w:spacing w:after="0" w:line="260" w:lineRule="exact"/>
      <w:jc w:val="both"/>
    </w:pPr>
    <w:rPr>
      <w:rFonts w:ascii="Times New Roman" w:eastAsia="Times New Roman" w:hAnsi="Times New Roman" w:cs="Times New Roman"/>
      <w:szCs w:val="24"/>
    </w:rPr>
  </w:style>
  <w:style w:type="paragraph" w:styleId="Heading1">
    <w:name w:val="heading 1"/>
    <w:basedOn w:val="Normal"/>
    <w:next w:val="Normal"/>
    <w:link w:val="Heading1Char"/>
    <w:qFormat/>
    <w:rsid w:val="00C605D7"/>
    <w:pPr>
      <w:keepNext/>
      <w:pageBreakBefore/>
      <w:spacing w:after="1040" w:line="340" w:lineRule="exact"/>
      <w:outlineLvl w:val="0"/>
    </w:pPr>
    <w:rPr>
      <w:bCs/>
      <w:color w:val="000000"/>
      <w:sz w:val="30"/>
    </w:rPr>
  </w:style>
  <w:style w:type="paragraph" w:styleId="Heading2">
    <w:name w:val="heading 2"/>
    <w:basedOn w:val="Normal"/>
    <w:next w:val="Normal"/>
    <w:link w:val="Heading2Char"/>
    <w:qFormat/>
    <w:rsid w:val="00C605D7"/>
    <w:pPr>
      <w:keepNext/>
      <w:spacing w:before="780" w:after="520" w:line="300" w:lineRule="exact"/>
      <w:outlineLvl w:val="1"/>
    </w:pPr>
    <w:rPr>
      <w:rFonts w:cs="Arial"/>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605D7"/>
    <w:rPr>
      <w:rFonts w:ascii="Times New Roman" w:eastAsia="Times New Roman" w:hAnsi="Times New Roman" w:cs="Times New Roman"/>
      <w:bCs/>
      <w:color w:val="000000"/>
      <w:sz w:val="30"/>
      <w:szCs w:val="24"/>
    </w:rPr>
  </w:style>
  <w:style w:type="character" w:customStyle="1" w:styleId="Heading2Char">
    <w:name w:val="Heading 2 Char"/>
    <w:basedOn w:val="DefaultParagraphFont"/>
    <w:link w:val="Heading2"/>
    <w:rsid w:val="00C605D7"/>
    <w:rPr>
      <w:rFonts w:ascii="Times New Roman" w:eastAsia="Times New Roman" w:hAnsi="Times New Roman" w:cs="Arial"/>
      <w:bCs/>
      <w:sz w:val="26"/>
      <w:szCs w:val="24"/>
    </w:rPr>
  </w:style>
  <w:style w:type="paragraph" w:styleId="Footer">
    <w:name w:val="footer"/>
    <w:basedOn w:val="Normal"/>
    <w:link w:val="FooterChar"/>
    <w:semiHidden/>
    <w:rsid w:val="00C605D7"/>
    <w:pPr>
      <w:tabs>
        <w:tab w:val="center" w:pos="4153"/>
        <w:tab w:val="right" w:pos="8306"/>
      </w:tabs>
    </w:pPr>
  </w:style>
  <w:style w:type="character" w:customStyle="1" w:styleId="FooterChar">
    <w:name w:val="Footer Char"/>
    <w:basedOn w:val="DefaultParagraphFont"/>
    <w:link w:val="Footer"/>
    <w:semiHidden/>
    <w:rsid w:val="00C605D7"/>
    <w:rPr>
      <w:rFonts w:ascii="Times New Roman" w:eastAsia="Times New Roman" w:hAnsi="Times New Roman" w:cs="Times New Roman"/>
      <w:szCs w:val="24"/>
    </w:rPr>
  </w:style>
  <w:style w:type="character" w:styleId="FootnoteReference">
    <w:name w:val="footnote reference"/>
    <w:basedOn w:val="DefaultParagraphFont"/>
    <w:semiHidden/>
    <w:rsid w:val="00C605D7"/>
    <w:rPr>
      <w:vertAlign w:val="superscript"/>
    </w:rPr>
  </w:style>
  <w:style w:type="paragraph" w:styleId="BodyText">
    <w:name w:val="Body Text"/>
    <w:basedOn w:val="Normal"/>
    <w:link w:val="BodyTextChar"/>
    <w:semiHidden/>
    <w:rsid w:val="00C605D7"/>
    <w:rPr>
      <w:rFonts w:cs="Arial"/>
    </w:rPr>
  </w:style>
  <w:style w:type="character" w:customStyle="1" w:styleId="BodyTextChar">
    <w:name w:val="Body Text Char"/>
    <w:basedOn w:val="DefaultParagraphFont"/>
    <w:link w:val="BodyText"/>
    <w:semiHidden/>
    <w:rsid w:val="00C605D7"/>
    <w:rPr>
      <w:rFonts w:ascii="Times New Roman" w:eastAsia="Times New Roman" w:hAnsi="Times New Roman" w:cs="Arial"/>
      <w:szCs w:val="24"/>
    </w:rPr>
  </w:style>
  <w:style w:type="paragraph" w:styleId="FootnoteText">
    <w:name w:val="footnote text"/>
    <w:basedOn w:val="Normal"/>
    <w:link w:val="FootnoteTextChar"/>
    <w:semiHidden/>
    <w:rsid w:val="00C605D7"/>
    <w:pPr>
      <w:tabs>
        <w:tab w:val="left" w:pos="454"/>
      </w:tabs>
      <w:overflowPunct w:val="0"/>
      <w:autoSpaceDE w:val="0"/>
      <w:autoSpaceDN w:val="0"/>
      <w:adjustRightInd w:val="0"/>
      <w:spacing w:line="220" w:lineRule="exact"/>
      <w:ind w:left="454" w:hanging="454"/>
      <w:textAlignment w:val="baseline"/>
    </w:pPr>
    <w:rPr>
      <w:sz w:val="18"/>
      <w:szCs w:val="20"/>
    </w:rPr>
  </w:style>
  <w:style w:type="character" w:customStyle="1" w:styleId="FootnoteTextChar">
    <w:name w:val="Footnote Text Char"/>
    <w:basedOn w:val="DefaultParagraphFont"/>
    <w:link w:val="FootnoteText"/>
    <w:semiHidden/>
    <w:rsid w:val="00C605D7"/>
    <w:rPr>
      <w:rFonts w:ascii="Times New Roman" w:eastAsia="Times New Roman" w:hAnsi="Times New Roman" w:cs="Times New Roman"/>
      <w:sz w:val="18"/>
      <w:szCs w:val="20"/>
    </w:rPr>
  </w:style>
  <w:style w:type="paragraph" w:styleId="NormalIndent">
    <w:name w:val="Normal Indent"/>
    <w:basedOn w:val="Normal"/>
    <w:semiHidden/>
    <w:rsid w:val="00C605D7"/>
    <w:pPr>
      <w:ind w:firstLine="454"/>
    </w:pPr>
  </w:style>
  <w:style w:type="paragraph" w:customStyle="1" w:styleId="DisplayQuote">
    <w:name w:val="Display Quote"/>
    <w:basedOn w:val="BodyTextIndent"/>
    <w:next w:val="BodyText"/>
    <w:rsid w:val="00C605D7"/>
    <w:pPr>
      <w:spacing w:before="220" w:after="220" w:line="220" w:lineRule="exact"/>
      <w:ind w:left="454"/>
    </w:pPr>
    <w:rPr>
      <w:sz w:val="18"/>
    </w:rPr>
  </w:style>
  <w:style w:type="paragraph" w:styleId="BodyTextIndent">
    <w:name w:val="Body Text Indent"/>
    <w:basedOn w:val="Normal"/>
    <w:link w:val="BodyTextIndentChar"/>
    <w:uiPriority w:val="99"/>
    <w:semiHidden/>
    <w:unhideWhenUsed/>
    <w:rsid w:val="00C605D7"/>
    <w:pPr>
      <w:spacing w:after="120"/>
      <w:ind w:left="283"/>
    </w:pPr>
  </w:style>
  <w:style w:type="character" w:customStyle="1" w:styleId="BodyTextIndentChar">
    <w:name w:val="Body Text Indent Char"/>
    <w:basedOn w:val="DefaultParagraphFont"/>
    <w:link w:val="BodyTextIndent"/>
    <w:uiPriority w:val="99"/>
    <w:semiHidden/>
    <w:rsid w:val="00C605D7"/>
    <w:rPr>
      <w:rFonts w:ascii="Times New Roman" w:eastAsia="Times New Roman" w:hAnsi="Times New Roman" w:cs="Times New Roman"/>
      <w:szCs w:val="24"/>
    </w:rPr>
  </w:style>
  <w:style w:type="paragraph" w:styleId="BalloonText">
    <w:name w:val="Balloon Text"/>
    <w:basedOn w:val="Normal"/>
    <w:link w:val="BalloonTextChar"/>
    <w:uiPriority w:val="99"/>
    <w:semiHidden/>
    <w:unhideWhenUsed/>
    <w:rsid w:val="002E203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2036"/>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5</Pages>
  <Words>3001</Words>
  <Characters>17112</Characters>
  <Application>Microsoft Office Word</Application>
  <DocSecurity>0</DocSecurity>
  <Lines>142</Lines>
  <Paragraphs>40</Paragraphs>
  <ScaleCrop>false</ScaleCrop>
  <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Nicholas Shilton</cp:lastModifiedBy>
  <cp:revision>38</cp:revision>
  <dcterms:created xsi:type="dcterms:W3CDTF">2020-09-25T14:19:00Z</dcterms:created>
  <dcterms:modified xsi:type="dcterms:W3CDTF">2020-09-28T12:43:00Z</dcterms:modified>
</cp:coreProperties>
</file>