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F105D" w14:textId="1C5BD139" w:rsidR="00B5462F" w:rsidRPr="00B5462F" w:rsidRDefault="00B5462F" w:rsidP="00B5462F">
      <w:pPr>
        <w:spacing w:before="120" w:after="120"/>
        <w:jc w:val="center"/>
        <w:rPr>
          <w:rFonts w:ascii="Arial" w:hAnsi="Arial" w:cs="Arial"/>
          <w:b/>
          <w:bCs/>
          <w:lang w:val="en-US"/>
        </w:rPr>
      </w:pPr>
      <w:bookmarkStart w:id="0" w:name="_Toc159523984"/>
      <w:r w:rsidRPr="00B5462F">
        <w:rPr>
          <w:rFonts w:ascii="Arial" w:hAnsi="Arial" w:cs="Arial"/>
          <w:noProof/>
          <w:lang w:val="en-GB" w:eastAsia="en-GB"/>
          <w14:ligatures w14:val="standardContextual"/>
        </w:rPr>
        <w:drawing>
          <wp:inline distT="0" distB="0" distL="0" distR="0" wp14:anchorId="377B82A0" wp14:editId="7113B6E1">
            <wp:extent cx="2500630" cy="1112520"/>
            <wp:effectExtent l="0" t="0" r="0" b="0"/>
            <wp:docPr id="1" name="Picture 1" descr="Description: 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0630" cy="1112520"/>
                    </a:xfrm>
                    <a:prstGeom prst="rect">
                      <a:avLst/>
                    </a:prstGeom>
                    <a:noFill/>
                    <a:ln>
                      <a:noFill/>
                    </a:ln>
                  </pic:spPr>
                </pic:pic>
              </a:graphicData>
            </a:graphic>
          </wp:inline>
        </w:drawing>
      </w:r>
    </w:p>
    <w:p w14:paraId="2C338A44" w14:textId="77777777" w:rsidR="00B5462F" w:rsidRPr="00B5462F" w:rsidRDefault="00B5462F" w:rsidP="00B5462F">
      <w:pPr>
        <w:spacing w:before="120" w:after="120"/>
        <w:jc w:val="center"/>
        <w:rPr>
          <w:rFonts w:ascii="Arial" w:hAnsi="Arial" w:cs="Arial"/>
          <w:b/>
          <w:bCs/>
          <w:lang w:val="en-US"/>
        </w:rPr>
      </w:pPr>
    </w:p>
    <w:p w14:paraId="504C1B4F" w14:textId="77777777" w:rsidR="00B5462F" w:rsidRPr="00B5462F" w:rsidRDefault="00B5462F" w:rsidP="00B5462F">
      <w:pPr>
        <w:spacing w:before="120" w:after="120"/>
        <w:jc w:val="center"/>
        <w:rPr>
          <w:rFonts w:ascii="Arial" w:hAnsi="Arial" w:cs="Arial"/>
          <w:b/>
          <w:bCs/>
          <w:lang w:val="en-US"/>
        </w:rPr>
      </w:pPr>
    </w:p>
    <w:p w14:paraId="59218A03" w14:textId="77777777" w:rsidR="00B5462F" w:rsidRPr="00B5462F" w:rsidRDefault="00B5462F" w:rsidP="00B5462F">
      <w:pPr>
        <w:spacing w:before="120" w:after="120"/>
        <w:jc w:val="center"/>
        <w:rPr>
          <w:rFonts w:ascii="Arial" w:hAnsi="Arial" w:cs="Arial"/>
          <w:b/>
          <w:bCs/>
          <w:sz w:val="32"/>
          <w:szCs w:val="32"/>
          <w:lang w:val="en-US"/>
        </w:rPr>
      </w:pPr>
      <w:r w:rsidRPr="00B5462F">
        <w:rPr>
          <w:rFonts w:ascii="Arial" w:hAnsi="Arial" w:cs="Arial"/>
          <w:b/>
          <w:bCs/>
          <w:sz w:val="32"/>
          <w:szCs w:val="32"/>
          <w:lang w:val="en-US"/>
        </w:rPr>
        <w:t>School of Hospitality &amp; Tourism Management</w:t>
      </w:r>
    </w:p>
    <w:p w14:paraId="12C07FEA" w14:textId="76B8730C" w:rsidR="00B5462F" w:rsidRPr="00B5462F" w:rsidRDefault="00B5462F" w:rsidP="00B5462F">
      <w:pPr>
        <w:spacing w:before="120" w:after="120"/>
        <w:jc w:val="center"/>
        <w:rPr>
          <w:rFonts w:ascii="Arial" w:hAnsi="Arial" w:cs="Arial"/>
          <w:b/>
          <w:bCs/>
          <w:sz w:val="32"/>
          <w:szCs w:val="32"/>
          <w:lang w:val="en-US"/>
        </w:rPr>
      </w:pPr>
      <w:r w:rsidRPr="00B5462F">
        <w:rPr>
          <w:rFonts w:ascii="Arial" w:hAnsi="Arial" w:cs="Arial"/>
          <w:b/>
          <w:bCs/>
          <w:sz w:val="32"/>
          <w:szCs w:val="32"/>
          <w:lang w:val="en-US"/>
        </w:rPr>
        <w:t>BA International Hotel Management</w:t>
      </w:r>
    </w:p>
    <w:p w14:paraId="7DF80228" w14:textId="77777777" w:rsidR="00B5462F" w:rsidRPr="00B5462F" w:rsidRDefault="00B5462F" w:rsidP="00B5462F">
      <w:pPr>
        <w:spacing w:before="120" w:after="120"/>
        <w:jc w:val="center"/>
        <w:rPr>
          <w:rFonts w:ascii="Arial" w:hAnsi="Arial" w:cs="Arial"/>
          <w:b/>
          <w:bCs/>
          <w:sz w:val="32"/>
          <w:szCs w:val="32"/>
          <w:lang w:val="en-US"/>
        </w:rPr>
      </w:pPr>
    </w:p>
    <w:p w14:paraId="2E77A3AE" w14:textId="77777777" w:rsidR="00B5462F" w:rsidRPr="00B5462F" w:rsidRDefault="00B5462F" w:rsidP="00B5462F">
      <w:pPr>
        <w:spacing w:before="120" w:after="120"/>
        <w:jc w:val="center"/>
        <w:rPr>
          <w:rFonts w:ascii="Arial" w:hAnsi="Arial" w:cs="Arial"/>
          <w:b/>
          <w:bCs/>
          <w:sz w:val="32"/>
          <w:szCs w:val="32"/>
          <w:lang w:val="en-US"/>
        </w:rPr>
      </w:pPr>
      <w:r w:rsidRPr="00B5462F">
        <w:rPr>
          <w:rFonts w:ascii="Arial" w:hAnsi="Arial" w:cs="Arial"/>
          <w:b/>
          <w:bCs/>
          <w:sz w:val="32"/>
          <w:szCs w:val="32"/>
          <w:lang w:val="en-US"/>
        </w:rPr>
        <w:t>BMIH5007</w:t>
      </w:r>
    </w:p>
    <w:p w14:paraId="3ECF1A4F" w14:textId="246EDE8F" w:rsidR="00B5462F" w:rsidRDefault="00B5462F" w:rsidP="00B5462F">
      <w:pPr>
        <w:spacing w:before="120" w:after="120"/>
        <w:jc w:val="center"/>
        <w:rPr>
          <w:rFonts w:ascii="Arial" w:hAnsi="Arial" w:cs="Arial"/>
          <w:b/>
          <w:bCs/>
          <w:sz w:val="32"/>
          <w:szCs w:val="32"/>
          <w:lang w:val="en-US"/>
        </w:rPr>
      </w:pPr>
    </w:p>
    <w:p w14:paraId="2FE6700D" w14:textId="602DD5E2" w:rsidR="00677558" w:rsidRDefault="00677558" w:rsidP="00B5462F">
      <w:pPr>
        <w:spacing w:before="120" w:after="120"/>
        <w:jc w:val="center"/>
        <w:rPr>
          <w:rFonts w:ascii="Arial" w:hAnsi="Arial" w:cs="Arial"/>
          <w:b/>
          <w:bCs/>
          <w:sz w:val="32"/>
          <w:szCs w:val="32"/>
          <w:lang w:val="en-US"/>
        </w:rPr>
      </w:pPr>
      <w:r>
        <w:rPr>
          <w:rFonts w:ascii="Arial" w:hAnsi="Arial" w:cs="Arial"/>
          <w:b/>
          <w:bCs/>
          <w:sz w:val="32"/>
          <w:szCs w:val="32"/>
          <w:lang w:val="en-US"/>
        </w:rPr>
        <w:t>Case study: The Seacrest Lodge</w:t>
      </w:r>
    </w:p>
    <w:p w14:paraId="235D7898" w14:textId="77777777" w:rsidR="00677558" w:rsidRDefault="00677558" w:rsidP="00B5462F">
      <w:pPr>
        <w:spacing w:before="120" w:after="120"/>
        <w:jc w:val="center"/>
        <w:rPr>
          <w:rFonts w:ascii="Arial" w:hAnsi="Arial" w:cs="Arial"/>
          <w:b/>
          <w:bCs/>
          <w:sz w:val="32"/>
          <w:szCs w:val="32"/>
          <w:lang w:val="en-US"/>
        </w:rPr>
      </w:pPr>
    </w:p>
    <w:p w14:paraId="0995032B" w14:textId="0CF33131" w:rsidR="00677558" w:rsidRPr="00B5462F" w:rsidRDefault="00677558" w:rsidP="00677558">
      <w:pPr>
        <w:spacing w:before="120" w:after="120"/>
        <w:rPr>
          <w:rFonts w:ascii="Arial" w:hAnsi="Arial" w:cs="Arial"/>
          <w:b/>
          <w:bCs/>
          <w:sz w:val="32"/>
          <w:szCs w:val="32"/>
          <w:lang w:val="en-US"/>
        </w:rPr>
      </w:pPr>
    </w:p>
    <w:p w14:paraId="3B06AE4C" w14:textId="1CEF9B93" w:rsidR="00B5462F" w:rsidRPr="00B5462F" w:rsidRDefault="00B5462F" w:rsidP="00B5462F">
      <w:pPr>
        <w:spacing w:before="120" w:after="120"/>
        <w:jc w:val="center"/>
        <w:rPr>
          <w:rFonts w:ascii="Arial" w:hAnsi="Arial" w:cs="Arial"/>
          <w:b/>
          <w:bCs/>
          <w:sz w:val="32"/>
          <w:szCs w:val="32"/>
          <w:lang w:val="en-US"/>
        </w:rPr>
      </w:pPr>
    </w:p>
    <w:p w14:paraId="0A595D7F" w14:textId="2123F7CA" w:rsidR="00B5462F" w:rsidRPr="00B5462F" w:rsidRDefault="00677558" w:rsidP="00B5462F">
      <w:pPr>
        <w:spacing w:before="120" w:after="120"/>
        <w:jc w:val="center"/>
        <w:rPr>
          <w:rFonts w:ascii="Arial" w:hAnsi="Arial" w:cs="Arial"/>
          <w:b/>
          <w:bCs/>
          <w:sz w:val="32"/>
          <w:szCs w:val="32"/>
          <w:lang w:val="en-US"/>
        </w:rPr>
      </w:pPr>
      <w:r>
        <w:rPr>
          <w:rFonts w:ascii="Arial" w:hAnsi="Arial" w:cs="Arial"/>
          <w:b/>
          <w:bCs/>
          <w:sz w:val="32"/>
          <w:szCs w:val="32"/>
          <w:lang w:val="en-US"/>
        </w:rPr>
        <w:t>Student n</w:t>
      </w:r>
      <w:r w:rsidR="00B5462F" w:rsidRPr="00B5462F">
        <w:rPr>
          <w:rFonts w:ascii="Arial" w:hAnsi="Arial" w:cs="Arial"/>
          <w:b/>
          <w:bCs/>
          <w:sz w:val="32"/>
          <w:szCs w:val="32"/>
          <w:lang w:val="en-US"/>
        </w:rPr>
        <w:t>ame</w:t>
      </w:r>
      <w:r>
        <w:rPr>
          <w:rFonts w:ascii="Arial" w:hAnsi="Arial" w:cs="Arial"/>
          <w:b/>
          <w:bCs/>
          <w:sz w:val="32"/>
          <w:szCs w:val="32"/>
          <w:lang w:val="en-US"/>
        </w:rPr>
        <w:t>: Mirela Mihaela Motohoi</w:t>
      </w:r>
    </w:p>
    <w:p w14:paraId="21649A58" w14:textId="28325BC0" w:rsidR="00B5462F" w:rsidRDefault="00B5462F" w:rsidP="00B5462F">
      <w:pPr>
        <w:spacing w:before="120" w:after="120"/>
        <w:jc w:val="center"/>
        <w:rPr>
          <w:rFonts w:ascii="Arial" w:hAnsi="Arial" w:cs="Arial"/>
          <w:b/>
          <w:bCs/>
          <w:sz w:val="32"/>
          <w:szCs w:val="32"/>
          <w:lang w:val="en-US"/>
        </w:rPr>
      </w:pPr>
      <w:r w:rsidRPr="00B5462F">
        <w:rPr>
          <w:rFonts w:ascii="Arial" w:hAnsi="Arial" w:cs="Arial"/>
          <w:b/>
          <w:bCs/>
          <w:sz w:val="32"/>
          <w:szCs w:val="32"/>
          <w:lang w:val="en-US"/>
        </w:rPr>
        <w:t>Student ID</w:t>
      </w:r>
      <w:r w:rsidR="00677558">
        <w:rPr>
          <w:rFonts w:ascii="Arial" w:hAnsi="Arial" w:cs="Arial"/>
          <w:b/>
          <w:bCs/>
          <w:sz w:val="32"/>
          <w:szCs w:val="32"/>
          <w:lang w:val="en-US"/>
        </w:rPr>
        <w:t xml:space="preserve"> number: 2206811</w:t>
      </w:r>
    </w:p>
    <w:p w14:paraId="4525101A" w14:textId="559620A6" w:rsidR="00677558" w:rsidRPr="00B5462F" w:rsidRDefault="00677558" w:rsidP="00B5462F">
      <w:pPr>
        <w:spacing w:before="120" w:after="120"/>
        <w:jc w:val="center"/>
        <w:rPr>
          <w:rFonts w:ascii="Arial" w:hAnsi="Arial" w:cs="Arial"/>
          <w:b/>
          <w:bCs/>
          <w:sz w:val="32"/>
          <w:szCs w:val="32"/>
          <w:lang w:val="en-US"/>
        </w:rPr>
      </w:pPr>
      <w:r>
        <w:rPr>
          <w:rFonts w:ascii="Arial" w:hAnsi="Arial" w:cs="Arial"/>
          <w:b/>
          <w:bCs/>
          <w:sz w:val="32"/>
          <w:szCs w:val="32"/>
          <w:lang w:val="en-US"/>
        </w:rPr>
        <w:t>Lecturer’ name: Tristan Hawkins</w:t>
      </w:r>
    </w:p>
    <w:p w14:paraId="0FD858B1" w14:textId="77777777" w:rsidR="00E6126D" w:rsidRPr="00B5462F" w:rsidRDefault="00E6126D" w:rsidP="00B5462F">
      <w:pPr>
        <w:spacing w:before="120" w:after="120" w:line="360" w:lineRule="auto"/>
        <w:jc w:val="center"/>
        <w:rPr>
          <w:rFonts w:ascii="Arial" w:hAnsi="Arial" w:cs="Arial"/>
          <w:lang w:val="en-US"/>
        </w:rPr>
      </w:pPr>
    </w:p>
    <w:p w14:paraId="175D64FD" w14:textId="77777777" w:rsidR="00B5462F" w:rsidRPr="00B5462F" w:rsidRDefault="00B5462F">
      <w:pPr>
        <w:spacing w:after="160" w:line="259" w:lineRule="auto"/>
        <w:rPr>
          <w:rFonts w:ascii="Arial" w:eastAsiaTheme="majorEastAsia" w:hAnsi="Arial" w:cs="Arial"/>
          <w:b/>
          <w:szCs w:val="32"/>
          <w:lang w:val="en-US"/>
        </w:rPr>
      </w:pPr>
      <w:r w:rsidRPr="00B5462F">
        <w:rPr>
          <w:rFonts w:ascii="Arial" w:hAnsi="Arial" w:cs="Arial"/>
          <w:lang w:val="en-US"/>
        </w:rPr>
        <w:br w:type="page"/>
      </w:r>
    </w:p>
    <w:p w14:paraId="712B96CD" w14:textId="09763860" w:rsidR="00E6126D" w:rsidRPr="00B5462F" w:rsidRDefault="00D476DD" w:rsidP="00B5462F">
      <w:pPr>
        <w:pStyle w:val="Heading1"/>
        <w:spacing w:before="120" w:after="120" w:line="360" w:lineRule="auto"/>
        <w:jc w:val="both"/>
        <w:rPr>
          <w:rFonts w:ascii="Arial" w:hAnsi="Arial" w:cs="Arial"/>
          <w:lang w:val="en-US"/>
        </w:rPr>
      </w:pPr>
      <w:r w:rsidRPr="00B5462F">
        <w:rPr>
          <w:rFonts w:ascii="Arial" w:hAnsi="Arial" w:cs="Arial"/>
          <w:lang w:val="en-US"/>
        </w:rPr>
        <w:lastRenderedPageBreak/>
        <w:t>Executive summary</w:t>
      </w:r>
      <w:bookmarkEnd w:id="0"/>
      <w:r w:rsidRPr="00B5462F">
        <w:rPr>
          <w:rFonts w:ascii="Arial" w:hAnsi="Arial" w:cs="Arial"/>
          <w:lang w:val="en-US"/>
        </w:rPr>
        <w:t xml:space="preserve"> </w:t>
      </w:r>
    </w:p>
    <w:p w14:paraId="304533AE" w14:textId="77777777" w:rsidR="00E6126D" w:rsidRPr="00B5462F" w:rsidRDefault="00D476DD" w:rsidP="00B5462F">
      <w:pPr>
        <w:pStyle w:val="NoSpacing"/>
        <w:spacing w:before="120" w:after="120"/>
        <w:jc w:val="both"/>
        <w:rPr>
          <w:rStyle w:val="text-with-replacments"/>
          <w:rFonts w:ascii="Arial" w:hAnsi="Arial" w:cs="Arial"/>
        </w:rPr>
      </w:pPr>
      <w:r w:rsidRPr="00B5462F">
        <w:rPr>
          <w:rStyle w:val="text-with-replacments"/>
          <w:rFonts w:ascii="Arial" w:hAnsi="Arial" w:cs="Arial"/>
        </w:rPr>
        <w:t>The Seacrest Lodge, with the profits it used to enjoy in the past, has started losing its revenue, occupancy rates, and customer satisfaction. This report presents a financially viable turnaround plan to re-orde the lodge's financial health and rebuild its reputation. Research gives strategic insights into the main obstacles, e.g., expenditure overruns, social adjustment, and market changes. Proposed initiatives include an upgrade, marketing campaigns, and quality service enhancement. The operations will benefit from effective leadership and risk management, ensuring profitability, excellent guest experience, and long-term sustainability. The lodge will remain prudent in adopting the changes, listening, and responding to the guests' needs while retaining its lead position in the industry.</w:t>
      </w:r>
    </w:p>
    <w:p w14:paraId="69DC61C4" w14:textId="77777777" w:rsidR="00E6126D" w:rsidRPr="00B5462F" w:rsidRDefault="00E6126D" w:rsidP="00B5462F">
      <w:pPr>
        <w:pStyle w:val="NoSpacing"/>
        <w:spacing w:before="120" w:after="120"/>
        <w:jc w:val="both"/>
        <w:rPr>
          <w:rStyle w:val="text-with-replacments"/>
          <w:rFonts w:ascii="Arial" w:hAnsi="Arial" w:cs="Arial"/>
        </w:rPr>
      </w:pPr>
    </w:p>
    <w:p w14:paraId="469F87F3" w14:textId="77777777" w:rsidR="00E6126D" w:rsidRPr="00B5462F" w:rsidRDefault="00E6126D" w:rsidP="00B5462F">
      <w:pPr>
        <w:pStyle w:val="NoSpacing"/>
        <w:spacing w:before="120" w:after="120"/>
        <w:jc w:val="both"/>
        <w:rPr>
          <w:rStyle w:val="text-with-replacments"/>
          <w:rFonts w:ascii="Arial" w:hAnsi="Arial" w:cs="Arial"/>
        </w:rPr>
      </w:pPr>
    </w:p>
    <w:p w14:paraId="712F56C2" w14:textId="77777777" w:rsidR="00E6126D" w:rsidRPr="00B5462F" w:rsidRDefault="00E6126D" w:rsidP="00B5462F">
      <w:pPr>
        <w:pStyle w:val="NoSpacing"/>
        <w:spacing w:before="120" w:after="120"/>
        <w:jc w:val="both"/>
        <w:rPr>
          <w:rStyle w:val="text-with-replacments"/>
          <w:rFonts w:ascii="Arial" w:hAnsi="Arial" w:cs="Arial"/>
        </w:rPr>
      </w:pPr>
    </w:p>
    <w:p w14:paraId="40203661" w14:textId="77777777" w:rsidR="00E6126D" w:rsidRPr="00B5462F" w:rsidRDefault="00E6126D" w:rsidP="00B5462F">
      <w:pPr>
        <w:pStyle w:val="NoSpacing"/>
        <w:spacing w:before="120" w:after="120"/>
        <w:jc w:val="both"/>
        <w:rPr>
          <w:rStyle w:val="text-with-replacments"/>
          <w:rFonts w:ascii="Arial" w:hAnsi="Arial" w:cs="Arial"/>
        </w:rPr>
      </w:pPr>
    </w:p>
    <w:p w14:paraId="2ED30247" w14:textId="77777777" w:rsidR="00E6126D" w:rsidRPr="00B5462F" w:rsidRDefault="00E6126D" w:rsidP="00B5462F">
      <w:pPr>
        <w:pStyle w:val="NoSpacing"/>
        <w:spacing w:before="120" w:after="120"/>
        <w:jc w:val="both"/>
        <w:rPr>
          <w:rStyle w:val="text-with-replacments"/>
          <w:rFonts w:ascii="Arial" w:hAnsi="Arial" w:cs="Arial"/>
        </w:rPr>
      </w:pPr>
    </w:p>
    <w:p w14:paraId="700B2BDE" w14:textId="77777777" w:rsidR="00E6126D" w:rsidRPr="00B5462F" w:rsidRDefault="00E6126D" w:rsidP="00B5462F">
      <w:pPr>
        <w:pStyle w:val="NoSpacing"/>
        <w:spacing w:before="120" w:after="120"/>
        <w:jc w:val="both"/>
        <w:rPr>
          <w:rStyle w:val="text-with-replacments"/>
          <w:rFonts w:ascii="Arial" w:hAnsi="Arial" w:cs="Arial"/>
        </w:rPr>
      </w:pPr>
    </w:p>
    <w:p w14:paraId="779EC7D3" w14:textId="77777777" w:rsidR="00E6126D" w:rsidRPr="00B5462F" w:rsidRDefault="00E6126D" w:rsidP="00B5462F">
      <w:pPr>
        <w:pStyle w:val="NoSpacing"/>
        <w:spacing w:before="120" w:after="120"/>
        <w:jc w:val="both"/>
        <w:rPr>
          <w:rStyle w:val="text-with-replacments"/>
          <w:rFonts w:ascii="Arial" w:hAnsi="Arial" w:cs="Arial"/>
        </w:rPr>
      </w:pPr>
    </w:p>
    <w:p w14:paraId="2164E450" w14:textId="77777777" w:rsidR="00E6126D" w:rsidRPr="00B5462F" w:rsidRDefault="00E6126D" w:rsidP="00B5462F">
      <w:pPr>
        <w:pStyle w:val="NoSpacing"/>
        <w:spacing w:before="120" w:after="120"/>
        <w:jc w:val="both"/>
        <w:rPr>
          <w:rStyle w:val="text-with-replacments"/>
          <w:rFonts w:ascii="Arial" w:hAnsi="Arial" w:cs="Arial"/>
        </w:rPr>
      </w:pPr>
    </w:p>
    <w:p w14:paraId="369791E0" w14:textId="77777777" w:rsidR="00E6126D" w:rsidRPr="00B5462F" w:rsidRDefault="00E6126D" w:rsidP="00B5462F">
      <w:pPr>
        <w:pStyle w:val="NoSpacing"/>
        <w:spacing w:before="120" w:after="120"/>
        <w:jc w:val="both"/>
        <w:rPr>
          <w:rFonts w:ascii="Arial" w:hAnsi="Arial" w:cs="Arial"/>
        </w:rPr>
      </w:pPr>
    </w:p>
    <w:p w14:paraId="6FC41CC8" w14:textId="1D228B06" w:rsidR="00B5462F" w:rsidRPr="00B5462F" w:rsidRDefault="00B5462F">
      <w:pPr>
        <w:spacing w:after="160" w:line="259" w:lineRule="auto"/>
        <w:rPr>
          <w:rFonts w:ascii="Arial" w:eastAsiaTheme="minorHAnsi" w:hAnsi="Arial" w:cs="Arial"/>
          <w:kern w:val="2"/>
          <w:szCs w:val="22"/>
          <w:lang w:val="en-US" w:eastAsia="en-US"/>
          <w14:ligatures w14:val="standardContextual"/>
        </w:rPr>
      </w:pPr>
      <w:r w:rsidRPr="00B5462F">
        <w:rPr>
          <w:rFonts w:ascii="Arial" w:hAnsi="Arial" w:cs="Arial"/>
        </w:rPr>
        <w:br w:type="page"/>
      </w:r>
    </w:p>
    <w:sdt>
      <w:sdtPr>
        <w:rPr>
          <w:rFonts w:ascii="Arial" w:eastAsia="Times New Roman" w:hAnsi="Arial" w:cs="Arial"/>
          <w:b w:val="0"/>
          <w:bCs w:val="0"/>
          <w:color w:val="auto"/>
          <w:sz w:val="24"/>
          <w:szCs w:val="24"/>
          <w:lang w:val="" w:eastAsia="ko-KR"/>
        </w:rPr>
        <w:id w:val="-1490096962"/>
        <w:docPartObj>
          <w:docPartGallery w:val="Table of Contents"/>
          <w:docPartUnique/>
        </w:docPartObj>
      </w:sdtPr>
      <w:sdtEndPr>
        <w:rPr>
          <w:noProof/>
        </w:rPr>
      </w:sdtEndPr>
      <w:sdtContent>
        <w:p w14:paraId="78006533" w14:textId="77777777" w:rsidR="00E6126D" w:rsidRPr="00B5462F" w:rsidRDefault="00D476DD" w:rsidP="00B5462F">
          <w:pPr>
            <w:pStyle w:val="TOCHeading"/>
            <w:spacing w:before="120" w:after="120" w:line="360" w:lineRule="auto"/>
            <w:rPr>
              <w:rFonts w:ascii="Arial" w:hAnsi="Arial" w:cs="Arial"/>
              <w:b w:val="0"/>
              <w:bCs w:val="0"/>
              <w:sz w:val="24"/>
              <w:szCs w:val="24"/>
            </w:rPr>
          </w:pPr>
          <w:r w:rsidRPr="00B5462F">
            <w:rPr>
              <w:rFonts w:ascii="Arial" w:hAnsi="Arial" w:cs="Arial"/>
              <w:b w:val="0"/>
              <w:bCs w:val="0"/>
              <w:sz w:val="24"/>
              <w:szCs w:val="24"/>
            </w:rPr>
            <w:t>Table of Contents</w:t>
          </w:r>
        </w:p>
        <w:p w14:paraId="42375A86" w14:textId="77777777" w:rsidR="00E6126D" w:rsidRPr="00B5462F" w:rsidRDefault="00D476DD" w:rsidP="00B5462F">
          <w:pPr>
            <w:pStyle w:val="TOC1"/>
            <w:tabs>
              <w:tab w:val="right" w:leader="dot" w:pos="9350"/>
            </w:tabs>
            <w:spacing w:after="120" w:line="360" w:lineRule="auto"/>
            <w:rPr>
              <w:rFonts w:ascii="Arial" w:hAnsi="Arial" w:cs="Arial"/>
              <w:b w:val="0"/>
              <w:bCs w:val="0"/>
              <w:i w:val="0"/>
              <w:iCs w:val="0"/>
              <w:noProof/>
              <w:szCs w:val="24"/>
            </w:rPr>
          </w:pPr>
          <w:r w:rsidRPr="00B5462F">
            <w:rPr>
              <w:rFonts w:ascii="Arial" w:hAnsi="Arial" w:cs="Arial"/>
              <w:b w:val="0"/>
              <w:bCs w:val="0"/>
              <w:i w:val="0"/>
              <w:iCs w:val="0"/>
              <w:szCs w:val="24"/>
            </w:rPr>
            <w:fldChar w:fldCharType="begin"/>
          </w:r>
          <w:r w:rsidRPr="00B5462F">
            <w:rPr>
              <w:rFonts w:ascii="Arial" w:hAnsi="Arial" w:cs="Arial"/>
              <w:b w:val="0"/>
              <w:bCs w:val="0"/>
              <w:i w:val="0"/>
              <w:iCs w:val="0"/>
              <w:szCs w:val="24"/>
            </w:rPr>
            <w:instrText xml:space="preserve"> TOC \o "1-3" \h \z \u </w:instrText>
          </w:r>
          <w:r w:rsidRPr="00B5462F">
            <w:rPr>
              <w:rFonts w:ascii="Arial" w:hAnsi="Arial" w:cs="Arial"/>
              <w:b w:val="0"/>
              <w:bCs w:val="0"/>
              <w:i w:val="0"/>
              <w:iCs w:val="0"/>
              <w:szCs w:val="24"/>
            </w:rPr>
            <w:fldChar w:fldCharType="separate"/>
          </w:r>
          <w:hyperlink w:anchor="_Toc159523984" w:history="1">
            <w:r w:rsidRPr="00B5462F">
              <w:rPr>
                <w:rStyle w:val="Hyperlink"/>
                <w:rFonts w:ascii="Arial" w:hAnsi="Arial" w:cs="Arial"/>
                <w:b w:val="0"/>
                <w:bCs w:val="0"/>
                <w:i w:val="0"/>
                <w:iCs w:val="0"/>
                <w:noProof/>
                <w:szCs w:val="24"/>
                <w:lang w:val="en-US"/>
              </w:rPr>
              <w:t>Executive summary</w:t>
            </w:r>
            <w:r w:rsidRPr="00B5462F">
              <w:rPr>
                <w:rFonts w:ascii="Arial" w:hAnsi="Arial" w:cs="Arial"/>
                <w:b w:val="0"/>
                <w:bCs w:val="0"/>
                <w:i w:val="0"/>
                <w:iCs w:val="0"/>
                <w:noProof/>
                <w:webHidden/>
                <w:szCs w:val="24"/>
              </w:rPr>
              <w:tab/>
            </w:r>
            <w:r w:rsidRPr="00B5462F">
              <w:rPr>
                <w:rFonts w:ascii="Arial" w:hAnsi="Arial" w:cs="Arial"/>
                <w:b w:val="0"/>
                <w:bCs w:val="0"/>
                <w:i w:val="0"/>
                <w:iCs w:val="0"/>
                <w:noProof/>
                <w:webHidden/>
                <w:szCs w:val="24"/>
              </w:rPr>
              <w:fldChar w:fldCharType="begin"/>
            </w:r>
            <w:r w:rsidRPr="00B5462F">
              <w:rPr>
                <w:rFonts w:ascii="Arial" w:hAnsi="Arial" w:cs="Arial"/>
                <w:b w:val="0"/>
                <w:bCs w:val="0"/>
                <w:i w:val="0"/>
                <w:iCs w:val="0"/>
                <w:noProof/>
                <w:webHidden/>
                <w:szCs w:val="24"/>
              </w:rPr>
              <w:instrText xml:space="preserve"> PAGEREF _Toc159523984 \h </w:instrText>
            </w:r>
            <w:r w:rsidRPr="00B5462F">
              <w:rPr>
                <w:rFonts w:ascii="Arial" w:hAnsi="Arial" w:cs="Arial"/>
                <w:b w:val="0"/>
                <w:bCs w:val="0"/>
                <w:i w:val="0"/>
                <w:iCs w:val="0"/>
                <w:noProof/>
                <w:webHidden/>
                <w:szCs w:val="24"/>
              </w:rPr>
            </w:r>
            <w:r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1</w:t>
            </w:r>
            <w:r w:rsidRPr="00B5462F">
              <w:rPr>
                <w:rFonts w:ascii="Arial" w:hAnsi="Arial" w:cs="Arial"/>
                <w:b w:val="0"/>
                <w:bCs w:val="0"/>
                <w:i w:val="0"/>
                <w:iCs w:val="0"/>
                <w:noProof/>
                <w:webHidden/>
                <w:szCs w:val="24"/>
              </w:rPr>
              <w:fldChar w:fldCharType="end"/>
            </w:r>
          </w:hyperlink>
        </w:p>
        <w:p w14:paraId="6098B067"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85" w:history="1">
            <w:r w:rsidR="00D476DD" w:rsidRPr="00B5462F">
              <w:rPr>
                <w:rStyle w:val="Hyperlink"/>
                <w:rFonts w:ascii="Arial" w:hAnsi="Arial" w:cs="Arial"/>
                <w:b w:val="0"/>
                <w:bCs w:val="0"/>
                <w:i w:val="0"/>
                <w:iCs w:val="0"/>
                <w:noProof/>
                <w:szCs w:val="24"/>
              </w:rPr>
              <w:t>Introduction</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_Toc159523985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4</w:t>
            </w:r>
            <w:r w:rsidR="00D476DD" w:rsidRPr="00B5462F">
              <w:rPr>
                <w:rFonts w:ascii="Arial" w:hAnsi="Arial" w:cs="Arial"/>
                <w:b w:val="0"/>
                <w:bCs w:val="0"/>
                <w:i w:val="0"/>
                <w:iCs w:val="0"/>
                <w:noProof/>
                <w:webHidden/>
                <w:szCs w:val="24"/>
              </w:rPr>
              <w:fldChar w:fldCharType="end"/>
            </w:r>
          </w:hyperlink>
        </w:p>
        <w:p w14:paraId="5CB44492"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86" w:history="1">
            <w:r w:rsidR="00D476DD" w:rsidRPr="00B5462F">
              <w:rPr>
                <w:rStyle w:val="Hyperlink"/>
                <w:rFonts w:ascii="Arial" w:hAnsi="Arial" w:cs="Arial"/>
                <w:b w:val="0"/>
                <w:bCs w:val="0"/>
                <w:i w:val="0"/>
                <w:iCs w:val="0"/>
                <w:noProof/>
                <w:szCs w:val="24"/>
              </w:rPr>
              <w:t>Market Analysis</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_Toc159523986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4</w:t>
            </w:r>
            <w:r w:rsidR="00D476DD" w:rsidRPr="00B5462F">
              <w:rPr>
                <w:rFonts w:ascii="Arial" w:hAnsi="Arial" w:cs="Arial"/>
                <w:b w:val="0"/>
                <w:bCs w:val="0"/>
                <w:i w:val="0"/>
                <w:iCs w:val="0"/>
                <w:noProof/>
                <w:webHidden/>
                <w:szCs w:val="24"/>
              </w:rPr>
              <w:fldChar w:fldCharType="end"/>
            </w:r>
          </w:hyperlink>
        </w:p>
        <w:p w14:paraId="0AB77720"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87" w:history="1">
            <w:r w:rsidR="00D476DD" w:rsidRPr="00B5462F">
              <w:rPr>
                <w:rStyle w:val="Hyperlink"/>
                <w:rFonts w:ascii="Arial" w:hAnsi="Arial" w:cs="Arial"/>
                <w:b w:val="0"/>
                <w:bCs w:val="0"/>
                <w:i w:val="0"/>
                <w:iCs w:val="0"/>
                <w:noProof/>
                <w:szCs w:val="24"/>
              </w:rPr>
              <w:t>Financial Performance Analysis</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_Toc159523987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5</w:t>
            </w:r>
            <w:r w:rsidR="00D476DD" w:rsidRPr="00B5462F">
              <w:rPr>
                <w:rFonts w:ascii="Arial" w:hAnsi="Arial" w:cs="Arial"/>
                <w:b w:val="0"/>
                <w:bCs w:val="0"/>
                <w:i w:val="0"/>
                <w:iCs w:val="0"/>
                <w:noProof/>
                <w:webHidden/>
                <w:szCs w:val="24"/>
              </w:rPr>
              <w:fldChar w:fldCharType="end"/>
            </w:r>
          </w:hyperlink>
        </w:p>
        <w:p w14:paraId="3B61B12F"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88" w:history="1">
            <w:r w:rsidR="00D476DD" w:rsidRPr="00B5462F">
              <w:rPr>
                <w:rStyle w:val="Hyperlink"/>
                <w:rFonts w:ascii="Arial" w:hAnsi="Arial" w:cs="Arial"/>
                <w:b w:val="0"/>
                <w:bCs w:val="0"/>
                <w:i w:val="0"/>
                <w:iCs w:val="0"/>
                <w:noProof/>
                <w:szCs w:val="24"/>
              </w:rPr>
              <w:t>Reasons behind the Decline in Profitability</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_Toc159523988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7</w:t>
            </w:r>
            <w:r w:rsidR="00D476DD" w:rsidRPr="00B5462F">
              <w:rPr>
                <w:rFonts w:ascii="Arial" w:hAnsi="Arial" w:cs="Arial"/>
                <w:b w:val="0"/>
                <w:bCs w:val="0"/>
                <w:i w:val="0"/>
                <w:iCs w:val="0"/>
                <w:noProof/>
                <w:webHidden/>
                <w:szCs w:val="24"/>
              </w:rPr>
              <w:fldChar w:fldCharType="end"/>
            </w:r>
          </w:hyperlink>
        </w:p>
        <w:p w14:paraId="2DD73882" w14:textId="77777777" w:rsidR="00E6126D" w:rsidRPr="00B5462F" w:rsidRDefault="00000000" w:rsidP="00B5462F">
          <w:pPr>
            <w:pStyle w:val="TOC2"/>
            <w:tabs>
              <w:tab w:val="right" w:leader="dot" w:pos="9350"/>
            </w:tabs>
            <w:spacing w:after="120" w:line="360" w:lineRule="auto"/>
            <w:rPr>
              <w:rFonts w:ascii="Arial" w:hAnsi="Arial" w:cs="Arial"/>
              <w:b w:val="0"/>
              <w:bCs w:val="0"/>
              <w:noProof/>
              <w:sz w:val="24"/>
              <w:szCs w:val="24"/>
            </w:rPr>
          </w:pPr>
          <w:hyperlink w:anchor="_Toc159523989" w:history="1">
            <w:r w:rsidR="00D476DD" w:rsidRPr="00B5462F">
              <w:rPr>
                <w:rStyle w:val="Hyperlink"/>
                <w:rFonts w:ascii="Arial" w:hAnsi="Arial" w:cs="Arial"/>
                <w:b w:val="0"/>
                <w:bCs w:val="0"/>
                <w:noProof/>
                <w:sz w:val="24"/>
                <w:szCs w:val="24"/>
              </w:rPr>
              <w:t>Cost Variance Analysis:</w:t>
            </w:r>
            <w:r w:rsidR="00D476DD" w:rsidRPr="00B5462F">
              <w:rPr>
                <w:rFonts w:ascii="Arial" w:hAnsi="Arial" w:cs="Arial"/>
                <w:b w:val="0"/>
                <w:bCs w:val="0"/>
                <w:noProof/>
                <w:webHidden/>
                <w:sz w:val="24"/>
                <w:szCs w:val="24"/>
              </w:rPr>
              <w:tab/>
            </w:r>
            <w:r w:rsidR="00D476DD" w:rsidRPr="00B5462F">
              <w:rPr>
                <w:rFonts w:ascii="Arial" w:hAnsi="Arial" w:cs="Arial"/>
                <w:b w:val="0"/>
                <w:bCs w:val="0"/>
                <w:noProof/>
                <w:webHidden/>
                <w:sz w:val="24"/>
                <w:szCs w:val="24"/>
              </w:rPr>
              <w:fldChar w:fldCharType="begin"/>
            </w:r>
            <w:r w:rsidR="00D476DD" w:rsidRPr="00B5462F">
              <w:rPr>
                <w:rFonts w:ascii="Arial" w:hAnsi="Arial" w:cs="Arial"/>
                <w:b w:val="0"/>
                <w:bCs w:val="0"/>
                <w:noProof/>
                <w:webHidden/>
                <w:sz w:val="24"/>
                <w:szCs w:val="24"/>
              </w:rPr>
              <w:instrText xml:space="preserve"> PAGEREF _Toc159523989 \h </w:instrText>
            </w:r>
            <w:r w:rsidR="00D476DD" w:rsidRPr="00B5462F">
              <w:rPr>
                <w:rFonts w:ascii="Arial" w:hAnsi="Arial" w:cs="Arial"/>
                <w:b w:val="0"/>
                <w:bCs w:val="0"/>
                <w:noProof/>
                <w:webHidden/>
                <w:sz w:val="24"/>
                <w:szCs w:val="24"/>
              </w:rPr>
            </w:r>
            <w:r w:rsidR="00D476DD" w:rsidRPr="00B5462F">
              <w:rPr>
                <w:rFonts w:ascii="Arial" w:hAnsi="Arial" w:cs="Arial"/>
                <w:b w:val="0"/>
                <w:bCs w:val="0"/>
                <w:noProof/>
                <w:webHidden/>
                <w:sz w:val="24"/>
                <w:szCs w:val="24"/>
              </w:rPr>
              <w:fldChar w:fldCharType="separate"/>
            </w:r>
            <w:r w:rsidR="00B5462F">
              <w:rPr>
                <w:rFonts w:ascii="Arial" w:hAnsi="Arial" w:cs="Arial"/>
                <w:b w:val="0"/>
                <w:bCs w:val="0"/>
                <w:noProof/>
                <w:webHidden/>
                <w:sz w:val="24"/>
                <w:szCs w:val="24"/>
              </w:rPr>
              <w:t>7</w:t>
            </w:r>
            <w:r w:rsidR="00D476DD" w:rsidRPr="00B5462F">
              <w:rPr>
                <w:rFonts w:ascii="Arial" w:hAnsi="Arial" w:cs="Arial"/>
                <w:b w:val="0"/>
                <w:bCs w:val="0"/>
                <w:noProof/>
                <w:webHidden/>
                <w:sz w:val="24"/>
                <w:szCs w:val="24"/>
              </w:rPr>
              <w:fldChar w:fldCharType="end"/>
            </w:r>
          </w:hyperlink>
        </w:p>
        <w:p w14:paraId="349FA44D" w14:textId="77777777" w:rsidR="00E6126D" w:rsidRPr="00B5462F" w:rsidRDefault="00000000" w:rsidP="00B5462F">
          <w:pPr>
            <w:pStyle w:val="TOC2"/>
            <w:tabs>
              <w:tab w:val="right" w:leader="dot" w:pos="9350"/>
            </w:tabs>
            <w:spacing w:after="120" w:line="360" w:lineRule="auto"/>
            <w:rPr>
              <w:rFonts w:ascii="Arial" w:hAnsi="Arial" w:cs="Arial"/>
              <w:b w:val="0"/>
              <w:bCs w:val="0"/>
              <w:noProof/>
              <w:sz w:val="24"/>
              <w:szCs w:val="24"/>
            </w:rPr>
          </w:pPr>
          <w:hyperlink w:anchor="_Toc159523990" w:history="1">
            <w:r w:rsidR="00D476DD" w:rsidRPr="00B5462F">
              <w:rPr>
                <w:rStyle w:val="Hyperlink"/>
                <w:rFonts w:ascii="Arial" w:hAnsi="Arial" w:cs="Arial"/>
                <w:b w:val="0"/>
                <w:bCs w:val="0"/>
                <w:noProof/>
                <w:sz w:val="24"/>
                <w:szCs w:val="24"/>
              </w:rPr>
              <w:t>Analysis of Occupancy Rates and Revenue Decline:</w:t>
            </w:r>
            <w:r w:rsidR="00D476DD" w:rsidRPr="00B5462F">
              <w:rPr>
                <w:rFonts w:ascii="Arial" w:hAnsi="Arial" w:cs="Arial"/>
                <w:b w:val="0"/>
                <w:bCs w:val="0"/>
                <w:noProof/>
                <w:webHidden/>
                <w:sz w:val="24"/>
                <w:szCs w:val="24"/>
              </w:rPr>
              <w:tab/>
            </w:r>
            <w:r w:rsidR="00D476DD" w:rsidRPr="00B5462F">
              <w:rPr>
                <w:rFonts w:ascii="Arial" w:hAnsi="Arial" w:cs="Arial"/>
                <w:b w:val="0"/>
                <w:bCs w:val="0"/>
                <w:noProof/>
                <w:webHidden/>
                <w:sz w:val="24"/>
                <w:szCs w:val="24"/>
              </w:rPr>
              <w:fldChar w:fldCharType="begin"/>
            </w:r>
            <w:r w:rsidR="00D476DD" w:rsidRPr="00B5462F">
              <w:rPr>
                <w:rFonts w:ascii="Arial" w:hAnsi="Arial" w:cs="Arial"/>
                <w:b w:val="0"/>
                <w:bCs w:val="0"/>
                <w:noProof/>
                <w:webHidden/>
                <w:sz w:val="24"/>
                <w:szCs w:val="24"/>
              </w:rPr>
              <w:instrText xml:space="preserve"> PAGEREF _Toc159523990 \h </w:instrText>
            </w:r>
            <w:r w:rsidR="00D476DD" w:rsidRPr="00B5462F">
              <w:rPr>
                <w:rFonts w:ascii="Arial" w:hAnsi="Arial" w:cs="Arial"/>
                <w:b w:val="0"/>
                <w:bCs w:val="0"/>
                <w:noProof/>
                <w:webHidden/>
                <w:sz w:val="24"/>
                <w:szCs w:val="24"/>
              </w:rPr>
            </w:r>
            <w:r w:rsidR="00D476DD" w:rsidRPr="00B5462F">
              <w:rPr>
                <w:rFonts w:ascii="Arial" w:hAnsi="Arial" w:cs="Arial"/>
                <w:b w:val="0"/>
                <w:bCs w:val="0"/>
                <w:noProof/>
                <w:webHidden/>
                <w:sz w:val="24"/>
                <w:szCs w:val="24"/>
              </w:rPr>
              <w:fldChar w:fldCharType="separate"/>
            </w:r>
            <w:r w:rsidR="00B5462F">
              <w:rPr>
                <w:rFonts w:ascii="Arial" w:hAnsi="Arial" w:cs="Arial"/>
                <w:b w:val="0"/>
                <w:bCs w:val="0"/>
                <w:noProof/>
                <w:webHidden/>
                <w:sz w:val="24"/>
                <w:szCs w:val="24"/>
              </w:rPr>
              <w:t>7</w:t>
            </w:r>
            <w:r w:rsidR="00D476DD" w:rsidRPr="00B5462F">
              <w:rPr>
                <w:rFonts w:ascii="Arial" w:hAnsi="Arial" w:cs="Arial"/>
                <w:b w:val="0"/>
                <w:bCs w:val="0"/>
                <w:noProof/>
                <w:webHidden/>
                <w:sz w:val="24"/>
                <w:szCs w:val="24"/>
              </w:rPr>
              <w:fldChar w:fldCharType="end"/>
            </w:r>
          </w:hyperlink>
        </w:p>
        <w:p w14:paraId="6B6EE5FA" w14:textId="77777777" w:rsidR="00E6126D" w:rsidRPr="00B5462F" w:rsidRDefault="00000000" w:rsidP="00B5462F">
          <w:pPr>
            <w:pStyle w:val="TOC2"/>
            <w:tabs>
              <w:tab w:val="right" w:leader="dot" w:pos="9350"/>
            </w:tabs>
            <w:spacing w:after="120" w:line="360" w:lineRule="auto"/>
            <w:rPr>
              <w:rFonts w:ascii="Arial" w:hAnsi="Arial" w:cs="Arial"/>
              <w:b w:val="0"/>
              <w:bCs w:val="0"/>
              <w:noProof/>
              <w:sz w:val="24"/>
              <w:szCs w:val="24"/>
            </w:rPr>
          </w:pPr>
          <w:hyperlink w:anchor="_Toc159523991" w:history="1">
            <w:r w:rsidR="00D476DD" w:rsidRPr="00B5462F">
              <w:rPr>
                <w:rStyle w:val="Hyperlink"/>
                <w:rFonts w:ascii="Arial" w:hAnsi="Arial" w:cs="Arial"/>
                <w:b w:val="0"/>
                <w:bCs w:val="0"/>
                <w:noProof/>
                <w:sz w:val="24"/>
                <w:szCs w:val="24"/>
              </w:rPr>
              <w:t>Impact of Outdated Amenities and Service Quality:</w:t>
            </w:r>
            <w:r w:rsidR="00D476DD" w:rsidRPr="00B5462F">
              <w:rPr>
                <w:rFonts w:ascii="Arial" w:hAnsi="Arial" w:cs="Arial"/>
                <w:b w:val="0"/>
                <w:bCs w:val="0"/>
                <w:noProof/>
                <w:webHidden/>
                <w:sz w:val="24"/>
                <w:szCs w:val="24"/>
              </w:rPr>
              <w:tab/>
            </w:r>
            <w:r w:rsidR="00D476DD" w:rsidRPr="00B5462F">
              <w:rPr>
                <w:rFonts w:ascii="Arial" w:hAnsi="Arial" w:cs="Arial"/>
                <w:b w:val="0"/>
                <w:bCs w:val="0"/>
                <w:noProof/>
                <w:webHidden/>
                <w:sz w:val="24"/>
                <w:szCs w:val="24"/>
              </w:rPr>
              <w:fldChar w:fldCharType="begin"/>
            </w:r>
            <w:r w:rsidR="00D476DD" w:rsidRPr="00B5462F">
              <w:rPr>
                <w:rFonts w:ascii="Arial" w:hAnsi="Arial" w:cs="Arial"/>
                <w:b w:val="0"/>
                <w:bCs w:val="0"/>
                <w:noProof/>
                <w:webHidden/>
                <w:sz w:val="24"/>
                <w:szCs w:val="24"/>
              </w:rPr>
              <w:instrText xml:space="preserve"> PAGEREF _Toc159523991 \h </w:instrText>
            </w:r>
            <w:r w:rsidR="00D476DD" w:rsidRPr="00B5462F">
              <w:rPr>
                <w:rFonts w:ascii="Arial" w:hAnsi="Arial" w:cs="Arial"/>
                <w:b w:val="0"/>
                <w:bCs w:val="0"/>
                <w:noProof/>
                <w:webHidden/>
                <w:sz w:val="24"/>
                <w:szCs w:val="24"/>
              </w:rPr>
            </w:r>
            <w:r w:rsidR="00D476DD" w:rsidRPr="00B5462F">
              <w:rPr>
                <w:rFonts w:ascii="Arial" w:hAnsi="Arial" w:cs="Arial"/>
                <w:b w:val="0"/>
                <w:bCs w:val="0"/>
                <w:noProof/>
                <w:webHidden/>
                <w:sz w:val="24"/>
                <w:szCs w:val="24"/>
              </w:rPr>
              <w:fldChar w:fldCharType="separate"/>
            </w:r>
            <w:r w:rsidR="00B5462F">
              <w:rPr>
                <w:rFonts w:ascii="Arial" w:hAnsi="Arial" w:cs="Arial"/>
                <w:b w:val="0"/>
                <w:bCs w:val="0"/>
                <w:noProof/>
                <w:webHidden/>
                <w:sz w:val="24"/>
                <w:szCs w:val="24"/>
              </w:rPr>
              <w:t>8</w:t>
            </w:r>
            <w:r w:rsidR="00D476DD" w:rsidRPr="00B5462F">
              <w:rPr>
                <w:rFonts w:ascii="Arial" w:hAnsi="Arial" w:cs="Arial"/>
                <w:b w:val="0"/>
                <w:bCs w:val="0"/>
                <w:noProof/>
                <w:webHidden/>
                <w:sz w:val="24"/>
                <w:szCs w:val="24"/>
              </w:rPr>
              <w:fldChar w:fldCharType="end"/>
            </w:r>
          </w:hyperlink>
        </w:p>
        <w:p w14:paraId="18799704"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92" w:history="1">
            <w:r w:rsidR="00D476DD" w:rsidRPr="00B5462F">
              <w:rPr>
                <w:rStyle w:val="Hyperlink"/>
                <w:rFonts w:ascii="Arial" w:hAnsi="Arial" w:cs="Arial"/>
                <w:b w:val="0"/>
                <w:bCs w:val="0"/>
                <w:i w:val="0"/>
                <w:iCs w:val="0"/>
                <w:noProof/>
                <w:szCs w:val="24"/>
              </w:rPr>
              <w:t>Turnaround Strategy Development</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_Toc159523992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8</w:t>
            </w:r>
            <w:r w:rsidR="00D476DD" w:rsidRPr="00B5462F">
              <w:rPr>
                <w:rFonts w:ascii="Arial" w:hAnsi="Arial" w:cs="Arial"/>
                <w:b w:val="0"/>
                <w:bCs w:val="0"/>
                <w:i w:val="0"/>
                <w:iCs w:val="0"/>
                <w:noProof/>
                <w:webHidden/>
                <w:szCs w:val="24"/>
              </w:rPr>
              <w:fldChar w:fldCharType="end"/>
            </w:r>
          </w:hyperlink>
        </w:p>
        <w:p w14:paraId="0BA33D36"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93" w:history="1">
            <w:r w:rsidR="00D476DD" w:rsidRPr="00B5462F">
              <w:rPr>
                <w:rStyle w:val="Hyperlink"/>
                <w:rFonts w:ascii="Arial" w:hAnsi="Arial" w:cs="Arial"/>
                <w:b w:val="0"/>
                <w:bCs w:val="0"/>
                <w:i w:val="0"/>
                <w:iCs w:val="0"/>
                <w:noProof/>
                <w:szCs w:val="24"/>
              </w:rPr>
              <w:t>Financial Projections</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_Toc159523993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9</w:t>
            </w:r>
            <w:r w:rsidR="00D476DD" w:rsidRPr="00B5462F">
              <w:rPr>
                <w:rFonts w:ascii="Arial" w:hAnsi="Arial" w:cs="Arial"/>
                <w:b w:val="0"/>
                <w:bCs w:val="0"/>
                <w:i w:val="0"/>
                <w:iCs w:val="0"/>
                <w:noProof/>
                <w:webHidden/>
                <w:szCs w:val="24"/>
              </w:rPr>
              <w:fldChar w:fldCharType="end"/>
            </w:r>
          </w:hyperlink>
        </w:p>
        <w:p w14:paraId="10700268"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94" w:history="1">
            <w:r w:rsidR="00D476DD" w:rsidRPr="00B5462F">
              <w:rPr>
                <w:rStyle w:val="Hyperlink"/>
                <w:rFonts w:ascii="Arial" w:hAnsi="Arial" w:cs="Arial"/>
                <w:b w:val="0"/>
                <w:bCs w:val="0"/>
                <w:i w:val="0"/>
                <w:iCs w:val="0"/>
                <w:noProof/>
                <w:szCs w:val="24"/>
              </w:rPr>
              <w:t>Implementation Plan</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_Toc159523994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10</w:t>
            </w:r>
            <w:r w:rsidR="00D476DD" w:rsidRPr="00B5462F">
              <w:rPr>
                <w:rFonts w:ascii="Arial" w:hAnsi="Arial" w:cs="Arial"/>
                <w:b w:val="0"/>
                <w:bCs w:val="0"/>
                <w:i w:val="0"/>
                <w:iCs w:val="0"/>
                <w:noProof/>
                <w:webHidden/>
                <w:szCs w:val="24"/>
              </w:rPr>
              <w:fldChar w:fldCharType="end"/>
            </w:r>
          </w:hyperlink>
        </w:p>
        <w:p w14:paraId="341915B1"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95" w:history="1">
            <w:r w:rsidR="00D476DD" w:rsidRPr="00B5462F">
              <w:rPr>
                <w:rStyle w:val="Hyperlink"/>
                <w:rFonts w:ascii="Arial" w:hAnsi="Arial" w:cs="Arial"/>
                <w:b w:val="0"/>
                <w:bCs w:val="0"/>
                <w:i w:val="0"/>
                <w:iCs w:val="0"/>
                <w:noProof/>
                <w:szCs w:val="24"/>
              </w:rPr>
              <w:t>Risk Management</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_Toc159523995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11</w:t>
            </w:r>
            <w:r w:rsidR="00D476DD" w:rsidRPr="00B5462F">
              <w:rPr>
                <w:rFonts w:ascii="Arial" w:hAnsi="Arial" w:cs="Arial"/>
                <w:b w:val="0"/>
                <w:bCs w:val="0"/>
                <w:i w:val="0"/>
                <w:iCs w:val="0"/>
                <w:noProof/>
                <w:webHidden/>
                <w:szCs w:val="24"/>
              </w:rPr>
              <w:fldChar w:fldCharType="end"/>
            </w:r>
          </w:hyperlink>
        </w:p>
        <w:p w14:paraId="4161ECD6"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96" w:history="1">
            <w:r w:rsidR="00D476DD" w:rsidRPr="00B5462F">
              <w:rPr>
                <w:rStyle w:val="Hyperlink"/>
                <w:rFonts w:ascii="Arial" w:hAnsi="Arial" w:cs="Arial"/>
                <w:b w:val="0"/>
                <w:bCs w:val="0"/>
                <w:i w:val="0"/>
                <w:iCs w:val="0"/>
                <w:noProof/>
                <w:szCs w:val="24"/>
                <w:lang w:val="en-US"/>
              </w:rPr>
              <w:t>Conclusion</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_Toc159523996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12</w:t>
            </w:r>
            <w:r w:rsidR="00D476DD" w:rsidRPr="00B5462F">
              <w:rPr>
                <w:rFonts w:ascii="Arial" w:hAnsi="Arial" w:cs="Arial"/>
                <w:b w:val="0"/>
                <w:bCs w:val="0"/>
                <w:i w:val="0"/>
                <w:iCs w:val="0"/>
                <w:noProof/>
                <w:webHidden/>
                <w:szCs w:val="24"/>
              </w:rPr>
              <w:fldChar w:fldCharType="end"/>
            </w:r>
          </w:hyperlink>
        </w:p>
        <w:p w14:paraId="64C796CC" w14:textId="77777777" w:rsidR="00E6126D" w:rsidRPr="00B5462F" w:rsidRDefault="00000000" w:rsidP="00B5462F">
          <w:pPr>
            <w:pStyle w:val="TOC1"/>
            <w:tabs>
              <w:tab w:val="right" w:leader="dot" w:pos="9350"/>
            </w:tabs>
            <w:spacing w:after="120" w:line="360" w:lineRule="auto"/>
            <w:rPr>
              <w:rFonts w:ascii="Arial" w:hAnsi="Arial" w:cs="Arial"/>
              <w:b w:val="0"/>
              <w:bCs w:val="0"/>
              <w:i w:val="0"/>
              <w:iCs w:val="0"/>
              <w:noProof/>
              <w:szCs w:val="24"/>
            </w:rPr>
          </w:pPr>
          <w:hyperlink w:anchor="_Toc159523997" w:history="1">
            <w:r w:rsidR="00D476DD" w:rsidRPr="00B5462F">
              <w:rPr>
                <w:rStyle w:val="Hyperlink"/>
                <w:rFonts w:ascii="Arial" w:hAnsi="Arial" w:cs="Arial"/>
                <w:b w:val="0"/>
                <w:bCs w:val="0"/>
                <w:i w:val="0"/>
                <w:iCs w:val="0"/>
                <w:noProof/>
                <w:szCs w:val="24"/>
              </w:rPr>
              <w:t>References</w:t>
            </w:r>
            <w:r w:rsidR="00D476DD" w:rsidRPr="00B5462F">
              <w:rPr>
                <w:rFonts w:ascii="Arial" w:hAnsi="Arial" w:cs="Arial"/>
                <w:b w:val="0"/>
                <w:bCs w:val="0"/>
                <w:i w:val="0"/>
                <w:iCs w:val="0"/>
                <w:noProof/>
                <w:webHidden/>
                <w:szCs w:val="24"/>
              </w:rPr>
              <w:tab/>
            </w:r>
            <w:r w:rsidR="00D476DD" w:rsidRPr="00B5462F">
              <w:rPr>
                <w:rFonts w:ascii="Arial" w:hAnsi="Arial" w:cs="Arial"/>
                <w:b w:val="0"/>
                <w:bCs w:val="0"/>
                <w:i w:val="0"/>
                <w:iCs w:val="0"/>
                <w:noProof/>
                <w:webHidden/>
                <w:szCs w:val="24"/>
              </w:rPr>
              <w:fldChar w:fldCharType="begin"/>
            </w:r>
            <w:r w:rsidR="00D476DD" w:rsidRPr="00B5462F">
              <w:rPr>
                <w:rFonts w:ascii="Arial" w:hAnsi="Arial" w:cs="Arial"/>
                <w:b w:val="0"/>
                <w:bCs w:val="0"/>
                <w:i w:val="0"/>
                <w:iCs w:val="0"/>
                <w:noProof/>
                <w:webHidden/>
                <w:szCs w:val="24"/>
              </w:rPr>
              <w:instrText xml:space="preserve"> PAGEREF _Toc159523997 \h </w:instrText>
            </w:r>
            <w:r w:rsidR="00D476DD" w:rsidRPr="00B5462F">
              <w:rPr>
                <w:rFonts w:ascii="Arial" w:hAnsi="Arial" w:cs="Arial"/>
                <w:b w:val="0"/>
                <w:bCs w:val="0"/>
                <w:i w:val="0"/>
                <w:iCs w:val="0"/>
                <w:noProof/>
                <w:webHidden/>
                <w:szCs w:val="24"/>
              </w:rPr>
            </w:r>
            <w:r w:rsidR="00D476DD" w:rsidRPr="00B5462F">
              <w:rPr>
                <w:rFonts w:ascii="Arial" w:hAnsi="Arial" w:cs="Arial"/>
                <w:b w:val="0"/>
                <w:bCs w:val="0"/>
                <w:i w:val="0"/>
                <w:iCs w:val="0"/>
                <w:noProof/>
                <w:webHidden/>
                <w:szCs w:val="24"/>
              </w:rPr>
              <w:fldChar w:fldCharType="separate"/>
            </w:r>
            <w:r w:rsidR="00B5462F">
              <w:rPr>
                <w:rFonts w:ascii="Arial" w:hAnsi="Arial" w:cs="Arial"/>
                <w:b w:val="0"/>
                <w:bCs w:val="0"/>
                <w:i w:val="0"/>
                <w:iCs w:val="0"/>
                <w:noProof/>
                <w:webHidden/>
                <w:szCs w:val="24"/>
              </w:rPr>
              <w:t>13</w:t>
            </w:r>
            <w:r w:rsidR="00D476DD" w:rsidRPr="00B5462F">
              <w:rPr>
                <w:rFonts w:ascii="Arial" w:hAnsi="Arial" w:cs="Arial"/>
                <w:b w:val="0"/>
                <w:bCs w:val="0"/>
                <w:i w:val="0"/>
                <w:iCs w:val="0"/>
                <w:noProof/>
                <w:webHidden/>
                <w:szCs w:val="24"/>
              </w:rPr>
              <w:fldChar w:fldCharType="end"/>
            </w:r>
          </w:hyperlink>
        </w:p>
        <w:p w14:paraId="57F0EDC5" w14:textId="77777777" w:rsidR="00E6126D" w:rsidRPr="00B5462F" w:rsidRDefault="00D476DD" w:rsidP="00B5462F">
          <w:pPr>
            <w:spacing w:before="120" w:after="120" w:line="360" w:lineRule="auto"/>
            <w:rPr>
              <w:rFonts w:ascii="Arial" w:hAnsi="Arial" w:cs="Arial"/>
            </w:rPr>
          </w:pPr>
          <w:r w:rsidRPr="00B5462F">
            <w:rPr>
              <w:rFonts w:ascii="Arial" w:hAnsi="Arial" w:cs="Arial"/>
              <w:noProof/>
            </w:rPr>
            <w:fldChar w:fldCharType="end"/>
          </w:r>
        </w:p>
      </w:sdtContent>
    </w:sdt>
    <w:p w14:paraId="50DE7A5A" w14:textId="77777777" w:rsidR="00E6126D" w:rsidRPr="00B5462F" w:rsidRDefault="00E6126D" w:rsidP="00B5462F">
      <w:pPr>
        <w:spacing w:before="120" w:after="120" w:line="360" w:lineRule="auto"/>
        <w:jc w:val="both"/>
        <w:rPr>
          <w:rFonts w:ascii="Arial" w:hAnsi="Arial" w:cs="Arial"/>
          <w:lang w:val="en-US"/>
        </w:rPr>
      </w:pPr>
    </w:p>
    <w:p w14:paraId="0208BC18" w14:textId="77777777" w:rsidR="00E6126D" w:rsidRPr="00B5462F" w:rsidRDefault="00E6126D" w:rsidP="00B5462F">
      <w:pPr>
        <w:spacing w:before="120" w:after="120" w:line="360" w:lineRule="auto"/>
        <w:jc w:val="both"/>
        <w:rPr>
          <w:rFonts w:ascii="Arial" w:hAnsi="Arial" w:cs="Arial"/>
          <w:lang w:val="en-US"/>
        </w:rPr>
      </w:pPr>
    </w:p>
    <w:p w14:paraId="15E45D44" w14:textId="77777777" w:rsidR="00E6126D" w:rsidRPr="00B5462F" w:rsidRDefault="00E6126D" w:rsidP="00B5462F">
      <w:pPr>
        <w:spacing w:before="120" w:after="120" w:line="360" w:lineRule="auto"/>
        <w:jc w:val="both"/>
        <w:rPr>
          <w:rFonts w:ascii="Arial" w:hAnsi="Arial" w:cs="Arial"/>
          <w:lang w:val="en-US"/>
        </w:rPr>
      </w:pPr>
    </w:p>
    <w:p w14:paraId="5FB35D5A" w14:textId="77777777" w:rsidR="00B5462F" w:rsidRDefault="00B5462F">
      <w:pPr>
        <w:spacing w:after="160" w:line="259" w:lineRule="auto"/>
        <w:rPr>
          <w:rFonts w:ascii="Arial" w:eastAsiaTheme="majorEastAsia" w:hAnsi="Arial" w:cs="Arial"/>
          <w:b/>
          <w:szCs w:val="32"/>
        </w:rPr>
      </w:pPr>
      <w:bookmarkStart w:id="1" w:name="_Toc159523985"/>
      <w:r>
        <w:rPr>
          <w:rFonts w:ascii="Arial" w:hAnsi="Arial" w:cs="Arial"/>
        </w:rPr>
        <w:br w:type="page"/>
      </w:r>
    </w:p>
    <w:p w14:paraId="74DAA529" w14:textId="1C9A1F66" w:rsidR="007B41EA" w:rsidRPr="00B5462F" w:rsidRDefault="00D476DD" w:rsidP="00B5462F">
      <w:pPr>
        <w:pStyle w:val="Heading1"/>
        <w:spacing w:before="120" w:after="120" w:line="360" w:lineRule="auto"/>
        <w:jc w:val="both"/>
        <w:rPr>
          <w:rFonts w:ascii="Arial" w:hAnsi="Arial" w:cs="Arial"/>
        </w:rPr>
      </w:pPr>
      <w:r w:rsidRPr="00B5462F">
        <w:rPr>
          <w:rFonts w:ascii="Arial" w:hAnsi="Arial" w:cs="Arial"/>
        </w:rPr>
        <w:lastRenderedPageBreak/>
        <w:t>Introduction</w:t>
      </w:r>
      <w:bookmarkEnd w:id="1"/>
      <w:r w:rsidRPr="00B5462F">
        <w:rPr>
          <w:rFonts w:ascii="Arial" w:hAnsi="Arial" w:cs="Arial"/>
        </w:rPr>
        <w:t xml:space="preserve"> </w:t>
      </w:r>
    </w:p>
    <w:p w14:paraId="02FEFD3A" w14:textId="5C39AD8B" w:rsidR="007B41EA" w:rsidRPr="00B5462F" w:rsidRDefault="00D476DD" w:rsidP="00B5462F">
      <w:pPr>
        <w:pStyle w:val="NoSpacing"/>
        <w:spacing w:before="120" w:after="120"/>
        <w:jc w:val="both"/>
        <w:rPr>
          <w:rFonts w:ascii="Arial" w:hAnsi="Arial" w:cs="Arial"/>
        </w:rPr>
      </w:pPr>
      <w:r w:rsidRPr="00B5462F">
        <w:rPr>
          <w:rFonts w:ascii="Arial" w:hAnsi="Arial" w:cs="Arial"/>
        </w:rPr>
        <w:t>Seacrest Lodge, located amidst the breathtaking scenic coastline, is a gem destination where guests come to unwind and enjoy the great luxury. On the other hand, the once-prosperous resort is now challenging as it faces many problems. Decreasing revenues, occupancies, and client satisfaction gave rise to issues of its future capability to exist. Realizing that the time for action is now, the boss has involved the consultants' help in determining the feasibility of a turnaround strategy to save the business. It emphasizes that turning-around strategies for troubled companies are critical. Businesses such as The Seacrest Lodge can eliminate obstacles, revamp their operations, and become the best in the market using selective interventions and specific strategies</w:t>
      </w:r>
      <w:r w:rsidR="00CD4A5B" w:rsidRPr="00B5462F">
        <w:rPr>
          <w:rFonts w:ascii="Arial" w:hAnsi="Arial" w:cs="Arial"/>
        </w:rPr>
        <w:t xml:space="preserve"> (Abd Rahim et al., 2020)</w:t>
      </w:r>
      <w:r w:rsidRPr="00B5462F">
        <w:rPr>
          <w:rFonts w:ascii="Arial" w:hAnsi="Arial" w:cs="Arial"/>
        </w:rPr>
        <w:t>. In this report, we take a closer look at the exact specifications of what the Seacrest Lodge is going through; we analyze its challenges and develop a turnaround strategy to make the lodge resilient, thus profitable, and sustainable.</w:t>
      </w:r>
    </w:p>
    <w:p w14:paraId="0B4539C5" w14:textId="77777777" w:rsidR="007B41EA" w:rsidRPr="00B5462F" w:rsidRDefault="00D476DD" w:rsidP="00B5462F">
      <w:pPr>
        <w:pStyle w:val="Heading1"/>
        <w:spacing w:before="120" w:after="120" w:line="360" w:lineRule="auto"/>
        <w:jc w:val="both"/>
        <w:rPr>
          <w:rFonts w:ascii="Arial" w:hAnsi="Arial" w:cs="Arial"/>
        </w:rPr>
      </w:pPr>
      <w:bookmarkStart w:id="2" w:name="_Toc159523986"/>
      <w:r w:rsidRPr="00B5462F">
        <w:rPr>
          <w:rFonts w:ascii="Arial" w:hAnsi="Arial" w:cs="Arial"/>
        </w:rPr>
        <w:t>Market Analysis</w:t>
      </w:r>
      <w:bookmarkEnd w:id="2"/>
      <w:r w:rsidRPr="00B5462F">
        <w:rPr>
          <w:rFonts w:ascii="Arial" w:hAnsi="Arial" w:cs="Arial"/>
        </w:rPr>
        <w:t xml:space="preserve"> </w:t>
      </w:r>
    </w:p>
    <w:tbl>
      <w:tblPr>
        <w:tblStyle w:val="PlainTable51"/>
        <w:tblW w:w="10380" w:type="dxa"/>
        <w:tblLook w:val="04A0" w:firstRow="1" w:lastRow="0" w:firstColumn="1" w:lastColumn="0" w:noHBand="0" w:noVBand="1"/>
      </w:tblPr>
      <w:tblGrid>
        <w:gridCol w:w="6378"/>
        <w:gridCol w:w="4002"/>
      </w:tblGrid>
      <w:tr w:rsidR="00064B06" w:rsidRPr="00B5462F" w14:paraId="4A40863D" w14:textId="77777777" w:rsidTr="00064B0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9C5E7AC"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Company</w:t>
            </w:r>
          </w:p>
        </w:tc>
        <w:tc>
          <w:tcPr>
            <w:tcW w:w="0" w:type="auto"/>
            <w:hideMark/>
          </w:tcPr>
          <w:p w14:paraId="3855AFA8" w14:textId="77777777" w:rsidR="007B41EA"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Revenue (GBP)</w:t>
            </w:r>
          </w:p>
        </w:tc>
      </w:tr>
      <w:tr w:rsidR="00064B06" w:rsidRPr="00B5462F" w14:paraId="28595FD5"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6AB392"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The Seacrest Lodge</w:t>
            </w:r>
          </w:p>
        </w:tc>
        <w:tc>
          <w:tcPr>
            <w:tcW w:w="0" w:type="auto"/>
            <w:hideMark/>
          </w:tcPr>
          <w:p w14:paraId="2077A09D"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£1,200,000</w:t>
            </w:r>
          </w:p>
        </w:tc>
      </w:tr>
      <w:tr w:rsidR="00064B06" w:rsidRPr="00B5462F" w14:paraId="16C5968F" w14:textId="77777777" w:rsidTr="00064B06">
        <w:tc>
          <w:tcPr>
            <w:cnfStyle w:val="001000000000" w:firstRow="0" w:lastRow="0" w:firstColumn="1" w:lastColumn="0" w:oddVBand="0" w:evenVBand="0" w:oddHBand="0" w:evenHBand="0" w:firstRowFirstColumn="0" w:firstRowLastColumn="0" w:lastRowFirstColumn="0" w:lastRowLastColumn="0"/>
            <w:tcW w:w="0" w:type="auto"/>
            <w:hideMark/>
          </w:tcPr>
          <w:p w14:paraId="07BE3C15"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Seaside Oasis Resort</w:t>
            </w:r>
          </w:p>
        </w:tc>
        <w:tc>
          <w:tcPr>
            <w:tcW w:w="0" w:type="auto"/>
            <w:hideMark/>
          </w:tcPr>
          <w:p w14:paraId="2813B2F8"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£1,500,000</w:t>
            </w:r>
          </w:p>
        </w:tc>
      </w:tr>
      <w:tr w:rsidR="00064B06" w:rsidRPr="00B5462F" w14:paraId="42E79A01"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2DA3D9"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Coastal Haven Retreat</w:t>
            </w:r>
          </w:p>
        </w:tc>
        <w:tc>
          <w:tcPr>
            <w:tcW w:w="0" w:type="auto"/>
            <w:hideMark/>
          </w:tcPr>
          <w:p w14:paraId="32F382A4"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£1,800,000</w:t>
            </w:r>
          </w:p>
        </w:tc>
      </w:tr>
      <w:tr w:rsidR="00064B06" w:rsidRPr="00B5462F" w14:paraId="52540465" w14:textId="77777777" w:rsidTr="00064B06">
        <w:tc>
          <w:tcPr>
            <w:cnfStyle w:val="001000000000" w:firstRow="0" w:lastRow="0" w:firstColumn="1" w:lastColumn="0" w:oddVBand="0" w:evenVBand="0" w:oddHBand="0" w:evenHBand="0" w:firstRowFirstColumn="0" w:firstRowLastColumn="0" w:lastRowFirstColumn="0" w:lastRowLastColumn="0"/>
            <w:tcW w:w="0" w:type="auto"/>
            <w:hideMark/>
          </w:tcPr>
          <w:p w14:paraId="4A0BFCB1"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Oceanview Paradise Hotel</w:t>
            </w:r>
          </w:p>
        </w:tc>
        <w:tc>
          <w:tcPr>
            <w:tcW w:w="0" w:type="auto"/>
            <w:hideMark/>
          </w:tcPr>
          <w:p w14:paraId="48E9F475"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£1,400,000</w:t>
            </w:r>
          </w:p>
        </w:tc>
      </w:tr>
      <w:tr w:rsidR="00064B06" w:rsidRPr="00B5462F" w14:paraId="1B8DF620"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397300"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Total Market Revenue</w:t>
            </w:r>
          </w:p>
        </w:tc>
        <w:tc>
          <w:tcPr>
            <w:tcW w:w="0" w:type="auto"/>
            <w:hideMark/>
          </w:tcPr>
          <w:p w14:paraId="42FDBECF"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£6,900,000</w:t>
            </w:r>
          </w:p>
        </w:tc>
      </w:tr>
    </w:tbl>
    <w:p w14:paraId="3027E4D2"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To calculate the market share percentage, we sum the revenue of The Seacrest Lodge and its competitors:</w:t>
      </w:r>
    </w:p>
    <w:p w14:paraId="058212CD"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Total Market Revenue = £1,200,000 + £1,500,000 + £1,800,000 + £1,400,000 = £6,900,000</w:t>
      </w:r>
    </w:p>
    <w:p w14:paraId="6A17F306"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Market Share Percentage for The Seacrest Lodge = (Revenue of The Seacrest Lodge / Total Market Revenue) * 100</w:t>
      </w:r>
    </w:p>
    <w:p w14:paraId="33D321FE"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lastRenderedPageBreak/>
        <w:t>Market Share Percentage for The Seacrest Lodge = (£1,200,000 / £6,900,000) * 100 ≈ 17.39%</w:t>
      </w:r>
    </w:p>
    <w:p w14:paraId="45CBEDEE"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Market Share Percentage for Seaside Oasis Resort = (£1,500,000 / £6,900,000) * 100 ≈ 21.74%</w:t>
      </w:r>
    </w:p>
    <w:p w14:paraId="3B73A970"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Market Share Percentage for Coastal Haven Retreat = (£1,800,000 / £6,900,000) * 100 ≈ 26.09%</w:t>
      </w:r>
    </w:p>
    <w:p w14:paraId="5F380FB1"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Market Share Percentage for Oceanview Paradise Hotel = (£1,400,000 / £6,900,000) * 100 ≈ 20.29%</w:t>
      </w:r>
    </w:p>
    <w:p w14:paraId="04BEE99F" w14:textId="784501A4" w:rsidR="007B41EA"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Increasingly, customer behaviors in the hospitality industry show signs of change resulting from technological development, demographic changes, and changing consumer behaviors. The primary preferences of guests today are convenience, customized experiences, and commitment to environmental sustainability</w:t>
      </w:r>
      <w:r w:rsidR="00CD4A5B" w:rsidRPr="00B5462F">
        <w:rPr>
          <w:rStyle w:val="text-with-replacments"/>
          <w:rFonts w:ascii="Arial" w:hAnsi="Arial" w:cs="Arial"/>
        </w:rPr>
        <w:t xml:space="preserve"> </w:t>
      </w:r>
      <w:r w:rsidR="00CD4A5B" w:rsidRPr="00B5462F">
        <w:rPr>
          <w:rFonts w:ascii="Arial" w:hAnsi="Arial" w:cs="Arial"/>
        </w:rPr>
        <w:t>(Ahmad, Mobarek and Roni, 2021)</w:t>
      </w:r>
      <w:r w:rsidRPr="00B5462F">
        <w:rPr>
          <w:rStyle w:val="text-with-replacments"/>
          <w:rFonts w:ascii="Arial" w:hAnsi="Arial" w:cs="Arial"/>
        </w:rPr>
        <w:t>. To some extent, online travel agencies and review platforms facilitate a vast amount of information for guests; consequently, the guests are highly dependent on the opinions of other guests or peers.</w:t>
      </w:r>
    </w:p>
    <w:p w14:paraId="2B1536F4" w14:textId="6535CC8D" w:rsidR="007B41EA"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Not only that, but the COVID-19 pandemic also modified consumer behavior by putting more meaning into health, hygiene, and contactless services. Those businesses that take up digital solutions, extend a high degree of cleanliness, and offer flexible booking will gain an edge over others in the fierce market competition.</w:t>
      </w:r>
      <w:r w:rsidRPr="00B5462F">
        <w:rPr>
          <w:rFonts w:ascii="Arial" w:hAnsi="Arial" w:cs="Arial"/>
        </w:rPr>
        <w:t xml:space="preserve"> </w:t>
      </w:r>
      <w:r w:rsidRPr="00B5462F">
        <w:rPr>
          <w:rStyle w:val="text-with-replacments"/>
          <w:rFonts w:ascii="Arial" w:hAnsi="Arial" w:cs="Arial"/>
        </w:rPr>
        <w:t>We can obtain views of customer feedback through sentiment analysis techniques because they play a crucial role in perception and experience understanding. We can pinpoint common patterns, strengths, and weaknesses through the reviews analyzed from multiple sources, such as online platforms and guest feedback. Such analysis allows the tourism above business to be customized to guests' needs and ensure their satisfaction, loyalty, and promotion</w:t>
      </w:r>
      <w:r w:rsidR="00CD4A5B" w:rsidRPr="00B5462F">
        <w:rPr>
          <w:rStyle w:val="text-with-replacments"/>
          <w:rFonts w:ascii="Arial" w:hAnsi="Arial" w:cs="Arial"/>
        </w:rPr>
        <w:t xml:space="preserve"> </w:t>
      </w:r>
      <w:r w:rsidR="00CD4A5B" w:rsidRPr="00B5462F">
        <w:rPr>
          <w:rFonts w:ascii="Arial" w:hAnsi="Arial" w:cs="Arial"/>
        </w:rPr>
        <w:t>(Citra et al., 2020)</w:t>
      </w:r>
      <w:r w:rsidRPr="00B5462F">
        <w:rPr>
          <w:rStyle w:val="text-with-replacments"/>
          <w:rFonts w:ascii="Arial" w:hAnsi="Arial" w:cs="Arial"/>
        </w:rPr>
        <w:t>.</w:t>
      </w:r>
    </w:p>
    <w:p w14:paraId="67E9FF56" w14:textId="77777777" w:rsidR="007B41EA" w:rsidRPr="00B5462F" w:rsidRDefault="00D476DD" w:rsidP="00B5462F">
      <w:pPr>
        <w:pStyle w:val="Heading1"/>
        <w:spacing w:before="120" w:after="120" w:line="360" w:lineRule="auto"/>
        <w:jc w:val="both"/>
        <w:rPr>
          <w:rFonts w:ascii="Arial" w:hAnsi="Arial" w:cs="Arial"/>
        </w:rPr>
      </w:pPr>
      <w:bookmarkStart w:id="3" w:name="_Toc159523987"/>
      <w:r w:rsidRPr="00B5462F">
        <w:rPr>
          <w:rFonts w:ascii="Arial" w:hAnsi="Arial" w:cs="Arial"/>
        </w:rPr>
        <w:t>Financial Performance Analysis</w:t>
      </w:r>
      <w:bookmarkEnd w:id="3"/>
      <w:r w:rsidRPr="00B5462F">
        <w:rPr>
          <w:rFonts w:ascii="Arial" w:hAnsi="Arial" w:cs="Arial"/>
        </w:rPr>
        <w:t xml:space="preserve"> </w:t>
      </w:r>
    </w:p>
    <w:tbl>
      <w:tblPr>
        <w:tblStyle w:val="PlainTable51"/>
        <w:tblW w:w="9498" w:type="dxa"/>
        <w:tblLook w:val="04A0" w:firstRow="1" w:lastRow="0" w:firstColumn="1" w:lastColumn="0" w:noHBand="0" w:noVBand="1"/>
      </w:tblPr>
      <w:tblGrid>
        <w:gridCol w:w="1893"/>
        <w:gridCol w:w="2821"/>
        <w:gridCol w:w="2821"/>
        <w:gridCol w:w="1963"/>
      </w:tblGrid>
      <w:tr w:rsidR="00064B06" w:rsidRPr="00B5462F" w14:paraId="6D1E404A" w14:textId="77777777" w:rsidTr="00064B0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6F57823"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Financial Ratio</w:t>
            </w:r>
          </w:p>
        </w:tc>
        <w:tc>
          <w:tcPr>
            <w:tcW w:w="0" w:type="auto"/>
            <w:hideMark/>
          </w:tcPr>
          <w:p w14:paraId="620E8DC9" w14:textId="77777777" w:rsidR="007B41EA"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2021</w:t>
            </w:r>
          </w:p>
        </w:tc>
        <w:tc>
          <w:tcPr>
            <w:tcW w:w="0" w:type="auto"/>
            <w:hideMark/>
          </w:tcPr>
          <w:p w14:paraId="63624543" w14:textId="77777777" w:rsidR="007B41EA"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2022</w:t>
            </w:r>
          </w:p>
        </w:tc>
        <w:tc>
          <w:tcPr>
            <w:tcW w:w="1963" w:type="dxa"/>
            <w:hideMark/>
          </w:tcPr>
          <w:p w14:paraId="4C081519" w14:textId="77777777" w:rsidR="007B41EA"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2023</w:t>
            </w:r>
          </w:p>
        </w:tc>
      </w:tr>
      <w:tr w:rsidR="00064B06" w:rsidRPr="00B5462F" w14:paraId="6C896BD0"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95396A"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 xml:space="preserve">Gross Profit </w:t>
            </w:r>
            <w:r w:rsidRPr="00B5462F">
              <w:rPr>
                <w:rFonts w:ascii="Arial" w:hAnsi="Arial" w:cs="Arial"/>
              </w:rPr>
              <w:lastRenderedPageBreak/>
              <w:t>Margin</w:t>
            </w:r>
          </w:p>
        </w:tc>
        <w:tc>
          <w:tcPr>
            <w:tcW w:w="0" w:type="auto"/>
            <w:hideMark/>
          </w:tcPr>
          <w:p w14:paraId="43C86BF4"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lastRenderedPageBreak/>
              <w:t xml:space="preserve">(£300,000 / £1,200,000) </w:t>
            </w:r>
            <w:r w:rsidRPr="00B5462F">
              <w:rPr>
                <w:rFonts w:ascii="Arial" w:hAnsi="Arial" w:cs="Arial"/>
              </w:rPr>
              <w:lastRenderedPageBreak/>
              <w:t>* 100 ≈ 25%</w:t>
            </w:r>
          </w:p>
        </w:tc>
        <w:tc>
          <w:tcPr>
            <w:tcW w:w="0" w:type="auto"/>
            <w:hideMark/>
          </w:tcPr>
          <w:p w14:paraId="7AE23E50"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lastRenderedPageBreak/>
              <w:t xml:space="preserve">(£150,000 / £1,100,000) </w:t>
            </w:r>
            <w:r w:rsidRPr="00B5462F">
              <w:rPr>
                <w:rFonts w:ascii="Arial" w:hAnsi="Arial" w:cs="Arial"/>
              </w:rPr>
              <w:lastRenderedPageBreak/>
              <w:t>* 100 ≈ 13.64%</w:t>
            </w:r>
          </w:p>
        </w:tc>
        <w:tc>
          <w:tcPr>
            <w:tcW w:w="1963" w:type="dxa"/>
            <w:hideMark/>
          </w:tcPr>
          <w:p w14:paraId="547D78A0"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lastRenderedPageBreak/>
              <w:t xml:space="preserve">(-£150,000 / </w:t>
            </w:r>
            <w:r w:rsidRPr="00B5462F">
              <w:rPr>
                <w:rFonts w:ascii="Arial" w:hAnsi="Arial" w:cs="Arial"/>
              </w:rPr>
              <w:lastRenderedPageBreak/>
              <w:t>£950,000) * 100 ≈ -15.79%</w:t>
            </w:r>
          </w:p>
        </w:tc>
      </w:tr>
      <w:tr w:rsidR="00064B06" w:rsidRPr="00B5462F" w14:paraId="3A3A30C0" w14:textId="77777777" w:rsidTr="00064B06">
        <w:tc>
          <w:tcPr>
            <w:cnfStyle w:val="001000000000" w:firstRow="0" w:lastRow="0" w:firstColumn="1" w:lastColumn="0" w:oddVBand="0" w:evenVBand="0" w:oddHBand="0" w:evenHBand="0" w:firstRowFirstColumn="0" w:firstRowLastColumn="0" w:lastRowFirstColumn="0" w:lastRowLastColumn="0"/>
            <w:tcW w:w="0" w:type="auto"/>
            <w:hideMark/>
          </w:tcPr>
          <w:p w14:paraId="6EF9F4A9"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lastRenderedPageBreak/>
              <w:t>Net Profit Margin</w:t>
            </w:r>
          </w:p>
        </w:tc>
        <w:tc>
          <w:tcPr>
            <w:tcW w:w="0" w:type="auto"/>
            <w:hideMark/>
          </w:tcPr>
          <w:p w14:paraId="062BD908"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(£300,000 / £1,200,000) * 100 ≈ 25%</w:t>
            </w:r>
          </w:p>
        </w:tc>
        <w:tc>
          <w:tcPr>
            <w:tcW w:w="0" w:type="auto"/>
            <w:hideMark/>
          </w:tcPr>
          <w:p w14:paraId="5B31AF18"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(£150,000 / £1,100,000) * 100 ≈ 13.64%</w:t>
            </w:r>
          </w:p>
        </w:tc>
        <w:tc>
          <w:tcPr>
            <w:tcW w:w="1963" w:type="dxa"/>
            <w:hideMark/>
          </w:tcPr>
          <w:p w14:paraId="1C17057C"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(-£150,000 / £950,000) * 100 ≈ -15.79%</w:t>
            </w:r>
          </w:p>
        </w:tc>
      </w:tr>
      <w:tr w:rsidR="00064B06" w:rsidRPr="00B5462F" w14:paraId="7ACD030D"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6D1342"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Return on Assets (ROA)</w:t>
            </w:r>
          </w:p>
        </w:tc>
        <w:tc>
          <w:tcPr>
            <w:tcW w:w="0" w:type="auto"/>
            <w:hideMark/>
          </w:tcPr>
          <w:p w14:paraId="2488BF31"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(£300,000 / £2,150,000) * 100 ≈ 13.95%</w:t>
            </w:r>
          </w:p>
        </w:tc>
        <w:tc>
          <w:tcPr>
            <w:tcW w:w="0" w:type="auto"/>
            <w:hideMark/>
          </w:tcPr>
          <w:p w14:paraId="2D1B8A14"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(£150,000 / £2,120,000) * 100 ≈ 7.08%</w:t>
            </w:r>
          </w:p>
        </w:tc>
        <w:tc>
          <w:tcPr>
            <w:tcW w:w="1963" w:type="dxa"/>
            <w:hideMark/>
          </w:tcPr>
          <w:p w14:paraId="148CDB7D" w14:textId="77777777" w:rsidR="007B41EA"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(-£150,000 / £1,850,000) * 100 ≈ -8.11%</w:t>
            </w:r>
          </w:p>
        </w:tc>
      </w:tr>
      <w:tr w:rsidR="00064B06" w:rsidRPr="00B5462F" w14:paraId="51BC0CE7" w14:textId="77777777" w:rsidTr="00064B06">
        <w:tc>
          <w:tcPr>
            <w:cnfStyle w:val="001000000000" w:firstRow="0" w:lastRow="0" w:firstColumn="1" w:lastColumn="0" w:oddVBand="0" w:evenVBand="0" w:oddHBand="0" w:evenHBand="0" w:firstRowFirstColumn="0" w:firstRowLastColumn="0" w:lastRowFirstColumn="0" w:lastRowLastColumn="0"/>
            <w:tcW w:w="0" w:type="auto"/>
            <w:hideMark/>
          </w:tcPr>
          <w:p w14:paraId="25FB1637" w14:textId="77777777" w:rsidR="007B41EA" w:rsidRPr="00B5462F" w:rsidRDefault="00D476DD" w:rsidP="00B5462F">
            <w:pPr>
              <w:pStyle w:val="NoSpacing"/>
              <w:spacing w:before="120" w:after="120"/>
              <w:jc w:val="both"/>
              <w:rPr>
                <w:rFonts w:ascii="Arial" w:hAnsi="Arial" w:cs="Arial"/>
              </w:rPr>
            </w:pPr>
            <w:r w:rsidRPr="00B5462F">
              <w:rPr>
                <w:rFonts w:ascii="Arial" w:hAnsi="Arial" w:cs="Arial"/>
              </w:rPr>
              <w:t>Return on Equity (ROE)</w:t>
            </w:r>
          </w:p>
        </w:tc>
        <w:tc>
          <w:tcPr>
            <w:tcW w:w="0" w:type="auto"/>
            <w:hideMark/>
          </w:tcPr>
          <w:p w14:paraId="2C9005A3"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(£300,000 / £620,000) * 100 ≈ 48.39%</w:t>
            </w:r>
          </w:p>
        </w:tc>
        <w:tc>
          <w:tcPr>
            <w:tcW w:w="0" w:type="auto"/>
            <w:hideMark/>
          </w:tcPr>
          <w:p w14:paraId="2C3506E6"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(£150,000 / £580,000) * 100 ≈ 25.86%</w:t>
            </w:r>
          </w:p>
        </w:tc>
        <w:tc>
          <w:tcPr>
            <w:tcW w:w="1963" w:type="dxa"/>
            <w:hideMark/>
          </w:tcPr>
          <w:p w14:paraId="09566061" w14:textId="77777777" w:rsidR="007B41EA"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(-£150,000 / £300,000) * 100 ≈ -50.00%</w:t>
            </w:r>
          </w:p>
        </w:tc>
      </w:tr>
    </w:tbl>
    <w:p w14:paraId="3647E571" w14:textId="4A40CA35" w:rsidR="007B41EA"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For the past three years, we have experienced a decline in both revenue and net income, which has brought 2023 Negative profit margins. The decrease in the gross profit margin has been steep, from 25% in the first half of 2021 to -15.79% in the first six months of 2023, showing a dramatic drop in profit levels. In the same fashion, the net profit margin also decreased following its downward trajectory, indicating the hotel's deteriorating financial position.</w:t>
      </w:r>
      <w:r w:rsidRPr="00B5462F">
        <w:rPr>
          <w:rFonts w:ascii="Arial" w:hAnsi="Arial" w:cs="Arial"/>
        </w:rPr>
        <w:t xml:space="preserve"> </w:t>
      </w:r>
      <w:r w:rsidRPr="00B5462F">
        <w:rPr>
          <w:rStyle w:val="text-with-replacments"/>
          <w:rFonts w:ascii="Arial" w:hAnsi="Arial" w:cs="Arial"/>
        </w:rPr>
        <w:t>The ROA (Return on assets) has decreased over the three-year period as well, implying that the lodge has become less profitable regarding its assets</w:t>
      </w:r>
      <w:r w:rsidR="00CD4A5B" w:rsidRPr="00B5462F">
        <w:rPr>
          <w:rStyle w:val="text-with-replacments"/>
          <w:rFonts w:ascii="Arial" w:hAnsi="Arial" w:cs="Arial"/>
        </w:rPr>
        <w:t xml:space="preserve"> </w:t>
      </w:r>
      <w:r w:rsidR="00CD4A5B" w:rsidRPr="00B5462F">
        <w:rPr>
          <w:rFonts w:ascii="Arial" w:hAnsi="Arial" w:cs="Arial"/>
        </w:rPr>
        <w:t>(Ginting, 2021)</w:t>
      </w:r>
      <w:r w:rsidRPr="00B5462F">
        <w:rPr>
          <w:rStyle w:val="text-with-replacments"/>
          <w:rFonts w:ascii="Arial" w:hAnsi="Arial" w:cs="Arial"/>
        </w:rPr>
        <w:t>. This means that the lodge may not be making profits by realizing the actual value of its assets.</w:t>
      </w:r>
    </w:p>
    <w:p w14:paraId="7F39ECA0" w14:textId="11D92AC5" w:rsidR="007B41EA"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ROE decreased by 98.4% in 2023 and 94.6% in 2022. This implies that the lodge's return on equity (ROE) has declined significantly; hence, the profitability of the lodge relative to its equity is deteriorating severely, raising concerns about its long-term sustainability.</w:t>
      </w:r>
      <w:r w:rsidRPr="00B5462F">
        <w:rPr>
          <w:rFonts w:ascii="Arial" w:hAnsi="Arial" w:cs="Arial"/>
        </w:rPr>
        <w:t xml:space="preserve"> </w:t>
      </w:r>
      <w:r w:rsidRPr="00B5462F">
        <w:rPr>
          <w:rStyle w:val="text-with-replacments"/>
          <w:rFonts w:ascii="Arial" w:hAnsi="Arial" w:cs="Arial"/>
        </w:rPr>
        <w:t>The worsening report on the financial performance of The Seacrest Lodge indicates, troublingly, the state of the whole entity and its viability. A negative profit margin and declining returns for assets and equity indicate operational problems like decreased revenues, increased expenses, or asset utilization effectiveness. This may prevent the lodge from carrying out the necessary upgrades, maintaining competitive prices, and meeting financial obligations such as debt</w:t>
      </w:r>
      <w:r w:rsidR="00CD4A5B" w:rsidRPr="00B5462F">
        <w:rPr>
          <w:rStyle w:val="text-with-replacments"/>
          <w:rFonts w:ascii="Arial" w:hAnsi="Arial" w:cs="Arial"/>
        </w:rPr>
        <w:t xml:space="preserve"> </w:t>
      </w:r>
      <w:r w:rsidR="00CD4A5B" w:rsidRPr="00B5462F">
        <w:rPr>
          <w:rFonts w:ascii="Arial" w:hAnsi="Arial" w:cs="Arial"/>
        </w:rPr>
        <w:t xml:space="preserve">(Herman, Zsido and Fenyves, </w:t>
      </w:r>
      <w:r w:rsidR="00CD4A5B" w:rsidRPr="00B5462F">
        <w:rPr>
          <w:rFonts w:ascii="Arial" w:hAnsi="Arial" w:cs="Arial"/>
        </w:rPr>
        <w:lastRenderedPageBreak/>
        <w:t>2022)</w:t>
      </w:r>
      <w:r w:rsidRPr="00B5462F">
        <w:rPr>
          <w:rStyle w:val="text-with-replacments"/>
          <w:rFonts w:ascii="Arial" w:hAnsi="Arial" w:cs="Arial"/>
        </w:rPr>
        <w:t>. Resolving these matters is very crucial for the lodge's financial stability and the chance of its success among many other hotels.</w:t>
      </w:r>
    </w:p>
    <w:p w14:paraId="6C37A863" w14:textId="77777777" w:rsidR="007B41EA" w:rsidRPr="00B5462F" w:rsidRDefault="00D476DD" w:rsidP="00B5462F">
      <w:pPr>
        <w:pStyle w:val="Heading1"/>
        <w:spacing w:before="120" w:after="120" w:line="360" w:lineRule="auto"/>
        <w:jc w:val="both"/>
        <w:rPr>
          <w:rFonts w:ascii="Arial" w:hAnsi="Arial" w:cs="Arial"/>
        </w:rPr>
      </w:pPr>
      <w:bookmarkStart w:id="4" w:name="_Toc159523988"/>
      <w:r w:rsidRPr="00B5462F">
        <w:rPr>
          <w:rFonts w:ascii="Arial" w:hAnsi="Arial" w:cs="Arial"/>
        </w:rPr>
        <w:t>Reasons behind Decline in Profitability</w:t>
      </w:r>
      <w:bookmarkEnd w:id="4"/>
      <w:r w:rsidRPr="00B5462F">
        <w:rPr>
          <w:rFonts w:ascii="Arial" w:hAnsi="Arial" w:cs="Arial"/>
        </w:rPr>
        <w:t xml:space="preserve"> </w:t>
      </w:r>
    </w:p>
    <w:p w14:paraId="2E43DE52" w14:textId="77777777" w:rsidR="00E6126D" w:rsidRPr="00B5462F" w:rsidRDefault="00D476DD" w:rsidP="00B5462F">
      <w:pPr>
        <w:pStyle w:val="Heading2"/>
        <w:spacing w:before="120" w:after="120" w:line="360" w:lineRule="auto"/>
        <w:jc w:val="both"/>
        <w:rPr>
          <w:rFonts w:ascii="Arial" w:hAnsi="Arial" w:cs="Arial"/>
          <w:sz w:val="24"/>
          <w:szCs w:val="24"/>
        </w:rPr>
      </w:pPr>
      <w:bookmarkStart w:id="5" w:name="_Toc159523989"/>
      <w:r w:rsidRPr="00B5462F">
        <w:rPr>
          <w:rStyle w:val="Strong"/>
          <w:rFonts w:ascii="Arial" w:hAnsi="Arial" w:cs="Arial"/>
          <w:sz w:val="24"/>
          <w:szCs w:val="24"/>
        </w:rPr>
        <w:t>Cost Variance Analysis:</w:t>
      </w:r>
      <w:bookmarkEnd w:id="5"/>
    </w:p>
    <w:tbl>
      <w:tblPr>
        <w:tblStyle w:val="PlainTable51"/>
        <w:tblW w:w="8849" w:type="dxa"/>
        <w:tblLook w:val="04A0" w:firstRow="1" w:lastRow="0" w:firstColumn="1" w:lastColumn="0" w:noHBand="0" w:noVBand="1"/>
      </w:tblPr>
      <w:tblGrid>
        <w:gridCol w:w="1652"/>
        <w:gridCol w:w="1474"/>
        <w:gridCol w:w="1474"/>
        <w:gridCol w:w="1572"/>
        <w:gridCol w:w="2677"/>
      </w:tblGrid>
      <w:tr w:rsidR="00064B06" w:rsidRPr="00B5462F" w14:paraId="43DD6DA9" w14:textId="77777777" w:rsidTr="00B87EAF">
        <w:trPr>
          <w:cnfStyle w:val="100000000000" w:firstRow="1" w:lastRow="0" w:firstColumn="0" w:lastColumn="0" w:oddVBand="0" w:evenVBand="0" w:oddHBand="0" w:evenHBand="0" w:firstRowFirstColumn="0" w:firstRowLastColumn="0" w:lastRowFirstColumn="0" w:lastRowLastColumn="0"/>
          <w:trHeight w:val="879"/>
        </w:trPr>
        <w:tc>
          <w:tcPr>
            <w:cnfStyle w:val="001000000100" w:firstRow="0" w:lastRow="0" w:firstColumn="1" w:lastColumn="0" w:oddVBand="0" w:evenVBand="0" w:oddHBand="0" w:evenHBand="0" w:firstRowFirstColumn="1" w:firstRowLastColumn="0" w:lastRowFirstColumn="0" w:lastRowLastColumn="0"/>
            <w:tcW w:w="0" w:type="auto"/>
            <w:hideMark/>
          </w:tcPr>
          <w:p w14:paraId="7CB4A91B"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Expense Category</w:t>
            </w:r>
          </w:p>
        </w:tc>
        <w:tc>
          <w:tcPr>
            <w:tcW w:w="0" w:type="auto"/>
            <w:hideMark/>
          </w:tcPr>
          <w:p w14:paraId="39C86F4A"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2021 Expenses</w:t>
            </w:r>
          </w:p>
        </w:tc>
        <w:tc>
          <w:tcPr>
            <w:tcW w:w="0" w:type="auto"/>
            <w:hideMark/>
          </w:tcPr>
          <w:p w14:paraId="596234BC"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2022 Expenses</w:t>
            </w:r>
          </w:p>
        </w:tc>
        <w:tc>
          <w:tcPr>
            <w:tcW w:w="0" w:type="auto"/>
            <w:hideMark/>
          </w:tcPr>
          <w:p w14:paraId="278DFBBF"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2023 Expenses</w:t>
            </w:r>
          </w:p>
        </w:tc>
        <w:tc>
          <w:tcPr>
            <w:tcW w:w="0" w:type="auto"/>
            <w:hideMark/>
          </w:tcPr>
          <w:p w14:paraId="0CFF9400"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Variance Analysis</w:t>
            </w:r>
          </w:p>
        </w:tc>
      </w:tr>
      <w:tr w:rsidR="00064B06" w:rsidRPr="00B5462F" w14:paraId="0C4A7EEE" w14:textId="77777777" w:rsidTr="00B87EAF">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0" w:type="auto"/>
            <w:hideMark/>
          </w:tcPr>
          <w:p w14:paraId="20C4C5F0"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Operating Expenses</w:t>
            </w:r>
          </w:p>
        </w:tc>
        <w:tc>
          <w:tcPr>
            <w:tcW w:w="0" w:type="auto"/>
            <w:hideMark/>
          </w:tcPr>
          <w:p w14:paraId="37EA3DFD"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£900,000</w:t>
            </w:r>
          </w:p>
        </w:tc>
        <w:tc>
          <w:tcPr>
            <w:tcW w:w="0" w:type="auto"/>
            <w:hideMark/>
          </w:tcPr>
          <w:p w14:paraId="3058D66C"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£950,000</w:t>
            </w:r>
          </w:p>
        </w:tc>
        <w:tc>
          <w:tcPr>
            <w:tcW w:w="0" w:type="auto"/>
            <w:hideMark/>
          </w:tcPr>
          <w:p w14:paraId="5B26B9F6"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£1,100,000</w:t>
            </w:r>
          </w:p>
        </w:tc>
        <w:tc>
          <w:tcPr>
            <w:tcW w:w="0" w:type="auto"/>
            <w:hideMark/>
          </w:tcPr>
          <w:p w14:paraId="77B8EC34"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Variance = Actual Expenses Budgeted Expenses</w:t>
            </w:r>
          </w:p>
        </w:tc>
      </w:tr>
    </w:tbl>
    <w:p w14:paraId="20F423A4" w14:textId="70ED753C" w:rsidR="00E6126D" w:rsidRPr="00B5462F" w:rsidRDefault="00D476DD" w:rsidP="00B5462F">
      <w:pPr>
        <w:pStyle w:val="NoSpacing"/>
        <w:spacing w:before="120" w:after="120"/>
        <w:jc w:val="both"/>
        <w:rPr>
          <w:rFonts w:ascii="Arial" w:hAnsi="Arial" w:cs="Arial"/>
        </w:rPr>
      </w:pPr>
      <w:r w:rsidRPr="00B5462F">
        <w:rPr>
          <w:rFonts w:ascii="Arial" w:hAnsi="Arial" w:cs="Arial"/>
        </w:rPr>
        <w:t>In 2021, actual operating expenses aligned with the budget of £900,000. However, in subsequent years, operating expenses increased to £950,000 in 2022 and £1,100,000 in 2023, indicating cost overruns and potential inefficiencies. Further analysis is required to identify specific cost drivers contributing to the variance</w:t>
      </w:r>
      <w:r w:rsidR="00CD4A5B" w:rsidRPr="00B5462F">
        <w:rPr>
          <w:rFonts w:ascii="Arial" w:hAnsi="Arial" w:cs="Arial"/>
        </w:rPr>
        <w:t xml:space="preserve"> (Huang, Sim and Zhao, 2020)</w:t>
      </w:r>
      <w:r w:rsidRPr="00B5462F">
        <w:rPr>
          <w:rFonts w:ascii="Arial" w:hAnsi="Arial" w:cs="Arial"/>
        </w:rPr>
        <w:t>.</w:t>
      </w:r>
    </w:p>
    <w:p w14:paraId="51080060" w14:textId="77777777" w:rsidR="00E6126D" w:rsidRPr="00B5462F" w:rsidRDefault="00D476DD" w:rsidP="00B5462F">
      <w:pPr>
        <w:pStyle w:val="Heading2"/>
        <w:spacing w:before="120" w:after="120" w:line="360" w:lineRule="auto"/>
        <w:jc w:val="both"/>
        <w:rPr>
          <w:rFonts w:ascii="Arial" w:hAnsi="Arial" w:cs="Arial"/>
          <w:color w:val="auto"/>
          <w:sz w:val="24"/>
          <w:szCs w:val="24"/>
        </w:rPr>
      </w:pPr>
      <w:bookmarkStart w:id="6" w:name="_Toc159523990"/>
      <w:r w:rsidRPr="00B5462F">
        <w:rPr>
          <w:rStyle w:val="Strong"/>
          <w:rFonts w:ascii="Arial" w:hAnsi="Arial" w:cs="Arial"/>
          <w:color w:val="auto"/>
          <w:sz w:val="24"/>
          <w:szCs w:val="24"/>
        </w:rPr>
        <w:t>Analysis of Occupancy Rates and Revenue Decline:</w:t>
      </w:r>
      <w:bookmarkEnd w:id="6"/>
    </w:p>
    <w:tbl>
      <w:tblPr>
        <w:tblStyle w:val="PlainTable51"/>
        <w:tblW w:w="9622" w:type="dxa"/>
        <w:tblLook w:val="04A0" w:firstRow="1" w:lastRow="0" w:firstColumn="1" w:lastColumn="0" w:noHBand="0" w:noVBand="1"/>
      </w:tblPr>
      <w:tblGrid>
        <w:gridCol w:w="750"/>
        <w:gridCol w:w="1750"/>
        <w:gridCol w:w="1418"/>
        <w:gridCol w:w="5704"/>
      </w:tblGrid>
      <w:tr w:rsidR="00064B06" w:rsidRPr="00B5462F" w14:paraId="403A8A11" w14:textId="77777777" w:rsidTr="00B87EAF">
        <w:trPr>
          <w:cnfStyle w:val="100000000000" w:firstRow="1" w:lastRow="0" w:firstColumn="0" w:lastColumn="0" w:oddVBand="0" w:evenVBand="0" w:oddHBand="0" w:evenHBand="0" w:firstRowFirstColumn="0" w:firstRowLastColumn="0" w:lastRowFirstColumn="0" w:lastRowLastColumn="0"/>
          <w:trHeight w:val="874"/>
        </w:trPr>
        <w:tc>
          <w:tcPr>
            <w:cnfStyle w:val="001000000100" w:firstRow="0" w:lastRow="0" w:firstColumn="1" w:lastColumn="0" w:oddVBand="0" w:evenVBand="0" w:oddHBand="0" w:evenHBand="0" w:firstRowFirstColumn="1" w:firstRowLastColumn="0" w:lastRowFirstColumn="0" w:lastRowLastColumn="0"/>
            <w:tcW w:w="0" w:type="auto"/>
            <w:hideMark/>
          </w:tcPr>
          <w:p w14:paraId="3B034CC0"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Year</w:t>
            </w:r>
          </w:p>
        </w:tc>
        <w:tc>
          <w:tcPr>
            <w:tcW w:w="0" w:type="auto"/>
            <w:hideMark/>
          </w:tcPr>
          <w:p w14:paraId="08A42E7B"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Occupancy Rate</w:t>
            </w:r>
          </w:p>
        </w:tc>
        <w:tc>
          <w:tcPr>
            <w:tcW w:w="0" w:type="auto"/>
            <w:hideMark/>
          </w:tcPr>
          <w:p w14:paraId="1D97D829"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Revenue</w:t>
            </w:r>
          </w:p>
        </w:tc>
        <w:tc>
          <w:tcPr>
            <w:tcW w:w="0" w:type="auto"/>
            <w:hideMark/>
          </w:tcPr>
          <w:p w14:paraId="654C6E90"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Relationship</w:t>
            </w:r>
          </w:p>
        </w:tc>
      </w:tr>
      <w:tr w:rsidR="00064B06" w:rsidRPr="00B5462F" w14:paraId="48998FC5" w14:textId="77777777" w:rsidTr="00B87EAF">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0" w:type="auto"/>
            <w:hideMark/>
          </w:tcPr>
          <w:p w14:paraId="20CF7C67"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2021</w:t>
            </w:r>
          </w:p>
        </w:tc>
        <w:tc>
          <w:tcPr>
            <w:tcW w:w="0" w:type="auto"/>
            <w:hideMark/>
          </w:tcPr>
          <w:p w14:paraId="52E4472B"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65%</w:t>
            </w:r>
          </w:p>
        </w:tc>
        <w:tc>
          <w:tcPr>
            <w:tcW w:w="0" w:type="auto"/>
            <w:hideMark/>
          </w:tcPr>
          <w:p w14:paraId="1A8B2EF7"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£1,200,000</w:t>
            </w:r>
          </w:p>
        </w:tc>
        <w:tc>
          <w:tcPr>
            <w:tcW w:w="0" w:type="auto"/>
            <w:hideMark/>
          </w:tcPr>
          <w:p w14:paraId="6895743F"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As the occupancy rate increases, revenue tends to increase.</w:t>
            </w:r>
          </w:p>
        </w:tc>
      </w:tr>
      <w:tr w:rsidR="00064B06" w:rsidRPr="00B5462F" w14:paraId="754D50F0" w14:textId="77777777" w:rsidTr="00B87EAF">
        <w:trPr>
          <w:trHeight w:val="874"/>
        </w:trPr>
        <w:tc>
          <w:tcPr>
            <w:cnfStyle w:val="001000000000" w:firstRow="0" w:lastRow="0" w:firstColumn="1" w:lastColumn="0" w:oddVBand="0" w:evenVBand="0" w:oddHBand="0" w:evenHBand="0" w:firstRowFirstColumn="0" w:firstRowLastColumn="0" w:lastRowFirstColumn="0" w:lastRowLastColumn="0"/>
            <w:tcW w:w="0" w:type="auto"/>
            <w:hideMark/>
          </w:tcPr>
          <w:p w14:paraId="462D4E36"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2022</w:t>
            </w:r>
          </w:p>
        </w:tc>
        <w:tc>
          <w:tcPr>
            <w:tcW w:w="0" w:type="auto"/>
            <w:hideMark/>
          </w:tcPr>
          <w:p w14:paraId="531E38B2"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60%</w:t>
            </w:r>
          </w:p>
        </w:tc>
        <w:tc>
          <w:tcPr>
            <w:tcW w:w="0" w:type="auto"/>
            <w:hideMark/>
          </w:tcPr>
          <w:p w14:paraId="4971DEA7"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£1,100,000</w:t>
            </w:r>
          </w:p>
        </w:tc>
        <w:tc>
          <w:tcPr>
            <w:tcW w:w="0" w:type="auto"/>
            <w:hideMark/>
          </w:tcPr>
          <w:p w14:paraId="30778C47"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Despite a slight decrease in occupancy rate, revenue remained relatively stable.</w:t>
            </w:r>
          </w:p>
        </w:tc>
      </w:tr>
      <w:tr w:rsidR="00064B06" w:rsidRPr="00B5462F" w14:paraId="0A29373E" w14:textId="77777777" w:rsidTr="00B87EAF">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0" w:type="auto"/>
            <w:hideMark/>
          </w:tcPr>
          <w:p w14:paraId="3226FC87"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2023</w:t>
            </w:r>
          </w:p>
        </w:tc>
        <w:tc>
          <w:tcPr>
            <w:tcW w:w="0" w:type="auto"/>
            <w:hideMark/>
          </w:tcPr>
          <w:p w14:paraId="1CB28BE8"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50%</w:t>
            </w:r>
          </w:p>
        </w:tc>
        <w:tc>
          <w:tcPr>
            <w:tcW w:w="0" w:type="auto"/>
            <w:hideMark/>
          </w:tcPr>
          <w:p w14:paraId="08ADF3FD"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£950,000</w:t>
            </w:r>
          </w:p>
        </w:tc>
        <w:tc>
          <w:tcPr>
            <w:tcW w:w="0" w:type="auto"/>
            <w:hideMark/>
          </w:tcPr>
          <w:p w14:paraId="1475E6F0"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A significant decline in revenue coincides with a decrease in occupancy rate.</w:t>
            </w:r>
          </w:p>
        </w:tc>
      </w:tr>
    </w:tbl>
    <w:p w14:paraId="6A3905E2"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The analysis reveals a strong correlation between declining occupancy rates and revenue decline. As occupancy rates decrease, the hotel's ability to generate revenue from room bookings diminishes, impacting overall financial performance.</w:t>
      </w:r>
    </w:p>
    <w:p w14:paraId="28A3B06E" w14:textId="77777777" w:rsidR="00E6126D" w:rsidRPr="00B5462F" w:rsidRDefault="00D476DD" w:rsidP="00B5462F">
      <w:pPr>
        <w:pStyle w:val="Heading2"/>
        <w:spacing w:before="120" w:after="120" w:line="360" w:lineRule="auto"/>
        <w:jc w:val="both"/>
        <w:rPr>
          <w:rFonts w:ascii="Arial" w:hAnsi="Arial" w:cs="Arial"/>
        </w:rPr>
      </w:pPr>
      <w:bookmarkStart w:id="7" w:name="_Toc159523991"/>
      <w:r w:rsidRPr="00B5462F">
        <w:rPr>
          <w:rStyle w:val="Strong"/>
          <w:rFonts w:ascii="Arial" w:hAnsi="Arial" w:cs="Arial"/>
          <w:color w:val="auto"/>
          <w:sz w:val="24"/>
          <w:szCs w:val="24"/>
        </w:rPr>
        <w:lastRenderedPageBreak/>
        <w:t>Impact of Outdated Amenities and Service Quality:</w:t>
      </w:r>
      <w:bookmarkEnd w:id="7"/>
    </w:p>
    <w:p w14:paraId="2AB43312" w14:textId="105FB36F" w:rsidR="007B41EA" w:rsidRPr="00B5462F" w:rsidRDefault="00D476DD" w:rsidP="00B5462F">
      <w:pPr>
        <w:pStyle w:val="NoSpacing"/>
        <w:spacing w:before="120" w:after="120"/>
        <w:jc w:val="both"/>
        <w:rPr>
          <w:rFonts w:ascii="Arial" w:hAnsi="Arial" w:cs="Arial"/>
        </w:rPr>
      </w:pPr>
      <w:r w:rsidRPr="00B5462F">
        <w:rPr>
          <w:rFonts w:ascii="Arial" w:hAnsi="Arial" w:cs="Arial"/>
        </w:rPr>
        <w:t>Outdated amenities and declining service quality can harm customer satisfaction, leading to reduced repeat business and negative word-of-mouth</w:t>
      </w:r>
      <w:r w:rsidR="00CD4A5B" w:rsidRPr="00B5462F">
        <w:rPr>
          <w:rFonts w:ascii="Arial" w:hAnsi="Arial" w:cs="Arial"/>
        </w:rPr>
        <w:t xml:space="preserve"> (Jha and Rangarajan, 2020)</w:t>
      </w:r>
      <w:r w:rsidRPr="00B5462F">
        <w:rPr>
          <w:rFonts w:ascii="Arial" w:hAnsi="Arial" w:cs="Arial"/>
        </w:rPr>
        <w:t xml:space="preserve">. Guests expect modern amenities and exceptional service; meeting these expectations can result in better reviews and increased demand. Investing in upgrades and training programs to improve amenities and service quality is essential to enhance customer satisfaction, increase occupancy rates, and drive revenue growth. The Seacrest Lodge must prioritize addressing these issues to regain competitiveness in the market and improve </w:t>
      </w:r>
      <w:r w:rsidR="00677558" w:rsidRPr="00B5462F">
        <w:rPr>
          <w:rFonts w:ascii="Arial" w:hAnsi="Arial" w:cs="Arial"/>
        </w:rPr>
        <w:t>profitability (</w:t>
      </w:r>
      <w:r w:rsidR="00CD4A5B" w:rsidRPr="00B5462F">
        <w:rPr>
          <w:rFonts w:ascii="Arial" w:hAnsi="Arial" w:cs="Arial"/>
        </w:rPr>
        <w:t>Kabir and Chowdhury, 2022)</w:t>
      </w:r>
      <w:r w:rsidRPr="00B5462F">
        <w:rPr>
          <w:rFonts w:ascii="Arial" w:hAnsi="Arial" w:cs="Arial"/>
        </w:rPr>
        <w:t>.</w:t>
      </w:r>
    </w:p>
    <w:p w14:paraId="5E17FB79" w14:textId="77777777" w:rsidR="007B41EA" w:rsidRPr="00B5462F" w:rsidRDefault="00D476DD" w:rsidP="00B5462F">
      <w:pPr>
        <w:pStyle w:val="Heading1"/>
        <w:spacing w:before="120" w:after="120" w:line="360" w:lineRule="auto"/>
        <w:jc w:val="both"/>
        <w:rPr>
          <w:rFonts w:ascii="Arial" w:hAnsi="Arial" w:cs="Arial"/>
        </w:rPr>
      </w:pPr>
      <w:bookmarkStart w:id="8" w:name="_Toc159523992"/>
      <w:r w:rsidRPr="00B5462F">
        <w:rPr>
          <w:rFonts w:ascii="Arial" w:hAnsi="Arial" w:cs="Arial"/>
        </w:rPr>
        <w:t>Turnaround Strategy Development</w:t>
      </w:r>
      <w:bookmarkEnd w:id="8"/>
      <w:r w:rsidRPr="00B5462F">
        <w:rPr>
          <w:rFonts w:ascii="Arial" w:hAnsi="Arial" w:cs="Arial"/>
        </w:rPr>
        <w:t xml:space="preserve"> </w:t>
      </w:r>
    </w:p>
    <w:tbl>
      <w:tblPr>
        <w:tblStyle w:val="PlainTable51"/>
        <w:tblW w:w="9840" w:type="dxa"/>
        <w:tblLook w:val="04A0" w:firstRow="1" w:lastRow="0" w:firstColumn="1" w:lastColumn="0" w:noHBand="0" w:noVBand="1"/>
      </w:tblPr>
      <w:tblGrid>
        <w:gridCol w:w="2942"/>
        <w:gridCol w:w="1805"/>
        <w:gridCol w:w="1583"/>
        <w:gridCol w:w="3510"/>
      </w:tblGrid>
      <w:tr w:rsidR="00064B06" w:rsidRPr="00B5462F" w14:paraId="3D64A286" w14:textId="77777777" w:rsidTr="00B87EAF">
        <w:trPr>
          <w:cnfStyle w:val="100000000000" w:firstRow="1" w:lastRow="0" w:firstColumn="0" w:lastColumn="0" w:oddVBand="0" w:evenVBand="0" w:oddHBand="0" w:evenHBand="0" w:firstRowFirstColumn="0" w:firstRowLastColumn="0" w:lastRowFirstColumn="0" w:lastRowLastColumn="0"/>
          <w:trHeight w:val="424"/>
        </w:trPr>
        <w:tc>
          <w:tcPr>
            <w:cnfStyle w:val="001000000100" w:firstRow="0" w:lastRow="0" w:firstColumn="1" w:lastColumn="0" w:oddVBand="0" w:evenVBand="0" w:oddHBand="0" w:evenHBand="0" w:firstRowFirstColumn="1" w:firstRowLastColumn="0" w:lastRowFirstColumn="0" w:lastRowLastColumn="0"/>
            <w:tcW w:w="0" w:type="auto"/>
            <w:hideMark/>
          </w:tcPr>
          <w:p w14:paraId="59174B2A"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Proposed Strategy</w:t>
            </w:r>
          </w:p>
        </w:tc>
        <w:tc>
          <w:tcPr>
            <w:tcW w:w="0" w:type="auto"/>
            <w:hideMark/>
          </w:tcPr>
          <w:p w14:paraId="6DAB6DE9"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Investment Cost</w:t>
            </w:r>
          </w:p>
        </w:tc>
        <w:tc>
          <w:tcPr>
            <w:tcW w:w="0" w:type="auto"/>
            <w:hideMark/>
          </w:tcPr>
          <w:p w14:paraId="64A473CF"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Expected ROI</w:t>
            </w:r>
          </w:p>
        </w:tc>
        <w:tc>
          <w:tcPr>
            <w:tcW w:w="0" w:type="auto"/>
            <w:hideMark/>
          </w:tcPr>
          <w:p w14:paraId="13FBC942"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Breakeven Point</w:t>
            </w:r>
          </w:p>
        </w:tc>
      </w:tr>
      <w:tr w:rsidR="00064B06" w:rsidRPr="00B5462F" w14:paraId="499927D1" w14:textId="77777777" w:rsidTr="00B87EAF">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58BBB556"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Renovation and Upgrades</w:t>
            </w:r>
          </w:p>
        </w:tc>
        <w:tc>
          <w:tcPr>
            <w:tcW w:w="0" w:type="auto"/>
            <w:hideMark/>
          </w:tcPr>
          <w:p w14:paraId="34288919"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£500,000</w:t>
            </w:r>
          </w:p>
        </w:tc>
        <w:tc>
          <w:tcPr>
            <w:tcW w:w="0" w:type="auto"/>
            <w:hideMark/>
          </w:tcPr>
          <w:p w14:paraId="12204A4B"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£800,000</w:t>
            </w:r>
          </w:p>
        </w:tc>
        <w:tc>
          <w:tcPr>
            <w:tcW w:w="0" w:type="auto"/>
            <w:hideMark/>
          </w:tcPr>
          <w:p w14:paraId="7BCEDA49"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62.5% occupancy increase</w:t>
            </w:r>
          </w:p>
        </w:tc>
      </w:tr>
      <w:tr w:rsidR="00064B06" w:rsidRPr="00B5462F" w14:paraId="4A2C7327" w14:textId="77777777" w:rsidTr="00B87EAF">
        <w:trPr>
          <w:trHeight w:val="424"/>
        </w:trPr>
        <w:tc>
          <w:tcPr>
            <w:cnfStyle w:val="001000000000" w:firstRow="0" w:lastRow="0" w:firstColumn="1" w:lastColumn="0" w:oddVBand="0" w:evenVBand="0" w:oddHBand="0" w:evenHBand="0" w:firstRowFirstColumn="0" w:firstRowLastColumn="0" w:lastRowFirstColumn="0" w:lastRowLastColumn="0"/>
            <w:tcW w:w="0" w:type="auto"/>
            <w:hideMark/>
          </w:tcPr>
          <w:p w14:paraId="13995C2A"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Marketing Campaign</w:t>
            </w:r>
          </w:p>
        </w:tc>
        <w:tc>
          <w:tcPr>
            <w:tcW w:w="0" w:type="auto"/>
            <w:hideMark/>
          </w:tcPr>
          <w:p w14:paraId="7D71658F"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£100,000</w:t>
            </w:r>
          </w:p>
        </w:tc>
        <w:tc>
          <w:tcPr>
            <w:tcW w:w="0" w:type="auto"/>
            <w:hideMark/>
          </w:tcPr>
          <w:p w14:paraId="025228E5"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£300,000</w:t>
            </w:r>
          </w:p>
        </w:tc>
        <w:tc>
          <w:tcPr>
            <w:tcW w:w="0" w:type="auto"/>
            <w:hideMark/>
          </w:tcPr>
          <w:p w14:paraId="24F79C1B"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33.3% increase in bookings</w:t>
            </w:r>
          </w:p>
        </w:tc>
      </w:tr>
      <w:tr w:rsidR="00064B06" w:rsidRPr="00B5462F" w14:paraId="40B69B1F" w14:textId="77777777" w:rsidTr="00B87EAF">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264A8A9E"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Service Quality Enhancement</w:t>
            </w:r>
          </w:p>
        </w:tc>
        <w:tc>
          <w:tcPr>
            <w:tcW w:w="0" w:type="auto"/>
            <w:hideMark/>
          </w:tcPr>
          <w:p w14:paraId="14B49503"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£50,000</w:t>
            </w:r>
          </w:p>
        </w:tc>
        <w:tc>
          <w:tcPr>
            <w:tcW w:w="0" w:type="auto"/>
            <w:hideMark/>
          </w:tcPr>
          <w:p w14:paraId="6EC53DBF"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£150,000</w:t>
            </w:r>
          </w:p>
        </w:tc>
        <w:tc>
          <w:tcPr>
            <w:tcW w:w="0" w:type="auto"/>
            <w:hideMark/>
          </w:tcPr>
          <w:p w14:paraId="1FDEC84B"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20% increase in customer satisfaction</w:t>
            </w:r>
          </w:p>
        </w:tc>
      </w:tr>
    </w:tbl>
    <w:p w14:paraId="3869BEBE" w14:textId="652BCCB5" w:rsidR="009A5490"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Conducting a cost-benefit analysis helps us assess the feasibility of the strategies in question and identify their expected ROI and breakeven levels. The renovation and upgrade program demands a huge start-up investment of £500,000. Still, it will eventually lead to an ROI of £800,000, which will come from the more guests that lodging facilities will attract with the improved amenities. We break even with margin rates of 62.5%</w:t>
      </w:r>
      <w:r w:rsidR="00CD4A5B" w:rsidRPr="00B5462F">
        <w:rPr>
          <w:rFonts w:ascii="Arial" w:hAnsi="Arial" w:cs="Arial"/>
        </w:rPr>
        <w:t>(Levytska et al., 2020)</w:t>
      </w:r>
      <w:r w:rsidRPr="00B5462F">
        <w:rPr>
          <w:rStyle w:val="text-with-replacments"/>
          <w:rFonts w:ascii="Arial" w:hAnsi="Arial" w:cs="Arial"/>
        </w:rPr>
        <w:t>.</w:t>
      </w:r>
      <w:r w:rsidRPr="00B5462F">
        <w:rPr>
          <w:rFonts w:ascii="Arial" w:hAnsi="Arial" w:cs="Arial"/>
        </w:rPr>
        <w:t xml:space="preserve"> </w:t>
      </w:r>
      <w:r w:rsidRPr="00B5462F">
        <w:rPr>
          <w:rStyle w:val="text-with-replacments"/>
          <w:rFonts w:ascii="Arial" w:hAnsi="Arial" w:cs="Arial"/>
        </w:rPr>
        <w:t>Likewise, a marketing campaign which costs £100,000 is predicted to make an extra income of £300,000 through an increase in the booking number. The breakeven point of this strategy is achieved if bookings rise by 33.3%.</w:t>
      </w:r>
      <w:r w:rsidRPr="00B5462F">
        <w:rPr>
          <w:rFonts w:ascii="Arial" w:hAnsi="Arial" w:cs="Arial"/>
        </w:rPr>
        <w:t xml:space="preserve"> </w:t>
      </w:r>
      <w:r w:rsidRPr="00B5462F">
        <w:rPr>
          <w:rStyle w:val="text-with-replacments"/>
          <w:rFonts w:ascii="Arial" w:hAnsi="Arial" w:cs="Arial"/>
        </w:rPr>
        <w:t>Through the £50,000 investment, projected to enhance service quality, we anticipate an ROI of £150,000 due to increased customer satisfaction. This pricing strategy breaks breakeven even when a 20% acceptance rate is achieved.</w:t>
      </w:r>
    </w:p>
    <w:p w14:paraId="4BC747A1" w14:textId="4B854F4E" w:rsidR="00E6126D"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lastRenderedPageBreak/>
        <w:t>Theoretical frameworks such as McKinsey's 7S model and Kotter's change management model are excellent sources of support in implementing turnaround strategies.</w:t>
      </w:r>
      <w:r w:rsidR="009A5490" w:rsidRPr="00B5462F">
        <w:rPr>
          <w:rFonts w:ascii="Arial" w:hAnsi="Arial" w:cs="Arial"/>
        </w:rPr>
        <w:t xml:space="preserve"> </w:t>
      </w:r>
      <w:r w:rsidRPr="00B5462F">
        <w:rPr>
          <w:rStyle w:val="text-with-replacments"/>
          <w:rFonts w:ascii="Arial" w:hAnsi="Arial" w:cs="Arial"/>
        </w:rPr>
        <w:t xml:space="preserve">McKinsey's 7S model emphasizes seven key elements that must be aligned for organizational success: joint strategy, structure, systems, shared values, skills, style, and </w:t>
      </w:r>
      <w:r w:rsidR="00677558" w:rsidRPr="00B5462F">
        <w:rPr>
          <w:rStyle w:val="text-with-replacments"/>
          <w:rFonts w:ascii="Arial" w:hAnsi="Arial" w:cs="Arial"/>
        </w:rPr>
        <w:t>staff</w:t>
      </w:r>
      <w:r w:rsidR="00677558" w:rsidRPr="00B5462F">
        <w:rPr>
          <w:rFonts w:ascii="Arial" w:hAnsi="Arial" w:cs="Arial"/>
        </w:rPr>
        <w:t xml:space="preserve"> (</w:t>
      </w:r>
      <w:r w:rsidR="00CD4A5B" w:rsidRPr="00B5462F">
        <w:rPr>
          <w:rFonts w:ascii="Arial" w:hAnsi="Arial" w:cs="Arial"/>
        </w:rPr>
        <w:t>Liu et al., 2022)</w:t>
      </w:r>
      <w:r w:rsidRPr="00B5462F">
        <w:rPr>
          <w:rStyle w:val="text-with-replacments"/>
          <w:rFonts w:ascii="Arial" w:hAnsi="Arial" w:cs="Arial"/>
        </w:rPr>
        <w:t>. The Seacrest Lodge may evaluate the unity between these factors and holistically implement its turnaround strategies. Kotter's 8-step plan outlines a sequential approach to organizational change, beginning with creating a sense of urgency and ending with the improvements as cultural norms in the company. Such a framework may guide The Seacrest Lodge in using its recovery approaches and creating an operational context that encourages positive changes.</w:t>
      </w:r>
      <w:r w:rsidRPr="00B5462F">
        <w:rPr>
          <w:rFonts w:ascii="Arial" w:hAnsi="Arial" w:cs="Arial"/>
        </w:rPr>
        <w:t xml:space="preserve"> </w:t>
      </w:r>
      <w:r w:rsidRPr="00B5462F">
        <w:rPr>
          <w:rStyle w:val="text-with-replacments"/>
          <w:rFonts w:ascii="Arial" w:hAnsi="Arial" w:cs="Arial"/>
        </w:rPr>
        <w:t xml:space="preserve">This is where organizational theory comes in. Theoretical frameworks can help The Seacrest Lodge tackle the intricacies of organizational change and optimize the effectiveness of turnaround </w:t>
      </w:r>
      <w:r w:rsidR="00677558" w:rsidRPr="00B5462F">
        <w:rPr>
          <w:rStyle w:val="text-with-replacments"/>
          <w:rFonts w:ascii="Arial" w:hAnsi="Arial" w:cs="Arial"/>
        </w:rPr>
        <w:t>endeavors</w:t>
      </w:r>
      <w:r w:rsidR="00677558" w:rsidRPr="00B5462F">
        <w:rPr>
          <w:rFonts w:ascii="Arial" w:hAnsi="Arial" w:cs="Arial"/>
        </w:rPr>
        <w:t xml:space="preserve"> (</w:t>
      </w:r>
      <w:r w:rsidR="00CD4A5B" w:rsidRPr="00B5462F">
        <w:rPr>
          <w:rFonts w:ascii="Arial" w:hAnsi="Arial" w:cs="Arial"/>
        </w:rPr>
        <w:t>M Allo, 2021)</w:t>
      </w:r>
      <w:r w:rsidRPr="00B5462F">
        <w:rPr>
          <w:rStyle w:val="text-with-replacments"/>
          <w:rFonts w:ascii="Arial" w:hAnsi="Arial" w:cs="Arial"/>
        </w:rPr>
        <w:t>.</w:t>
      </w:r>
    </w:p>
    <w:p w14:paraId="3713C5B4" w14:textId="08E58217" w:rsidR="00E6126D"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 xml:space="preserve">Strategic options need to be assessed in light of their alleged misfit with the lodge's key strengths, weaknesses, opportunities, and threats (SWOT analysis). Renovation and upgrades utilize the lodge's legacies of a beautiful setting and opportunities for premium services and simultaneously address weaknesses, such as old-fashioned amenities. The marketing campaign exploits possibilities to impress new guests and enhance the company's market dominance. Service quality improvement prevents damage caused by negative customer feedback and declining customer </w:t>
      </w:r>
      <w:r w:rsidR="00677558" w:rsidRPr="00B5462F">
        <w:rPr>
          <w:rStyle w:val="text-with-replacments"/>
          <w:rFonts w:ascii="Arial" w:hAnsi="Arial" w:cs="Arial"/>
        </w:rPr>
        <w:t>satisfaction</w:t>
      </w:r>
      <w:r w:rsidR="00677558" w:rsidRPr="00B5462F">
        <w:rPr>
          <w:rFonts w:ascii="Arial" w:hAnsi="Arial" w:cs="Arial"/>
        </w:rPr>
        <w:t xml:space="preserve"> (</w:t>
      </w:r>
      <w:r w:rsidR="00CD4A5B" w:rsidRPr="00B5462F">
        <w:rPr>
          <w:rFonts w:ascii="Arial" w:hAnsi="Arial" w:cs="Arial"/>
        </w:rPr>
        <w:t>Ma et al., 2021)</w:t>
      </w:r>
      <w:r w:rsidRPr="00B5462F">
        <w:rPr>
          <w:rStyle w:val="text-with-replacments"/>
          <w:rFonts w:ascii="Arial" w:hAnsi="Arial" w:cs="Arial"/>
        </w:rPr>
        <w:t>. Through SWOT analysis, the Seacrest Lodge can better align their strategies to ensure that they are competing on their strengths and areas of strength, minimizing weaknesses and exploiting opportunities, neutralizing threats, and thereby providing a successful turnaround.</w:t>
      </w:r>
    </w:p>
    <w:p w14:paraId="0C94588B" w14:textId="77777777" w:rsidR="007B41EA" w:rsidRPr="00B5462F" w:rsidRDefault="00D476DD" w:rsidP="00B5462F">
      <w:pPr>
        <w:pStyle w:val="Heading1"/>
        <w:spacing w:before="120" w:after="120" w:line="360" w:lineRule="auto"/>
        <w:jc w:val="both"/>
        <w:rPr>
          <w:rFonts w:ascii="Arial" w:hAnsi="Arial" w:cs="Arial"/>
        </w:rPr>
      </w:pPr>
      <w:bookmarkStart w:id="9" w:name="_Toc159523993"/>
      <w:r w:rsidRPr="00B5462F">
        <w:rPr>
          <w:rFonts w:ascii="Arial" w:hAnsi="Arial" w:cs="Arial"/>
        </w:rPr>
        <w:t>Financial Projections</w:t>
      </w:r>
      <w:bookmarkEnd w:id="9"/>
      <w:r w:rsidRPr="00B5462F">
        <w:rPr>
          <w:rFonts w:ascii="Arial" w:hAnsi="Arial" w:cs="Arial"/>
        </w:rPr>
        <w:t xml:space="preserve"> </w:t>
      </w:r>
    </w:p>
    <w:tbl>
      <w:tblPr>
        <w:tblStyle w:val="PlainTable51"/>
        <w:tblW w:w="10380" w:type="dxa"/>
        <w:tblLook w:val="04A0" w:firstRow="1" w:lastRow="0" w:firstColumn="1" w:lastColumn="0" w:noHBand="0" w:noVBand="1"/>
      </w:tblPr>
      <w:tblGrid>
        <w:gridCol w:w="862"/>
        <w:gridCol w:w="2286"/>
        <w:gridCol w:w="3583"/>
        <w:gridCol w:w="3649"/>
      </w:tblGrid>
      <w:tr w:rsidR="00064B06" w:rsidRPr="00B5462F" w14:paraId="792159AF" w14:textId="77777777" w:rsidTr="00064B0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2159148"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Year</w:t>
            </w:r>
          </w:p>
        </w:tc>
        <w:tc>
          <w:tcPr>
            <w:tcW w:w="0" w:type="auto"/>
            <w:hideMark/>
          </w:tcPr>
          <w:p w14:paraId="00734742"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Occupancy Rate</w:t>
            </w:r>
          </w:p>
        </w:tc>
        <w:tc>
          <w:tcPr>
            <w:tcW w:w="0" w:type="auto"/>
            <w:hideMark/>
          </w:tcPr>
          <w:p w14:paraId="6181691F"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Average Room Rate (GBP)</w:t>
            </w:r>
          </w:p>
        </w:tc>
        <w:tc>
          <w:tcPr>
            <w:tcW w:w="0" w:type="auto"/>
            <w:hideMark/>
          </w:tcPr>
          <w:p w14:paraId="3CAAA24E"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Forecasted Revenue (GBP)</w:t>
            </w:r>
          </w:p>
        </w:tc>
      </w:tr>
      <w:tr w:rsidR="00064B06" w:rsidRPr="00B5462F" w14:paraId="7918C82A"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7A7621"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2024</w:t>
            </w:r>
          </w:p>
        </w:tc>
        <w:tc>
          <w:tcPr>
            <w:tcW w:w="0" w:type="auto"/>
            <w:hideMark/>
          </w:tcPr>
          <w:p w14:paraId="681284A9"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55%</w:t>
            </w:r>
          </w:p>
        </w:tc>
        <w:tc>
          <w:tcPr>
            <w:tcW w:w="0" w:type="auto"/>
            <w:hideMark/>
          </w:tcPr>
          <w:p w14:paraId="29783BD6"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£230</w:t>
            </w:r>
          </w:p>
        </w:tc>
        <w:tc>
          <w:tcPr>
            <w:tcW w:w="0" w:type="auto"/>
            <w:hideMark/>
          </w:tcPr>
          <w:p w14:paraId="049C3E90"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£1,127,500</w:t>
            </w:r>
          </w:p>
        </w:tc>
      </w:tr>
      <w:tr w:rsidR="00064B06" w:rsidRPr="00B5462F" w14:paraId="2715873C" w14:textId="77777777" w:rsidTr="00064B06">
        <w:tc>
          <w:tcPr>
            <w:cnfStyle w:val="001000000000" w:firstRow="0" w:lastRow="0" w:firstColumn="1" w:lastColumn="0" w:oddVBand="0" w:evenVBand="0" w:oddHBand="0" w:evenHBand="0" w:firstRowFirstColumn="0" w:firstRowLastColumn="0" w:lastRowFirstColumn="0" w:lastRowLastColumn="0"/>
            <w:tcW w:w="0" w:type="auto"/>
            <w:hideMark/>
          </w:tcPr>
          <w:p w14:paraId="46C3F9C1"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2025</w:t>
            </w:r>
          </w:p>
        </w:tc>
        <w:tc>
          <w:tcPr>
            <w:tcW w:w="0" w:type="auto"/>
            <w:hideMark/>
          </w:tcPr>
          <w:p w14:paraId="67513CC0"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60%</w:t>
            </w:r>
          </w:p>
        </w:tc>
        <w:tc>
          <w:tcPr>
            <w:tcW w:w="0" w:type="auto"/>
            <w:hideMark/>
          </w:tcPr>
          <w:p w14:paraId="32947136"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£240</w:t>
            </w:r>
          </w:p>
        </w:tc>
        <w:tc>
          <w:tcPr>
            <w:tcW w:w="0" w:type="auto"/>
            <w:hideMark/>
          </w:tcPr>
          <w:p w14:paraId="03C7E7D5"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£1,296,000</w:t>
            </w:r>
          </w:p>
        </w:tc>
      </w:tr>
      <w:tr w:rsidR="00064B06" w:rsidRPr="00B5462F" w14:paraId="21F7F6AE"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F1CCC1"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lastRenderedPageBreak/>
              <w:t>2026</w:t>
            </w:r>
          </w:p>
        </w:tc>
        <w:tc>
          <w:tcPr>
            <w:tcW w:w="0" w:type="auto"/>
            <w:hideMark/>
          </w:tcPr>
          <w:p w14:paraId="7A48FEA6"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65%</w:t>
            </w:r>
          </w:p>
        </w:tc>
        <w:tc>
          <w:tcPr>
            <w:tcW w:w="0" w:type="auto"/>
            <w:hideMark/>
          </w:tcPr>
          <w:p w14:paraId="5D5E0DEE"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£250</w:t>
            </w:r>
          </w:p>
        </w:tc>
        <w:tc>
          <w:tcPr>
            <w:tcW w:w="0" w:type="auto"/>
            <w:hideMark/>
          </w:tcPr>
          <w:p w14:paraId="7C494564"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£1,422,500</w:t>
            </w:r>
          </w:p>
        </w:tc>
      </w:tr>
    </w:tbl>
    <w:p w14:paraId="40BF33AC" w14:textId="6B3F7659" w:rsidR="00E6126D"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 xml:space="preserve">The forecasted revenue growth estimates the positive changes in occupancy rates and ADR. The occupancy rate is expected to rise from 55% in 2024 to 65% in 2026 and then move to a predicted average room </w:t>
      </w:r>
      <w:r w:rsidR="00677558" w:rsidRPr="00B5462F">
        <w:rPr>
          <w:rStyle w:val="text-with-replacments"/>
          <w:rFonts w:ascii="Arial" w:hAnsi="Arial" w:cs="Arial"/>
        </w:rPr>
        <w:t>rate</w:t>
      </w:r>
      <w:r w:rsidR="00677558" w:rsidRPr="00B5462F">
        <w:rPr>
          <w:rFonts w:ascii="Arial" w:hAnsi="Arial" w:cs="Arial"/>
        </w:rPr>
        <w:t xml:space="preserve"> (</w:t>
      </w:r>
      <w:r w:rsidR="00CD4A5B" w:rsidRPr="00B5462F">
        <w:rPr>
          <w:rFonts w:ascii="Arial" w:hAnsi="Arial" w:cs="Arial"/>
        </w:rPr>
        <w:t>Oktalina, 2020)</w:t>
      </w:r>
      <w:r w:rsidRPr="00B5462F">
        <w:rPr>
          <w:rStyle w:val="text-with-replacments"/>
          <w:rFonts w:ascii="Arial" w:hAnsi="Arial" w:cs="Arial"/>
        </w:rPr>
        <w:t>.</w:t>
      </w:r>
      <w:r w:rsidRPr="00B5462F">
        <w:rPr>
          <w:rFonts w:ascii="Arial" w:hAnsi="Arial" w:cs="Arial"/>
        </w:rPr>
        <w:t xml:space="preserve"> </w:t>
      </w:r>
      <w:r w:rsidRPr="00B5462F">
        <w:rPr>
          <w:rStyle w:val="text-with-replacments"/>
          <w:rFonts w:ascii="Arial" w:hAnsi="Arial" w:cs="Arial"/>
        </w:rPr>
        <w:t xml:space="preserve">Sensitivity analysis enables us to understand the changes in financial projections due to altering economic conditions. Through the management of critical variables, including average occupancy rates, average room rates, and operating costs, we may discover essential risks and opportunities. If occupancy rates drop because of the economic downturn, the revenue projections may have to be revised downward. Just as well, in the case of the economy worsening and the decline of demand for luxury rooms, revenue projections can fall short of the </w:t>
      </w:r>
      <w:r w:rsidR="00677558" w:rsidRPr="00B5462F">
        <w:rPr>
          <w:rStyle w:val="text-with-replacments"/>
          <w:rFonts w:ascii="Arial" w:hAnsi="Arial" w:cs="Arial"/>
        </w:rPr>
        <w:t>target</w:t>
      </w:r>
      <w:r w:rsidR="00677558" w:rsidRPr="00B5462F">
        <w:rPr>
          <w:rFonts w:ascii="Arial" w:hAnsi="Arial" w:cs="Arial"/>
        </w:rPr>
        <w:t xml:space="preserve"> (</w:t>
      </w:r>
      <w:r w:rsidR="00CD4A5B" w:rsidRPr="00B5462F">
        <w:rPr>
          <w:rFonts w:ascii="Arial" w:hAnsi="Arial" w:cs="Arial"/>
        </w:rPr>
        <w:t>Prabowo and Korsakul, 2020)</w:t>
      </w:r>
      <w:r w:rsidRPr="00B5462F">
        <w:rPr>
          <w:rStyle w:val="text-with-replacments"/>
          <w:rFonts w:ascii="Arial" w:hAnsi="Arial" w:cs="Arial"/>
        </w:rPr>
        <w:t>.</w:t>
      </w:r>
      <w:r w:rsidRPr="00B5462F">
        <w:rPr>
          <w:rFonts w:ascii="Arial" w:hAnsi="Arial" w:cs="Arial"/>
        </w:rPr>
        <w:t xml:space="preserve"> </w:t>
      </w:r>
      <w:r w:rsidRPr="00B5462F">
        <w:rPr>
          <w:rStyle w:val="text-with-replacments"/>
          <w:rFonts w:ascii="Arial" w:hAnsi="Arial" w:cs="Arial"/>
        </w:rPr>
        <w:t xml:space="preserve">Uncertainties and risks are mitigated by using real-life scenarios and forecasting the financials. By considering several possible outcomes and their occurrence probability, businesses can make decisions with a base and design contingent plans. This includes determining significant sources of revenues and expenses, evaluating their variability, and developing the proper approaches for their management. Scenario planning is a valuable tool that gives businesses a chance to predict issues, grasp opportunities, and adjust to the volatile market environment, which, in turn, improves the accuracy and reliability of financial </w:t>
      </w:r>
      <w:r w:rsidR="00677558" w:rsidRPr="00B5462F">
        <w:rPr>
          <w:rStyle w:val="text-with-replacments"/>
          <w:rFonts w:ascii="Arial" w:hAnsi="Arial" w:cs="Arial"/>
        </w:rPr>
        <w:t>data</w:t>
      </w:r>
      <w:r w:rsidR="00677558" w:rsidRPr="00B5462F">
        <w:rPr>
          <w:rFonts w:ascii="Arial" w:hAnsi="Arial" w:cs="Arial"/>
        </w:rPr>
        <w:t xml:space="preserve"> (</w:t>
      </w:r>
      <w:r w:rsidR="00CD4A5B" w:rsidRPr="00B5462F">
        <w:rPr>
          <w:rFonts w:ascii="Arial" w:hAnsi="Arial" w:cs="Arial"/>
        </w:rPr>
        <w:t>Purba and Bimantara, 2020)</w:t>
      </w:r>
      <w:r w:rsidRPr="00B5462F">
        <w:rPr>
          <w:rStyle w:val="text-with-replacments"/>
          <w:rFonts w:ascii="Arial" w:hAnsi="Arial" w:cs="Arial"/>
        </w:rPr>
        <w:t>.</w:t>
      </w:r>
    </w:p>
    <w:p w14:paraId="022E2BC0" w14:textId="77777777" w:rsidR="007B41EA" w:rsidRPr="00B5462F" w:rsidRDefault="00D476DD" w:rsidP="00B5462F">
      <w:pPr>
        <w:pStyle w:val="Heading1"/>
        <w:spacing w:before="120" w:after="120" w:line="360" w:lineRule="auto"/>
        <w:jc w:val="both"/>
        <w:rPr>
          <w:rFonts w:ascii="Arial" w:hAnsi="Arial" w:cs="Arial"/>
        </w:rPr>
      </w:pPr>
      <w:bookmarkStart w:id="10" w:name="_Toc159523994"/>
      <w:r w:rsidRPr="00B5462F">
        <w:rPr>
          <w:rFonts w:ascii="Arial" w:hAnsi="Arial" w:cs="Arial"/>
        </w:rPr>
        <w:t>Implementation Plan</w:t>
      </w:r>
      <w:bookmarkEnd w:id="10"/>
      <w:r w:rsidRPr="00B5462F">
        <w:rPr>
          <w:rFonts w:ascii="Arial" w:hAnsi="Arial" w:cs="Arial"/>
        </w:rPr>
        <w:t xml:space="preserve"> </w:t>
      </w:r>
    </w:p>
    <w:p w14:paraId="40510532" w14:textId="62C20EBA" w:rsidR="009A5490" w:rsidRPr="00B5462F" w:rsidRDefault="00D476DD" w:rsidP="00B5462F">
      <w:pPr>
        <w:pStyle w:val="NoSpacing"/>
        <w:spacing w:before="120" w:after="120"/>
        <w:jc w:val="both"/>
        <w:rPr>
          <w:rFonts w:ascii="Arial" w:hAnsi="Arial" w:cs="Arial"/>
        </w:rPr>
      </w:pPr>
      <w:r w:rsidRPr="00B5462F">
        <w:rPr>
          <w:rFonts w:ascii="Arial" w:hAnsi="Arial" w:cs="Arial"/>
        </w:rPr>
        <w:t xml:space="preserve">Clearly outlining the timeline implementation of the created strategies is necessary to operate the turnaround plan successfully. Each tactic, for example, refurbishments and upgrades, marketing campaigns, and service quality improvements, shall have a set up of timeframes with precise benchmarks and deadlines. Interdependencies among different initiatives should be considered and addressed, while budget and personnel constraints should be considered to set practical and attainable </w:t>
      </w:r>
      <w:r w:rsidR="00677558" w:rsidRPr="00B5462F">
        <w:rPr>
          <w:rFonts w:ascii="Arial" w:hAnsi="Arial" w:cs="Arial"/>
        </w:rPr>
        <w:t>timelines (</w:t>
      </w:r>
      <w:r w:rsidR="00CD4A5B" w:rsidRPr="00B5462F">
        <w:rPr>
          <w:rFonts w:ascii="Arial" w:hAnsi="Arial" w:cs="Arial"/>
        </w:rPr>
        <w:t>Setiawan and Rosa, 2023)</w:t>
      </w:r>
      <w:r w:rsidRPr="00B5462F">
        <w:rPr>
          <w:rFonts w:ascii="Arial" w:hAnsi="Arial" w:cs="Arial"/>
        </w:rPr>
        <w:t>. Monitoring and re-adjustment become crucial during the execution process to guide resolutions of deviations or unforeseen challenges early.</w:t>
      </w:r>
    </w:p>
    <w:p w14:paraId="7F411B97" w14:textId="2D5DBC78" w:rsidR="00E6126D" w:rsidRPr="00B5462F" w:rsidRDefault="00D476DD" w:rsidP="00B5462F">
      <w:pPr>
        <w:pStyle w:val="NoSpacing"/>
        <w:spacing w:before="120" w:after="120"/>
        <w:jc w:val="both"/>
        <w:rPr>
          <w:rFonts w:ascii="Arial" w:hAnsi="Arial" w:cs="Arial"/>
        </w:rPr>
      </w:pPr>
      <w:r w:rsidRPr="00B5462F">
        <w:rPr>
          <w:rFonts w:ascii="Arial" w:hAnsi="Arial" w:cs="Arial"/>
        </w:rPr>
        <w:lastRenderedPageBreak/>
        <w:t xml:space="preserve">One of the vital elements for the success of the turnaround plan is change management and leadership. Good leadership gives vision, control, and motivation that can be used to advise the team on the journey of the transformation process. Leaders must explain the need for change, create trust, and work on collaboration and a high ownership culture. Change management strategies like stakeholder engagement, communication strategies, and training programs effectively address the problems associated with </w:t>
      </w:r>
      <w:r w:rsidR="00677558" w:rsidRPr="00B5462F">
        <w:rPr>
          <w:rFonts w:ascii="Arial" w:hAnsi="Arial" w:cs="Arial"/>
        </w:rPr>
        <w:t>change (</w:t>
      </w:r>
      <w:r w:rsidR="00CD4A5B" w:rsidRPr="00B5462F">
        <w:rPr>
          <w:rFonts w:ascii="Arial" w:hAnsi="Arial" w:cs="Arial"/>
        </w:rPr>
        <w:t>Rista Sihombing, Maffett and Rico Nur Ilham, 2022)</w:t>
      </w:r>
      <w:r w:rsidRPr="00B5462F">
        <w:rPr>
          <w:rFonts w:ascii="Arial" w:hAnsi="Arial" w:cs="Arial"/>
        </w:rPr>
        <w:t>. This helps with a more straightforward and smooth transition. Analyzed leaders can successfully implement the turnaround plan by developing a flexible and conducive organizational culture, which can help overcome challenges, lead with obstacles, and navigate towards strategic goals.</w:t>
      </w:r>
    </w:p>
    <w:p w14:paraId="7FCC6B2F" w14:textId="77777777" w:rsidR="007B41EA" w:rsidRPr="00B5462F" w:rsidRDefault="00D476DD" w:rsidP="00B5462F">
      <w:pPr>
        <w:pStyle w:val="Heading1"/>
        <w:spacing w:before="120" w:after="120" w:line="360" w:lineRule="auto"/>
        <w:jc w:val="both"/>
        <w:rPr>
          <w:rFonts w:ascii="Arial" w:hAnsi="Arial" w:cs="Arial"/>
        </w:rPr>
      </w:pPr>
      <w:bookmarkStart w:id="11" w:name="_Toc159523995"/>
      <w:r w:rsidRPr="00B5462F">
        <w:rPr>
          <w:rFonts w:ascii="Arial" w:hAnsi="Arial" w:cs="Arial"/>
        </w:rPr>
        <w:t>Risk Management</w:t>
      </w:r>
      <w:bookmarkEnd w:id="11"/>
      <w:r w:rsidRPr="00B5462F">
        <w:rPr>
          <w:rFonts w:ascii="Arial" w:hAnsi="Arial" w:cs="Arial"/>
        </w:rPr>
        <w:t xml:space="preserve"> </w:t>
      </w:r>
    </w:p>
    <w:tbl>
      <w:tblPr>
        <w:tblStyle w:val="PlainTable51"/>
        <w:tblW w:w="10380" w:type="dxa"/>
        <w:tblLook w:val="04A0" w:firstRow="1" w:lastRow="0" w:firstColumn="1" w:lastColumn="0" w:noHBand="0" w:noVBand="1"/>
      </w:tblPr>
      <w:tblGrid>
        <w:gridCol w:w="1534"/>
        <w:gridCol w:w="1297"/>
        <w:gridCol w:w="937"/>
        <w:gridCol w:w="4032"/>
        <w:gridCol w:w="2580"/>
      </w:tblGrid>
      <w:tr w:rsidR="00064B06" w:rsidRPr="00B5462F" w14:paraId="483C3539" w14:textId="77777777" w:rsidTr="00064B0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038E9AD"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Potential Risks</w:t>
            </w:r>
          </w:p>
        </w:tc>
        <w:tc>
          <w:tcPr>
            <w:tcW w:w="0" w:type="auto"/>
            <w:hideMark/>
          </w:tcPr>
          <w:p w14:paraId="02697894"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Likelihood</w:t>
            </w:r>
          </w:p>
        </w:tc>
        <w:tc>
          <w:tcPr>
            <w:tcW w:w="0" w:type="auto"/>
            <w:hideMark/>
          </w:tcPr>
          <w:p w14:paraId="23437A5E"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Impact</w:t>
            </w:r>
          </w:p>
        </w:tc>
        <w:tc>
          <w:tcPr>
            <w:tcW w:w="0" w:type="auto"/>
            <w:hideMark/>
          </w:tcPr>
          <w:p w14:paraId="6EBA2F41"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Mitigation Strategies</w:t>
            </w:r>
          </w:p>
        </w:tc>
        <w:tc>
          <w:tcPr>
            <w:tcW w:w="0" w:type="auto"/>
            <w:hideMark/>
          </w:tcPr>
          <w:p w14:paraId="77B3CFEA" w14:textId="77777777" w:rsidR="00E6126D" w:rsidRPr="00B5462F" w:rsidRDefault="00D476DD" w:rsidP="00B5462F">
            <w:pPr>
              <w:pStyle w:val="NoSpacing"/>
              <w:spacing w:before="120" w:after="1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Contingency Plans</w:t>
            </w:r>
          </w:p>
        </w:tc>
      </w:tr>
      <w:tr w:rsidR="00064B06" w:rsidRPr="00B5462F" w14:paraId="495FB589"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D2B73B"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Cost overruns</w:t>
            </w:r>
          </w:p>
        </w:tc>
        <w:tc>
          <w:tcPr>
            <w:tcW w:w="0" w:type="auto"/>
            <w:hideMark/>
          </w:tcPr>
          <w:p w14:paraId="56CC1F02"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High</w:t>
            </w:r>
          </w:p>
        </w:tc>
        <w:tc>
          <w:tcPr>
            <w:tcW w:w="0" w:type="auto"/>
            <w:hideMark/>
          </w:tcPr>
          <w:p w14:paraId="6FCE81FD"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High</w:t>
            </w:r>
          </w:p>
        </w:tc>
        <w:tc>
          <w:tcPr>
            <w:tcW w:w="0" w:type="auto"/>
            <w:hideMark/>
          </w:tcPr>
          <w:p w14:paraId="605DC730" w14:textId="694ADC3B"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Implement strict budget controls. Regularly monitor expenses and compare them against budgeted amounts. Identify cost-saving opportunities</w:t>
            </w:r>
            <w:r w:rsidR="00CD4A5B" w:rsidRPr="00B5462F">
              <w:rPr>
                <w:rFonts w:ascii="Arial" w:hAnsi="Arial" w:cs="Arial"/>
              </w:rPr>
              <w:t>(Shabbir and Wisdom, 2020)</w:t>
            </w:r>
          </w:p>
        </w:tc>
        <w:tc>
          <w:tcPr>
            <w:tcW w:w="0" w:type="auto"/>
            <w:hideMark/>
          </w:tcPr>
          <w:p w14:paraId="08AF5515"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Allocate emergency funds or seek additional financing to cover unexpected expenses.</w:t>
            </w:r>
          </w:p>
        </w:tc>
      </w:tr>
      <w:tr w:rsidR="00064B06" w:rsidRPr="00B5462F" w14:paraId="7D7D1B33" w14:textId="77777777" w:rsidTr="00064B06">
        <w:tc>
          <w:tcPr>
            <w:cnfStyle w:val="001000000000" w:firstRow="0" w:lastRow="0" w:firstColumn="1" w:lastColumn="0" w:oddVBand="0" w:evenVBand="0" w:oddHBand="0" w:evenHBand="0" w:firstRowFirstColumn="0" w:firstRowLastColumn="0" w:lastRowFirstColumn="0" w:lastRowLastColumn="0"/>
            <w:tcW w:w="0" w:type="auto"/>
            <w:hideMark/>
          </w:tcPr>
          <w:p w14:paraId="77C4175E"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Resistance to change</w:t>
            </w:r>
          </w:p>
        </w:tc>
        <w:tc>
          <w:tcPr>
            <w:tcW w:w="0" w:type="auto"/>
            <w:hideMark/>
          </w:tcPr>
          <w:p w14:paraId="38C15FBE"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Medium</w:t>
            </w:r>
          </w:p>
        </w:tc>
        <w:tc>
          <w:tcPr>
            <w:tcW w:w="0" w:type="auto"/>
            <w:hideMark/>
          </w:tcPr>
          <w:p w14:paraId="6D82D9C2"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High</w:t>
            </w:r>
          </w:p>
        </w:tc>
        <w:tc>
          <w:tcPr>
            <w:tcW w:w="0" w:type="auto"/>
            <w:hideMark/>
          </w:tcPr>
          <w:p w14:paraId="4FE8CA3B" w14:textId="4AFCAC8F"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Communicate the benefits of change clearly and transparently. Provide training and support to employees. Involve employees in the decision-making process</w:t>
            </w:r>
            <w:r w:rsidR="00CD4A5B" w:rsidRPr="00B5462F">
              <w:rPr>
                <w:rFonts w:ascii="Arial" w:hAnsi="Arial" w:cs="Arial"/>
              </w:rPr>
              <w:t xml:space="preserve"> (ÜNVAN, 2020)</w:t>
            </w:r>
            <w:r w:rsidRPr="00B5462F">
              <w:rPr>
                <w:rFonts w:ascii="Arial" w:hAnsi="Arial" w:cs="Arial"/>
              </w:rPr>
              <w:t>.</w:t>
            </w:r>
          </w:p>
        </w:tc>
        <w:tc>
          <w:tcPr>
            <w:tcW w:w="0" w:type="auto"/>
            <w:hideMark/>
          </w:tcPr>
          <w:p w14:paraId="30A322DC" w14:textId="77777777" w:rsidR="00E6126D" w:rsidRPr="00B5462F" w:rsidRDefault="00D476DD" w:rsidP="00B5462F">
            <w:pPr>
              <w:pStyle w:val="NoSpacing"/>
              <w:spacing w:before="120" w:after="12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5462F">
              <w:rPr>
                <w:rFonts w:ascii="Arial" w:hAnsi="Arial" w:cs="Arial"/>
              </w:rPr>
              <w:t>Offer incentives or rewards for embracing change</w:t>
            </w:r>
          </w:p>
        </w:tc>
      </w:tr>
      <w:tr w:rsidR="00064B06" w:rsidRPr="00B5462F" w14:paraId="06A39366" w14:textId="77777777" w:rsidTr="00064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896618" w14:textId="77777777" w:rsidR="00E6126D" w:rsidRPr="00B5462F" w:rsidRDefault="00D476DD" w:rsidP="00B5462F">
            <w:pPr>
              <w:pStyle w:val="NoSpacing"/>
              <w:spacing w:before="120" w:after="120"/>
              <w:jc w:val="both"/>
              <w:rPr>
                <w:rFonts w:ascii="Arial" w:hAnsi="Arial" w:cs="Arial"/>
              </w:rPr>
            </w:pPr>
            <w:r w:rsidRPr="00B5462F">
              <w:rPr>
                <w:rFonts w:ascii="Arial" w:hAnsi="Arial" w:cs="Arial"/>
              </w:rPr>
              <w:t>Market fluctuations</w:t>
            </w:r>
          </w:p>
        </w:tc>
        <w:tc>
          <w:tcPr>
            <w:tcW w:w="0" w:type="auto"/>
            <w:hideMark/>
          </w:tcPr>
          <w:p w14:paraId="091E7639"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High</w:t>
            </w:r>
          </w:p>
        </w:tc>
        <w:tc>
          <w:tcPr>
            <w:tcW w:w="0" w:type="auto"/>
            <w:hideMark/>
          </w:tcPr>
          <w:p w14:paraId="70AA1177"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High</w:t>
            </w:r>
          </w:p>
        </w:tc>
        <w:tc>
          <w:tcPr>
            <w:tcW w:w="0" w:type="auto"/>
            <w:hideMark/>
          </w:tcPr>
          <w:p w14:paraId="476CFB3D" w14:textId="77777777"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t xml:space="preserve">Diversify revenue streams to reduce dependency on volatile </w:t>
            </w:r>
            <w:r w:rsidRPr="00B5462F">
              <w:rPr>
                <w:rFonts w:ascii="Arial" w:hAnsi="Arial" w:cs="Arial"/>
              </w:rPr>
              <w:lastRenderedPageBreak/>
              <w:t>markets. Conduct regular market analysis to anticipate trends and adjust strategies accordingly.</w:t>
            </w:r>
          </w:p>
        </w:tc>
        <w:tc>
          <w:tcPr>
            <w:tcW w:w="0" w:type="auto"/>
            <w:hideMark/>
          </w:tcPr>
          <w:p w14:paraId="3AEF3A7D" w14:textId="13DD6CFF" w:rsidR="00E6126D" w:rsidRPr="00B5462F" w:rsidRDefault="00D476DD" w:rsidP="00B5462F">
            <w:pPr>
              <w:pStyle w:val="NoSpacing"/>
              <w:spacing w:before="120" w:after="12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5462F">
              <w:rPr>
                <w:rFonts w:ascii="Arial" w:hAnsi="Arial" w:cs="Arial"/>
              </w:rPr>
              <w:lastRenderedPageBreak/>
              <w:t xml:space="preserve">Develop flexible pricing strategies and </w:t>
            </w:r>
            <w:r w:rsidRPr="00B5462F">
              <w:rPr>
                <w:rFonts w:ascii="Arial" w:hAnsi="Arial" w:cs="Arial"/>
              </w:rPr>
              <w:lastRenderedPageBreak/>
              <w:t>promotional offers to adapt to changing market conditions</w:t>
            </w:r>
            <w:r w:rsidR="00CD4A5B" w:rsidRPr="00B5462F">
              <w:rPr>
                <w:rFonts w:ascii="Arial" w:hAnsi="Arial" w:cs="Arial"/>
              </w:rPr>
              <w:t xml:space="preserve"> (Xue et al., 2020)</w:t>
            </w:r>
            <w:r w:rsidRPr="00B5462F">
              <w:rPr>
                <w:rFonts w:ascii="Arial" w:hAnsi="Arial" w:cs="Arial"/>
              </w:rPr>
              <w:t>.</w:t>
            </w:r>
          </w:p>
        </w:tc>
      </w:tr>
    </w:tbl>
    <w:p w14:paraId="4C5A5631" w14:textId="77777777" w:rsidR="00E6126D" w:rsidRPr="00B5462F" w:rsidRDefault="00D476DD" w:rsidP="00B5462F">
      <w:pPr>
        <w:pStyle w:val="Heading1"/>
        <w:spacing w:before="120" w:after="120" w:line="360" w:lineRule="auto"/>
        <w:jc w:val="both"/>
        <w:rPr>
          <w:rFonts w:ascii="Arial" w:hAnsi="Arial" w:cs="Arial"/>
          <w:lang w:val="en-US"/>
        </w:rPr>
      </w:pPr>
      <w:bookmarkStart w:id="12" w:name="_Toc159523996"/>
      <w:r w:rsidRPr="00B5462F">
        <w:rPr>
          <w:rFonts w:ascii="Arial" w:hAnsi="Arial" w:cs="Arial"/>
          <w:lang w:val="en-US"/>
        </w:rPr>
        <w:lastRenderedPageBreak/>
        <w:t>Conclusion</w:t>
      </w:r>
      <w:bookmarkEnd w:id="12"/>
      <w:r w:rsidRPr="00B5462F">
        <w:rPr>
          <w:rFonts w:ascii="Arial" w:hAnsi="Arial" w:cs="Arial"/>
          <w:lang w:val="en-US"/>
        </w:rPr>
        <w:t xml:space="preserve"> </w:t>
      </w:r>
    </w:p>
    <w:p w14:paraId="40A98119" w14:textId="77777777" w:rsidR="00E6126D" w:rsidRPr="00B5462F" w:rsidRDefault="00D476DD" w:rsidP="00B5462F">
      <w:pPr>
        <w:pStyle w:val="NoSpacing"/>
        <w:spacing w:before="120" w:after="120"/>
        <w:jc w:val="both"/>
        <w:rPr>
          <w:rFonts w:ascii="Arial" w:hAnsi="Arial" w:cs="Arial"/>
        </w:rPr>
      </w:pPr>
      <w:r w:rsidRPr="00B5462F">
        <w:rPr>
          <w:rStyle w:val="text-with-replacments"/>
          <w:rFonts w:ascii="Arial" w:hAnsi="Arial" w:cs="Arial"/>
        </w:rPr>
        <w:t>Finally, the turnaround strategy being portrayed for The Seacrest Lodge is anchored on a thorough review of the resort's financial performance, market dynamics, and operational issues. Looking to critical issues, including falling profitability, aging services, and customer dissatisfaction, will allow the hosts a degree of positioning in the competitive hospitality domain for greater sustainable growth and success. The action plan backed by effective leadership, change management, and risk mitigation strategies gives an implementation direction to execute the proposed initiatives successfully. The business is underpinned by innovation, customer-centricity, and adaptability; hence, it is better placed to revive and recover and again be declared the best vacation destination.</w:t>
      </w:r>
    </w:p>
    <w:p w14:paraId="41CA7A1E" w14:textId="77777777" w:rsidR="00E6126D" w:rsidRPr="00B5462F" w:rsidRDefault="00E6126D" w:rsidP="00B5462F">
      <w:pPr>
        <w:spacing w:before="120" w:after="120" w:line="360" w:lineRule="auto"/>
        <w:jc w:val="both"/>
        <w:rPr>
          <w:rFonts w:ascii="Arial" w:hAnsi="Arial" w:cs="Arial"/>
          <w:color w:val="000000"/>
          <w:sz w:val="27"/>
          <w:szCs w:val="27"/>
        </w:rPr>
      </w:pPr>
    </w:p>
    <w:p w14:paraId="0FBBA92B" w14:textId="77777777" w:rsidR="009A5490" w:rsidRPr="00B5462F" w:rsidRDefault="009A5490" w:rsidP="00B5462F">
      <w:pPr>
        <w:spacing w:before="120" w:after="120" w:line="360" w:lineRule="auto"/>
        <w:jc w:val="both"/>
        <w:rPr>
          <w:rFonts w:ascii="Arial" w:hAnsi="Arial" w:cs="Arial"/>
          <w:color w:val="000000"/>
          <w:sz w:val="27"/>
          <w:szCs w:val="27"/>
        </w:rPr>
      </w:pPr>
    </w:p>
    <w:p w14:paraId="2D55890D" w14:textId="77777777" w:rsidR="009A5490" w:rsidRPr="00B5462F" w:rsidRDefault="009A5490" w:rsidP="00B5462F">
      <w:pPr>
        <w:spacing w:before="120" w:after="120" w:line="360" w:lineRule="auto"/>
        <w:jc w:val="both"/>
        <w:rPr>
          <w:rFonts w:ascii="Arial" w:hAnsi="Arial" w:cs="Arial"/>
          <w:color w:val="000000"/>
          <w:sz w:val="27"/>
          <w:szCs w:val="27"/>
        </w:rPr>
      </w:pPr>
    </w:p>
    <w:p w14:paraId="45777490" w14:textId="77777777" w:rsidR="00E6126D" w:rsidRPr="00B5462F" w:rsidRDefault="00E6126D" w:rsidP="00B5462F">
      <w:pPr>
        <w:spacing w:before="120" w:after="120" w:line="360" w:lineRule="auto"/>
        <w:jc w:val="both"/>
        <w:rPr>
          <w:rFonts w:ascii="Arial" w:hAnsi="Arial" w:cs="Arial"/>
          <w:lang w:val="en-US"/>
        </w:rPr>
      </w:pPr>
    </w:p>
    <w:p w14:paraId="12BFA509" w14:textId="77777777" w:rsidR="00E6126D" w:rsidRPr="00B5462F" w:rsidRDefault="00E6126D" w:rsidP="00B5462F">
      <w:pPr>
        <w:pStyle w:val="Heading1"/>
        <w:spacing w:before="120" w:after="120" w:line="360" w:lineRule="auto"/>
        <w:jc w:val="both"/>
        <w:rPr>
          <w:rFonts w:ascii="Arial" w:hAnsi="Arial" w:cs="Arial"/>
        </w:rPr>
      </w:pPr>
    </w:p>
    <w:p w14:paraId="4F697723" w14:textId="77777777" w:rsidR="00B5462F" w:rsidRDefault="00B5462F">
      <w:pPr>
        <w:spacing w:after="160" w:line="259" w:lineRule="auto"/>
        <w:rPr>
          <w:rFonts w:ascii="Arial" w:eastAsiaTheme="majorEastAsia" w:hAnsi="Arial" w:cs="Arial"/>
          <w:b/>
          <w:szCs w:val="32"/>
        </w:rPr>
      </w:pPr>
      <w:bookmarkStart w:id="13" w:name="_Toc159523997"/>
      <w:r>
        <w:rPr>
          <w:rFonts w:ascii="Arial" w:hAnsi="Arial" w:cs="Arial"/>
        </w:rPr>
        <w:br w:type="page"/>
      </w:r>
    </w:p>
    <w:p w14:paraId="70EA24C1" w14:textId="7F11229A" w:rsidR="00CD4A5B" w:rsidRPr="00B5462F" w:rsidRDefault="00D476DD" w:rsidP="00B5462F">
      <w:pPr>
        <w:pStyle w:val="Heading1"/>
        <w:spacing w:before="120" w:after="120" w:line="360" w:lineRule="auto"/>
        <w:jc w:val="both"/>
        <w:rPr>
          <w:rFonts w:ascii="Arial" w:hAnsi="Arial" w:cs="Arial"/>
        </w:rPr>
      </w:pPr>
      <w:r w:rsidRPr="00B5462F">
        <w:rPr>
          <w:rFonts w:ascii="Arial" w:hAnsi="Arial" w:cs="Arial"/>
        </w:rPr>
        <w:lastRenderedPageBreak/>
        <w:t>References</w:t>
      </w:r>
      <w:bookmarkEnd w:id="13"/>
    </w:p>
    <w:p w14:paraId="1C9A07F8" w14:textId="0476A117" w:rsidR="00CD4A5B" w:rsidRPr="00B5462F" w:rsidRDefault="00CD4A5B" w:rsidP="00B5462F">
      <w:pPr>
        <w:pStyle w:val="NormalWeb"/>
        <w:spacing w:before="120" w:beforeAutospacing="0" w:after="120" w:afterAutospacing="0" w:line="360" w:lineRule="auto"/>
        <w:ind w:left="720" w:hanging="720"/>
        <w:jc w:val="both"/>
        <w:rPr>
          <w:rFonts w:ascii="Arial" w:hAnsi="Arial" w:cs="Arial"/>
          <w:lang w:val="en-US" w:eastAsia="en-US"/>
        </w:rPr>
      </w:pPr>
      <w:r w:rsidRPr="00B5462F">
        <w:rPr>
          <w:rFonts w:ascii="Arial" w:hAnsi="Arial" w:cs="Arial"/>
        </w:rPr>
        <w:t xml:space="preserve">Abd Rahim, Z.H., Abdullah Fahami, N., Azhar, F.W., Abd Karim, H. and Abdul Rahim, S.K.N. (2020). Application of TOPSIS Analysis Method in Financial Performance Evaluation: A Case Study of Construction Sector in Malaysia. </w:t>
      </w:r>
      <w:r w:rsidRPr="00B5462F">
        <w:rPr>
          <w:rFonts w:ascii="Arial" w:hAnsi="Arial" w:cs="Arial"/>
          <w:i/>
          <w:iCs/>
        </w:rPr>
        <w:t>ADVANCES IN BUSINESS RESEARCH INTERNATIONAL JOURNAL</w:t>
      </w:r>
      <w:r w:rsidRPr="00B5462F">
        <w:rPr>
          <w:rFonts w:ascii="Arial" w:hAnsi="Arial" w:cs="Arial"/>
        </w:rPr>
        <w:t xml:space="preserve">, 6(1), p.11. </w:t>
      </w:r>
    </w:p>
    <w:p w14:paraId="5C306C8A" w14:textId="560EB004"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Ahmad, N., Mobarek, A. and Roni, N.N. (2021). Revisiting the impact of ESG on financial performance of FTSE350 UK firms: Static and dynamic panel data analysis. </w:t>
      </w:r>
      <w:r w:rsidRPr="00B5462F">
        <w:rPr>
          <w:rFonts w:ascii="Arial" w:hAnsi="Arial" w:cs="Arial"/>
          <w:i/>
          <w:iCs/>
        </w:rPr>
        <w:t>Cogent Business &amp; Management</w:t>
      </w:r>
      <w:r w:rsidRPr="00B5462F">
        <w:rPr>
          <w:rFonts w:ascii="Arial" w:hAnsi="Arial" w:cs="Arial"/>
        </w:rPr>
        <w:t xml:space="preserve">, [online] 8(1), p.1900500. </w:t>
      </w:r>
    </w:p>
    <w:p w14:paraId="48C0D3DB" w14:textId="77777777"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Citra, S., Magister, M., Universitas, M., Buana, E., Endri, M. and Manajemen (2020). Dupont Analysis for the Financial Performance of Trading, Service &amp; Investment Companies in Indonesia. </w:t>
      </w:r>
      <w:r w:rsidRPr="00B5462F">
        <w:rPr>
          <w:rFonts w:ascii="Arial" w:hAnsi="Arial" w:cs="Arial"/>
          <w:i/>
          <w:iCs/>
        </w:rPr>
        <w:t>International Journal of Innovative Science and Research Technology</w:t>
      </w:r>
      <w:r w:rsidRPr="00B5462F">
        <w:rPr>
          <w:rFonts w:ascii="Arial" w:hAnsi="Arial" w:cs="Arial"/>
        </w:rPr>
        <w:t>, [online] 5(4). Available at: https://ijisrt.com/assets/upload/files/IJISRT20APR346.pdf.</w:t>
      </w:r>
    </w:p>
    <w:p w14:paraId="288C5DB7" w14:textId="77777777"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Ginting, E.S. (2021). Ratio-Based Financial Performance Analysis of PT. Mustika Ratu, Tbk. </w:t>
      </w:r>
      <w:r w:rsidRPr="00B5462F">
        <w:rPr>
          <w:rFonts w:ascii="Arial" w:hAnsi="Arial" w:cs="Arial"/>
          <w:i/>
          <w:iCs/>
        </w:rPr>
        <w:t>Enrichment : Journal of Management</w:t>
      </w:r>
      <w:r w:rsidRPr="00B5462F">
        <w:rPr>
          <w:rFonts w:ascii="Arial" w:hAnsi="Arial" w:cs="Arial"/>
        </w:rPr>
        <w:t>, [online] 11(2), pp.456–462. Available at: https://www.enrichment.iocspublisher.org/index.php/enrichment/article/view/124.</w:t>
      </w:r>
    </w:p>
    <w:p w14:paraId="2BF3F133" w14:textId="0C83804B"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Herman, E., Zsido, K.-E. and Fenyves, V. (2022). Cluster Analysis with K-Mean versus K-Medoid in Financial Performance Evaluation. </w:t>
      </w:r>
      <w:r w:rsidRPr="00B5462F">
        <w:rPr>
          <w:rFonts w:ascii="Arial" w:hAnsi="Arial" w:cs="Arial"/>
          <w:i/>
          <w:iCs/>
        </w:rPr>
        <w:t>Applied Sciences</w:t>
      </w:r>
      <w:r w:rsidRPr="00B5462F">
        <w:rPr>
          <w:rFonts w:ascii="Arial" w:hAnsi="Arial" w:cs="Arial"/>
        </w:rPr>
        <w:t xml:space="preserve">, [online] 12(16), p.7985. </w:t>
      </w:r>
    </w:p>
    <w:p w14:paraId="48790273" w14:textId="2BDD73DF"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Huang, K., Sim, N. and Zhao, H. (2020). Corporate social responsibility, corporate financial performance and the confounding effects of economic fluctuations: A meta-analysis. </w:t>
      </w:r>
      <w:r w:rsidRPr="00B5462F">
        <w:rPr>
          <w:rFonts w:ascii="Arial" w:hAnsi="Arial" w:cs="Arial"/>
          <w:i/>
          <w:iCs/>
        </w:rPr>
        <w:t>International Review of Financial Analysis</w:t>
      </w:r>
      <w:r w:rsidRPr="00B5462F">
        <w:rPr>
          <w:rFonts w:ascii="Arial" w:hAnsi="Arial" w:cs="Arial"/>
        </w:rPr>
        <w:t xml:space="preserve">, 70, p.101504. </w:t>
      </w:r>
    </w:p>
    <w:p w14:paraId="655FD635" w14:textId="69B2F572"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Jha, M.K. and Rangarajan, K. (2020). Analysis of corporate sustainability performance and corporate financial performance causal linkage in the Indian context. </w:t>
      </w:r>
      <w:r w:rsidRPr="00B5462F">
        <w:rPr>
          <w:rFonts w:ascii="Arial" w:hAnsi="Arial" w:cs="Arial"/>
          <w:i/>
          <w:iCs/>
        </w:rPr>
        <w:t>Asian Journal of Sustainability and Social Responsibility</w:t>
      </w:r>
      <w:r w:rsidRPr="00B5462F">
        <w:rPr>
          <w:rFonts w:ascii="Arial" w:hAnsi="Arial" w:cs="Arial"/>
        </w:rPr>
        <w:t xml:space="preserve">, 5(1). </w:t>
      </w:r>
    </w:p>
    <w:p w14:paraId="28A9A6B1" w14:textId="117F028A"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Kabir, M.A. and Chowdhury, S.S. (2022). Empirical analysis of the corporate social responsibility and financial performance causal nexus: Evidence from the banking sector of Bangladesh. </w:t>
      </w:r>
      <w:r w:rsidRPr="00B5462F">
        <w:rPr>
          <w:rFonts w:ascii="Arial" w:hAnsi="Arial" w:cs="Arial"/>
          <w:i/>
          <w:iCs/>
        </w:rPr>
        <w:t>Asia Pacific Management Review</w:t>
      </w:r>
      <w:r w:rsidRPr="00B5462F">
        <w:rPr>
          <w:rFonts w:ascii="Arial" w:hAnsi="Arial" w:cs="Arial"/>
        </w:rPr>
        <w:t xml:space="preserve">, 28(1). </w:t>
      </w:r>
    </w:p>
    <w:p w14:paraId="0F6C9C4F" w14:textId="50911FBB"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lastRenderedPageBreak/>
        <w:t xml:space="preserve">Levytska, S., Akimova, L., Zaiachkivska, O., Karpa, M. and Gupta, S.K. (2020). MODERN ANALYTICAL INSTRUMENTS FOR CONTROLLING THE ENTERPRISE FINANCIAL PERFORMANCE. </w:t>
      </w:r>
      <w:r w:rsidRPr="00B5462F">
        <w:rPr>
          <w:rFonts w:ascii="Arial" w:hAnsi="Arial" w:cs="Arial"/>
          <w:i/>
          <w:iCs/>
        </w:rPr>
        <w:t>Financial and credit activity problems of theory and practice</w:t>
      </w:r>
      <w:r w:rsidRPr="00B5462F">
        <w:rPr>
          <w:rFonts w:ascii="Arial" w:hAnsi="Arial" w:cs="Arial"/>
        </w:rPr>
        <w:t xml:space="preserve">, [online] 2(33), pp.314–323. </w:t>
      </w:r>
    </w:p>
    <w:p w14:paraId="54B54B87" w14:textId="6A7B1A3B"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Liu, P., Zhu, B., Yang, M. and Chu, X. (2022). ESG and financial performance: A qualitative comparative analysis in China’s new energy companies. </w:t>
      </w:r>
      <w:r w:rsidRPr="00B5462F">
        <w:rPr>
          <w:rFonts w:ascii="Arial" w:hAnsi="Arial" w:cs="Arial"/>
          <w:i/>
          <w:iCs/>
        </w:rPr>
        <w:t>Journal of Cleaner Production</w:t>
      </w:r>
      <w:r w:rsidRPr="00B5462F">
        <w:rPr>
          <w:rFonts w:ascii="Arial" w:hAnsi="Arial" w:cs="Arial"/>
        </w:rPr>
        <w:t xml:space="preserve">, 379, p.134721. </w:t>
      </w:r>
    </w:p>
    <w:p w14:paraId="4A1F6929" w14:textId="77777777"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M Allo, Y.R. (2021). The Analysis of Financial Statements Performance: Case Studies PT. Bank Negara Indonesia (Persero). </w:t>
      </w:r>
      <w:r w:rsidRPr="00B5462F">
        <w:rPr>
          <w:rFonts w:ascii="Arial" w:hAnsi="Arial" w:cs="Arial"/>
          <w:i/>
          <w:iCs/>
        </w:rPr>
        <w:t>Golden Ratio of Finance Management</w:t>
      </w:r>
      <w:r w:rsidRPr="00B5462F">
        <w:rPr>
          <w:rFonts w:ascii="Arial" w:hAnsi="Arial" w:cs="Arial"/>
        </w:rPr>
        <w:t>, [online] 1(2), pp.87–100. Available at: http://repository.uki.ac.id/4586/.</w:t>
      </w:r>
    </w:p>
    <w:p w14:paraId="3212320C" w14:textId="0FAA2659"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Ma, W., Zheng, H., Zhu, Y. and Qi, J. (2021). Effects of cooperative membership on financial performance of banana farmers in China: A heterogeneous analysis. </w:t>
      </w:r>
      <w:r w:rsidRPr="00B5462F">
        <w:rPr>
          <w:rFonts w:ascii="Arial" w:hAnsi="Arial" w:cs="Arial"/>
          <w:i/>
          <w:iCs/>
        </w:rPr>
        <w:t>Annals of Public and Cooperative Economics</w:t>
      </w:r>
      <w:r w:rsidRPr="00B5462F">
        <w:rPr>
          <w:rFonts w:ascii="Arial" w:hAnsi="Arial" w:cs="Arial"/>
        </w:rPr>
        <w:t xml:space="preserve">. </w:t>
      </w:r>
    </w:p>
    <w:p w14:paraId="7F16BC44" w14:textId="642EAB25"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Oktalina, G. (2020). Analysis of Regional Financial Performance through the Independence Ratio, Effectiveness Ratio, and Growth Ratio in the District South Bangka. </w:t>
      </w:r>
      <w:r w:rsidRPr="00B5462F">
        <w:rPr>
          <w:rFonts w:ascii="Arial" w:hAnsi="Arial" w:cs="Arial"/>
          <w:i/>
          <w:iCs/>
        </w:rPr>
        <w:t>International Journal of Finance Research</w:t>
      </w:r>
      <w:r w:rsidRPr="00B5462F">
        <w:rPr>
          <w:rFonts w:ascii="Arial" w:hAnsi="Arial" w:cs="Arial"/>
        </w:rPr>
        <w:t xml:space="preserve">, 1(2). </w:t>
      </w:r>
    </w:p>
    <w:p w14:paraId="2641689A" w14:textId="6D68A82B"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Prabowo, S.C.B. and Korsakul, N. (2020). ANALYSIS OF FINANCIAL PERFORMANCE OF MINING COMPANIES LISTED IN INDONESIA STOCK EXCHANGE. </w:t>
      </w:r>
      <w:r w:rsidRPr="00B5462F">
        <w:rPr>
          <w:rFonts w:ascii="Arial" w:hAnsi="Arial" w:cs="Arial"/>
          <w:i/>
          <w:iCs/>
        </w:rPr>
        <w:t>JURNAL APLIKASI MANAJEMEN</w:t>
      </w:r>
      <w:r w:rsidRPr="00B5462F">
        <w:rPr>
          <w:rFonts w:ascii="Arial" w:hAnsi="Arial" w:cs="Arial"/>
        </w:rPr>
        <w:t xml:space="preserve">, 18(1), pp.28–45. </w:t>
      </w:r>
    </w:p>
    <w:p w14:paraId="3656A500" w14:textId="630871E1"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Purba, J.H.V. and Bimantara, D. (2020). </w:t>
      </w:r>
      <w:r w:rsidRPr="00B5462F">
        <w:rPr>
          <w:rFonts w:ascii="Arial" w:hAnsi="Arial" w:cs="Arial"/>
          <w:i/>
          <w:iCs/>
        </w:rPr>
        <w:t>The Influence of Asset Management on Financial Performance, with Panel Data Analysis</w:t>
      </w:r>
      <w:r w:rsidRPr="00B5462F">
        <w:rPr>
          <w:rFonts w:ascii="Arial" w:hAnsi="Arial" w:cs="Arial"/>
        </w:rPr>
        <w:t xml:space="preserve">. [online] www.atlantis-press.com. </w:t>
      </w:r>
    </w:p>
    <w:p w14:paraId="3504CEA9" w14:textId="5605B31B"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Rista Sihombing, Maffett, M.G. and Rico Nur Ilham (2022). FINANCIAL RATIO ANALYSIS AND COMMON SIZE TO ASSESS FINANCIAL PERFORMANCE AT PT ASTRA AGRO LESTARI TBK AND ITS SUBSIDIARIES. </w:t>
      </w:r>
      <w:r w:rsidRPr="00B5462F">
        <w:rPr>
          <w:rFonts w:ascii="Arial" w:hAnsi="Arial" w:cs="Arial"/>
          <w:i/>
          <w:iCs/>
        </w:rPr>
        <w:t>Journal of Accounting Research, Utility Finance and Digital Assets</w:t>
      </w:r>
      <w:r w:rsidRPr="00B5462F">
        <w:rPr>
          <w:rFonts w:ascii="Arial" w:hAnsi="Arial" w:cs="Arial"/>
        </w:rPr>
        <w:t xml:space="preserve">, 1(2), pp.139–147. </w:t>
      </w:r>
    </w:p>
    <w:p w14:paraId="1479052F" w14:textId="33B50201"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Setiawan, C.A. and Rosa, T. (2023). The Analysis of The Effect of Return of Investment (ROI) on Stock Price and Financial Performance of a Company. </w:t>
      </w:r>
      <w:r w:rsidRPr="00B5462F">
        <w:rPr>
          <w:rFonts w:ascii="Arial" w:hAnsi="Arial" w:cs="Arial"/>
          <w:i/>
          <w:iCs/>
        </w:rPr>
        <w:t xml:space="preserve">Journal of </w:t>
      </w:r>
      <w:r w:rsidRPr="00B5462F">
        <w:rPr>
          <w:rFonts w:ascii="Arial" w:hAnsi="Arial" w:cs="Arial"/>
          <w:i/>
          <w:iCs/>
        </w:rPr>
        <w:lastRenderedPageBreak/>
        <w:t>Accounting, Management, Economics, and Business (ANALYSIS)</w:t>
      </w:r>
      <w:r w:rsidRPr="00B5462F">
        <w:rPr>
          <w:rFonts w:ascii="Arial" w:hAnsi="Arial" w:cs="Arial"/>
        </w:rPr>
        <w:t xml:space="preserve">, [online] 1(1), pp.20–29. </w:t>
      </w:r>
    </w:p>
    <w:p w14:paraId="01C8A31C" w14:textId="421AA91E"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Shabbir, M.S. and Wisdom, O. (2020). The relationship between corporate social responsibility, environmental investments and financial performance: evidence from manufacturing companies. </w:t>
      </w:r>
      <w:r w:rsidRPr="00B5462F">
        <w:rPr>
          <w:rFonts w:ascii="Arial" w:hAnsi="Arial" w:cs="Arial"/>
          <w:i/>
          <w:iCs/>
        </w:rPr>
        <w:t>Environmental Science and Pollution Research</w:t>
      </w:r>
      <w:r w:rsidRPr="00B5462F">
        <w:rPr>
          <w:rFonts w:ascii="Arial" w:hAnsi="Arial" w:cs="Arial"/>
        </w:rPr>
        <w:t xml:space="preserve">, [online] 27(3). </w:t>
      </w:r>
    </w:p>
    <w:p w14:paraId="09262425" w14:textId="13D6CC0D"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ÜNVAN, Y.A. (2020). Financial Performance Analysis of Banks with Topsis and Fuzzy Topsis Approaches. </w:t>
      </w:r>
      <w:r w:rsidRPr="00B5462F">
        <w:rPr>
          <w:rFonts w:ascii="Arial" w:hAnsi="Arial" w:cs="Arial"/>
          <w:i/>
          <w:iCs/>
        </w:rPr>
        <w:t>GAZI UNIVERSITY JOURNAL OF SCIENCE</w:t>
      </w:r>
      <w:r w:rsidRPr="00B5462F">
        <w:rPr>
          <w:rFonts w:ascii="Arial" w:hAnsi="Arial" w:cs="Arial"/>
        </w:rPr>
        <w:t xml:space="preserve">, pp.1–1. </w:t>
      </w:r>
    </w:p>
    <w:p w14:paraId="1745510D" w14:textId="325ED4A2" w:rsidR="00CD4A5B" w:rsidRPr="00B5462F" w:rsidRDefault="00CD4A5B" w:rsidP="00B5462F">
      <w:pPr>
        <w:pStyle w:val="NormalWeb"/>
        <w:spacing w:before="120" w:beforeAutospacing="0" w:after="120" w:afterAutospacing="0" w:line="360" w:lineRule="auto"/>
        <w:ind w:left="720" w:hanging="720"/>
        <w:jc w:val="both"/>
        <w:rPr>
          <w:rFonts w:ascii="Arial" w:hAnsi="Arial" w:cs="Arial"/>
        </w:rPr>
      </w:pPr>
      <w:r w:rsidRPr="00B5462F">
        <w:rPr>
          <w:rFonts w:ascii="Arial" w:hAnsi="Arial" w:cs="Arial"/>
        </w:rPr>
        <w:t xml:space="preserve">Xue, W., Li, H., Ali, R. and Rehman, R.U. (2020). Knowledge Mapping of Corporate Financial Performance Research: A Visual Analysis Using Cite Space and Ucinet. </w:t>
      </w:r>
      <w:r w:rsidRPr="00B5462F">
        <w:rPr>
          <w:rFonts w:ascii="Arial" w:hAnsi="Arial" w:cs="Arial"/>
          <w:i/>
          <w:iCs/>
        </w:rPr>
        <w:t>Sustainability</w:t>
      </w:r>
      <w:r w:rsidRPr="00B5462F">
        <w:rPr>
          <w:rFonts w:ascii="Arial" w:hAnsi="Arial" w:cs="Arial"/>
        </w:rPr>
        <w:t xml:space="preserve">, 12(9), </w:t>
      </w:r>
    </w:p>
    <w:p w14:paraId="5D2B1340" w14:textId="6190F214" w:rsidR="00C333AE" w:rsidRPr="00B5462F" w:rsidRDefault="00D476DD" w:rsidP="00B5462F">
      <w:pPr>
        <w:pStyle w:val="Heading1"/>
        <w:spacing w:before="120" w:after="120" w:line="360" w:lineRule="auto"/>
        <w:jc w:val="both"/>
        <w:rPr>
          <w:rFonts w:ascii="Arial" w:hAnsi="Arial" w:cs="Arial"/>
        </w:rPr>
      </w:pPr>
      <w:r w:rsidRPr="00B5462F">
        <w:rPr>
          <w:rFonts w:ascii="Arial" w:hAnsi="Arial" w:cs="Arial"/>
        </w:rPr>
        <w:t xml:space="preserve"> </w:t>
      </w:r>
    </w:p>
    <w:sectPr w:rsidR="00C333AE" w:rsidRPr="00B5462F" w:rsidSect="00BE77CD">
      <w:headerReference w:type="even" r:id="rId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129BD" w14:textId="77777777" w:rsidR="00BE77CD" w:rsidRDefault="00BE77CD">
      <w:r>
        <w:separator/>
      </w:r>
    </w:p>
  </w:endnote>
  <w:endnote w:type="continuationSeparator" w:id="0">
    <w:p w14:paraId="0A2676BF" w14:textId="77777777" w:rsidR="00BE77CD" w:rsidRDefault="00BE7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A4F04" w14:textId="77777777" w:rsidR="00BE77CD" w:rsidRDefault="00BE77CD">
      <w:r>
        <w:separator/>
      </w:r>
    </w:p>
  </w:footnote>
  <w:footnote w:type="continuationSeparator" w:id="0">
    <w:p w14:paraId="1BD3A2DF" w14:textId="77777777" w:rsidR="00BE77CD" w:rsidRDefault="00BE77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585902"/>
      <w:docPartObj>
        <w:docPartGallery w:val="Page Numbers (Top of Page)"/>
        <w:docPartUnique/>
      </w:docPartObj>
    </w:sdtPr>
    <w:sdtContent>
      <w:p w14:paraId="071A7405" w14:textId="77777777" w:rsidR="00E6126D" w:rsidRDefault="00D476DD" w:rsidP="00875FB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E186E3" w14:textId="77777777" w:rsidR="00E6126D" w:rsidRDefault="00E6126D" w:rsidP="00E6126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933549"/>
      <w:docPartObj>
        <w:docPartGallery w:val="Page Numbers (Top of Page)"/>
        <w:docPartUnique/>
      </w:docPartObj>
    </w:sdtPr>
    <w:sdtContent>
      <w:p w14:paraId="115F1FB5" w14:textId="77777777" w:rsidR="00E6126D" w:rsidRDefault="00D476DD" w:rsidP="00875FB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5462F">
          <w:rPr>
            <w:rStyle w:val="PageNumber"/>
            <w:noProof/>
          </w:rPr>
          <w:t>2</w:t>
        </w:r>
        <w:r>
          <w:rPr>
            <w:rStyle w:val="PageNumber"/>
          </w:rPr>
          <w:fldChar w:fldCharType="end"/>
        </w:r>
      </w:p>
    </w:sdtContent>
  </w:sdt>
  <w:p w14:paraId="09502BAA" w14:textId="77777777" w:rsidR="00E6126D" w:rsidRDefault="00E6126D" w:rsidP="00E6126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4773A"/>
    <w:multiLevelType w:val="multilevel"/>
    <w:tmpl w:val="564292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EE7367"/>
    <w:multiLevelType w:val="multilevel"/>
    <w:tmpl w:val="0B5AF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7C426E"/>
    <w:multiLevelType w:val="multilevel"/>
    <w:tmpl w:val="71B6F1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7586306">
    <w:abstractNumId w:val="2"/>
  </w:num>
  <w:num w:numId="2" w16cid:durableId="818375827">
    <w:abstractNumId w:val="0"/>
  </w:num>
  <w:num w:numId="3" w16cid:durableId="1721392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33AE"/>
    <w:rsid w:val="00064B06"/>
    <w:rsid w:val="00354E00"/>
    <w:rsid w:val="00645124"/>
    <w:rsid w:val="00677558"/>
    <w:rsid w:val="006A4C80"/>
    <w:rsid w:val="006E0C34"/>
    <w:rsid w:val="007B41EA"/>
    <w:rsid w:val="00875FB1"/>
    <w:rsid w:val="008D382C"/>
    <w:rsid w:val="009A5490"/>
    <w:rsid w:val="00A2279B"/>
    <w:rsid w:val="00B5462F"/>
    <w:rsid w:val="00B86D02"/>
    <w:rsid w:val="00B87EAF"/>
    <w:rsid w:val="00BE77CD"/>
    <w:rsid w:val="00C333AE"/>
    <w:rsid w:val="00CD4A5B"/>
    <w:rsid w:val="00D476DD"/>
    <w:rsid w:val="00E6126D"/>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8CD66"/>
  <w15:docId w15:val="{1EA58D6A-166E-42AB-ACCD-E180B2C3B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1EA"/>
    <w:pPr>
      <w:spacing w:after="0" w:line="240" w:lineRule="auto"/>
    </w:pPr>
    <w:rPr>
      <w:rFonts w:ascii="Times New Roman" w:eastAsia="Times New Roman" w:hAnsi="Times New Roman" w:cs="Times New Roman"/>
      <w:kern w:val="0"/>
      <w:sz w:val="24"/>
      <w:szCs w:val="24"/>
      <w:lang w:val="" w:eastAsia="ko-KR"/>
      <w14:ligatures w14:val="none"/>
    </w:rPr>
  </w:style>
  <w:style w:type="paragraph" w:styleId="Heading1">
    <w:name w:val="heading 1"/>
    <w:basedOn w:val="Normal"/>
    <w:next w:val="Normal"/>
    <w:link w:val="Heading1Char"/>
    <w:uiPriority w:val="9"/>
    <w:qFormat/>
    <w:rsid w:val="007B41EA"/>
    <w:pPr>
      <w:keepNext/>
      <w:keepLines/>
      <w:spacing w:before="240"/>
      <w:outlineLvl w:val="0"/>
    </w:pPr>
    <w:rPr>
      <w:rFonts w:asciiTheme="majorBidi" w:eastAsiaTheme="majorEastAsia" w:hAnsiTheme="majorBidi" w:cstheme="majorBidi"/>
      <w:b/>
      <w:szCs w:val="32"/>
    </w:rPr>
  </w:style>
  <w:style w:type="paragraph" w:styleId="Heading2">
    <w:name w:val="heading 2"/>
    <w:basedOn w:val="Normal"/>
    <w:next w:val="Normal"/>
    <w:link w:val="Heading2Char"/>
    <w:uiPriority w:val="9"/>
    <w:unhideWhenUsed/>
    <w:qFormat/>
    <w:rsid w:val="00E6126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33AE"/>
    <w:pPr>
      <w:spacing w:before="100" w:beforeAutospacing="1" w:after="100" w:afterAutospacing="1"/>
    </w:pPr>
  </w:style>
  <w:style w:type="character" w:styleId="Strong">
    <w:name w:val="Strong"/>
    <w:basedOn w:val="DefaultParagraphFont"/>
    <w:uiPriority w:val="22"/>
    <w:qFormat/>
    <w:rsid w:val="006A4C80"/>
    <w:rPr>
      <w:b/>
      <w:bCs/>
    </w:rPr>
  </w:style>
  <w:style w:type="character" w:customStyle="1" w:styleId="Heading1Char">
    <w:name w:val="Heading 1 Char"/>
    <w:basedOn w:val="DefaultParagraphFont"/>
    <w:link w:val="Heading1"/>
    <w:uiPriority w:val="9"/>
    <w:rsid w:val="007B41EA"/>
    <w:rPr>
      <w:rFonts w:asciiTheme="majorBidi" w:eastAsiaTheme="majorEastAsia" w:hAnsiTheme="majorBidi" w:cstheme="majorBidi"/>
      <w:b/>
      <w:sz w:val="24"/>
      <w:szCs w:val="32"/>
    </w:rPr>
  </w:style>
  <w:style w:type="character" w:customStyle="1" w:styleId="text-with-replacments">
    <w:name w:val="text-with-replacments"/>
    <w:basedOn w:val="DefaultParagraphFont"/>
    <w:rsid w:val="007B41EA"/>
  </w:style>
  <w:style w:type="paragraph" w:styleId="NoSpacing">
    <w:name w:val="No Spacing"/>
    <w:uiPriority w:val="1"/>
    <w:qFormat/>
    <w:rsid w:val="007B41EA"/>
    <w:pPr>
      <w:spacing w:after="0" w:line="360" w:lineRule="auto"/>
    </w:pPr>
    <w:rPr>
      <w:rFonts w:asciiTheme="majorBidi" w:hAnsiTheme="majorBidi"/>
      <w:sz w:val="24"/>
    </w:rPr>
  </w:style>
  <w:style w:type="table" w:customStyle="1" w:styleId="PlainTable51">
    <w:name w:val="Plain Table 51"/>
    <w:basedOn w:val="TableNormal"/>
    <w:uiPriority w:val="45"/>
    <w:rsid w:val="007B41E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1">
    <w:name w:val="Plain Table 31"/>
    <w:basedOn w:val="TableNormal"/>
    <w:uiPriority w:val="43"/>
    <w:rsid w:val="007B41E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7B41E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E6126D"/>
    <w:rPr>
      <w:rFonts w:asciiTheme="majorHAnsi" w:eastAsiaTheme="majorEastAsia" w:hAnsiTheme="majorHAnsi" w:cstheme="majorBidi"/>
      <w:color w:val="2F5496" w:themeColor="accent1" w:themeShade="BF"/>
      <w:kern w:val="0"/>
      <w:sz w:val="26"/>
      <w:szCs w:val="26"/>
      <w:lang w:val="" w:eastAsia="ko-KR"/>
      <w14:ligatures w14:val="none"/>
    </w:rPr>
  </w:style>
  <w:style w:type="paragraph" w:styleId="TOCHeading">
    <w:name w:val="TOC Heading"/>
    <w:basedOn w:val="Heading1"/>
    <w:next w:val="Normal"/>
    <w:uiPriority w:val="39"/>
    <w:unhideWhenUsed/>
    <w:qFormat/>
    <w:rsid w:val="00E6126D"/>
    <w:pPr>
      <w:spacing w:before="480" w:line="276" w:lineRule="auto"/>
      <w:outlineLvl w:val="9"/>
    </w:pPr>
    <w:rPr>
      <w:rFonts w:asciiTheme="majorHAnsi" w:hAnsiTheme="majorHAnsi"/>
      <w:bCs/>
      <w:color w:val="2F5496" w:themeColor="accent1" w:themeShade="BF"/>
      <w:sz w:val="28"/>
      <w:szCs w:val="28"/>
      <w:lang w:val="en-US" w:eastAsia="en-US"/>
    </w:rPr>
  </w:style>
  <w:style w:type="paragraph" w:styleId="TOC1">
    <w:name w:val="toc 1"/>
    <w:basedOn w:val="Normal"/>
    <w:next w:val="Normal"/>
    <w:autoRedefine/>
    <w:uiPriority w:val="39"/>
    <w:unhideWhenUsed/>
    <w:rsid w:val="00E6126D"/>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E6126D"/>
    <w:pPr>
      <w:spacing w:before="120"/>
      <w:ind w:left="240"/>
    </w:pPr>
    <w:rPr>
      <w:rFonts w:asciiTheme="minorHAnsi" w:hAnsiTheme="minorHAnsi" w:cstheme="minorHAnsi"/>
      <w:b/>
      <w:bCs/>
      <w:sz w:val="22"/>
      <w:szCs w:val="26"/>
    </w:rPr>
  </w:style>
  <w:style w:type="character" w:styleId="Hyperlink">
    <w:name w:val="Hyperlink"/>
    <w:basedOn w:val="DefaultParagraphFont"/>
    <w:uiPriority w:val="99"/>
    <w:unhideWhenUsed/>
    <w:rsid w:val="00E6126D"/>
    <w:rPr>
      <w:color w:val="0563C1" w:themeColor="hyperlink"/>
      <w:u w:val="single"/>
    </w:rPr>
  </w:style>
  <w:style w:type="paragraph" w:styleId="TOC3">
    <w:name w:val="toc 3"/>
    <w:basedOn w:val="Normal"/>
    <w:next w:val="Normal"/>
    <w:autoRedefine/>
    <w:uiPriority w:val="39"/>
    <w:semiHidden/>
    <w:unhideWhenUsed/>
    <w:rsid w:val="00E6126D"/>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E6126D"/>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E6126D"/>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E6126D"/>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E6126D"/>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E6126D"/>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E6126D"/>
    <w:pPr>
      <w:ind w:left="1920"/>
    </w:pPr>
    <w:rPr>
      <w:rFonts w:asciiTheme="minorHAnsi" w:hAnsiTheme="minorHAnsi" w:cstheme="minorHAnsi"/>
      <w:sz w:val="20"/>
    </w:rPr>
  </w:style>
  <w:style w:type="paragraph" w:styleId="Header">
    <w:name w:val="header"/>
    <w:basedOn w:val="Normal"/>
    <w:link w:val="HeaderChar"/>
    <w:uiPriority w:val="99"/>
    <w:unhideWhenUsed/>
    <w:rsid w:val="00E6126D"/>
    <w:pPr>
      <w:tabs>
        <w:tab w:val="center" w:pos="4513"/>
        <w:tab w:val="right" w:pos="9026"/>
      </w:tabs>
    </w:pPr>
  </w:style>
  <w:style w:type="character" w:customStyle="1" w:styleId="HeaderChar">
    <w:name w:val="Header Char"/>
    <w:basedOn w:val="DefaultParagraphFont"/>
    <w:link w:val="Header"/>
    <w:uiPriority w:val="99"/>
    <w:rsid w:val="00E6126D"/>
    <w:rPr>
      <w:rFonts w:ascii="Times New Roman" w:eastAsia="Times New Roman" w:hAnsi="Times New Roman" w:cs="Times New Roman"/>
      <w:kern w:val="0"/>
      <w:sz w:val="24"/>
      <w:szCs w:val="24"/>
      <w:lang w:val="" w:eastAsia="ko-KR"/>
      <w14:ligatures w14:val="none"/>
    </w:rPr>
  </w:style>
  <w:style w:type="paragraph" w:styleId="Footer">
    <w:name w:val="footer"/>
    <w:basedOn w:val="Normal"/>
    <w:link w:val="FooterChar"/>
    <w:uiPriority w:val="99"/>
    <w:unhideWhenUsed/>
    <w:rsid w:val="00E6126D"/>
    <w:pPr>
      <w:tabs>
        <w:tab w:val="center" w:pos="4513"/>
        <w:tab w:val="right" w:pos="9026"/>
      </w:tabs>
    </w:pPr>
  </w:style>
  <w:style w:type="character" w:customStyle="1" w:styleId="FooterChar">
    <w:name w:val="Footer Char"/>
    <w:basedOn w:val="DefaultParagraphFont"/>
    <w:link w:val="Footer"/>
    <w:uiPriority w:val="99"/>
    <w:rsid w:val="00E6126D"/>
    <w:rPr>
      <w:rFonts w:ascii="Times New Roman" w:eastAsia="Times New Roman" w:hAnsi="Times New Roman" w:cs="Times New Roman"/>
      <w:kern w:val="0"/>
      <w:sz w:val="24"/>
      <w:szCs w:val="24"/>
      <w:lang w:val="" w:eastAsia="ko-KR"/>
      <w14:ligatures w14:val="none"/>
    </w:rPr>
  </w:style>
  <w:style w:type="character" w:styleId="PageNumber">
    <w:name w:val="page number"/>
    <w:basedOn w:val="DefaultParagraphFont"/>
    <w:uiPriority w:val="99"/>
    <w:semiHidden/>
    <w:unhideWhenUsed/>
    <w:rsid w:val="00E6126D"/>
  </w:style>
  <w:style w:type="paragraph" w:styleId="BalloonText">
    <w:name w:val="Balloon Text"/>
    <w:basedOn w:val="Normal"/>
    <w:link w:val="BalloonTextChar"/>
    <w:uiPriority w:val="99"/>
    <w:semiHidden/>
    <w:unhideWhenUsed/>
    <w:rsid w:val="00B5462F"/>
    <w:rPr>
      <w:rFonts w:ascii="Tahoma" w:hAnsi="Tahoma" w:cs="Tahoma"/>
      <w:sz w:val="16"/>
      <w:szCs w:val="16"/>
    </w:rPr>
  </w:style>
  <w:style w:type="character" w:customStyle="1" w:styleId="BalloonTextChar">
    <w:name w:val="Balloon Text Char"/>
    <w:basedOn w:val="DefaultParagraphFont"/>
    <w:link w:val="BalloonText"/>
    <w:uiPriority w:val="99"/>
    <w:semiHidden/>
    <w:rsid w:val="00B5462F"/>
    <w:rPr>
      <w:rFonts w:ascii="Tahoma" w:eastAsia="Times New Roman" w:hAnsi="Tahoma" w:cs="Tahoma"/>
      <w:kern w:val="0"/>
      <w:sz w:val="16"/>
      <w:szCs w:val="16"/>
      <w:lang w:val="" w:eastAsia="ko-K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61293">
      <w:bodyDiv w:val="1"/>
      <w:marLeft w:val="0"/>
      <w:marRight w:val="0"/>
      <w:marTop w:val="0"/>
      <w:marBottom w:val="0"/>
      <w:divBdr>
        <w:top w:val="none" w:sz="0" w:space="0" w:color="auto"/>
        <w:left w:val="none" w:sz="0" w:space="0" w:color="auto"/>
        <w:bottom w:val="none" w:sz="0" w:space="0" w:color="auto"/>
        <w:right w:val="none" w:sz="0" w:space="0" w:color="auto"/>
      </w:divBdr>
      <w:divsChild>
        <w:div w:id="23216033">
          <w:marLeft w:val="0"/>
          <w:marRight w:val="0"/>
          <w:marTop w:val="0"/>
          <w:marBottom w:val="0"/>
          <w:divBdr>
            <w:top w:val="none" w:sz="0" w:space="0" w:color="auto"/>
            <w:left w:val="none" w:sz="0" w:space="0" w:color="auto"/>
            <w:bottom w:val="none" w:sz="0" w:space="0" w:color="auto"/>
            <w:right w:val="none" w:sz="0" w:space="0" w:color="auto"/>
          </w:divBdr>
        </w:div>
      </w:divsChild>
    </w:div>
    <w:div w:id="196414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AA18DD-20D2-4696-9993-F00E8FD7A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Mirela-Mihaela Motohoi</cp:lastModifiedBy>
  <cp:revision>3</cp:revision>
  <dcterms:created xsi:type="dcterms:W3CDTF">2024-02-24T15:54:00Z</dcterms:created>
  <dcterms:modified xsi:type="dcterms:W3CDTF">2024-02-25T11:56:00Z</dcterms:modified>
</cp:coreProperties>
</file>