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HAnsi" w:hAnsi="Arial" w:cs="Arial"/>
          <w:sz w:val="24"/>
          <w:szCs w:val="24"/>
          <w:lang w:val="en-GB"/>
        </w:rPr>
        <w:id w:val="-832753241"/>
        <w:docPartObj>
          <w:docPartGallery w:val="Cover Pages"/>
          <w:docPartUnique/>
        </w:docPartObj>
      </w:sdtPr>
      <w:sdtEndPr/>
      <w:sdtContent>
        <w:p w14:paraId="428BCE1E" w14:textId="77777777" w:rsidR="00A20549" w:rsidRPr="00DC7D59" w:rsidRDefault="00A20549" w:rsidP="00182B73">
          <w:pPr>
            <w:pStyle w:val="Frspaiere"/>
            <w:spacing w:line="360" w:lineRule="auto"/>
            <w:jc w:val="center"/>
            <w:rPr>
              <w:rFonts w:ascii="Arial" w:eastAsiaTheme="minorHAnsi" w:hAnsi="Arial" w:cs="Arial"/>
              <w:sz w:val="24"/>
              <w:szCs w:val="24"/>
              <w:lang w:val="en-GB"/>
            </w:rPr>
          </w:pPr>
        </w:p>
        <w:p w14:paraId="2BBFE193" w14:textId="77777777" w:rsidR="00A20549" w:rsidRPr="00DC7D59" w:rsidRDefault="00A20549" w:rsidP="00182B73">
          <w:pPr>
            <w:pStyle w:val="Frspaiere"/>
            <w:spacing w:line="360" w:lineRule="auto"/>
            <w:jc w:val="center"/>
            <w:rPr>
              <w:rFonts w:ascii="Arial" w:eastAsiaTheme="minorHAnsi" w:hAnsi="Arial" w:cs="Arial"/>
              <w:sz w:val="24"/>
              <w:szCs w:val="24"/>
              <w:lang w:val="en-GB"/>
            </w:rPr>
          </w:pPr>
        </w:p>
        <w:p w14:paraId="05F241F1" w14:textId="77777777" w:rsidR="00A20549" w:rsidRPr="00DC7D59" w:rsidRDefault="00A20549" w:rsidP="00182B73">
          <w:pPr>
            <w:pStyle w:val="Frspaiere"/>
            <w:spacing w:line="360" w:lineRule="auto"/>
            <w:jc w:val="center"/>
            <w:rPr>
              <w:rFonts w:ascii="Arial" w:eastAsiaTheme="minorHAnsi" w:hAnsi="Arial" w:cs="Arial"/>
              <w:sz w:val="24"/>
              <w:szCs w:val="24"/>
              <w:lang w:val="en-GB"/>
            </w:rPr>
          </w:pPr>
        </w:p>
        <w:p w14:paraId="3DB46338" w14:textId="77777777" w:rsidR="00A20549" w:rsidRPr="00DC7D59" w:rsidRDefault="00A20549" w:rsidP="00182B73">
          <w:pPr>
            <w:pStyle w:val="Frspaiere"/>
            <w:spacing w:line="360" w:lineRule="auto"/>
            <w:jc w:val="center"/>
            <w:rPr>
              <w:rFonts w:ascii="Arial" w:eastAsiaTheme="minorHAnsi" w:hAnsi="Arial" w:cs="Arial"/>
              <w:sz w:val="24"/>
              <w:szCs w:val="24"/>
              <w:lang w:val="en-GB"/>
            </w:rPr>
          </w:pPr>
        </w:p>
        <w:p w14:paraId="128D8238" w14:textId="77777777" w:rsidR="00A20549" w:rsidRPr="00DC7D59" w:rsidRDefault="00A20549" w:rsidP="00182B73">
          <w:pPr>
            <w:pStyle w:val="Frspaiere"/>
            <w:spacing w:line="360" w:lineRule="auto"/>
            <w:jc w:val="center"/>
            <w:rPr>
              <w:rFonts w:ascii="Arial" w:eastAsiaTheme="minorHAnsi" w:hAnsi="Arial" w:cs="Arial"/>
              <w:sz w:val="24"/>
              <w:szCs w:val="24"/>
              <w:lang w:val="en-GB"/>
            </w:rPr>
          </w:pPr>
        </w:p>
        <w:p w14:paraId="1CF2A457" w14:textId="77777777" w:rsidR="00A20549" w:rsidRPr="00DC7D59" w:rsidRDefault="00A20549" w:rsidP="00182B73">
          <w:pPr>
            <w:pStyle w:val="Frspaiere"/>
            <w:spacing w:line="360" w:lineRule="auto"/>
            <w:jc w:val="center"/>
            <w:rPr>
              <w:rFonts w:ascii="Arial" w:eastAsiaTheme="minorHAnsi" w:hAnsi="Arial" w:cs="Arial"/>
              <w:sz w:val="24"/>
              <w:szCs w:val="24"/>
              <w:lang w:val="en-GB"/>
            </w:rPr>
          </w:pPr>
        </w:p>
        <w:p w14:paraId="020B01E7" w14:textId="77777777" w:rsidR="00A20549" w:rsidRPr="00DC7D59" w:rsidRDefault="00A20549" w:rsidP="00182B73">
          <w:pPr>
            <w:pStyle w:val="Frspaiere"/>
            <w:spacing w:line="360" w:lineRule="auto"/>
            <w:jc w:val="center"/>
            <w:rPr>
              <w:rFonts w:ascii="Arial" w:eastAsiaTheme="minorHAnsi" w:hAnsi="Arial" w:cs="Arial"/>
              <w:sz w:val="24"/>
              <w:szCs w:val="24"/>
              <w:lang w:val="en-GB"/>
            </w:rPr>
          </w:pPr>
        </w:p>
        <w:p w14:paraId="7D148EF2" w14:textId="77777777" w:rsidR="00A20549" w:rsidRPr="00DC7D59" w:rsidRDefault="00A20549" w:rsidP="00182B73">
          <w:pPr>
            <w:pStyle w:val="Frspaiere"/>
            <w:spacing w:line="360" w:lineRule="auto"/>
            <w:jc w:val="center"/>
            <w:rPr>
              <w:rFonts w:ascii="Arial" w:eastAsiaTheme="minorHAnsi" w:hAnsi="Arial" w:cs="Arial"/>
              <w:sz w:val="24"/>
              <w:szCs w:val="24"/>
              <w:lang w:val="en-GB"/>
            </w:rPr>
          </w:pPr>
        </w:p>
        <w:p w14:paraId="2C66FADF" w14:textId="0C631815" w:rsidR="00A20549" w:rsidRPr="00DC7D59" w:rsidRDefault="007853D6" w:rsidP="00182B73">
          <w:pPr>
            <w:pStyle w:val="Frspaiere"/>
            <w:tabs>
              <w:tab w:val="center" w:pos="4513"/>
              <w:tab w:val="right" w:pos="9026"/>
            </w:tabs>
            <w:spacing w:line="360" w:lineRule="auto"/>
            <w:jc w:val="center"/>
            <w:rPr>
              <w:rFonts w:ascii="Arial" w:eastAsiaTheme="minorHAnsi" w:hAnsi="Arial" w:cs="Arial"/>
              <w:sz w:val="24"/>
              <w:szCs w:val="24"/>
              <w:lang w:val="en-GB"/>
            </w:rPr>
          </w:pPr>
          <w:r>
            <w:rPr>
              <w:rFonts w:ascii="Arial" w:eastAsiaTheme="minorHAnsi" w:hAnsi="Arial" w:cs="Arial"/>
              <w:b/>
              <w:bCs/>
              <w:sz w:val="32"/>
              <w:szCs w:val="32"/>
              <w:lang w:val="en-GB"/>
            </w:rPr>
            <w:t xml:space="preserve">Essay </w:t>
          </w:r>
        </w:p>
      </w:sdtContent>
    </w:sdt>
    <w:p w14:paraId="2CA5B175" w14:textId="532C3C84" w:rsidR="00020F9D" w:rsidRDefault="00020F9D" w:rsidP="00A20549">
      <w:pPr>
        <w:pStyle w:val="Frspaiere"/>
        <w:spacing w:line="360" w:lineRule="auto"/>
        <w:jc w:val="both"/>
        <w:rPr>
          <w:rFonts w:ascii="Arial" w:hAnsi="Arial" w:cs="Arial"/>
          <w:sz w:val="24"/>
          <w:szCs w:val="24"/>
        </w:rPr>
      </w:pPr>
    </w:p>
    <w:p w14:paraId="038A2853" w14:textId="77777777" w:rsidR="00020F9D" w:rsidRPr="00020F9D" w:rsidRDefault="00020F9D" w:rsidP="00020F9D">
      <w:pPr>
        <w:rPr>
          <w:lang w:val="en-US"/>
        </w:rPr>
      </w:pPr>
    </w:p>
    <w:p w14:paraId="4DF88B78" w14:textId="77777777" w:rsidR="00020F9D" w:rsidRPr="00020F9D" w:rsidRDefault="00020F9D" w:rsidP="00020F9D">
      <w:pPr>
        <w:rPr>
          <w:lang w:val="en-US"/>
        </w:rPr>
      </w:pPr>
    </w:p>
    <w:p w14:paraId="631A87CA" w14:textId="530B5E79" w:rsidR="00020F9D" w:rsidRDefault="00020F9D" w:rsidP="00A20549">
      <w:pPr>
        <w:pStyle w:val="Frspaiere"/>
        <w:spacing w:line="360" w:lineRule="auto"/>
        <w:jc w:val="both"/>
      </w:pPr>
    </w:p>
    <w:p w14:paraId="763426AA" w14:textId="49BC3860" w:rsidR="00020F9D" w:rsidRDefault="00020F9D" w:rsidP="00A20549">
      <w:pPr>
        <w:pStyle w:val="Frspaiere"/>
        <w:spacing w:line="360" w:lineRule="auto"/>
        <w:jc w:val="both"/>
      </w:pPr>
    </w:p>
    <w:p w14:paraId="2A06F188" w14:textId="77777777" w:rsidR="00020F9D" w:rsidRDefault="00020F9D" w:rsidP="00020F9D">
      <w:pPr>
        <w:spacing w:after="200"/>
      </w:pPr>
    </w:p>
    <w:p w14:paraId="44F1631E" w14:textId="77777777" w:rsidR="007853D6" w:rsidRDefault="007853D6" w:rsidP="00020F9D">
      <w:pPr>
        <w:spacing w:after="200"/>
      </w:pPr>
    </w:p>
    <w:p w14:paraId="7B744625" w14:textId="77777777" w:rsidR="007853D6" w:rsidRDefault="007853D6" w:rsidP="00020F9D">
      <w:pPr>
        <w:spacing w:after="200"/>
      </w:pPr>
    </w:p>
    <w:p w14:paraId="2ED3BF6A" w14:textId="77777777" w:rsidR="007853D6" w:rsidRDefault="007853D6" w:rsidP="00020F9D">
      <w:pPr>
        <w:spacing w:after="200"/>
      </w:pPr>
    </w:p>
    <w:p w14:paraId="0C06120D" w14:textId="77777777" w:rsidR="00020F9D" w:rsidRPr="00020F9D" w:rsidRDefault="00020F9D" w:rsidP="00020F9D">
      <w:pPr>
        <w:spacing w:after="200"/>
      </w:pPr>
      <w:r w:rsidRPr="00020F9D">
        <w:t>Student Name: Roxana Isabela  Fodor</w:t>
      </w:r>
    </w:p>
    <w:p w14:paraId="5FEF3EE2" w14:textId="77777777" w:rsidR="00020F9D" w:rsidRPr="00020F9D" w:rsidRDefault="00020F9D" w:rsidP="00020F9D">
      <w:pPr>
        <w:spacing w:after="200"/>
      </w:pPr>
      <w:r w:rsidRPr="00020F9D">
        <w:t>Student ID: 2123083</w:t>
      </w:r>
    </w:p>
    <w:p w14:paraId="784C4CD9" w14:textId="54004A41" w:rsidR="00020F9D" w:rsidRPr="00020F9D" w:rsidRDefault="00020F9D" w:rsidP="00020F9D">
      <w:pPr>
        <w:spacing w:after="200"/>
      </w:pPr>
      <w:r w:rsidRPr="00020F9D">
        <w:t xml:space="preserve">Module: </w:t>
      </w:r>
      <w:r>
        <w:t>Sustainable Hospitality &amp;Tourism Management</w:t>
      </w:r>
    </w:p>
    <w:p w14:paraId="222D1E7D" w14:textId="2F7BEA43" w:rsidR="00020F9D" w:rsidRPr="00020F9D" w:rsidRDefault="00020F9D" w:rsidP="00020F9D">
      <w:pPr>
        <w:spacing w:after="200"/>
      </w:pPr>
      <w:r>
        <w:t>Module Code: BMIH5006</w:t>
      </w:r>
    </w:p>
    <w:p w14:paraId="37F76C6A" w14:textId="62EFFD98" w:rsidR="00020F9D" w:rsidRPr="00020F9D" w:rsidRDefault="00020F9D" w:rsidP="00020F9D">
      <w:pPr>
        <w:spacing w:after="200"/>
      </w:pPr>
      <w:r w:rsidRPr="00020F9D">
        <w:t xml:space="preserve">Lecturer: </w:t>
      </w:r>
      <w:r>
        <w:t>Kathryn Roberts</w:t>
      </w:r>
    </w:p>
    <w:p w14:paraId="54CB9503" w14:textId="212081A3" w:rsidR="00020F9D" w:rsidRDefault="00020F9D" w:rsidP="00A20549">
      <w:pPr>
        <w:pStyle w:val="Frspaiere"/>
        <w:spacing w:line="360" w:lineRule="auto"/>
        <w:jc w:val="both"/>
      </w:pPr>
    </w:p>
    <w:p w14:paraId="771A131E" w14:textId="77777777" w:rsidR="00262009" w:rsidRPr="00DC7D59" w:rsidRDefault="00DC319A" w:rsidP="00A20549">
      <w:pPr>
        <w:pStyle w:val="Frspaiere"/>
        <w:spacing w:line="360" w:lineRule="auto"/>
        <w:jc w:val="both"/>
        <w:rPr>
          <w:rFonts w:ascii="Arial" w:eastAsiaTheme="minorHAnsi" w:hAnsi="Arial" w:cs="Arial"/>
          <w:b/>
          <w:bCs/>
          <w:sz w:val="28"/>
          <w:szCs w:val="28"/>
          <w:lang w:val="en-GB"/>
        </w:rPr>
      </w:pPr>
      <w:r w:rsidRPr="00020F9D">
        <w:br w:type="page"/>
      </w:r>
      <w:bookmarkStart w:id="0" w:name="_Toc157420630"/>
      <w:r w:rsidR="00262009" w:rsidRPr="00DC7D59">
        <w:rPr>
          <w:rFonts w:ascii="Arial" w:hAnsi="Arial" w:cs="Arial"/>
          <w:b/>
          <w:bCs/>
          <w:sz w:val="28"/>
          <w:szCs w:val="28"/>
        </w:rPr>
        <w:lastRenderedPageBreak/>
        <w:t>Introduction</w:t>
      </w:r>
      <w:bookmarkEnd w:id="0"/>
    </w:p>
    <w:p w14:paraId="02E6B17F" w14:textId="4CDE457F" w:rsidR="00F2192E" w:rsidRPr="00DC7D59" w:rsidRDefault="002A4856" w:rsidP="002A4856">
      <w:pPr>
        <w:spacing w:line="360" w:lineRule="auto"/>
        <w:jc w:val="both"/>
        <w:rPr>
          <w:rFonts w:ascii="Arial" w:hAnsi="Arial" w:cs="Arial"/>
          <w:szCs w:val="24"/>
        </w:rPr>
      </w:pPr>
      <w:r>
        <w:rPr>
          <w:rFonts w:ascii="Arial" w:hAnsi="Arial" w:cs="Arial"/>
          <w:szCs w:val="24"/>
        </w:rPr>
        <w:t>The circular</w:t>
      </w:r>
      <w:r w:rsidR="00660978" w:rsidRPr="00DC7D59">
        <w:rPr>
          <w:rFonts w:ascii="Arial" w:hAnsi="Arial" w:cs="Arial"/>
          <w:szCs w:val="24"/>
        </w:rPr>
        <w:t xml:space="preserve"> economy has gained interest</w:t>
      </w:r>
      <w:r w:rsidR="005A1B0F" w:rsidRPr="00DC7D59">
        <w:rPr>
          <w:rFonts w:ascii="Arial" w:hAnsi="Arial" w:cs="Arial"/>
          <w:szCs w:val="24"/>
        </w:rPr>
        <w:t xml:space="preserve"> as it can tackle sustainability and resource scarcity</w:t>
      </w:r>
      <w:r w:rsidR="00660978" w:rsidRPr="00DC7D59">
        <w:rPr>
          <w:rFonts w:ascii="Arial" w:hAnsi="Arial" w:cs="Arial"/>
          <w:szCs w:val="24"/>
        </w:rPr>
        <w:t xml:space="preserve">. Reusing and regenerating materials and products extends resource utilization in </w:t>
      </w:r>
      <w:r>
        <w:rPr>
          <w:rFonts w:ascii="Arial" w:hAnsi="Arial" w:cs="Arial"/>
          <w:szCs w:val="24"/>
        </w:rPr>
        <w:t xml:space="preserve">a </w:t>
      </w:r>
      <w:r w:rsidR="00660978" w:rsidRPr="00DC7D59">
        <w:rPr>
          <w:rFonts w:ascii="Arial" w:hAnsi="Arial" w:cs="Arial"/>
          <w:szCs w:val="24"/>
        </w:rPr>
        <w:t>circular economy</w:t>
      </w:r>
      <w:r w:rsidR="0040561E" w:rsidRPr="00DC7D59">
        <w:rPr>
          <w:rFonts w:ascii="Arial" w:hAnsi="Arial" w:cs="Arial"/>
          <w:szCs w:val="24"/>
        </w:rPr>
        <w:t xml:space="preserve"> (Inkson, and Minnaert, 2018)</w:t>
      </w:r>
      <w:r w:rsidR="00660978" w:rsidRPr="00DC7D59">
        <w:rPr>
          <w:rFonts w:ascii="Arial" w:hAnsi="Arial" w:cs="Arial"/>
          <w:szCs w:val="24"/>
        </w:rPr>
        <w:t>. It reduces manufacturing and consumption waste and environmental impact. Hotels can assist apply circular economy practices in the waste-generating hospitality industry.</w:t>
      </w:r>
      <w:r w:rsidR="0000299F" w:rsidRPr="00DC7D59">
        <w:rPr>
          <w:rFonts w:ascii="Arial" w:hAnsi="Arial" w:cs="Arial"/>
          <w:szCs w:val="24"/>
        </w:rPr>
        <w:t xml:space="preserve"> </w:t>
      </w:r>
      <w:r w:rsidR="005A1B0F" w:rsidRPr="00DC7D59">
        <w:rPr>
          <w:rFonts w:ascii="Arial" w:hAnsi="Arial" w:cs="Arial"/>
          <w:szCs w:val="24"/>
        </w:rPr>
        <w:t xml:space="preserve">Recent attention has focused on </w:t>
      </w:r>
      <w:r>
        <w:rPr>
          <w:rFonts w:ascii="Arial" w:hAnsi="Arial" w:cs="Arial"/>
          <w:szCs w:val="24"/>
        </w:rPr>
        <w:t xml:space="preserve">the </w:t>
      </w:r>
      <w:r w:rsidR="005A1B0F" w:rsidRPr="00DC7D59">
        <w:rPr>
          <w:rFonts w:ascii="Arial" w:hAnsi="Arial" w:cs="Arial"/>
          <w:szCs w:val="24"/>
        </w:rPr>
        <w:t>circular economy as a sustainable business and sector alternative. It involves replacing the "take, make, dispose" linear approach with a closed-loop resource reduction</w:t>
      </w:r>
      <w:bookmarkStart w:id="1" w:name="_GoBack"/>
      <w:r w:rsidR="005A1B0F" w:rsidRPr="00DC7D59">
        <w:rPr>
          <w:rFonts w:ascii="Arial" w:hAnsi="Arial" w:cs="Arial"/>
          <w:szCs w:val="24"/>
        </w:rPr>
        <w:t xml:space="preserve">, reuse, and recycling system. Premier Inn, a leading UK hotel chain, has integrated circular economy principles into its CSR program. </w:t>
      </w:r>
      <w:r>
        <w:rPr>
          <w:rFonts w:ascii="Arial" w:hAnsi="Arial" w:cs="Arial"/>
          <w:szCs w:val="24"/>
        </w:rPr>
        <w:t>It</w:t>
      </w:r>
      <w:r w:rsidR="008F5E82" w:rsidRPr="00DC7D59">
        <w:rPr>
          <w:rFonts w:ascii="Arial" w:hAnsi="Arial" w:cs="Arial"/>
          <w:szCs w:val="24"/>
        </w:rPr>
        <w:t xml:space="preserve"> is </w:t>
      </w:r>
      <w:r>
        <w:rPr>
          <w:rFonts w:ascii="Arial" w:hAnsi="Arial" w:cs="Arial"/>
          <w:szCs w:val="24"/>
        </w:rPr>
        <w:t>important</w:t>
      </w:r>
      <w:r w:rsidR="008F5E82" w:rsidRPr="00DC7D59">
        <w:rPr>
          <w:rFonts w:ascii="Arial" w:hAnsi="Arial" w:cs="Arial"/>
          <w:szCs w:val="24"/>
        </w:rPr>
        <w:t xml:space="preserve"> </w:t>
      </w:r>
      <w:r>
        <w:rPr>
          <w:rFonts w:ascii="Arial" w:hAnsi="Arial" w:cs="Arial"/>
          <w:szCs w:val="24"/>
        </w:rPr>
        <w:t>to</w:t>
      </w:r>
      <w:r w:rsidR="005A1B0F" w:rsidRPr="00DC7D59">
        <w:rPr>
          <w:rFonts w:ascii="Arial" w:hAnsi="Arial" w:cs="Arial"/>
          <w:szCs w:val="24"/>
        </w:rPr>
        <w:t xml:space="preserve"> evaluate </w:t>
      </w:r>
      <w:r w:rsidR="008F5E82" w:rsidRPr="00DC7D59">
        <w:rPr>
          <w:rFonts w:ascii="Arial" w:hAnsi="Arial" w:cs="Arial"/>
          <w:szCs w:val="24"/>
        </w:rPr>
        <w:t xml:space="preserve">the </w:t>
      </w:r>
      <w:r w:rsidR="005A1B0F" w:rsidRPr="00DC7D59">
        <w:rPr>
          <w:rFonts w:ascii="Arial" w:hAnsi="Arial" w:cs="Arial"/>
          <w:szCs w:val="24"/>
        </w:rPr>
        <w:t xml:space="preserve">CSR approach </w:t>
      </w:r>
      <w:r w:rsidR="008F5E82" w:rsidRPr="00DC7D59">
        <w:rPr>
          <w:rFonts w:ascii="Arial" w:hAnsi="Arial" w:cs="Arial"/>
          <w:szCs w:val="24"/>
        </w:rPr>
        <w:t xml:space="preserve">with </w:t>
      </w:r>
      <w:r>
        <w:rPr>
          <w:rFonts w:ascii="Arial" w:hAnsi="Arial" w:cs="Arial"/>
          <w:szCs w:val="24"/>
        </w:rPr>
        <w:t xml:space="preserve">a </w:t>
      </w:r>
      <w:r w:rsidR="008F5E82" w:rsidRPr="00DC7D59">
        <w:rPr>
          <w:rFonts w:ascii="Arial" w:hAnsi="Arial" w:cs="Arial"/>
          <w:szCs w:val="24"/>
        </w:rPr>
        <w:t xml:space="preserve">discussion about </w:t>
      </w:r>
      <w:r w:rsidR="005A1B0F" w:rsidRPr="00DC7D59">
        <w:rPr>
          <w:rFonts w:ascii="Arial" w:hAnsi="Arial" w:cs="Arial"/>
          <w:szCs w:val="24"/>
        </w:rPr>
        <w:t>hospitality organizations that use circular economy methods</w:t>
      </w:r>
      <w:r w:rsidR="0040561E" w:rsidRPr="00DC7D59">
        <w:rPr>
          <w:rFonts w:ascii="Arial" w:hAnsi="Arial" w:cs="Arial"/>
          <w:szCs w:val="24"/>
        </w:rPr>
        <w:t xml:space="preserve"> (Haski-Leventhal, 2018)</w:t>
      </w:r>
      <w:r w:rsidR="005A1B0F" w:rsidRPr="00DC7D59">
        <w:rPr>
          <w:rFonts w:ascii="Arial" w:hAnsi="Arial" w:cs="Arial"/>
          <w:szCs w:val="24"/>
        </w:rPr>
        <w:t>.</w:t>
      </w:r>
      <w:r w:rsidR="0000299F" w:rsidRPr="00DC7D59">
        <w:rPr>
          <w:rFonts w:ascii="Arial" w:hAnsi="Arial" w:cs="Arial"/>
          <w:szCs w:val="24"/>
        </w:rPr>
        <w:t xml:space="preserve"> </w:t>
      </w:r>
      <w:r w:rsidR="00602A9B" w:rsidRPr="00DC7D59">
        <w:rPr>
          <w:rFonts w:ascii="Arial" w:hAnsi="Arial" w:cs="Arial"/>
          <w:szCs w:val="24"/>
        </w:rPr>
        <w:t xml:space="preserve">The </w:t>
      </w:r>
      <w:r w:rsidR="004B762E" w:rsidRPr="00DC7D59">
        <w:rPr>
          <w:rFonts w:ascii="Arial" w:hAnsi="Arial" w:cs="Arial"/>
          <w:szCs w:val="24"/>
        </w:rPr>
        <w:t>circular economy uses reduce, reuse, recycle, and replace to optimize resources and reduce waste. Sustainability means addressing current needs without compromising future needs</w:t>
      </w:r>
      <w:r w:rsidR="00182B73" w:rsidRPr="00DC7D59">
        <w:rPr>
          <w:rFonts w:ascii="Arial" w:hAnsi="Arial" w:cs="Arial"/>
          <w:szCs w:val="24"/>
        </w:rPr>
        <w:t xml:space="preserve"> (</w:t>
      </w:r>
      <w:r w:rsidR="004B762E" w:rsidRPr="00DC7D59">
        <w:rPr>
          <w:rFonts w:ascii="Arial" w:hAnsi="Arial" w:cs="Arial"/>
          <w:szCs w:val="24"/>
        </w:rPr>
        <w:t xml:space="preserve">Ellen MacArthur </w:t>
      </w:r>
      <w:bookmarkEnd w:id="1"/>
      <w:r w:rsidR="004B762E" w:rsidRPr="00DC7D59">
        <w:rPr>
          <w:rFonts w:ascii="Arial" w:hAnsi="Arial" w:cs="Arial"/>
          <w:szCs w:val="24"/>
        </w:rPr>
        <w:t>Foundation, 2019</w:t>
      </w:r>
      <w:r w:rsidR="00182B73" w:rsidRPr="00DC7D59">
        <w:rPr>
          <w:rFonts w:ascii="Arial" w:hAnsi="Arial" w:cs="Arial"/>
          <w:szCs w:val="24"/>
        </w:rPr>
        <w:t>)</w:t>
      </w:r>
      <w:r w:rsidR="004B762E" w:rsidRPr="00DC7D59">
        <w:rPr>
          <w:rFonts w:ascii="Arial" w:hAnsi="Arial" w:cs="Arial"/>
          <w:szCs w:val="24"/>
        </w:rPr>
        <w:t xml:space="preserve">. This essay </w:t>
      </w:r>
      <w:r w:rsidR="00602A9B" w:rsidRPr="00DC7D59">
        <w:rPr>
          <w:rFonts w:ascii="Arial" w:hAnsi="Arial" w:cs="Arial"/>
          <w:szCs w:val="24"/>
        </w:rPr>
        <w:t>will evaluate</w:t>
      </w:r>
      <w:r w:rsidR="004B762E" w:rsidRPr="00DC7D59">
        <w:rPr>
          <w:rFonts w:ascii="Arial" w:hAnsi="Arial" w:cs="Arial"/>
          <w:szCs w:val="24"/>
        </w:rPr>
        <w:t xml:space="preserve"> Premier Inn's CSR and circular economy efforts. </w:t>
      </w:r>
      <w:r w:rsidR="00526FE8" w:rsidRPr="00DC7D59">
        <w:rPr>
          <w:rFonts w:ascii="Arial" w:hAnsi="Arial" w:cs="Arial"/>
          <w:szCs w:val="24"/>
        </w:rPr>
        <w:t xml:space="preserve">Major hotel operators such as Premier Inn </w:t>
      </w:r>
      <w:r>
        <w:rPr>
          <w:rFonts w:ascii="Arial" w:hAnsi="Arial" w:cs="Arial"/>
          <w:szCs w:val="24"/>
        </w:rPr>
        <w:t>incorporate</w:t>
      </w:r>
      <w:r w:rsidR="00526FE8" w:rsidRPr="00DC7D59">
        <w:rPr>
          <w:rFonts w:ascii="Arial" w:hAnsi="Arial" w:cs="Arial"/>
          <w:szCs w:val="24"/>
        </w:rPr>
        <w:t xml:space="preserve"> circular economy principles into </w:t>
      </w:r>
      <w:r>
        <w:rPr>
          <w:rFonts w:ascii="Arial" w:hAnsi="Arial" w:cs="Arial"/>
          <w:szCs w:val="24"/>
        </w:rPr>
        <w:t>their</w:t>
      </w:r>
      <w:r w:rsidR="00526FE8" w:rsidRPr="00DC7D59">
        <w:rPr>
          <w:rFonts w:ascii="Arial" w:hAnsi="Arial" w:cs="Arial"/>
          <w:szCs w:val="24"/>
        </w:rPr>
        <w:t xml:space="preserve"> CSR </w:t>
      </w:r>
      <w:r>
        <w:rPr>
          <w:rFonts w:ascii="Arial" w:hAnsi="Arial" w:cs="Arial"/>
          <w:szCs w:val="24"/>
        </w:rPr>
        <w:t>programs</w:t>
      </w:r>
      <w:r w:rsidR="00526FE8" w:rsidRPr="00DC7D59">
        <w:rPr>
          <w:rFonts w:ascii="Arial" w:hAnsi="Arial" w:cs="Arial"/>
          <w:szCs w:val="24"/>
        </w:rPr>
        <w:t xml:space="preserve">. This will look at other hotels' circular economy efforts. </w:t>
      </w:r>
      <w:r w:rsidR="004B762E" w:rsidRPr="00DC7D59">
        <w:rPr>
          <w:rFonts w:ascii="Arial" w:hAnsi="Arial" w:cs="Arial"/>
          <w:szCs w:val="24"/>
        </w:rPr>
        <w:t>Companies that have successfully integrated the circular economy into their CSR programs will be highlighted.</w:t>
      </w:r>
    </w:p>
    <w:p w14:paraId="5FA15643" w14:textId="77777777" w:rsidR="00A20549" w:rsidRPr="00DC7D59" w:rsidRDefault="00A20549">
      <w:pPr>
        <w:spacing w:line="259" w:lineRule="auto"/>
        <w:rPr>
          <w:rFonts w:ascii="Arial" w:eastAsiaTheme="majorEastAsia" w:hAnsi="Arial" w:cs="Arial"/>
          <w:b/>
          <w:color w:val="000000" w:themeColor="text1"/>
          <w:sz w:val="28"/>
          <w:szCs w:val="28"/>
        </w:rPr>
      </w:pPr>
      <w:bookmarkStart w:id="2" w:name="_Toc157420631"/>
      <w:r w:rsidRPr="00DC7D59">
        <w:rPr>
          <w:rFonts w:ascii="Arial" w:hAnsi="Arial" w:cs="Arial"/>
          <w:szCs w:val="28"/>
        </w:rPr>
        <w:br w:type="page"/>
      </w:r>
    </w:p>
    <w:p w14:paraId="62895B47" w14:textId="4568C6D9" w:rsidR="00A20549" w:rsidRPr="00DC7D59" w:rsidRDefault="00A20549" w:rsidP="002235E6">
      <w:pPr>
        <w:pStyle w:val="Titlu1"/>
        <w:spacing w:line="360" w:lineRule="auto"/>
        <w:rPr>
          <w:rFonts w:ascii="Arial" w:hAnsi="Arial" w:cs="Arial"/>
          <w:szCs w:val="28"/>
        </w:rPr>
      </w:pPr>
      <w:r w:rsidRPr="00DC7D59">
        <w:rPr>
          <w:rFonts w:ascii="Arial" w:hAnsi="Arial" w:cs="Arial"/>
          <w:szCs w:val="28"/>
        </w:rPr>
        <w:lastRenderedPageBreak/>
        <w:t xml:space="preserve">Main Body </w:t>
      </w:r>
    </w:p>
    <w:bookmarkEnd w:id="2"/>
    <w:p w14:paraId="2476F6A5" w14:textId="69CADEBD" w:rsidR="00293756" w:rsidRPr="002A4856" w:rsidRDefault="002A4856" w:rsidP="002A4856">
      <w:pPr>
        <w:spacing w:line="360" w:lineRule="auto"/>
        <w:jc w:val="both"/>
        <w:rPr>
          <w:rFonts w:ascii="Arial" w:hAnsi="Arial" w:cs="Arial"/>
          <w:szCs w:val="24"/>
        </w:rPr>
      </w:pPr>
      <w:r>
        <w:rPr>
          <w:rFonts w:ascii="Arial" w:hAnsi="Arial" w:cs="Arial"/>
          <w:szCs w:val="24"/>
        </w:rPr>
        <w:t>The circular</w:t>
      </w:r>
      <w:r w:rsidR="00A47449" w:rsidRPr="002A4856">
        <w:rPr>
          <w:rFonts w:ascii="Arial" w:hAnsi="Arial" w:cs="Arial"/>
          <w:szCs w:val="24"/>
        </w:rPr>
        <w:t xml:space="preserve"> economy derives from </w:t>
      </w:r>
      <w:r>
        <w:rPr>
          <w:rFonts w:ascii="Arial" w:hAnsi="Arial" w:cs="Arial"/>
          <w:szCs w:val="24"/>
        </w:rPr>
        <w:t xml:space="preserve">the </w:t>
      </w:r>
      <w:r w:rsidR="00A47449" w:rsidRPr="002A4856">
        <w:rPr>
          <w:rFonts w:ascii="Arial" w:hAnsi="Arial" w:cs="Arial"/>
          <w:szCs w:val="24"/>
        </w:rPr>
        <w:t>“cradle to cradle” worldview, which views resources as “biological” or “technical” and prioritizes their management and preservation</w:t>
      </w:r>
      <w:r w:rsidR="0040561E" w:rsidRPr="002A4856">
        <w:rPr>
          <w:rFonts w:ascii="Arial" w:hAnsi="Arial" w:cs="Arial"/>
          <w:szCs w:val="24"/>
        </w:rPr>
        <w:t xml:space="preserve"> (Wickham, Donnelly, </w:t>
      </w:r>
      <w:r w:rsidR="00A20549" w:rsidRPr="002A4856">
        <w:rPr>
          <w:rFonts w:ascii="Arial" w:hAnsi="Arial" w:cs="Arial"/>
          <w:szCs w:val="24"/>
        </w:rPr>
        <w:t>and</w:t>
      </w:r>
      <w:r w:rsidR="0040561E" w:rsidRPr="002A4856">
        <w:rPr>
          <w:rFonts w:ascii="Arial" w:hAnsi="Arial" w:cs="Arial"/>
          <w:szCs w:val="24"/>
        </w:rPr>
        <w:t xml:space="preserve"> French, 2021)</w:t>
      </w:r>
      <w:r w:rsidR="00A47449" w:rsidRPr="002A4856">
        <w:rPr>
          <w:rFonts w:ascii="Arial" w:hAnsi="Arial" w:cs="Arial"/>
          <w:szCs w:val="24"/>
        </w:rPr>
        <w:t xml:space="preserve">. Circular economy extends resource utilization by reusing, repurposing, and recycling instead of “take-make-waste. </w:t>
      </w:r>
      <w:r w:rsidR="00445194" w:rsidRPr="002A4856">
        <w:rPr>
          <w:rFonts w:ascii="Arial" w:hAnsi="Arial" w:cs="Arial"/>
          <w:szCs w:val="24"/>
        </w:rPr>
        <w:t>C</w:t>
      </w:r>
      <w:r w:rsidR="00A47449" w:rsidRPr="002A4856">
        <w:rPr>
          <w:rFonts w:ascii="Arial" w:hAnsi="Arial" w:cs="Arial"/>
          <w:szCs w:val="24"/>
        </w:rPr>
        <w:t xml:space="preserve">ircular economy </w:t>
      </w:r>
      <w:r>
        <w:rPr>
          <w:rFonts w:ascii="Arial" w:hAnsi="Arial" w:cs="Arial"/>
          <w:szCs w:val="24"/>
        </w:rPr>
        <w:t xml:space="preserve">is </w:t>
      </w:r>
      <w:r w:rsidR="00A47449" w:rsidRPr="002A4856">
        <w:rPr>
          <w:rFonts w:ascii="Arial" w:hAnsi="Arial" w:cs="Arial"/>
          <w:szCs w:val="24"/>
        </w:rPr>
        <w:t>“a systemic approach to economic development designed to benefit businesses, society, and the environment.” Decoupling economic growth from resource and energy use decreases waste and pollution and improves society</w:t>
      </w:r>
      <w:r w:rsidR="00182B73" w:rsidRPr="002A4856">
        <w:rPr>
          <w:rFonts w:ascii="Arial" w:hAnsi="Arial" w:cs="Arial"/>
          <w:szCs w:val="24"/>
        </w:rPr>
        <w:t xml:space="preserve">. </w:t>
      </w:r>
      <w:r w:rsidR="003D0604" w:rsidRPr="002A4856">
        <w:rPr>
          <w:rFonts w:ascii="Arial" w:hAnsi="Arial" w:cs="Arial"/>
          <w:szCs w:val="24"/>
        </w:rPr>
        <w:t xml:space="preserve">The circular economy eliminates waste, recycles materials, and restores ecosystems. </w:t>
      </w:r>
      <w:r>
        <w:rPr>
          <w:rFonts w:ascii="Arial" w:hAnsi="Arial" w:cs="Arial"/>
          <w:szCs w:val="24"/>
        </w:rPr>
        <w:t>The circular</w:t>
      </w:r>
      <w:r w:rsidR="003D0604" w:rsidRPr="002A4856">
        <w:rPr>
          <w:rFonts w:ascii="Arial" w:hAnsi="Arial" w:cs="Arial"/>
          <w:szCs w:val="24"/>
        </w:rPr>
        <w:t xml:space="preserve"> economy aims to keep product and material value longer than "take-make-dispose" (Jauhari, 2021). Recycle, reuse, repair, and remanufacture do this.</w:t>
      </w:r>
      <w:r w:rsidR="00182B73" w:rsidRPr="002A4856">
        <w:rPr>
          <w:rFonts w:ascii="Arial" w:hAnsi="Arial" w:cs="Arial"/>
          <w:szCs w:val="24"/>
        </w:rPr>
        <w:t xml:space="preserve"> </w:t>
      </w:r>
      <w:r>
        <w:rPr>
          <w:rFonts w:ascii="Arial" w:hAnsi="Arial" w:cs="Arial"/>
          <w:szCs w:val="24"/>
        </w:rPr>
        <w:t>A circular</w:t>
      </w:r>
      <w:r w:rsidR="00CB373A" w:rsidRPr="002A4856">
        <w:rPr>
          <w:rFonts w:ascii="Arial" w:hAnsi="Arial" w:cs="Arial"/>
          <w:szCs w:val="24"/>
        </w:rPr>
        <w:t xml:space="preserve"> or closed-loop economy maximises value and minimises waste to replenish resources (Evans, 2019). These include durable product design, reuse, recycling, and sustainable energy. </w:t>
      </w:r>
      <w:r>
        <w:rPr>
          <w:rFonts w:ascii="Arial" w:hAnsi="Arial" w:cs="Arial"/>
          <w:szCs w:val="24"/>
        </w:rPr>
        <w:t>The circular</w:t>
      </w:r>
      <w:r w:rsidR="00CB373A" w:rsidRPr="002A4856">
        <w:rPr>
          <w:rFonts w:ascii="Arial" w:hAnsi="Arial" w:cs="Arial"/>
          <w:szCs w:val="24"/>
        </w:rPr>
        <w:t xml:space="preserve"> economy is attractive because it reduces </w:t>
      </w:r>
      <w:r>
        <w:rPr>
          <w:rFonts w:ascii="Arial" w:hAnsi="Arial" w:cs="Arial"/>
          <w:szCs w:val="24"/>
        </w:rPr>
        <w:t xml:space="preserve">the </w:t>
      </w:r>
      <w:r w:rsidR="00CB373A" w:rsidRPr="002A4856">
        <w:rPr>
          <w:rFonts w:ascii="Arial" w:hAnsi="Arial" w:cs="Arial"/>
          <w:szCs w:val="24"/>
        </w:rPr>
        <w:t>environmental effect and achieves sustainability.</w:t>
      </w:r>
      <w:r w:rsidR="00182B73" w:rsidRPr="002A4856">
        <w:rPr>
          <w:rFonts w:ascii="Arial" w:hAnsi="Arial" w:cs="Arial"/>
          <w:szCs w:val="24"/>
        </w:rPr>
        <w:t xml:space="preserve"> </w:t>
      </w:r>
      <w:r w:rsidR="00A101EE" w:rsidRPr="002A4856">
        <w:rPr>
          <w:rFonts w:ascii="Arial" w:hAnsi="Arial" w:cs="Arial"/>
          <w:szCs w:val="24"/>
        </w:rPr>
        <w:t xml:space="preserve">Circular economy extends resource use to reduce waste and enhance efficiency (Hassanien, </w:t>
      </w:r>
      <w:r w:rsidR="00A20549" w:rsidRPr="002A4856">
        <w:rPr>
          <w:rFonts w:ascii="Arial" w:hAnsi="Arial" w:cs="Arial"/>
          <w:szCs w:val="24"/>
        </w:rPr>
        <w:t>and</w:t>
      </w:r>
      <w:r w:rsidR="00A101EE" w:rsidRPr="002A4856">
        <w:rPr>
          <w:rFonts w:ascii="Arial" w:hAnsi="Arial" w:cs="Arial"/>
          <w:szCs w:val="24"/>
        </w:rPr>
        <w:t xml:space="preserve"> Dale, 2019). It abandons the take-make-use-dispose linear economy, which depletes resources and wastes. </w:t>
      </w:r>
      <w:r>
        <w:rPr>
          <w:rFonts w:ascii="Arial" w:hAnsi="Arial" w:cs="Arial"/>
          <w:szCs w:val="24"/>
        </w:rPr>
        <w:t>A circular</w:t>
      </w:r>
      <w:r w:rsidR="00A101EE" w:rsidRPr="002A4856">
        <w:rPr>
          <w:rFonts w:ascii="Arial" w:hAnsi="Arial" w:cs="Arial"/>
          <w:szCs w:val="24"/>
        </w:rPr>
        <w:t xml:space="preserve"> economy eliminates waste and pollution, reuses materials, and restores natural systems. This method emphasizes teamwork, creativity, and economic, social, and environmental factors in decision-making.</w:t>
      </w:r>
    </w:p>
    <w:p w14:paraId="2FECB0A7" w14:textId="0F2129C8" w:rsidR="00E822B6" w:rsidRPr="002A4856" w:rsidRDefault="008D2E3D" w:rsidP="002A4856">
      <w:pPr>
        <w:spacing w:line="360" w:lineRule="auto"/>
        <w:jc w:val="both"/>
        <w:rPr>
          <w:rFonts w:ascii="Arial" w:hAnsi="Arial" w:cs="Arial"/>
          <w:szCs w:val="24"/>
        </w:rPr>
      </w:pPr>
      <w:r w:rsidRPr="002A4856">
        <w:rPr>
          <w:rFonts w:ascii="Arial" w:hAnsi="Arial" w:cs="Arial"/>
          <w:szCs w:val="24"/>
        </w:rPr>
        <w:t xml:space="preserve">To </w:t>
      </w:r>
      <w:r w:rsidR="00B825BD" w:rsidRPr="002A4856">
        <w:rPr>
          <w:rFonts w:ascii="Arial" w:hAnsi="Arial" w:cs="Arial"/>
          <w:szCs w:val="24"/>
        </w:rPr>
        <w:t xml:space="preserve">support organizations to </w:t>
      </w:r>
      <w:r w:rsidRPr="002A4856">
        <w:rPr>
          <w:rFonts w:ascii="Arial" w:hAnsi="Arial" w:cs="Arial"/>
          <w:szCs w:val="24"/>
        </w:rPr>
        <w:t xml:space="preserve">incorporate sustainability, CSR strategies </w:t>
      </w:r>
      <w:r w:rsidR="003C352C" w:rsidRPr="002A4856">
        <w:rPr>
          <w:rFonts w:ascii="Arial" w:hAnsi="Arial" w:cs="Arial"/>
          <w:szCs w:val="24"/>
        </w:rPr>
        <w:t xml:space="preserve">are required to </w:t>
      </w:r>
      <w:r w:rsidRPr="002A4856">
        <w:rPr>
          <w:rFonts w:ascii="Arial" w:hAnsi="Arial" w:cs="Arial"/>
          <w:szCs w:val="24"/>
        </w:rPr>
        <w:t>embrace circular economy themes. Through CSR, companies promote sustainable economic development by serving shareholders, consumers, employees, and the community (Johnson et al., 2020). Circular economy helps CSR meet social, environmental, and economic goals. Organizations can lessen their environmental effect, benefit society, and promote the circular economy transition by using circular economy concepts.</w:t>
      </w:r>
      <w:r w:rsidR="00182B73" w:rsidRPr="002A4856">
        <w:rPr>
          <w:rFonts w:ascii="Arial" w:hAnsi="Arial" w:cs="Arial"/>
          <w:szCs w:val="24"/>
        </w:rPr>
        <w:t xml:space="preserve"> </w:t>
      </w:r>
      <w:r w:rsidR="00F90833" w:rsidRPr="002A4856">
        <w:rPr>
          <w:rFonts w:ascii="Arial" w:hAnsi="Arial" w:cs="Arial"/>
          <w:szCs w:val="24"/>
        </w:rPr>
        <w:t xml:space="preserve">CSR self-regulates businesses to be environmentally, socially, and economically sustainable. Circular economy principles reduce environmental impact and encourage sustainable business </w:t>
      </w:r>
      <w:r w:rsidR="002A4856">
        <w:rPr>
          <w:rFonts w:ascii="Arial" w:hAnsi="Arial" w:cs="Arial"/>
          <w:szCs w:val="24"/>
        </w:rPr>
        <w:t>practices</w:t>
      </w:r>
      <w:r w:rsidR="00F90833" w:rsidRPr="002A4856">
        <w:rPr>
          <w:rFonts w:ascii="Arial" w:hAnsi="Arial" w:cs="Arial"/>
          <w:szCs w:val="24"/>
        </w:rPr>
        <w:t xml:space="preserve"> in CSR (George, 2021). CSR efforts that promote </w:t>
      </w:r>
      <w:r w:rsidR="002A4856">
        <w:rPr>
          <w:rFonts w:ascii="Arial" w:hAnsi="Arial" w:cs="Arial"/>
          <w:szCs w:val="24"/>
        </w:rPr>
        <w:t xml:space="preserve">a </w:t>
      </w:r>
      <w:r w:rsidR="00F90833" w:rsidRPr="002A4856">
        <w:rPr>
          <w:rFonts w:ascii="Arial" w:hAnsi="Arial" w:cs="Arial"/>
          <w:szCs w:val="24"/>
        </w:rPr>
        <w:t>circular economy can increase Premier Inn's brand image, innovation, and cost savings.</w:t>
      </w:r>
      <w:r w:rsidR="00182B73" w:rsidRPr="002A4856">
        <w:rPr>
          <w:rFonts w:ascii="Arial" w:hAnsi="Arial" w:cs="Arial"/>
          <w:szCs w:val="24"/>
        </w:rPr>
        <w:t xml:space="preserve"> </w:t>
      </w:r>
      <w:r w:rsidR="00204439" w:rsidRPr="002A4856">
        <w:rPr>
          <w:rFonts w:ascii="Arial" w:hAnsi="Arial" w:cs="Arial"/>
          <w:szCs w:val="24"/>
        </w:rPr>
        <w:t xml:space="preserve">CSR includes social, environmental, and ethical considerations </w:t>
      </w:r>
      <w:r w:rsidR="002A4856">
        <w:rPr>
          <w:rFonts w:ascii="Arial" w:hAnsi="Arial" w:cs="Arial"/>
          <w:szCs w:val="24"/>
        </w:rPr>
        <w:t>in</w:t>
      </w:r>
      <w:r w:rsidR="00204439" w:rsidRPr="002A4856">
        <w:rPr>
          <w:rFonts w:ascii="Arial" w:hAnsi="Arial" w:cs="Arial"/>
          <w:szCs w:val="24"/>
        </w:rPr>
        <w:t xml:space="preserve"> business operations. </w:t>
      </w:r>
      <w:r w:rsidR="002A4856">
        <w:rPr>
          <w:rFonts w:ascii="Arial" w:hAnsi="Arial" w:cs="Arial"/>
          <w:szCs w:val="24"/>
        </w:rPr>
        <w:t>A circular</w:t>
      </w:r>
      <w:r w:rsidR="00204439" w:rsidRPr="002A4856">
        <w:rPr>
          <w:rFonts w:ascii="Arial" w:hAnsi="Arial" w:cs="Arial"/>
          <w:szCs w:val="24"/>
        </w:rPr>
        <w:t xml:space="preserve"> economy helps companies solve environmental issues and increase the economy (Kusumowardani et al., 2022).  </w:t>
      </w:r>
      <w:r w:rsidR="00204439" w:rsidRPr="002A4856">
        <w:rPr>
          <w:rFonts w:ascii="Arial" w:hAnsi="Arial" w:cs="Arial"/>
          <w:szCs w:val="24"/>
        </w:rPr>
        <w:lastRenderedPageBreak/>
        <w:t xml:space="preserve">Circular economy concepts help companies decrease waste, </w:t>
      </w:r>
      <w:r w:rsidR="002A4856">
        <w:rPr>
          <w:rFonts w:ascii="Arial" w:hAnsi="Arial" w:cs="Arial"/>
          <w:szCs w:val="24"/>
        </w:rPr>
        <w:t xml:space="preserve">and </w:t>
      </w:r>
      <w:r w:rsidR="00204439" w:rsidRPr="002A4856">
        <w:rPr>
          <w:rFonts w:ascii="Arial" w:hAnsi="Arial" w:cs="Arial"/>
          <w:szCs w:val="24"/>
        </w:rPr>
        <w:t>environmental impact, and meet the UN's Sustainable Development Goals. Circular economy companies are more likely to attract and retain customers as consumers become more environmentally conscious, improving their brand image.</w:t>
      </w:r>
      <w:r w:rsidR="00182B73" w:rsidRPr="002A4856">
        <w:rPr>
          <w:rFonts w:ascii="Arial" w:hAnsi="Arial" w:cs="Arial"/>
          <w:szCs w:val="24"/>
        </w:rPr>
        <w:t xml:space="preserve"> </w:t>
      </w:r>
      <w:r w:rsidR="00EC6A24" w:rsidRPr="002A4856">
        <w:rPr>
          <w:rFonts w:ascii="Arial" w:hAnsi="Arial" w:cs="Arial"/>
          <w:szCs w:val="24"/>
        </w:rPr>
        <w:t xml:space="preserve">Company CSR policies address social, environmental, and stakeholder issues. Businesses must incorporate sustainable </w:t>
      </w:r>
      <w:r w:rsidR="002A4856">
        <w:rPr>
          <w:rFonts w:ascii="Arial" w:hAnsi="Arial" w:cs="Arial"/>
          <w:szCs w:val="24"/>
        </w:rPr>
        <w:t>practices</w:t>
      </w:r>
      <w:r w:rsidR="00EC6A24" w:rsidRPr="002A4856">
        <w:rPr>
          <w:rFonts w:ascii="Arial" w:hAnsi="Arial" w:cs="Arial"/>
          <w:szCs w:val="24"/>
        </w:rPr>
        <w:t xml:space="preserve"> into their CSR initiatives as customers grow more aware and demanding of their social and environmental responsibilities (Cobîrzan, </w:t>
      </w:r>
      <w:r w:rsidR="00182B73" w:rsidRPr="002A4856">
        <w:rPr>
          <w:rFonts w:ascii="Arial" w:hAnsi="Arial" w:cs="Arial"/>
          <w:szCs w:val="24"/>
        </w:rPr>
        <w:t xml:space="preserve">et al., </w:t>
      </w:r>
      <w:r w:rsidR="00EC6A24" w:rsidRPr="002A4856">
        <w:rPr>
          <w:rFonts w:ascii="Arial" w:hAnsi="Arial" w:cs="Arial"/>
          <w:szCs w:val="24"/>
        </w:rPr>
        <w:t>Felseghi, 2023). A circular economy fosters resource efficiency, waste reduction, and sustainable development, which ethical businesses need.</w:t>
      </w:r>
    </w:p>
    <w:p w14:paraId="21AE5E20" w14:textId="514C05E5" w:rsidR="00262009" w:rsidRPr="002A4856" w:rsidRDefault="00611F1A" w:rsidP="002A4856">
      <w:pPr>
        <w:spacing w:line="360" w:lineRule="auto"/>
        <w:jc w:val="both"/>
        <w:rPr>
          <w:rFonts w:ascii="Arial" w:hAnsi="Arial" w:cs="Arial"/>
          <w:szCs w:val="24"/>
        </w:rPr>
      </w:pPr>
      <w:r w:rsidRPr="002A4856">
        <w:rPr>
          <w:rFonts w:ascii="Arial" w:hAnsi="Arial" w:cs="Arial"/>
          <w:szCs w:val="24"/>
        </w:rPr>
        <w:t xml:space="preserve">Premier Inn's comprehensive CSR policy promotes sustainability and social responsibility. The company reduces social and environmental impacts. The policy comprises five pillars: "Sustainability and recycling," "Sustainable sourcing," "Sustainable procurement," "Community and charity," and "Climate change" (Lacy, Long, </w:t>
      </w:r>
      <w:r w:rsidR="00A20549" w:rsidRPr="002A4856">
        <w:rPr>
          <w:rFonts w:ascii="Arial" w:hAnsi="Arial" w:cs="Arial"/>
          <w:szCs w:val="24"/>
        </w:rPr>
        <w:t>and</w:t>
      </w:r>
      <w:r w:rsidRPr="002A4856">
        <w:rPr>
          <w:rFonts w:ascii="Arial" w:hAnsi="Arial" w:cs="Arial"/>
          <w:szCs w:val="24"/>
        </w:rPr>
        <w:t xml:space="preserve"> Spindler, 2020</w:t>
      </w:r>
      <w:r w:rsidR="00262009" w:rsidRPr="002A4856">
        <w:rPr>
          <w:rFonts w:ascii="Arial" w:hAnsi="Arial" w:cs="Arial"/>
          <w:szCs w:val="24"/>
        </w:rPr>
        <w:t>.</w:t>
      </w:r>
      <w:r w:rsidR="00182B73" w:rsidRPr="002A4856">
        <w:rPr>
          <w:rFonts w:ascii="Arial" w:hAnsi="Arial" w:cs="Arial"/>
          <w:szCs w:val="24"/>
        </w:rPr>
        <w:t xml:space="preserve"> </w:t>
      </w:r>
      <w:r w:rsidR="0004393B" w:rsidRPr="002A4856">
        <w:rPr>
          <w:rFonts w:ascii="Arial" w:hAnsi="Arial" w:cs="Arial"/>
          <w:szCs w:val="24"/>
        </w:rPr>
        <w:t xml:space="preserve">Under the pillar of "Sustainability and recycling," Premier Inn reduces waste and promotes recycling. By 2020, the corporation wants no rubbish in landfills. To do this, Premier Inn hotels recycle paper, cardboard, plastics, glass, and food waste. The organization teaches guests </w:t>
      </w:r>
      <w:r w:rsidR="002A4856">
        <w:rPr>
          <w:rFonts w:ascii="Arial" w:hAnsi="Arial" w:cs="Arial"/>
          <w:szCs w:val="24"/>
        </w:rPr>
        <w:t>about</w:t>
      </w:r>
      <w:r w:rsidR="0004393B" w:rsidRPr="002A4856">
        <w:rPr>
          <w:rFonts w:ascii="Arial" w:hAnsi="Arial" w:cs="Arial"/>
          <w:szCs w:val="24"/>
        </w:rPr>
        <w:t xml:space="preserve"> waste reduction and recycling to encourage recycling</w:t>
      </w:r>
      <w:r w:rsidR="00262009" w:rsidRPr="002A4856">
        <w:rPr>
          <w:rFonts w:ascii="Arial" w:hAnsi="Arial" w:cs="Arial"/>
          <w:szCs w:val="24"/>
        </w:rPr>
        <w:t>.</w:t>
      </w:r>
      <w:r w:rsidR="00182B73" w:rsidRPr="002A4856">
        <w:rPr>
          <w:rFonts w:ascii="Arial" w:hAnsi="Arial" w:cs="Arial"/>
          <w:szCs w:val="24"/>
        </w:rPr>
        <w:t xml:space="preserve"> </w:t>
      </w:r>
      <w:r w:rsidR="00507ABD" w:rsidRPr="002A4856">
        <w:rPr>
          <w:rFonts w:ascii="Arial" w:hAnsi="Arial" w:cs="Arial"/>
          <w:szCs w:val="24"/>
        </w:rPr>
        <w:t>Premier Inn uses "sustainable sourcing," buying from sustainable vendors. Prioritize ecologically friendly suppliers and their carbon footprint. The organization works with local suppliers to reduce packaging waste for food.</w:t>
      </w:r>
      <w:r w:rsidR="00182B73" w:rsidRPr="002A4856">
        <w:rPr>
          <w:rFonts w:ascii="Arial" w:hAnsi="Arial" w:cs="Arial"/>
          <w:szCs w:val="24"/>
        </w:rPr>
        <w:t xml:space="preserve"> </w:t>
      </w:r>
      <w:r w:rsidR="008E307D" w:rsidRPr="002A4856">
        <w:rPr>
          <w:rFonts w:ascii="Arial" w:hAnsi="Arial" w:cs="Arial"/>
          <w:color w:val="222222"/>
          <w:szCs w:val="24"/>
          <w:shd w:val="clear" w:color="auto" w:fill="FFFFFF"/>
        </w:rPr>
        <w:t xml:space="preserve">The Whitbread Group PLC-owned Premier Inn has a strong CSR policy that focuses </w:t>
      </w:r>
      <w:r w:rsidR="002A4856">
        <w:rPr>
          <w:rFonts w:ascii="Arial" w:hAnsi="Arial" w:cs="Arial"/>
          <w:color w:val="222222"/>
          <w:szCs w:val="24"/>
          <w:shd w:val="clear" w:color="auto" w:fill="FFFFFF"/>
        </w:rPr>
        <w:t xml:space="preserve">on </w:t>
      </w:r>
      <w:r w:rsidR="008E307D" w:rsidRPr="002A4856">
        <w:rPr>
          <w:rFonts w:ascii="Arial" w:hAnsi="Arial" w:cs="Arial"/>
          <w:color w:val="222222"/>
          <w:szCs w:val="24"/>
          <w:shd w:val="clear" w:color="auto" w:fill="FFFFFF"/>
        </w:rPr>
        <w:t>people, earth, procurement, and philanthropy. Premier Inn decreases its environmental impact. Circular economy application is vital for the hotel chain (Brears, 2023).</w:t>
      </w:r>
      <w:r w:rsidR="00182B73" w:rsidRPr="002A4856">
        <w:rPr>
          <w:rFonts w:ascii="Arial" w:hAnsi="Arial" w:cs="Arial"/>
          <w:szCs w:val="24"/>
        </w:rPr>
        <w:t xml:space="preserve"> </w:t>
      </w:r>
      <w:r w:rsidR="008E307D" w:rsidRPr="002A4856">
        <w:rPr>
          <w:rFonts w:ascii="Arial" w:hAnsi="Arial" w:cs="Arial"/>
          <w:szCs w:val="24"/>
        </w:rPr>
        <w:t>The "Good Together" sustainability program</w:t>
      </w:r>
      <w:r w:rsidR="00672A5D" w:rsidRPr="002A4856">
        <w:rPr>
          <w:rFonts w:ascii="Arial" w:hAnsi="Arial" w:cs="Arial"/>
          <w:szCs w:val="24"/>
        </w:rPr>
        <w:t xml:space="preserve"> named </w:t>
      </w:r>
      <w:r w:rsidR="008E307D" w:rsidRPr="002A4856">
        <w:rPr>
          <w:rFonts w:ascii="Arial" w:hAnsi="Arial" w:cs="Arial"/>
          <w:szCs w:val="24"/>
        </w:rPr>
        <w:t xml:space="preserve">People, Planet, </w:t>
      </w:r>
      <w:r w:rsidR="002A4856">
        <w:rPr>
          <w:rFonts w:ascii="Arial" w:hAnsi="Arial" w:cs="Arial"/>
          <w:szCs w:val="24"/>
        </w:rPr>
        <w:t>Playing Our Part</w:t>
      </w:r>
      <w:r w:rsidR="008E307D" w:rsidRPr="002A4856">
        <w:rPr>
          <w:rFonts w:ascii="Arial" w:hAnsi="Arial" w:cs="Arial"/>
          <w:szCs w:val="24"/>
        </w:rPr>
        <w:t>, and Partnering</w:t>
      </w:r>
      <w:r w:rsidR="00672A5D" w:rsidRPr="002A4856">
        <w:rPr>
          <w:rFonts w:ascii="Arial" w:hAnsi="Arial" w:cs="Arial"/>
          <w:szCs w:val="24"/>
        </w:rPr>
        <w:t xml:space="preserve"> </w:t>
      </w:r>
      <w:r w:rsidR="008E307D" w:rsidRPr="002A4856">
        <w:rPr>
          <w:rFonts w:ascii="Arial" w:hAnsi="Arial" w:cs="Arial"/>
          <w:szCs w:val="24"/>
        </w:rPr>
        <w:t>guides Premier Inn's CSR policy. Circular economy ideas underpin their CSR strategy.</w:t>
      </w:r>
      <w:r w:rsidR="00182B73" w:rsidRPr="002A4856">
        <w:rPr>
          <w:rFonts w:ascii="Arial" w:hAnsi="Arial" w:cs="Arial"/>
          <w:szCs w:val="24"/>
        </w:rPr>
        <w:t xml:space="preserve"> </w:t>
      </w:r>
      <w:r w:rsidR="00084F3E" w:rsidRPr="002A4856">
        <w:rPr>
          <w:rFonts w:ascii="Arial" w:hAnsi="Arial" w:cs="Arial"/>
          <w:szCs w:val="24"/>
        </w:rPr>
        <w:t>Premier Inn's "Planet" pillar promises to eliminate landfill waste by 2025. It incorporates circular economy ideas like sustainable menu planning, composting leftover food, and recycling plastic, glass, and cardboard. They build energy-efficient hotels using renewable energy and water conservation (Rahigude et al., 2022).</w:t>
      </w:r>
      <w:r w:rsidR="00182B73" w:rsidRPr="002A4856">
        <w:rPr>
          <w:rFonts w:ascii="Arial" w:hAnsi="Arial" w:cs="Arial"/>
          <w:szCs w:val="24"/>
        </w:rPr>
        <w:t xml:space="preserve"> </w:t>
      </w:r>
      <w:r w:rsidR="00D7091A" w:rsidRPr="002A4856">
        <w:rPr>
          <w:rFonts w:ascii="Arial" w:hAnsi="Arial" w:cs="Arial"/>
          <w:szCs w:val="24"/>
        </w:rPr>
        <w:t>Premier Inn and Hypnos are launching a circular economy mattress recycling initiative under the "Partnering" pillar. Former Premier Inn mattresses are collected, renovated, and reused. They reduced their carbon footprint and avoided landfills.</w:t>
      </w:r>
      <w:r w:rsidR="00182B73" w:rsidRPr="002A4856">
        <w:rPr>
          <w:rFonts w:ascii="Arial" w:hAnsi="Arial" w:cs="Arial"/>
          <w:szCs w:val="24"/>
        </w:rPr>
        <w:t xml:space="preserve"> </w:t>
      </w:r>
      <w:r w:rsidR="00CD7336" w:rsidRPr="002A4856">
        <w:rPr>
          <w:rFonts w:ascii="Arial" w:hAnsi="Arial" w:cs="Arial"/>
          <w:szCs w:val="24"/>
        </w:rPr>
        <w:t xml:space="preserve">Premier Inn trains staff in circular economy and sustainability as part of their </w:t>
      </w:r>
      <w:r w:rsidR="00CD7336" w:rsidRPr="002A4856">
        <w:rPr>
          <w:rFonts w:ascii="Arial" w:hAnsi="Arial" w:cs="Arial"/>
          <w:szCs w:val="24"/>
        </w:rPr>
        <w:lastRenderedPageBreak/>
        <w:t xml:space="preserve">"Playing our part" pillar. This allows employees to use these </w:t>
      </w:r>
      <w:r w:rsidR="002A4856">
        <w:rPr>
          <w:rFonts w:ascii="Arial" w:hAnsi="Arial" w:cs="Arial"/>
          <w:szCs w:val="24"/>
        </w:rPr>
        <w:t>practices</w:t>
      </w:r>
      <w:r w:rsidR="00CD7336" w:rsidRPr="002A4856">
        <w:rPr>
          <w:rFonts w:ascii="Arial" w:hAnsi="Arial" w:cs="Arial"/>
          <w:szCs w:val="24"/>
        </w:rPr>
        <w:t xml:space="preserve"> regularly, creating a sustainable business culture.</w:t>
      </w:r>
      <w:r w:rsidR="00182B73" w:rsidRPr="002A4856">
        <w:rPr>
          <w:rFonts w:ascii="Arial" w:hAnsi="Arial" w:cs="Arial"/>
          <w:szCs w:val="24"/>
        </w:rPr>
        <w:t xml:space="preserve"> </w:t>
      </w:r>
      <w:r w:rsidR="005A6F12" w:rsidRPr="002A4856">
        <w:rPr>
          <w:rFonts w:ascii="Arial" w:hAnsi="Arial" w:cs="Arial"/>
          <w:szCs w:val="24"/>
        </w:rPr>
        <w:t xml:space="preserve">Premier Inn wants to reduce water, waste, and carbon emissions by 2025. This promotes </w:t>
      </w:r>
      <w:r w:rsidR="002A4856">
        <w:rPr>
          <w:rFonts w:ascii="Arial" w:hAnsi="Arial" w:cs="Arial"/>
          <w:szCs w:val="24"/>
        </w:rPr>
        <w:t xml:space="preserve">a </w:t>
      </w:r>
      <w:r w:rsidR="005A6F12" w:rsidRPr="002A4856">
        <w:rPr>
          <w:rFonts w:ascii="Arial" w:hAnsi="Arial" w:cs="Arial"/>
          <w:szCs w:val="24"/>
        </w:rPr>
        <w:t>circular economy by utilizing resources and eliminating waste. The hotel upgraded energy-efficient lighting, HVAC, and water-saving showers and faucets to reduce its environmental effect. Premier Inn has also committed to recycling and reducing single-use plastics (Acampora et al., 2022).</w:t>
      </w:r>
      <w:r w:rsidR="00182B73" w:rsidRPr="002A4856">
        <w:rPr>
          <w:rFonts w:ascii="Arial" w:hAnsi="Arial" w:cs="Arial"/>
          <w:szCs w:val="24"/>
        </w:rPr>
        <w:t xml:space="preserve"> </w:t>
      </w:r>
      <w:r w:rsidR="00AC57C3" w:rsidRPr="002A4856">
        <w:rPr>
          <w:rFonts w:ascii="Arial" w:hAnsi="Arial" w:cs="Arial"/>
          <w:szCs w:val="24"/>
        </w:rPr>
        <w:t>Premier Inn has circular economy shopping. Hotels hire sustainable suppliers who use responsible materials and commodities. It decreases supply chain environmental impact and promotes sustainable production and consumption.</w:t>
      </w:r>
      <w:r w:rsidR="00182B73" w:rsidRPr="002A4856">
        <w:rPr>
          <w:rFonts w:ascii="Arial" w:hAnsi="Arial" w:cs="Arial"/>
          <w:szCs w:val="24"/>
        </w:rPr>
        <w:t xml:space="preserve"> </w:t>
      </w:r>
      <w:r w:rsidR="00B203AD" w:rsidRPr="002A4856">
        <w:rPr>
          <w:rFonts w:ascii="Arial" w:hAnsi="Arial" w:cs="Arial"/>
          <w:szCs w:val="24"/>
        </w:rPr>
        <w:t>Premier Inn restaurants deliver ethically sourced, sustainable food. This promotes food waste reduction and "closing the loop" in the food supply chain.</w:t>
      </w:r>
      <w:r w:rsidR="00182B73" w:rsidRPr="002A4856">
        <w:rPr>
          <w:rFonts w:ascii="Arial" w:hAnsi="Arial" w:cs="Arial"/>
          <w:szCs w:val="24"/>
        </w:rPr>
        <w:t xml:space="preserve"> </w:t>
      </w:r>
      <w:r w:rsidR="00B203AD" w:rsidRPr="002A4856">
        <w:rPr>
          <w:rFonts w:ascii="Arial" w:hAnsi="Arial" w:cs="Arial"/>
          <w:szCs w:val="24"/>
        </w:rPr>
        <w:t xml:space="preserve">Under "Sustainable </w:t>
      </w:r>
      <w:r w:rsidR="002A4856">
        <w:rPr>
          <w:rFonts w:ascii="Arial" w:hAnsi="Arial" w:cs="Arial"/>
          <w:szCs w:val="24"/>
        </w:rPr>
        <w:t>Procurement</w:t>
      </w:r>
      <w:r w:rsidR="00B203AD" w:rsidRPr="002A4856">
        <w:rPr>
          <w:rFonts w:ascii="Arial" w:hAnsi="Arial" w:cs="Arial"/>
          <w:szCs w:val="24"/>
        </w:rPr>
        <w:t>," Premier Inn considers environmental and social impacts when buying. The company plans to buy more FSC-certified wood and energy-efficient equipment (Dhir, 2019).</w:t>
      </w:r>
      <w:r w:rsidR="00182B73" w:rsidRPr="002A4856">
        <w:rPr>
          <w:rFonts w:ascii="Arial" w:hAnsi="Arial" w:cs="Arial"/>
          <w:szCs w:val="24"/>
        </w:rPr>
        <w:t xml:space="preserve"> </w:t>
      </w:r>
      <w:r w:rsidR="00CC4F7B" w:rsidRPr="002A4856">
        <w:rPr>
          <w:rFonts w:ascii="Arial" w:hAnsi="Arial" w:cs="Arial"/>
          <w:szCs w:val="24"/>
        </w:rPr>
        <w:t>Under "Community and charity," Premier Inn supports local charities. The group promotes volunteering and donates to Great Ormond Street Hospital Children's Charity and Cancer Research UK.</w:t>
      </w:r>
      <w:r w:rsidR="00182B73" w:rsidRPr="002A4856">
        <w:rPr>
          <w:rFonts w:ascii="Arial" w:hAnsi="Arial" w:cs="Arial"/>
          <w:szCs w:val="24"/>
        </w:rPr>
        <w:t xml:space="preserve"> </w:t>
      </w:r>
      <w:r w:rsidR="00D254D2" w:rsidRPr="002A4856">
        <w:rPr>
          <w:rFonts w:ascii="Arial" w:hAnsi="Arial" w:cs="Arial"/>
          <w:color w:val="222222"/>
          <w:szCs w:val="24"/>
          <w:shd w:val="clear" w:color="auto" w:fill="FFFFFF"/>
        </w:rPr>
        <w:t>U</w:t>
      </w:r>
      <w:r w:rsidR="00E42568" w:rsidRPr="002A4856">
        <w:rPr>
          <w:rFonts w:ascii="Arial" w:hAnsi="Arial" w:cs="Arial"/>
          <w:color w:val="222222"/>
          <w:szCs w:val="24"/>
          <w:shd w:val="clear" w:color="auto" w:fill="FFFFFF"/>
        </w:rPr>
        <w:t xml:space="preserve">nder "Climate change," Premier Inn embraces environmental responsibility and reduces its carbon footprint. For its 2025 energy, water, and waste reduction goals, the company is investing in renewable energy and energy-efficient technologies </w:t>
      </w:r>
      <w:r w:rsidR="00182B73" w:rsidRPr="002A4856">
        <w:rPr>
          <w:rFonts w:ascii="Arial" w:hAnsi="Arial" w:cs="Arial"/>
          <w:color w:val="222222"/>
          <w:szCs w:val="24"/>
          <w:shd w:val="clear" w:color="auto" w:fill="FFFFFF"/>
        </w:rPr>
        <w:t>(</w:t>
      </w:r>
      <w:r w:rsidR="00E42568" w:rsidRPr="002A4856">
        <w:rPr>
          <w:rFonts w:ascii="Arial" w:hAnsi="Arial" w:cs="Arial"/>
          <w:color w:val="222222"/>
          <w:szCs w:val="24"/>
          <w:shd w:val="clear" w:color="auto" w:fill="FFFFFF"/>
        </w:rPr>
        <w:t>Tribe</w:t>
      </w:r>
      <w:r w:rsidR="00182B73" w:rsidRPr="002A4856">
        <w:rPr>
          <w:rFonts w:ascii="Arial" w:hAnsi="Arial" w:cs="Arial"/>
          <w:color w:val="222222"/>
          <w:szCs w:val="24"/>
          <w:shd w:val="clear" w:color="auto" w:fill="FFFFFF"/>
        </w:rPr>
        <w:t xml:space="preserve">, </w:t>
      </w:r>
      <w:r w:rsidR="00E42568" w:rsidRPr="002A4856">
        <w:rPr>
          <w:rFonts w:ascii="Arial" w:hAnsi="Arial" w:cs="Arial"/>
          <w:color w:val="222222"/>
          <w:szCs w:val="24"/>
          <w:shd w:val="clear" w:color="auto" w:fill="FFFFFF"/>
        </w:rPr>
        <w:t>2020)</w:t>
      </w:r>
      <w:r w:rsidR="00D254D2" w:rsidRPr="002A4856">
        <w:rPr>
          <w:rFonts w:ascii="Arial" w:hAnsi="Arial" w:cs="Arial"/>
          <w:color w:val="222222"/>
          <w:szCs w:val="24"/>
          <w:shd w:val="clear" w:color="auto" w:fill="FFFFFF"/>
        </w:rPr>
        <w:t>.</w:t>
      </w:r>
    </w:p>
    <w:p w14:paraId="395DC386" w14:textId="6B09423E" w:rsidR="00262009" w:rsidRPr="002A4856" w:rsidRDefault="00F96646" w:rsidP="002A4856">
      <w:pPr>
        <w:spacing w:line="360" w:lineRule="auto"/>
        <w:jc w:val="both"/>
        <w:rPr>
          <w:rFonts w:ascii="Arial" w:hAnsi="Arial" w:cs="Arial"/>
          <w:szCs w:val="24"/>
        </w:rPr>
      </w:pPr>
      <w:r w:rsidRPr="002A4856">
        <w:rPr>
          <w:rFonts w:ascii="Arial" w:hAnsi="Arial" w:cs="Arial"/>
          <w:szCs w:val="24"/>
        </w:rPr>
        <w:t>Premier Inn aims to be carbon-neutral. The brand aims to reduce its carbon footprint by 50% by 2025 through energy-efficient lighting, renewable energy, water conservation, and garbage reduction and recycling. Green energy prices are available for the brand's renewable-energy hotels. Premier Inn promotes sustainability and carbon reduction among its suppliers and partners. The brand regularly monitors suppliers' ethical and environmental practices. Premier Inn also offers carbon-reduction advice during stays.</w:t>
      </w:r>
      <w:r w:rsidR="00182B73" w:rsidRPr="002A4856">
        <w:rPr>
          <w:rFonts w:ascii="Arial" w:hAnsi="Arial" w:cs="Arial"/>
          <w:szCs w:val="24"/>
        </w:rPr>
        <w:t xml:space="preserve"> </w:t>
      </w:r>
      <w:r w:rsidRPr="002A4856">
        <w:rPr>
          <w:rFonts w:ascii="Arial" w:hAnsi="Arial" w:cs="Arial"/>
          <w:szCs w:val="24"/>
        </w:rPr>
        <w:t>Premier Inn supports community improvement. Education, employment, and charity are the brand's CSR goals. Premier Inn offers internships and employment to children through local schools and institutions. The brand partners with Great Ormond Street Hospital Children's Charity and Cancer Research UK to raise funds and awareness. Premier Inn values its employees and provides a safe, inclusive, and supportive environment. Company benefits include flexible work hours, training, and wellness. Premier Inn has fair pay, equal chances, and diversity and inclusion policies.</w:t>
      </w:r>
      <w:r w:rsidR="00182B73" w:rsidRPr="002A4856">
        <w:rPr>
          <w:rFonts w:ascii="Arial" w:hAnsi="Arial" w:cs="Arial"/>
          <w:szCs w:val="24"/>
        </w:rPr>
        <w:t xml:space="preserve"> </w:t>
      </w:r>
      <w:r w:rsidRPr="002A4856">
        <w:rPr>
          <w:rFonts w:ascii="Arial" w:hAnsi="Arial" w:cs="Arial"/>
          <w:szCs w:val="24"/>
        </w:rPr>
        <w:t xml:space="preserve">Premier Inn's CSR policy stresses customer </w:t>
      </w:r>
      <w:r w:rsidRPr="002A4856">
        <w:rPr>
          <w:rFonts w:ascii="Arial" w:hAnsi="Arial" w:cs="Arial"/>
          <w:szCs w:val="24"/>
        </w:rPr>
        <w:lastRenderedPageBreak/>
        <w:t xml:space="preserve">satisfaction and a pleasurable stay at its properties. Feedback helps the brand improve its products and services. Premier Inn offers the lowest rates with its Price Guarantee. The brand provides impaired accessibility standards and aims to make every visit delightful. Premier Inn constantly seeks CSR improvements. The brand launched a ‘Good Night Guarantee’ in 2018 to compensate guests who </w:t>
      </w:r>
      <w:r w:rsidR="001D677C" w:rsidRPr="002A4856">
        <w:rPr>
          <w:rFonts w:ascii="Arial" w:hAnsi="Arial" w:cs="Arial"/>
          <w:szCs w:val="24"/>
        </w:rPr>
        <w:t>did not</w:t>
      </w:r>
      <w:r w:rsidRPr="002A4856">
        <w:rPr>
          <w:rFonts w:ascii="Arial" w:hAnsi="Arial" w:cs="Arial"/>
          <w:szCs w:val="24"/>
        </w:rPr>
        <w:t xml:space="preserve"> sleep well at one of their hotels. By ensuring guests sleep well, this project shows the brand's commitment to customer satisfaction and energy conservation.</w:t>
      </w:r>
      <w:r w:rsidR="00182B73" w:rsidRPr="002A4856">
        <w:rPr>
          <w:rFonts w:ascii="Arial" w:hAnsi="Arial" w:cs="Arial"/>
          <w:szCs w:val="24"/>
        </w:rPr>
        <w:t xml:space="preserve"> </w:t>
      </w:r>
      <w:r w:rsidR="002235E6" w:rsidRPr="002A4856">
        <w:rPr>
          <w:rFonts w:ascii="Arial" w:hAnsi="Arial" w:cs="Arial"/>
          <w:szCs w:val="24"/>
        </w:rPr>
        <w:t xml:space="preserve">Premier Inn's CSR policy, "Good Together," promotes sustainability and responsible business. Their CSR strategy prioritizes people, communities, and the environment. Premier Inn's </w:t>
      </w:r>
      <w:r w:rsidR="002A4856">
        <w:rPr>
          <w:rFonts w:ascii="Arial" w:hAnsi="Arial" w:cs="Arial"/>
          <w:szCs w:val="24"/>
        </w:rPr>
        <w:t>environmental</w:t>
      </w:r>
      <w:r w:rsidR="002235E6" w:rsidRPr="002A4856">
        <w:rPr>
          <w:rFonts w:ascii="Arial" w:hAnsi="Arial" w:cs="Arial"/>
          <w:szCs w:val="24"/>
        </w:rPr>
        <w:t xml:space="preserve"> pillar includes energy-efficient lighting, water conservation, and trash management to reduce carbon emissions. They also seek to reduce single-use plastics by 50% and use more renewable energy in hotels. Premier Inn works with Carbon Trust and WRAP to increase sustainability.</w:t>
      </w:r>
      <w:r w:rsidR="00182B73" w:rsidRPr="002A4856">
        <w:rPr>
          <w:rFonts w:ascii="Arial" w:hAnsi="Arial" w:cs="Arial"/>
          <w:szCs w:val="24"/>
        </w:rPr>
        <w:t xml:space="preserve"> </w:t>
      </w:r>
      <w:r w:rsidR="002235E6" w:rsidRPr="002A4856">
        <w:rPr>
          <w:rFonts w:ascii="Arial" w:hAnsi="Arial" w:cs="Arial"/>
          <w:szCs w:val="24"/>
        </w:rPr>
        <w:t xml:space="preserve">Premier Inn implements </w:t>
      </w:r>
      <w:r w:rsidR="002A4856">
        <w:rPr>
          <w:rFonts w:ascii="Arial" w:hAnsi="Arial" w:cs="Arial"/>
          <w:szCs w:val="24"/>
        </w:rPr>
        <w:t xml:space="preserve">a </w:t>
      </w:r>
      <w:r w:rsidR="002235E6" w:rsidRPr="002A4856">
        <w:rPr>
          <w:rFonts w:ascii="Arial" w:hAnsi="Arial" w:cs="Arial"/>
          <w:szCs w:val="24"/>
        </w:rPr>
        <w:t xml:space="preserve">circular economy. They make biofuels from hotel coffee grinds with BioBean. This program promotes renewable energy and trash reduction. Premier Inn's linen reuse program promotes circular economy resource reduction and reuse by encouraging towel and bedding reuse </w:t>
      </w:r>
      <w:r w:rsidR="00D508F7" w:rsidRPr="002A4856">
        <w:rPr>
          <w:rFonts w:ascii="Arial" w:hAnsi="Arial" w:cs="Arial"/>
          <w:szCs w:val="24"/>
        </w:rPr>
        <w:t xml:space="preserve">(Brears, </w:t>
      </w:r>
      <w:r w:rsidR="002235E6" w:rsidRPr="002A4856">
        <w:rPr>
          <w:rFonts w:ascii="Arial" w:hAnsi="Arial" w:cs="Arial"/>
          <w:szCs w:val="24"/>
        </w:rPr>
        <w:t>2023)</w:t>
      </w:r>
      <w:r w:rsidR="002834BD" w:rsidRPr="002A4856">
        <w:rPr>
          <w:rFonts w:ascii="Arial" w:hAnsi="Arial" w:cs="Arial"/>
          <w:szCs w:val="24"/>
        </w:rPr>
        <w:t>.</w:t>
      </w:r>
    </w:p>
    <w:p w14:paraId="37452281" w14:textId="127BD7F2" w:rsidR="00C26E0E" w:rsidRPr="002A4856" w:rsidRDefault="00D508F7" w:rsidP="002A4856">
      <w:pPr>
        <w:spacing w:line="360" w:lineRule="auto"/>
        <w:jc w:val="both"/>
        <w:rPr>
          <w:rFonts w:ascii="Arial" w:hAnsi="Arial" w:cs="Arial"/>
          <w:szCs w:val="24"/>
        </w:rPr>
      </w:pPr>
      <w:r w:rsidRPr="002A4856">
        <w:rPr>
          <w:rFonts w:ascii="Arial" w:hAnsi="Arial" w:cs="Arial"/>
          <w:szCs w:val="24"/>
        </w:rPr>
        <w:t xml:space="preserve">Premier Inn received praise for </w:t>
      </w:r>
      <w:r w:rsidR="002A4856">
        <w:rPr>
          <w:rFonts w:ascii="Arial" w:hAnsi="Arial" w:cs="Arial"/>
          <w:szCs w:val="24"/>
        </w:rPr>
        <w:t>its</w:t>
      </w:r>
      <w:r w:rsidRPr="002A4856">
        <w:rPr>
          <w:rFonts w:ascii="Arial" w:hAnsi="Arial" w:cs="Arial"/>
          <w:szCs w:val="24"/>
        </w:rPr>
        <w:t xml:space="preserve"> sustainable CSR. The Waste2Zero Platinum Award for its zero-waste program and the Business Green Leaders Award for its mattress recycling partnership with Hypnos are its circular economy achievements. These awards demonstrate the company's circular economy and environmental impact.</w:t>
      </w:r>
      <w:r w:rsidR="00182B73" w:rsidRPr="002A4856">
        <w:rPr>
          <w:rFonts w:ascii="Arial" w:hAnsi="Arial" w:cs="Arial"/>
          <w:szCs w:val="24"/>
        </w:rPr>
        <w:t xml:space="preserve"> </w:t>
      </w:r>
      <w:r w:rsidR="001B1015" w:rsidRPr="002A4856">
        <w:rPr>
          <w:rFonts w:ascii="Arial" w:hAnsi="Arial" w:cs="Arial"/>
          <w:szCs w:val="24"/>
        </w:rPr>
        <w:t xml:space="preserve">Environmental and social responsibility and sustainability are Premier Inn's CSR priorities. The company has high operational goals and strategies to achieve them. Premier Inn recycles, invests in sustainable sourcing, and reduces its carbon footprint to promote circular economy principles and sustainability (Alvarez-Risco, </w:t>
      </w:r>
      <w:r w:rsidR="00182B73" w:rsidRPr="002A4856">
        <w:rPr>
          <w:rFonts w:ascii="Arial" w:hAnsi="Arial" w:cs="Arial"/>
          <w:szCs w:val="24"/>
        </w:rPr>
        <w:t xml:space="preserve">et al., </w:t>
      </w:r>
      <w:r w:rsidR="001B1015" w:rsidRPr="002A4856">
        <w:rPr>
          <w:rFonts w:ascii="Arial" w:hAnsi="Arial" w:cs="Arial"/>
          <w:szCs w:val="24"/>
        </w:rPr>
        <w:t>2020).</w:t>
      </w:r>
      <w:r w:rsidR="00182B73" w:rsidRPr="002A4856">
        <w:rPr>
          <w:rFonts w:ascii="Arial" w:hAnsi="Arial" w:cs="Arial"/>
          <w:szCs w:val="24"/>
        </w:rPr>
        <w:t xml:space="preserve"> </w:t>
      </w:r>
      <w:r w:rsidR="0077705C" w:rsidRPr="002A4856">
        <w:rPr>
          <w:rFonts w:ascii="Arial" w:hAnsi="Arial" w:cs="Arial"/>
          <w:szCs w:val="24"/>
        </w:rPr>
        <w:t xml:space="preserve">Premier Inn's CSR approach addresses water, waste, and carbon emissions. Circle </w:t>
      </w:r>
      <w:r w:rsidR="002A4856">
        <w:rPr>
          <w:rFonts w:ascii="Arial" w:hAnsi="Arial" w:cs="Arial"/>
          <w:szCs w:val="24"/>
        </w:rPr>
        <w:t>Economy</w:t>
      </w:r>
      <w:r w:rsidR="0077705C" w:rsidRPr="002A4856">
        <w:rPr>
          <w:rFonts w:ascii="Arial" w:hAnsi="Arial" w:cs="Arial"/>
          <w:szCs w:val="24"/>
        </w:rPr>
        <w:t xml:space="preserve"> efforts by the hotel chain improve sustainability and reduce environmental </w:t>
      </w:r>
      <w:r w:rsidR="002A4856">
        <w:rPr>
          <w:rFonts w:ascii="Arial" w:hAnsi="Arial" w:cs="Arial"/>
          <w:szCs w:val="24"/>
        </w:rPr>
        <w:t>effects</w:t>
      </w:r>
      <w:r w:rsidR="0077705C" w:rsidRPr="002A4856">
        <w:rPr>
          <w:rFonts w:ascii="Arial" w:hAnsi="Arial" w:cs="Arial"/>
          <w:szCs w:val="24"/>
        </w:rPr>
        <w:t>. Premier Inn sets ambitious goals to reduce its carbon footprint, water use, and trash and promotes ethical and sustainable business practices to its stakeholders.</w:t>
      </w:r>
      <w:r w:rsidR="00182B73" w:rsidRPr="002A4856">
        <w:rPr>
          <w:rFonts w:ascii="Arial" w:hAnsi="Arial" w:cs="Arial"/>
          <w:szCs w:val="24"/>
        </w:rPr>
        <w:t xml:space="preserve"> </w:t>
      </w:r>
      <w:r w:rsidR="003C4E43" w:rsidRPr="002A4856">
        <w:rPr>
          <w:rFonts w:ascii="Arial" w:hAnsi="Arial" w:cs="Arial"/>
          <w:szCs w:val="24"/>
        </w:rPr>
        <w:t xml:space="preserve">Stay For Long and AccorHotels' Planet 21 sustainability program are hotel circular economy examples. To build a circular economy, AccorHotels supports local farmers, biodiversity, and sustainable sourcing. Sustainable Stay </w:t>
      </w:r>
      <w:r w:rsidR="00672A5D" w:rsidRPr="002A4856">
        <w:rPr>
          <w:rFonts w:ascii="Arial" w:hAnsi="Arial" w:cs="Arial"/>
          <w:szCs w:val="24"/>
        </w:rPr>
        <w:t>for</w:t>
      </w:r>
      <w:r w:rsidR="003C4E43" w:rsidRPr="002A4856">
        <w:rPr>
          <w:rFonts w:ascii="Arial" w:hAnsi="Arial" w:cs="Arial"/>
          <w:szCs w:val="24"/>
        </w:rPr>
        <w:t xml:space="preserve"> Long hotels </w:t>
      </w:r>
      <w:r w:rsidR="002A4856">
        <w:rPr>
          <w:rFonts w:ascii="Arial" w:hAnsi="Arial" w:cs="Arial"/>
          <w:szCs w:val="24"/>
        </w:rPr>
        <w:t>use</w:t>
      </w:r>
      <w:r w:rsidR="003C4E43" w:rsidRPr="002A4856">
        <w:rPr>
          <w:rFonts w:ascii="Arial" w:hAnsi="Arial" w:cs="Arial"/>
          <w:szCs w:val="24"/>
        </w:rPr>
        <w:t xml:space="preserve"> renewable and recyclable materials and follow circular economy principles </w:t>
      </w:r>
      <w:r w:rsidR="003C4E43" w:rsidRPr="002A4856">
        <w:rPr>
          <w:rFonts w:ascii="Arial" w:hAnsi="Arial" w:cs="Arial"/>
          <w:szCs w:val="24"/>
        </w:rPr>
        <w:lastRenderedPageBreak/>
        <w:t>(Napathorn, 2022).</w:t>
      </w:r>
      <w:r w:rsidR="00182B73" w:rsidRPr="002A4856">
        <w:rPr>
          <w:rFonts w:ascii="Arial" w:hAnsi="Arial" w:cs="Arial"/>
          <w:szCs w:val="24"/>
        </w:rPr>
        <w:t xml:space="preserve"> </w:t>
      </w:r>
      <w:r w:rsidR="00E84BFB" w:rsidRPr="002A4856">
        <w:rPr>
          <w:rFonts w:ascii="Arial" w:hAnsi="Arial" w:cs="Arial"/>
          <w:szCs w:val="24"/>
        </w:rPr>
        <w:t xml:space="preserve">Other hospitality firms adopt </w:t>
      </w:r>
      <w:r w:rsidR="002A4856">
        <w:rPr>
          <w:rFonts w:ascii="Arial" w:hAnsi="Arial" w:cs="Arial"/>
          <w:szCs w:val="24"/>
        </w:rPr>
        <w:t xml:space="preserve">a </w:t>
      </w:r>
      <w:r w:rsidR="00E84BFB" w:rsidRPr="002A4856">
        <w:rPr>
          <w:rFonts w:ascii="Arial" w:hAnsi="Arial" w:cs="Arial"/>
          <w:szCs w:val="24"/>
        </w:rPr>
        <w:t>circular economy. In sustainable buying, Radisson Hotel Group prioritizes circular economy suppliers. Examples include recycled items and programs. The group seeks zero landfill waste by 2021.</w:t>
      </w:r>
      <w:r w:rsidR="00182B73" w:rsidRPr="002A4856">
        <w:rPr>
          <w:rFonts w:ascii="Arial" w:hAnsi="Arial" w:cs="Arial"/>
          <w:szCs w:val="24"/>
        </w:rPr>
        <w:t xml:space="preserve"> </w:t>
      </w:r>
      <w:r w:rsidR="002A2410" w:rsidRPr="002A4856">
        <w:rPr>
          <w:rFonts w:ascii="Arial" w:hAnsi="Arial" w:cs="Arial"/>
          <w:szCs w:val="24"/>
        </w:rPr>
        <w:t>Hilton</w:t>
      </w:r>
      <w:r w:rsidR="005004A5" w:rsidRPr="002A4856">
        <w:rPr>
          <w:rFonts w:ascii="Arial" w:hAnsi="Arial" w:cs="Arial"/>
          <w:szCs w:val="24"/>
        </w:rPr>
        <w:t xml:space="preserve"> is another one of the </w:t>
      </w:r>
      <w:r w:rsidR="002A2410" w:rsidRPr="002A4856">
        <w:rPr>
          <w:rFonts w:ascii="Arial" w:hAnsi="Arial" w:cs="Arial"/>
          <w:szCs w:val="24"/>
        </w:rPr>
        <w:t xml:space="preserve">big hotel </w:t>
      </w:r>
      <w:r w:rsidR="00672A5D" w:rsidRPr="002A4856">
        <w:rPr>
          <w:rFonts w:ascii="Arial" w:hAnsi="Arial" w:cs="Arial"/>
          <w:szCs w:val="24"/>
        </w:rPr>
        <w:t>chains</w:t>
      </w:r>
      <w:r w:rsidR="005004A5" w:rsidRPr="002A4856">
        <w:rPr>
          <w:rFonts w:ascii="Arial" w:hAnsi="Arial" w:cs="Arial"/>
          <w:szCs w:val="24"/>
        </w:rPr>
        <w:t xml:space="preserve"> which </w:t>
      </w:r>
      <w:r w:rsidR="002A2410" w:rsidRPr="002A4856">
        <w:rPr>
          <w:rFonts w:ascii="Arial" w:hAnsi="Arial" w:cs="Arial"/>
          <w:szCs w:val="24"/>
        </w:rPr>
        <w:t xml:space="preserve">promotes </w:t>
      </w:r>
      <w:r w:rsidR="002A4856">
        <w:rPr>
          <w:rFonts w:ascii="Arial" w:hAnsi="Arial" w:cs="Arial"/>
          <w:szCs w:val="24"/>
        </w:rPr>
        <w:t xml:space="preserve">a </w:t>
      </w:r>
      <w:r w:rsidR="002A2410" w:rsidRPr="002A4856">
        <w:rPr>
          <w:rFonts w:ascii="Arial" w:hAnsi="Arial" w:cs="Arial"/>
          <w:szCs w:val="24"/>
        </w:rPr>
        <w:t>circular economy. Waste soap is melted, sterilized, and reshaped to be donated. The company recycles shampoo and soap bottles with Clean the World to reduce landfill waste.</w:t>
      </w:r>
      <w:r w:rsidR="00182B73" w:rsidRPr="002A4856">
        <w:rPr>
          <w:rFonts w:ascii="Arial" w:hAnsi="Arial" w:cs="Arial"/>
          <w:szCs w:val="24"/>
        </w:rPr>
        <w:t xml:space="preserve"> </w:t>
      </w:r>
      <w:r w:rsidR="00036C8E" w:rsidRPr="002A4856">
        <w:rPr>
          <w:rFonts w:ascii="Arial" w:hAnsi="Arial" w:cs="Arial"/>
          <w:szCs w:val="24"/>
        </w:rPr>
        <w:t>Other hospitality companies have successfully integrated circular economy principles into CSR. AccorHotels' Planet 21 program promotes sustainability and ethics. They prioritize food waste reduction, sustainable sourcing, energy efficiency, and community support. Through garbage reduction, energy saving, and sustainable procurement, Hilton Hotels hopes to cut its environmental impact by 50% by 2030.</w:t>
      </w:r>
      <w:r w:rsidR="00182B73" w:rsidRPr="002A4856">
        <w:rPr>
          <w:rFonts w:ascii="Arial" w:hAnsi="Arial" w:cs="Arial"/>
          <w:szCs w:val="24"/>
        </w:rPr>
        <w:t xml:space="preserve"> </w:t>
      </w:r>
      <w:r w:rsidR="00C151BF" w:rsidRPr="002A4856">
        <w:rPr>
          <w:rFonts w:ascii="Arial" w:hAnsi="Arial" w:cs="Arial"/>
          <w:szCs w:val="24"/>
        </w:rPr>
        <w:t xml:space="preserve">These examples demonstrate how circular economy CSR practices can help hospitality companies achieve sustainability. These companies reduce their environmental impact and promote sustainability by using circular economy methods (Fusté-Forné, </w:t>
      </w:r>
      <w:r w:rsidR="00A20549" w:rsidRPr="002A4856">
        <w:rPr>
          <w:rFonts w:ascii="Arial" w:hAnsi="Arial" w:cs="Arial"/>
          <w:szCs w:val="24"/>
        </w:rPr>
        <w:t>and</w:t>
      </w:r>
      <w:r w:rsidR="00C151BF" w:rsidRPr="002A4856">
        <w:rPr>
          <w:rFonts w:ascii="Arial" w:hAnsi="Arial" w:cs="Arial"/>
          <w:szCs w:val="24"/>
        </w:rPr>
        <w:t xml:space="preserve"> Wolf, 2023)</w:t>
      </w:r>
      <w:r w:rsidR="00E837E1" w:rsidRPr="002A4856">
        <w:rPr>
          <w:rFonts w:ascii="Arial" w:hAnsi="Arial" w:cs="Arial"/>
          <w:szCs w:val="24"/>
        </w:rPr>
        <w:t>.</w:t>
      </w:r>
    </w:p>
    <w:p w14:paraId="366DFD52" w14:textId="77777777" w:rsidR="00262009" w:rsidRPr="002A4856" w:rsidRDefault="00262009" w:rsidP="002A4856">
      <w:pPr>
        <w:pStyle w:val="Titlu1"/>
        <w:spacing w:line="360" w:lineRule="auto"/>
        <w:rPr>
          <w:rFonts w:ascii="Arial" w:hAnsi="Arial" w:cs="Arial"/>
          <w:sz w:val="24"/>
          <w:szCs w:val="24"/>
        </w:rPr>
      </w:pPr>
      <w:bookmarkStart w:id="3" w:name="_Toc157420635"/>
      <w:r w:rsidRPr="002A4856">
        <w:rPr>
          <w:rFonts w:ascii="Arial" w:hAnsi="Arial" w:cs="Arial"/>
          <w:sz w:val="24"/>
          <w:szCs w:val="24"/>
        </w:rPr>
        <w:t>Conclusion</w:t>
      </w:r>
      <w:bookmarkEnd w:id="3"/>
    </w:p>
    <w:p w14:paraId="3B58F70E" w14:textId="1E9BAAEB" w:rsidR="00595C17" w:rsidRPr="002A4856" w:rsidRDefault="002A4856" w:rsidP="002A4856">
      <w:pPr>
        <w:spacing w:line="360" w:lineRule="auto"/>
        <w:jc w:val="both"/>
        <w:rPr>
          <w:rFonts w:ascii="Arial" w:hAnsi="Arial" w:cs="Arial"/>
          <w:szCs w:val="24"/>
        </w:rPr>
      </w:pPr>
      <w:r>
        <w:rPr>
          <w:rFonts w:ascii="Arial" w:hAnsi="Arial" w:cs="Arial"/>
          <w:szCs w:val="24"/>
        </w:rPr>
        <w:t>The circular</w:t>
      </w:r>
      <w:r w:rsidR="00B44C3D" w:rsidRPr="002A4856">
        <w:rPr>
          <w:rFonts w:ascii="Arial" w:hAnsi="Arial" w:cs="Arial"/>
          <w:szCs w:val="24"/>
        </w:rPr>
        <w:t xml:space="preserve"> economy is a priority for hotels because it may promote sustainable economic development. Circular economy ideas can help Premier Inn decrease waste and pollution while improving business, the economy, and society. Premier Inn's comprehensive CSR strategy demonstrates its sustainability and ambitious circular ambitions. As other companies demonstrate, the hotel industry is adopting circular economy strategies for CSR. Premier Inn's CSR initiative reduces waste and promotes sustainability. The hotel network supports a circular economy by reducing carbon emissions, water use, and garbage. Premier Inn's CSR efforts may inspire other hotels to adopt </w:t>
      </w:r>
      <w:r>
        <w:rPr>
          <w:rFonts w:ascii="Arial" w:hAnsi="Arial" w:cs="Arial"/>
          <w:szCs w:val="24"/>
        </w:rPr>
        <w:t xml:space="preserve">a </w:t>
      </w:r>
      <w:r w:rsidR="00B44C3D" w:rsidRPr="002A4856">
        <w:rPr>
          <w:rFonts w:ascii="Arial" w:hAnsi="Arial" w:cs="Arial"/>
          <w:szCs w:val="24"/>
        </w:rPr>
        <w:t>circular economy and sustainability. Circular economy strategies can help hotels innovate and reduce their environmental effect. Companies must incorporate circular economy into their CSR strategy to benefit society and the environment. Premier Inn's CSR policy incorporates circular economy ideas, proving sustainability. By recycling, reducing, and reusing, the company has improved its environmental impact and brand image. Circular economy concepts have helped Radisson and Hilton. As consumers become more eco-conscious, businesses must promote sustainability and circular economy principles.</w:t>
      </w:r>
      <w:r w:rsidR="008A03F0" w:rsidRPr="002A4856">
        <w:rPr>
          <w:rFonts w:ascii="Arial" w:hAnsi="Arial" w:cs="Arial"/>
          <w:szCs w:val="24"/>
        </w:rPr>
        <w:t xml:space="preserve"> </w:t>
      </w:r>
      <w:r w:rsidR="00B44C3D" w:rsidRPr="002A4856">
        <w:rPr>
          <w:rFonts w:ascii="Arial" w:hAnsi="Arial" w:cs="Arial"/>
          <w:szCs w:val="24"/>
        </w:rPr>
        <w:t xml:space="preserve">Premier Inn's CSR policy embraces circular economy ideas, as do other hospitality companies, indicating the growing </w:t>
      </w:r>
      <w:r w:rsidR="00B44C3D" w:rsidRPr="002A4856">
        <w:rPr>
          <w:rFonts w:ascii="Arial" w:hAnsi="Arial" w:cs="Arial"/>
          <w:szCs w:val="24"/>
        </w:rPr>
        <w:lastRenderedPageBreak/>
        <w:t>importance of sustainable business practices. Through circular economy and CSR, Premier Inn supports resource efficiency, waste reduction, and sustainability. It boosts their reputation, customer image, and environment. As customers become more socially and environmentally conscious, firms must incorporate circular economy ideas into their CSR activities for a more sustainable future.</w:t>
      </w:r>
    </w:p>
    <w:p w14:paraId="490B9523" w14:textId="77777777" w:rsidR="00595C17" w:rsidRPr="00DC7D59" w:rsidRDefault="00595C17" w:rsidP="002235E6">
      <w:pPr>
        <w:spacing w:line="360" w:lineRule="auto"/>
        <w:jc w:val="both"/>
        <w:rPr>
          <w:rFonts w:ascii="Arial" w:hAnsi="Arial" w:cs="Arial"/>
          <w:szCs w:val="24"/>
        </w:rPr>
      </w:pPr>
      <w:r w:rsidRPr="00DC7D59">
        <w:rPr>
          <w:rFonts w:ascii="Arial" w:hAnsi="Arial" w:cs="Arial"/>
          <w:szCs w:val="24"/>
        </w:rPr>
        <w:br w:type="page"/>
      </w:r>
    </w:p>
    <w:p w14:paraId="6EA8F1F5" w14:textId="062083C9" w:rsidR="00AE4995" w:rsidRPr="00DC7D59" w:rsidRDefault="00595C17" w:rsidP="002235E6">
      <w:pPr>
        <w:pStyle w:val="Titlu1"/>
        <w:spacing w:line="360" w:lineRule="auto"/>
        <w:rPr>
          <w:rFonts w:ascii="Arial" w:hAnsi="Arial" w:cs="Arial"/>
          <w:szCs w:val="28"/>
        </w:rPr>
      </w:pPr>
      <w:bookmarkStart w:id="4" w:name="_Toc157420636"/>
      <w:r w:rsidRPr="00DC7D59">
        <w:rPr>
          <w:rFonts w:ascii="Arial" w:hAnsi="Arial" w:cs="Arial"/>
          <w:szCs w:val="28"/>
        </w:rPr>
        <w:lastRenderedPageBreak/>
        <w:t>References</w:t>
      </w:r>
      <w:bookmarkEnd w:id="4"/>
    </w:p>
    <w:p w14:paraId="636B2F8C" w14:textId="7AB226F2" w:rsidR="00595C17" w:rsidRPr="002A4856" w:rsidRDefault="00B21636" w:rsidP="002A4856">
      <w:pPr>
        <w:spacing w:line="360" w:lineRule="auto"/>
        <w:jc w:val="both"/>
        <w:rPr>
          <w:rFonts w:ascii="Arial" w:hAnsi="Arial" w:cs="Arial"/>
          <w:szCs w:val="24"/>
        </w:rPr>
      </w:pPr>
      <w:r w:rsidRPr="002A4856">
        <w:rPr>
          <w:rFonts w:ascii="Arial" w:hAnsi="Arial" w:cs="Arial"/>
          <w:szCs w:val="24"/>
        </w:rPr>
        <w:t>Inkson, C. and Minnaert, L. (2018)</w:t>
      </w:r>
      <w:r w:rsidR="00615B09" w:rsidRPr="002A4856">
        <w:rPr>
          <w:rFonts w:ascii="Arial" w:hAnsi="Arial" w:cs="Arial"/>
          <w:szCs w:val="24"/>
        </w:rPr>
        <w:t>.</w:t>
      </w:r>
      <w:r w:rsidRPr="002A4856">
        <w:rPr>
          <w:rFonts w:ascii="Arial" w:hAnsi="Arial" w:cs="Arial"/>
          <w:szCs w:val="24"/>
        </w:rPr>
        <w:t xml:space="preserve"> Tourism management: an introduction. 2nd ed. London: SAGE.</w:t>
      </w:r>
    </w:p>
    <w:p w14:paraId="56F53571" w14:textId="6F122A75" w:rsidR="00615B09" w:rsidRPr="002A4856" w:rsidRDefault="00615B09" w:rsidP="002A4856">
      <w:pPr>
        <w:spacing w:line="360" w:lineRule="auto"/>
        <w:jc w:val="both"/>
        <w:rPr>
          <w:rFonts w:ascii="Arial" w:hAnsi="Arial" w:cs="Arial"/>
          <w:szCs w:val="24"/>
        </w:rPr>
      </w:pPr>
      <w:r w:rsidRPr="002A4856">
        <w:rPr>
          <w:rFonts w:ascii="Arial" w:hAnsi="Arial" w:cs="Arial"/>
          <w:szCs w:val="24"/>
        </w:rPr>
        <w:t xml:space="preserve">Haski-Leventhal, D. (2018). Strategic corporate social responsibility: tools </w:t>
      </w:r>
      <w:r w:rsidR="00A20549" w:rsidRPr="002A4856">
        <w:rPr>
          <w:rFonts w:ascii="Arial" w:hAnsi="Arial" w:cs="Arial"/>
          <w:szCs w:val="24"/>
        </w:rPr>
        <w:t>and</w:t>
      </w:r>
      <w:r w:rsidRPr="002A4856">
        <w:rPr>
          <w:rFonts w:ascii="Arial" w:hAnsi="Arial" w:cs="Arial"/>
          <w:szCs w:val="24"/>
        </w:rPr>
        <w:t xml:space="preserve"> theories for responsible management. London: SAGE.</w:t>
      </w:r>
    </w:p>
    <w:p w14:paraId="01C91CFA" w14:textId="7204CFE0" w:rsidR="00615B09" w:rsidRPr="002A4856" w:rsidRDefault="00E251A6" w:rsidP="002A4856">
      <w:pPr>
        <w:spacing w:line="360" w:lineRule="auto"/>
        <w:jc w:val="both"/>
        <w:rPr>
          <w:rFonts w:ascii="Arial" w:hAnsi="Arial" w:cs="Arial"/>
          <w:szCs w:val="24"/>
        </w:rPr>
      </w:pPr>
      <w:r w:rsidRPr="002A4856">
        <w:rPr>
          <w:rFonts w:ascii="Arial" w:hAnsi="Arial" w:cs="Arial"/>
          <w:szCs w:val="24"/>
        </w:rPr>
        <w:t xml:space="preserve">Wickham, Donnelly, T., </w:t>
      </w:r>
      <w:r w:rsidR="00A20549" w:rsidRPr="002A4856">
        <w:rPr>
          <w:rFonts w:ascii="Arial" w:hAnsi="Arial" w:cs="Arial"/>
          <w:szCs w:val="24"/>
        </w:rPr>
        <w:t>and</w:t>
      </w:r>
      <w:r w:rsidRPr="002A4856">
        <w:rPr>
          <w:rFonts w:ascii="Arial" w:hAnsi="Arial" w:cs="Arial"/>
          <w:szCs w:val="24"/>
        </w:rPr>
        <w:t xml:space="preserve"> French, L. (2021). Strategic Sustainability Management in the Event Sector. Event Management, 25(3), 279–296.</w:t>
      </w:r>
    </w:p>
    <w:p w14:paraId="0C60132A" w14:textId="0920AA2E" w:rsidR="00E251A6" w:rsidRPr="002A4856" w:rsidRDefault="00E251A6" w:rsidP="002A4856">
      <w:pPr>
        <w:spacing w:line="360" w:lineRule="auto"/>
        <w:jc w:val="both"/>
        <w:rPr>
          <w:rFonts w:ascii="Arial" w:hAnsi="Arial" w:cs="Arial"/>
          <w:szCs w:val="24"/>
        </w:rPr>
      </w:pPr>
      <w:r w:rsidRPr="002A4856">
        <w:rPr>
          <w:rFonts w:ascii="Arial" w:hAnsi="Arial" w:cs="Arial"/>
          <w:szCs w:val="24"/>
        </w:rPr>
        <w:t>Jauhari, V (2021)</w:t>
      </w:r>
      <w:r w:rsidR="0040561E" w:rsidRPr="002A4856">
        <w:rPr>
          <w:rFonts w:ascii="Arial" w:hAnsi="Arial" w:cs="Arial"/>
          <w:szCs w:val="24"/>
        </w:rPr>
        <w:t>.</w:t>
      </w:r>
      <w:r w:rsidRPr="002A4856">
        <w:rPr>
          <w:rFonts w:ascii="Arial" w:hAnsi="Arial" w:cs="Arial"/>
          <w:szCs w:val="24"/>
        </w:rPr>
        <w:t xml:space="preserve"> ‘Managing Sustainability in the Hospitality and Tourism Industry: Paradigms and Directions for the Future’ 9</w:t>
      </w:r>
      <w:r w:rsidR="009C7F8A" w:rsidRPr="002A4856">
        <w:rPr>
          <w:rFonts w:ascii="Arial" w:hAnsi="Arial" w:cs="Arial"/>
          <w:szCs w:val="24"/>
          <w:vertAlign w:val="superscript"/>
        </w:rPr>
        <w:t>th</w:t>
      </w:r>
      <w:r w:rsidRPr="002A4856">
        <w:rPr>
          <w:rFonts w:ascii="Arial" w:hAnsi="Arial" w:cs="Arial"/>
          <w:szCs w:val="24"/>
        </w:rPr>
        <w:t xml:space="preserve"> </w:t>
      </w:r>
      <w:r w:rsidR="009C7F8A" w:rsidRPr="002A4856">
        <w:rPr>
          <w:rFonts w:ascii="Arial" w:hAnsi="Arial" w:cs="Arial"/>
          <w:szCs w:val="24"/>
        </w:rPr>
        <w:t>Ed</w:t>
      </w:r>
      <w:r w:rsidRPr="002A4856">
        <w:rPr>
          <w:rFonts w:ascii="Arial" w:hAnsi="Arial" w:cs="Arial"/>
          <w:szCs w:val="24"/>
        </w:rPr>
        <w:t>.</w:t>
      </w:r>
      <w:r w:rsidR="009C7F8A" w:rsidRPr="002A4856">
        <w:rPr>
          <w:rFonts w:ascii="Arial" w:hAnsi="Arial" w:cs="Arial"/>
          <w:szCs w:val="24"/>
        </w:rPr>
        <w:t xml:space="preserve"> </w:t>
      </w:r>
      <w:r w:rsidRPr="002A4856">
        <w:rPr>
          <w:rFonts w:ascii="Arial" w:hAnsi="Arial" w:cs="Arial"/>
          <w:szCs w:val="24"/>
        </w:rPr>
        <w:t>Oakville: Apple Academic Press. Inc.</w:t>
      </w:r>
    </w:p>
    <w:p w14:paraId="64C0DE08" w14:textId="07B7F42D" w:rsidR="009C7F8A" w:rsidRPr="002A4856" w:rsidRDefault="00437171"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Evans, N. G. (2019). </w:t>
      </w:r>
      <w:r w:rsidRPr="002A4856">
        <w:rPr>
          <w:rFonts w:ascii="Arial" w:hAnsi="Arial" w:cs="Arial"/>
          <w:i/>
          <w:iCs/>
          <w:color w:val="222222"/>
          <w:szCs w:val="24"/>
          <w:shd w:val="clear" w:color="auto" w:fill="FFFFFF"/>
        </w:rPr>
        <w:t>Strategic management for tourism, hospitality</w:t>
      </w:r>
      <w:r w:rsidR="0040561E" w:rsidRPr="002A4856">
        <w:rPr>
          <w:rFonts w:ascii="Arial" w:hAnsi="Arial" w:cs="Arial"/>
          <w:i/>
          <w:iCs/>
          <w:color w:val="222222"/>
          <w:szCs w:val="24"/>
          <w:shd w:val="clear" w:color="auto" w:fill="FFFFFF"/>
        </w:rPr>
        <w:t>,</w:t>
      </w:r>
      <w:r w:rsidRPr="002A4856">
        <w:rPr>
          <w:rFonts w:ascii="Arial" w:hAnsi="Arial" w:cs="Arial"/>
          <w:i/>
          <w:iCs/>
          <w:color w:val="222222"/>
          <w:szCs w:val="24"/>
          <w:shd w:val="clear" w:color="auto" w:fill="FFFFFF"/>
        </w:rPr>
        <w:t xml:space="preserve"> and events</w:t>
      </w:r>
      <w:r w:rsidRPr="002A4856">
        <w:rPr>
          <w:rFonts w:ascii="Arial" w:hAnsi="Arial" w:cs="Arial"/>
          <w:color w:val="222222"/>
          <w:szCs w:val="24"/>
          <w:shd w:val="clear" w:color="auto" w:fill="FFFFFF"/>
        </w:rPr>
        <w:t>. Routledge.</w:t>
      </w:r>
    </w:p>
    <w:p w14:paraId="2EEF95D3" w14:textId="691BC8DA" w:rsidR="00437171" w:rsidRPr="002A4856" w:rsidRDefault="00437171"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 xml:space="preserve">Hassanien, A., </w:t>
      </w:r>
      <w:r w:rsidR="00A20549" w:rsidRPr="002A4856">
        <w:rPr>
          <w:rFonts w:ascii="Arial" w:hAnsi="Arial" w:cs="Arial"/>
          <w:color w:val="222222"/>
          <w:szCs w:val="24"/>
          <w:shd w:val="clear" w:color="auto" w:fill="FFFFFF"/>
        </w:rPr>
        <w:t>and</w:t>
      </w:r>
      <w:r w:rsidRPr="002A4856">
        <w:rPr>
          <w:rFonts w:ascii="Arial" w:hAnsi="Arial" w:cs="Arial"/>
          <w:color w:val="222222"/>
          <w:szCs w:val="24"/>
          <w:shd w:val="clear" w:color="auto" w:fill="FFFFFF"/>
        </w:rPr>
        <w:t xml:space="preserve"> Dale, C. (2019). </w:t>
      </w:r>
      <w:r w:rsidRPr="002A4856">
        <w:rPr>
          <w:rFonts w:ascii="Arial" w:hAnsi="Arial" w:cs="Arial"/>
          <w:i/>
          <w:iCs/>
          <w:color w:val="222222"/>
          <w:szCs w:val="24"/>
          <w:shd w:val="clear" w:color="auto" w:fill="FFFFFF"/>
        </w:rPr>
        <w:t>Hospitality business development</w:t>
      </w:r>
      <w:r w:rsidRPr="002A4856">
        <w:rPr>
          <w:rFonts w:ascii="Arial" w:hAnsi="Arial" w:cs="Arial"/>
          <w:color w:val="222222"/>
          <w:szCs w:val="24"/>
          <w:shd w:val="clear" w:color="auto" w:fill="FFFFFF"/>
        </w:rPr>
        <w:t>. Routledge.</w:t>
      </w:r>
    </w:p>
    <w:p w14:paraId="678A5633" w14:textId="004E871B" w:rsidR="00437171" w:rsidRPr="002A4856" w:rsidRDefault="00437171"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 xml:space="preserve">Johnson, J., Whittington, R., Regnér, P., Angwin, D., Johnson, G., </w:t>
      </w:r>
      <w:r w:rsidR="00A20549" w:rsidRPr="002A4856">
        <w:rPr>
          <w:rFonts w:ascii="Arial" w:hAnsi="Arial" w:cs="Arial"/>
          <w:color w:val="222222"/>
          <w:szCs w:val="24"/>
          <w:shd w:val="clear" w:color="auto" w:fill="FFFFFF"/>
        </w:rPr>
        <w:t>and</w:t>
      </w:r>
      <w:r w:rsidRPr="002A4856">
        <w:rPr>
          <w:rFonts w:ascii="Arial" w:hAnsi="Arial" w:cs="Arial"/>
          <w:color w:val="222222"/>
          <w:szCs w:val="24"/>
          <w:shd w:val="clear" w:color="auto" w:fill="FFFFFF"/>
        </w:rPr>
        <w:t xml:space="preserve"> Scholes, K. (2020). </w:t>
      </w:r>
      <w:r w:rsidRPr="002A4856">
        <w:rPr>
          <w:rFonts w:ascii="Arial" w:hAnsi="Arial" w:cs="Arial"/>
          <w:i/>
          <w:iCs/>
          <w:color w:val="222222"/>
          <w:szCs w:val="24"/>
          <w:shd w:val="clear" w:color="auto" w:fill="FFFFFF"/>
        </w:rPr>
        <w:t>Exploring strategy</w:t>
      </w:r>
      <w:r w:rsidRPr="002A4856">
        <w:rPr>
          <w:rFonts w:ascii="Arial" w:hAnsi="Arial" w:cs="Arial"/>
          <w:color w:val="222222"/>
          <w:szCs w:val="24"/>
          <w:shd w:val="clear" w:color="auto" w:fill="FFFFFF"/>
        </w:rPr>
        <w:t>. Pearson UK.</w:t>
      </w:r>
    </w:p>
    <w:p w14:paraId="672417E2" w14:textId="598972B3" w:rsidR="00437171" w:rsidRPr="002A4856" w:rsidRDefault="00437171"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George, R. (2021). Tourism and Hospitality Products, Branding, and Pricing. In </w:t>
      </w:r>
      <w:r w:rsidRPr="002A4856">
        <w:rPr>
          <w:rFonts w:ascii="Arial" w:hAnsi="Arial" w:cs="Arial"/>
          <w:i/>
          <w:iCs/>
          <w:color w:val="222222"/>
          <w:szCs w:val="24"/>
          <w:shd w:val="clear" w:color="auto" w:fill="FFFFFF"/>
        </w:rPr>
        <w:t>Marketing Tourism and Hospitality: Concepts and Cases</w:t>
      </w:r>
      <w:r w:rsidRPr="002A4856">
        <w:rPr>
          <w:rFonts w:ascii="Arial" w:hAnsi="Arial" w:cs="Arial"/>
          <w:color w:val="222222"/>
          <w:szCs w:val="24"/>
          <w:shd w:val="clear" w:color="auto" w:fill="FFFFFF"/>
        </w:rPr>
        <w:t> (pp. 249-283). Cham: Springer International Publishing.</w:t>
      </w:r>
    </w:p>
    <w:p w14:paraId="78988F55" w14:textId="5D0B01FE" w:rsidR="00437171" w:rsidRPr="002A4856" w:rsidRDefault="00437171"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 xml:space="preserve">Kusumowardani, N., Tjahjono, B., Lazell, J., Bek, D., Theodorakopoulos, N., Andrikopoulos, P., </w:t>
      </w:r>
      <w:r w:rsidR="00A20549" w:rsidRPr="002A4856">
        <w:rPr>
          <w:rFonts w:ascii="Arial" w:hAnsi="Arial" w:cs="Arial"/>
          <w:color w:val="222222"/>
          <w:szCs w:val="24"/>
          <w:shd w:val="clear" w:color="auto" w:fill="FFFFFF"/>
        </w:rPr>
        <w:t>and</w:t>
      </w:r>
      <w:r w:rsidRPr="002A4856">
        <w:rPr>
          <w:rFonts w:ascii="Arial" w:hAnsi="Arial" w:cs="Arial"/>
          <w:color w:val="222222"/>
          <w:szCs w:val="24"/>
          <w:shd w:val="clear" w:color="auto" w:fill="FFFFFF"/>
        </w:rPr>
        <w:t xml:space="preserve"> Priadi, C. R. (2022). A circular capability framework to address food waste and losses in the agri-food supply chain: The antecedents, principles, and outcomes of circular economy. </w:t>
      </w:r>
      <w:r w:rsidRPr="002A4856">
        <w:rPr>
          <w:rFonts w:ascii="Arial" w:hAnsi="Arial" w:cs="Arial"/>
          <w:i/>
          <w:iCs/>
          <w:color w:val="222222"/>
          <w:szCs w:val="24"/>
          <w:shd w:val="clear" w:color="auto" w:fill="FFFFFF"/>
        </w:rPr>
        <w:t>Journal of Business Research</w:t>
      </w:r>
      <w:r w:rsidRPr="002A4856">
        <w:rPr>
          <w:rFonts w:ascii="Arial" w:hAnsi="Arial" w:cs="Arial"/>
          <w:color w:val="222222"/>
          <w:szCs w:val="24"/>
          <w:shd w:val="clear" w:color="auto" w:fill="FFFFFF"/>
        </w:rPr>
        <w:t>, </w:t>
      </w:r>
      <w:r w:rsidRPr="002A4856">
        <w:rPr>
          <w:rFonts w:ascii="Arial" w:hAnsi="Arial" w:cs="Arial"/>
          <w:i/>
          <w:iCs/>
          <w:color w:val="222222"/>
          <w:szCs w:val="24"/>
          <w:shd w:val="clear" w:color="auto" w:fill="FFFFFF"/>
        </w:rPr>
        <w:t>142</w:t>
      </w:r>
      <w:r w:rsidRPr="002A4856">
        <w:rPr>
          <w:rFonts w:ascii="Arial" w:hAnsi="Arial" w:cs="Arial"/>
          <w:color w:val="222222"/>
          <w:szCs w:val="24"/>
          <w:shd w:val="clear" w:color="auto" w:fill="FFFFFF"/>
        </w:rPr>
        <w:t>, 17-31.</w:t>
      </w:r>
    </w:p>
    <w:p w14:paraId="73D54B22" w14:textId="7AC371A4" w:rsidR="00437171" w:rsidRPr="002A4856" w:rsidRDefault="00437171"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 xml:space="preserve">Cobîrzan, N., Muntean, R., </w:t>
      </w:r>
      <w:r w:rsidR="00A20549" w:rsidRPr="002A4856">
        <w:rPr>
          <w:rFonts w:ascii="Arial" w:hAnsi="Arial" w:cs="Arial"/>
          <w:color w:val="222222"/>
          <w:szCs w:val="24"/>
          <w:shd w:val="clear" w:color="auto" w:fill="FFFFFF"/>
        </w:rPr>
        <w:t>and</w:t>
      </w:r>
      <w:r w:rsidRPr="002A4856">
        <w:rPr>
          <w:rFonts w:ascii="Arial" w:hAnsi="Arial" w:cs="Arial"/>
          <w:color w:val="222222"/>
          <w:szCs w:val="24"/>
          <w:shd w:val="clear" w:color="auto" w:fill="FFFFFF"/>
        </w:rPr>
        <w:t xml:space="preserve"> Felseghi, R. A. (Eds.). (2023). </w:t>
      </w:r>
      <w:r w:rsidRPr="002A4856">
        <w:rPr>
          <w:rFonts w:ascii="Arial" w:hAnsi="Arial" w:cs="Arial"/>
          <w:i/>
          <w:iCs/>
          <w:color w:val="222222"/>
          <w:szCs w:val="24"/>
          <w:shd w:val="clear" w:color="auto" w:fill="FFFFFF"/>
        </w:rPr>
        <w:t>Circular Economy Implementation for Sustainability in the Built Environment</w:t>
      </w:r>
      <w:r w:rsidRPr="002A4856">
        <w:rPr>
          <w:rFonts w:ascii="Arial" w:hAnsi="Arial" w:cs="Arial"/>
          <w:color w:val="222222"/>
          <w:szCs w:val="24"/>
          <w:shd w:val="clear" w:color="auto" w:fill="FFFFFF"/>
        </w:rPr>
        <w:t>. IGI Global.</w:t>
      </w:r>
    </w:p>
    <w:p w14:paraId="0CBC2B26" w14:textId="05566EEE" w:rsidR="00437171" w:rsidRPr="002A4856" w:rsidRDefault="00437171"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 xml:space="preserve">Lacy, P., Long, J., </w:t>
      </w:r>
      <w:r w:rsidR="00A20549" w:rsidRPr="002A4856">
        <w:rPr>
          <w:rFonts w:ascii="Arial" w:hAnsi="Arial" w:cs="Arial"/>
          <w:color w:val="222222"/>
          <w:szCs w:val="24"/>
          <w:shd w:val="clear" w:color="auto" w:fill="FFFFFF"/>
        </w:rPr>
        <w:t>and</w:t>
      </w:r>
      <w:r w:rsidRPr="002A4856">
        <w:rPr>
          <w:rFonts w:ascii="Arial" w:hAnsi="Arial" w:cs="Arial"/>
          <w:color w:val="222222"/>
          <w:szCs w:val="24"/>
          <w:shd w:val="clear" w:color="auto" w:fill="FFFFFF"/>
        </w:rPr>
        <w:t xml:space="preserve"> Spindler, W. (2020). </w:t>
      </w:r>
      <w:r w:rsidRPr="002A4856">
        <w:rPr>
          <w:rFonts w:ascii="Arial" w:hAnsi="Arial" w:cs="Arial"/>
          <w:i/>
          <w:iCs/>
          <w:color w:val="222222"/>
          <w:szCs w:val="24"/>
          <w:shd w:val="clear" w:color="auto" w:fill="FFFFFF"/>
        </w:rPr>
        <w:t>The circular economy handbook</w:t>
      </w:r>
      <w:r w:rsidRPr="002A4856">
        <w:rPr>
          <w:rFonts w:ascii="Arial" w:hAnsi="Arial" w:cs="Arial"/>
          <w:color w:val="222222"/>
          <w:szCs w:val="24"/>
          <w:shd w:val="clear" w:color="auto" w:fill="FFFFFF"/>
        </w:rPr>
        <w:t> (Vol. 259). London, UK: Palgrave Macmillan UK.</w:t>
      </w:r>
    </w:p>
    <w:p w14:paraId="637DF8F1" w14:textId="678E78E4" w:rsidR="00437171" w:rsidRPr="002A4856" w:rsidRDefault="00437171"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Brears, R. C. (2023). Circular economy cities. In </w:t>
      </w:r>
      <w:r w:rsidRPr="002A4856">
        <w:rPr>
          <w:rFonts w:ascii="Arial" w:hAnsi="Arial" w:cs="Arial"/>
          <w:i/>
          <w:iCs/>
          <w:color w:val="222222"/>
          <w:szCs w:val="24"/>
          <w:shd w:val="clear" w:color="auto" w:fill="FFFFFF"/>
        </w:rPr>
        <w:t>The palgrave encyclopedia of urban and regional futures</w:t>
      </w:r>
      <w:r w:rsidRPr="002A4856">
        <w:rPr>
          <w:rFonts w:ascii="Arial" w:hAnsi="Arial" w:cs="Arial"/>
          <w:color w:val="222222"/>
          <w:szCs w:val="24"/>
          <w:shd w:val="clear" w:color="auto" w:fill="FFFFFF"/>
        </w:rPr>
        <w:t> (pp. 188-193). Cham: Springer International Publishing.</w:t>
      </w:r>
    </w:p>
    <w:p w14:paraId="21374EC2" w14:textId="4676B7A3" w:rsidR="00437171" w:rsidRPr="002A4856" w:rsidRDefault="00437171"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 xml:space="preserve">Rahigude, R., Khwairakpam, D., Rade, S., </w:t>
      </w:r>
      <w:r w:rsidR="00A20549" w:rsidRPr="002A4856">
        <w:rPr>
          <w:rFonts w:ascii="Arial" w:hAnsi="Arial" w:cs="Arial"/>
          <w:color w:val="222222"/>
          <w:szCs w:val="24"/>
          <w:shd w:val="clear" w:color="auto" w:fill="FFFFFF"/>
        </w:rPr>
        <w:t>and</w:t>
      </w:r>
      <w:r w:rsidRPr="002A4856">
        <w:rPr>
          <w:rFonts w:ascii="Arial" w:hAnsi="Arial" w:cs="Arial"/>
          <w:color w:val="222222"/>
          <w:szCs w:val="24"/>
          <w:shd w:val="clear" w:color="auto" w:fill="FFFFFF"/>
        </w:rPr>
        <w:t xml:space="preserve"> Kadam, K. (2022). Construction waste management in the context of de-tools, industry 4.0 </w:t>
      </w:r>
      <w:r w:rsidR="00A20549" w:rsidRPr="002A4856">
        <w:rPr>
          <w:rFonts w:ascii="Arial" w:hAnsi="Arial" w:cs="Arial"/>
          <w:color w:val="222222"/>
          <w:szCs w:val="24"/>
          <w:shd w:val="clear" w:color="auto" w:fill="FFFFFF"/>
        </w:rPr>
        <w:t>and</w:t>
      </w:r>
      <w:r w:rsidRPr="002A4856">
        <w:rPr>
          <w:rFonts w:ascii="Arial" w:hAnsi="Arial" w:cs="Arial"/>
          <w:color w:val="222222"/>
          <w:szCs w:val="24"/>
          <w:shd w:val="clear" w:color="auto" w:fill="FFFFFF"/>
        </w:rPr>
        <w:t xml:space="preserve"> circular economy, a critical </w:t>
      </w:r>
      <w:r w:rsidRPr="002A4856">
        <w:rPr>
          <w:rFonts w:ascii="Arial" w:hAnsi="Arial" w:cs="Arial"/>
          <w:color w:val="222222"/>
          <w:szCs w:val="24"/>
          <w:shd w:val="clear" w:color="auto" w:fill="FFFFFF"/>
        </w:rPr>
        <w:lastRenderedPageBreak/>
        <w:t>review of pune metropolitan area, India. </w:t>
      </w:r>
      <w:r w:rsidRPr="002A4856">
        <w:rPr>
          <w:rFonts w:ascii="Arial" w:hAnsi="Arial" w:cs="Arial"/>
          <w:i/>
          <w:iCs/>
          <w:color w:val="222222"/>
          <w:szCs w:val="24"/>
          <w:shd w:val="clear" w:color="auto" w:fill="FFFFFF"/>
        </w:rPr>
        <w:t>International Journal of Sustainable Building Technology and Urban Development</w:t>
      </w:r>
      <w:r w:rsidRPr="002A4856">
        <w:rPr>
          <w:rFonts w:ascii="Arial" w:hAnsi="Arial" w:cs="Arial"/>
          <w:color w:val="222222"/>
          <w:szCs w:val="24"/>
          <w:shd w:val="clear" w:color="auto" w:fill="FFFFFF"/>
        </w:rPr>
        <w:t>, </w:t>
      </w:r>
      <w:r w:rsidRPr="002A4856">
        <w:rPr>
          <w:rFonts w:ascii="Arial" w:hAnsi="Arial" w:cs="Arial"/>
          <w:i/>
          <w:iCs/>
          <w:color w:val="222222"/>
          <w:szCs w:val="24"/>
          <w:shd w:val="clear" w:color="auto" w:fill="FFFFFF"/>
        </w:rPr>
        <w:t>13</w:t>
      </w:r>
      <w:r w:rsidRPr="002A4856">
        <w:rPr>
          <w:rFonts w:ascii="Arial" w:hAnsi="Arial" w:cs="Arial"/>
          <w:color w:val="222222"/>
          <w:szCs w:val="24"/>
          <w:shd w:val="clear" w:color="auto" w:fill="FFFFFF"/>
        </w:rPr>
        <w:t>(4), 514-548.</w:t>
      </w:r>
    </w:p>
    <w:p w14:paraId="772C0EF2" w14:textId="038DEC94" w:rsidR="00437171" w:rsidRPr="002A4856" w:rsidRDefault="00437171"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 xml:space="preserve">Acampora, A., Lucchetti, M. C., Merli, R., </w:t>
      </w:r>
      <w:r w:rsidR="00A20549" w:rsidRPr="002A4856">
        <w:rPr>
          <w:rFonts w:ascii="Arial" w:hAnsi="Arial" w:cs="Arial"/>
          <w:color w:val="222222"/>
          <w:szCs w:val="24"/>
          <w:shd w:val="clear" w:color="auto" w:fill="FFFFFF"/>
        </w:rPr>
        <w:t>and</w:t>
      </w:r>
      <w:r w:rsidRPr="002A4856">
        <w:rPr>
          <w:rFonts w:ascii="Arial" w:hAnsi="Arial" w:cs="Arial"/>
          <w:color w:val="222222"/>
          <w:szCs w:val="24"/>
          <w:shd w:val="clear" w:color="auto" w:fill="FFFFFF"/>
        </w:rPr>
        <w:t xml:space="preserve"> Ali, F. (2022). The theoretical development and research methodology in green hotels research: A systematic literature review. </w:t>
      </w:r>
      <w:r w:rsidRPr="002A4856">
        <w:rPr>
          <w:rFonts w:ascii="Arial" w:hAnsi="Arial" w:cs="Arial"/>
          <w:i/>
          <w:iCs/>
          <w:color w:val="222222"/>
          <w:szCs w:val="24"/>
          <w:shd w:val="clear" w:color="auto" w:fill="FFFFFF"/>
        </w:rPr>
        <w:t>Journal of Hospitality and Tourism Management</w:t>
      </w:r>
      <w:r w:rsidRPr="002A4856">
        <w:rPr>
          <w:rFonts w:ascii="Arial" w:hAnsi="Arial" w:cs="Arial"/>
          <w:color w:val="222222"/>
          <w:szCs w:val="24"/>
          <w:shd w:val="clear" w:color="auto" w:fill="FFFFFF"/>
        </w:rPr>
        <w:t>, </w:t>
      </w:r>
      <w:r w:rsidRPr="002A4856">
        <w:rPr>
          <w:rFonts w:ascii="Arial" w:hAnsi="Arial" w:cs="Arial"/>
          <w:i/>
          <w:iCs/>
          <w:color w:val="222222"/>
          <w:szCs w:val="24"/>
          <w:shd w:val="clear" w:color="auto" w:fill="FFFFFF"/>
        </w:rPr>
        <w:t>51</w:t>
      </w:r>
      <w:r w:rsidRPr="002A4856">
        <w:rPr>
          <w:rFonts w:ascii="Arial" w:hAnsi="Arial" w:cs="Arial"/>
          <w:color w:val="222222"/>
          <w:szCs w:val="24"/>
          <w:shd w:val="clear" w:color="auto" w:fill="FFFFFF"/>
        </w:rPr>
        <w:t>, 512-528.</w:t>
      </w:r>
    </w:p>
    <w:p w14:paraId="6DDBDD50" w14:textId="4D54501C" w:rsidR="00437171" w:rsidRPr="002A4856" w:rsidRDefault="00437171"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Dhir, S. (2019). </w:t>
      </w:r>
      <w:r w:rsidRPr="002A4856">
        <w:rPr>
          <w:rFonts w:ascii="Arial" w:hAnsi="Arial" w:cs="Arial"/>
          <w:i/>
          <w:iCs/>
          <w:color w:val="222222"/>
          <w:szCs w:val="24"/>
          <w:shd w:val="clear" w:color="auto" w:fill="FFFFFF"/>
        </w:rPr>
        <w:t>Cases in Strategic Management</w:t>
      </w:r>
      <w:r w:rsidRPr="002A4856">
        <w:rPr>
          <w:rFonts w:ascii="Arial" w:hAnsi="Arial" w:cs="Arial"/>
          <w:color w:val="222222"/>
          <w:szCs w:val="24"/>
          <w:shd w:val="clear" w:color="auto" w:fill="FFFFFF"/>
        </w:rPr>
        <w:t> (pp. 73-89). Springer.</w:t>
      </w:r>
    </w:p>
    <w:p w14:paraId="1F03ECA8" w14:textId="0EC92219" w:rsidR="00437171" w:rsidRPr="002A4856" w:rsidRDefault="00437171"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Tribe, J. (2020). </w:t>
      </w:r>
      <w:r w:rsidRPr="002A4856">
        <w:rPr>
          <w:rFonts w:ascii="Arial" w:hAnsi="Arial" w:cs="Arial"/>
          <w:i/>
          <w:iCs/>
          <w:color w:val="222222"/>
          <w:szCs w:val="24"/>
          <w:shd w:val="clear" w:color="auto" w:fill="FFFFFF"/>
        </w:rPr>
        <w:t>The economics of recreation, leisure, and tourism</w:t>
      </w:r>
      <w:r w:rsidRPr="002A4856">
        <w:rPr>
          <w:rFonts w:ascii="Arial" w:hAnsi="Arial" w:cs="Arial"/>
          <w:color w:val="222222"/>
          <w:szCs w:val="24"/>
          <w:shd w:val="clear" w:color="auto" w:fill="FFFFFF"/>
        </w:rPr>
        <w:t>. Routledge.</w:t>
      </w:r>
    </w:p>
    <w:p w14:paraId="58E7FD4D" w14:textId="09E49608" w:rsidR="00437171" w:rsidRPr="002A4856" w:rsidRDefault="0040561E"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Brears, R. C. (2023). Circular water economy. In </w:t>
      </w:r>
      <w:r w:rsidRPr="002A4856">
        <w:rPr>
          <w:rFonts w:ascii="Arial" w:hAnsi="Arial" w:cs="Arial"/>
          <w:i/>
          <w:iCs/>
          <w:color w:val="222222"/>
          <w:szCs w:val="24"/>
          <w:shd w:val="clear" w:color="auto" w:fill="FFFFFF"/>
        </w:rPr>
        <w:t>The Palgrave Encyclopedia of Urban and Regional Futures</w:t>
      </w:r>
      <w:r w:rsidRPr="002A4856">
        <w:rPr>
          <w:rFonts w:ascii="Arial" w:hAnsi="Arial" w:cs="Arial"/>
          <w:color w:val="222222"/>
          <w:szCs w:val="24"/>
          <w:shd w:val="clear" w:color="auto" w:fill="FFFFFF"/>
        </w:rPr>
        <w:t> (pp. 193-199). Cham: Springer International Publishing.</w:t>
      </w:r>
    </w:p>
    <w:p w14:paraId="4E14D6A4" w14:textId="493F8BCA" w:rsidR="0040561E" w:rsidRPr="002A4856" w:rsidRDefault="0040561E"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lang w:val="es-AR"/>
        </w:rPr>
        <w:t xml:space="preserve">Alvarez-Risco, A., Estrada-Merino, A., </w:t>
      </w:r>
      <w:r w:rsidR="00A20549" w:rsidRPr="002A4856">
        <w:rPr>
          <w:rFonts w:ascii="Arial" w:hAnsi="Arial" w:cs="Arial"/>
          <w:color w:val="222222"/>
          <w:szCs w:val="24"/>
          <w:shd w:val="clear" w:color="auto" w:fill="FFFFFF"/>
          <w:lang w:val="es-AR"/>
        </w:rPr>
        <w:t>and</w:t>
      </w:r>
      <w:r w:rsidRPr="002A4856">
        <w:rPr>
          <w:rFonts w:ascii="Arial" w:hAnsi="Arial" w:cs="Arial"/>
          <w:color w:val="222222"/>
          <w:szCs w:val="24"/>
          <w:shd w:val="clear" w:color="auto" w:fill="FFFFFF"/>
          <w:lang w:val="es-AR"/>
        </w:rPr>
        <w:t xml:space="preserve"> Perez-Luyo, R. (2020). </w:t>
      </w:r>
      <w:r w:rsidRPr="002A4856">
        <w:rPr>
          <w:rFonts w:ascii="Arial" w:hAnsi="Arial" w:cs="Arial"/>
          <w:color w:val="222222"/>
          <w:szCs w:val="24"/>
          <w:shd w:val="clear" w:color="auto" w:fill="FFFFFF"/>
        </w:rPr>
        <w:t>Sustainable development goals in hospitality management. In </w:t>
      </w:r>
      <w:r w:rsidRPr="002A4856">
        <w:rPr>
          <w:rFonts w:ascii="Arial" w:hAnsi="Arial" w:cs="Arial"/>
          <w:i/>
          <w:iCs/>
          <w:color w:val="222222"/>
          <w:szCs w:val="24"/>
          <w:shd w:val="clear" w:color="auto" w:fill="FFFFFF"/>
        </w:rPr>
        <w:t>Sustainable Hospitality Management: Designing Meaningful Encounters With Talent and Technology</w:t>
      </w:r>
      <w:r w:rsidRPr="002A4856">
        <w:rPr>
          <w:rFonts w:ascii="Arial" w:hAnsi="Arial" w:cs="Arial"/>
          <w:color w:val="222222"/>
          <w:szCs w:val="24"/>
          <w:shd w:val="clear" w:color="auto" w:fill="FFFFFF"/>
        </w:rPr>
        <w:t> (pp. 159-178). Emerald Publishing Limited.</w:t>
      </w:r>
    </w:p>
    <w:p w14:paraId="51B566E5" w14:textId="0B6AEA40" w:rsidR="0040561E" w:rsidRPr="002A4856" w:rsidRDefault="0040561E"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Napathorn, C. (2022). The development of green skills across firms in the institutional context of Thailand. </w:t>
      </w:r>
      <w:r w:rsidRPr="002A4856">
        <w:rPr>
          <w:rFonts w:ascii="Arial" w:hAnsi="Arial" w:cs="Arial"/>
          <w:i/>
          <w:iCs/>
          <w:color w:val="222222"/>
          <w:szCs w:val="24"/>
          <w:shd w:val="clear" w:color="auto" w:fill="FFFFFF"/>
        </w:rPr>
        <w:t>Asia-Pacific Journal of Business Administration</w:t>
      </w:r>
      <w:r w:rsidRPr="002A4856">
        <w:rPr>
          <w:rFonts w:ascii="Arial" w:hAnsi="Arial" w:cs="Arial"/>
          <w:color w:val="222222"/>
          <w:szCs w:val="24"/>
          <w:shd w:val="clear" w:color="auto" w:fill="FFFFFF"/>
        </w:rPr>
        <w:t>, </w:t>
      </w:r>
      <w:r w:rsidRPr="002A4856">
        <w:rPr>
          <w:rFonts w:ascii="Arial" w:hAnsi="Arial" w:cs="Arial"/>
          <w:i/>
          <w:iCs/>
          <w:color w:val="222222"/>
          <w:szCs w:val="24"/>
          <w:shd w:val="clear" w:color="auto" w:fill="FFFFFF"/>
        </w:rPr>
        <w:t>14</w:t>
      </w:r>
      <w:r w:rsidRPr="002A4856">
        <w:rPr>
          <w:rFonts w:ascii="Arial" w:hAnsi="Arial" w:cs="Arial"/>
          <w:color w:val="222222"/>
          <w:szCs w:val="24"/>
          <w:shd w:val="clear" w:color="auto" w:fill="FFFFFF"/>
        </w:rPr>
        <w:t>(4), 539-572.</w:t>
      </w:r>
    </w:p>
    <w:p w14:paraId="16DF1E8E" w14:textId="4BBD0B61" w:rsidR="00F96646" w:rsidRPr="002A4856" w:rsidRDefault="0040561E" w:rsidP="002A4856">
      <w:pPr>
        <w:spacing w:line="360" w:lineRule="auto"/>
        <w:jc w:val="both"/>
        <w:rPr>
          <w:rFonts w:ascii="Arial" w:hAnsi="Arial" w:cs="Arial"/>
          <w:color w:val="222222"/>
          <w:szCs w:val="24"/>
          <w:shd w:val="clear" w:color="auto" w:fill="FFFFFF"/>
        </w:rPr>
      </w:pPr>
      <w:r w:rsidRPr="002A4856">
        <w:rPr>
          <w:rFonts w:ascii="Arial" w:hAnsi="Arial" w:cs="Arial"/>
          <w:color w:val="222222"/>
          <w:szCs w:val="24"/>
          <w:shd w:val="clear" w:color="auto" w:fill="FFFFFF"/>
        </w:rPr>
        <w:t xml:space="preserve">Fusté-Forné, F., </w:t>
      </w:r>
      <w:r w:rsidR="00A20549" w:rsidRPr="002A4856">
        <w:rPr>
          <w:rFonts w:ascii="Arial" w:hAnsi="Arial" w:cs="Arial"/>
          <w:color w:val="222222"/>
          <w:szCs w:val="24"/>
          <w:shd w:val="clear" w:color="auto" w:fill="FFFFFF"/>
        </w:rPr>
        <w:t>and</w:t>
      </w:r>
      <w:r w:rsidRPr="002A4856">
        <w:rPr>
          <w:rFonts w:ascii="Arial" w:hAnsi="Arial" w:cs="Arial"/>
          <w:color w:val="222222"/>
          <w:szCs w:val="24"/>
          <w:shd w:val="clear" w:color="auto" w:fill="FFFFFF"/>
        </w:rPr>
        <w:t xml:space="preserve"> Wolf, E. (Eds.). (2023). </w:t>
      </w:r>
      <w:r w:rsidRPr="002A4856">
        <w:rPr>
          <w:rFonts w:ascii="Arial" w:hAnsi="Arial" w:cs="Arial"/>
          <w:i/>
          <w:iCs/>
          <w:color w:val="222222"/>
          <w:szCs w:val="24"/>
          <w:shd w:val="clear" w:color="auto" w:fill="FFFFFF"/>
        </w:rPr>
        <w:t>Contemporary advances in food tourism management and marketing</w:t>
      </w:r>
      <w:r w:rsidRPr="002A4856">
        <w:rPr>
          <w:rFonts w:ascii="Arial" w:hAnsi="Arial" w:cs="Arial"/>
          <w:color w:val="222222"/>
          <w:szCs w:val="24"/>
          <w:shd w:val="clear" w:color="auto" w:fill="FFFFFF"/>
        </w:rPr>
        <w:t xml:space="preserve">. Taylor </w:t>
      </w:r>
      <w:r w:rsidR="00A20549" w:rsidRPr="002A4856">
        <w:rPr>
          <w:rFonts w:ascii="Arial" w:hAnsi="Arial" w:cs="Arial"/>
          <w:color w:val="222222"/>
          <w:szCs w:val="24"/>
          <w:shd w:val="clear" w:color="auto" w:fill="FFFFFF"/>
        </w:rPr>
        <w:t>and</w:t>
      </w:r>
      <w:r w:rsidRPr="002A4856">
        <w:rPr>
          <w:rFonts w:ascii="Arial" w:hAnsi="Arial" w:cs="Arial"/>
          <w:color w:val="222222"/>
          <w:szCs w:val="24"/>
          <w:shd w:val="clear" w:color="auto" w:fill="FFFFFF"/>
        </w:rPr>
        <w:t xml:space="preserve"> Francis.</w:t>
      </w:r>
    </w:p>
    <w:p w14:paraId="60CAE19D" w14:textId="337F03E6" w:rsidR="00437171" w:rsidRPr="00DC7D59" w:rsidRDefault="00F96646" w:rsidP="00F96646">
      <w:pPr>
        <w:spacing w:line="259" w:lineRule="auto"/>
        <w:rPr>
          <w:rFonts w:ascii="Arial" w:hAnsi="Arial" w:cs="Arial"/>
          <w:color w:val="222222"/>
          <w:szCs w:val="24"/>
          <w:shd w:val="clear" w:color="auto" w:fill="FFFFFF"/>
        </w:rPr>
      </w:pPr>
      <w:r w:rsidRPr="00DC7D59">
        <w:rPr>
          <w:rFonts w:ascii="Arial" w:hAnsi="Arial" w:cs="Arial"/>
          <w:color w:val="222222"/>
          <w:szCs w:val="24"/>
          <w:shd w:val="clear" w:color="auto" w:fill="FFFFFF"/>
        </w:rPr>
        <w:br w:type="page"/>
      </w:r>
    </w:p>
    <w:p w14:paraId="2C133FA0" w14:textId="77777777" w:rsidR="009C7F8A" w:rsidRPr="00DC7D59" w:rsidRDefault="009C7F8A" w:rsidP="002235E6">
      <w:pPr>
        <w:spacing w:line="360" w:lineRule="auto"/>
        <w:jc w:val="both"/>
        <w:rPr>
          <w:rFonts w:ascii="Arial" w:hAnsi="Arial" w:cs="Arial"/>
          <w:szCs w:val="24"/>
        </w:rPr>
      </w:pPr>
    </w:p>
    <w:p w14:paraId="2912B95E" w14:textId="77777777" w:rsidR="00E251A6" w:rsidRPr="00DC7D59" w:rsidRDefault="00E251A6" w:rsidP="002235E6">
      <w:pPr>
        <w:spacing w:line="360" w:lineRule="auto"/>
        <w:jc w:val="both"/>
        <w:rPr>
          <w:rFonts w:ascii="Arial" w:hAnsi="Arial" w:cs="Arial"/>
          <w:szCs w:val="24"/>
        </w:rPr>
      </w:pPr>
    </w:p>
    <w:p w14:paraId="626D4FBA" w14:textId="77777777" w:rsidR="00615B09" w:rsidRPr="00DC7D59" w:rsidRDefault="00615B09" w:rsidP="002235E6">
      <w:pPr>
        <w:spacing w:line="360" w:lineRule="auto"/>
        <w:jc w:val="both"/>
        <w:rPr>
          <w:rFonts w:ascii="Arial" w:hAnsi="Arial" w:cs="Arial"/>
          <w:szCs w:val="24"/>
        </w:rPr>
      </w:pPr>
    </w:p>
    <w:p w14:paraId="16E64379" w14:textId="77777777" w:rsidR="00B21636" w:rsidRPr="00DC7D59" w:rsidRDefault="00B21636" w:rsidP="002235E6">
      <w:pPr>
        <w:spacing w:line="360" w:lineRule="auto"/>
        <w:jc w:val="both"/>
        <w:rPr>
          <w:rFonts w:ascii="Arial" w:hAnsi="Arial" w:cs="Arial"/>
          <w:szCs w:val="24"/>
        </w:rPr>
      </w:pPr>
    </w:p>
    <w:p w14:paraId="046924B0" w14:textId="77777777" w:rsidR="00B21636" w:rsidRPr="00DC7D59" w:rsidRDefault="00B21636" w:rsidP="002235E6">
      <w:pPr>
        <w:spacing w:line="360" w:lineRule="auto"/>
        <w:jc w:val="both"/>
        <w:rPr>
          <w:rFonts w:ascii="Arial" w:hAnsi="Arial" w:cs="Arial"/>
          <w:szCs w:val="24"/>
        </w:rPr>
      </w:pPr>
    </w:p>
    <w:sectPr w:rsidR="00B21636" w:rsidRPr="00DC7D59" w:rsidSect="00F51DD6">
      <w:headerReference w:type="default" r:id="rId7"/>
      <w:headerReference w:type="firs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AA7C6C" w14:textId="77777777" w:rsidR="003C466D" w:rsidRDefault="003C466D" w:rsidP="00DC319A">
      <w:pPr>
        <w:spacing w:after="0" w:line="240" w:lineRule="auto"/>
      </w:pPr>
      <w:r>
        <w:separator/>
      </w:r>
    </w:p>
  </w:endnote>
  <w:endnote w:type="continuationSeparator" w:id="0">
    <w:p w14:paraId="6D250B5F" w14:textId="77777777" w:rsidR="003C466D" w:rsidRDefault="003C466D" w:rsidP="00DC3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FD193A" w14:textId="77777777" w:rsidR="003C466D" w:rsidRDefault="003C466D" w:rsidP="00DC319A">
      <w:pPr>
        <w:spacing w:after="0" w:line="240" w:lineRule="auto"/>
      </w:pPr>
      <w:r>
        <w:separator/>
      </w:r>
    </w:p>
  </w:footnote>
  <w:footnote w:type="continuationSeparator" w:id="0">
    <w:p w14:paraId="2C4687C4" w14:textId="77777777" w:rsidR="003C466D" w:rsidRDefault="003C466D" w:rsidP="00DC31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770129"/>
      <w:docPartObj>
        <w:docPartGallery w:val="Page Numbers (Top of Page)"/>
        <w:docPartUnique/>
      </w:docPartObj>
    </w:sdtPr>
    <w:sdtEndPr>
      <w:rPr>
        <w:noProof/>
      </w:rPr>
    </w:sdtEndPr>
    <w:sdtContent>
      <w:p w14:paraId="049BD7B1" w14:textId="6064630C" w:rsidR="00DC319A" w:rsidRDefault="00DC319A">
        <w:pPr>
          <w:pStyle w:val="Antet"/>
          <w:jc w:val="right"/>
        </w:pPr>
        <w:r>
          <w:fldChar w:fldCharType="begin"/>
        </w:r>
        <w:r>
          <w:instrText xml:space="preserve"> PAGE   \* MERGEFORMAT </w:instrText>
        </w:r>
        <w:r>
          <w:fldChar w:fldCharType="separate"/>
        </w:r>
        <w:r w:rsidR="007853D6">
          <w:rPr>
            <w:noProof/>
          </w:rPr>
          <w:t>2</w:t>
        </w:r>
        <w:r>
          <w:rPr>
            <w:noProof/>
          </w:rPr>
          <w:fldChar w:fldCharType="end"/>
        </w:r>
      </w:p>
    </w:sdtContent>
  </w:sdt>
  <w:p w14:paraId="2789DB71" w14:textId="77777777" w:rsidR="00DC319A" w:rsidRDefault="00DC319A">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BD143" w14:textId="140EDFCD" w:rsidR="00DC319A" w:rsidRPr="00DC319A" w:rsidRDefault="00DC319A">
    <w:pPr>
      <w:pStyle w:val="Antet"/>
      <w:rPr>
        <w:lang w:val="en-IN"/>
      </w:rPr>
    </w:pPr>
    <w:r>
      <w:rPr>
        <w:lang w:val="en-IN"/>
      </w:rPr>
      <w:tab/>
    </w:r>
    <w:r>
      <w:rPr>
        <w:lang w:val="en-IN"/>
      </w:rPr>
      <w:tab/>
      <w:t>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919"/>
    <w:rsid w:val="0000299F"/>
    <w:rsid w:val="00020F9D"/>
    <w:rsid w:val="00036C8E"/>
    <w:rsid w:val="0004393B"/>
    <w:rsid w:val="00084F3E"/>
    <w:rsid w:val="000A2835"/>
    <w:rsid w:val="00134C0E"/>
    <w:rsid w:val="001531CC"/>
    <w:rsid w:val="00182B73"/>
    <w:rsid w:val="001B1015"/>
    <w:rsid w:val="001D677C"/>
    <w:rsid w:val="00204439"/>
    <w:rsid w:val="002134D9"/>
    <w:rsid w:val="002235E6"/>
    <w:rsid w:val="00240BD0"/>
    <w:rsid w:val="00250E73"/>
    <w:rsid w:val="00262009"/>
    <w:rsid w:val="00273CCE"/>
    <w:rsid w:val="002834BD"/>
    <w:rsid w:val="002928A2"/>
    <w:rsid w:val="00293756"/>
    <w:rsid w:val="002A2410"/>
    <w:rsid w:val="002A4856"/>
    <w:rsid w:val="002A5484"/>
    <w:rsid w:val="002B6C10"/>
    <w:rsid w:val="00316C50"/>
    <w:rsid w:val="003271B4"/>
    <w:rsid w:val="00395ADC"/>
    <w:rsid w:val="003C352C"/>
    <w:rsid w:val="003C466D"/>
    <w:rsid w:val="003C4E43"/>
    <w:rsid w:val="003D0604"/>
    <w:rsid w:val="0040561E"/>
    <w:rsid w:val="00437171"/>
    <w:rsid w:val="00445194"/>
    <w:rsid w:val="00454F2E"/>
    <w:rsid w:val="004B2110"/>
    <w:rsid w:val="004B2D3D"/>
    <w:rsid w:val="004B762E"/>
    <w:rsid w:val="004E75F5"/>
    <w:rsid w:val="005004A5"/>
    <w:rsid w:val="00501015"/>
    <w:rsid w:val="00507ABD"/>
    <w:rsid w:val="00526FE8"/>
    <w:rsid w:val="00570422"/>
    <w:rsid w:val="00595C17"/>
    <w:rsid w:val="005A1B0F"/>
    <w:rsid w:val="005A6F12"/>
    <w:rsid w:val="00602A9B"/>
    <w:rsid w:val="00611F1A"/>
    <w:rsid w:val="00615B09"/>
    <w:rsid w:val="00641478"/>
    <w:rsid w:val="00660978"/>
    <w:rsid w:val="00672A5D"/>
    <w:rsid w:val="006C2BAE"/>
    <w:rsid w:val="0071613E"/>
    <w:rsid w:val="007350C4"/>
    <w:rsid w:val="0077705C"/>
    <w:rsid w:val="007853D6"/>
    <w:rsid w:val="007F211A"/>
    <w:rsid w:val="00833382"/>
    <w:rsid w:val="008A03F0"/>
    <w:rsid w:val="008B5FCA"/>
    <w:rsid w:val="008D2E3D"/>
    <w:rsid w:val="008E307D"/>
    <w:rsid w:val="008F5E82"/>
    <w:rsid w:val="008F62C3"/>
    <w:rsid w:val="00983919"/>
    <w:rsid w:val="009C7F8A"/>
    <w:rsid w:val="00A01D79"/>
    <w:rsid w:val="00A07534"/>
    <w:rsid w:val="00A101EE"/>
    <w:rsid w:val="00A20549"/>
    <w:rsid w:val="00A47449"/>
    <w:rsid w:val="00AC57C3"/>
    <w:rsid w:val="00AE4729"/>
    <w:rsid w:val="00AE4995"/>
    <w:rsid w:val="00B203AD"/>
    <w:rsid w:val="00B21636"/>
    <w:rsid w:val="00B24D65"/>
    <w:rsid w:val="00B44C3D"/>
    <w:rsid w:val="00B825BD"/>
    <w:rsid w:val="00BD3660"/>
    <w:rsid w:val="00C151BF"/>
    <w:rsid w:val="00C26E0E"/>
    <w:rsid w:val="00C476B3"/>
    <w:rsid w:val="00CB373A"/>
    <w:rsid w:val="00CC4F7B"/>
    <w:rsid w:val="00CD7336"/>
    <w:rsid w:val="00D254D2"/>
    <w:rsid w:val="00D508F7"/>
    <w:rsid w:val="00D7091A"/>
    <w:rsid w:val="00DC319A"/>
    <w:rsid w:val="00DC7D59"/>
    <w:rsid w:val="00DD1EF7"/>
    <w:rsid w:val="00E15476"/>
    <w:rsid w:val="00E251A6"/>
    <w:rsid w:val="00E42568"/>
    <w:rsid w:val="00E822B6"/>
    <w:rsid w:val="00E837E1"/>
    <w:rsid w:val="00E84BFB"/>
    <w:rsid w:val="00EC6A24"/>
    <w:rsid w:val="00EF512C"/>
    <w:rsid w:val="00F137BA"/>
    <w:rsid w:val="00F2192E"/>
    <w:rsid w:val="00F51DD6"/>
    <w:rsid w:val="00F90833"/>
    <w:rsid w:val="00F96646"/>
    <w:rsid w:val="00FE719A"/>
    <w:rsid w:val="00FF6A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C9C5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34D9"/>
    <w:pPr>
      <w:spacing w:line="480" w:lineRule="auto"/>
    </w:pPr>
    <w:rPr>
      <w:rFonts w:ascii="Times New Roman" w:hAnsi="Times New Roman"/>
      <w:kern w:val="0"/>
      <w:sz w:val="24"/>
      <w:lang w:val="en-GB"/>
      <w14:ligatures w14:val="none"/>
    </w:rPr>
  </w:style>
  <w:style w:type="paragraph" w:styleId="Titlu1">
    <w:name w:val="heading 1"/>
    <w:basedOn w:val="Normal"/>
    <w:next w:val="Normal"/>
    <w:link w:val="Titlu1Caracter"/>
    <w:uiPriority w:val="9"/>
    <w:qFormat/>
    <w:rsid w:val="00A20549"/>
    <w:pPr>
      <w:keepNext/>
      <w:keepLines/>
      <w:spacing w:before="240" w:after="0"/>
      <w:jc w:val="both"/>
      <w:outlineLvl w:val="0"/>
    </w:pPr>
    <w:rPr>
      <w:rFonts w:eastAsiaTheme="majorEastAsia" w:cstheme="majorBidi"/>
      <w:b/>
      <w:color w:val="000000" w:themeColor="text1"/>
      <w:sz w:val="28"/>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DC319A"/>
    <w:pPr>
      <w:spacing w:after="0" w:line="240" w:lineRule="auto"/>
    </w:pPr>
    <w:rPr>
      <w:rFonts w:eastAsiaTheme="minorEastAsia"/>
      <w:kern w:val="0"/>
      <w:lang w:val="en-US"/>
      <w14:ligatures w14:val="none"/>
    </w:rPr>
  </w:style>
  <w:style w:type="character" w:customStyle="1" w:styleId="FrspaiereCaracter">
    <w:name w:val="Fără spațiere Caracter"/>
    <w:basedOn w:val="Fontdeparagrafimplicit"/>
    <w:link w:val="Frspaiere"/>
    <w:uiPriority w:val="1"/>
    <w:rsid w:val="00DC319A"/>
    <w:rPr>
      <w:rFonts w:eastAsiaTheme="minorEastAsia"/>
      <w:kern w:val="0"/>
      <w:lang w:val="en-US"/>
      <w14:ligatures w14:val="none"/>
    </w:rPr>
  </w:style>
  <w:style w:type="paragraph" w:styleId="Antet">
    <w:name w:val="header"/>
    <w:basedOn w:val="Normal"/>
    <w:link w:val="AntetCaracter"/>
    <w:uiPriority w:val="99"/>
    <w:unhideWhenUsed/>
    <w:rsid w:val="00DC319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C319A"/>
    <w:rPr>
      <w:rFonts w:ascii="Times New Roman" w:hAnsi="Times New Roman"/>
      <w:kern w:val="0"/>
      <w:sz w:val="24"/>
      <w:lang w:val="en-GB"/>
      <w14:ligatures w14:val="none"/>
    </w:rPr>
  </w:style>
  <w:style w:type="paragraph" w:styleId="Subsol">
    <w:name w:val="footer"/>
    <w:basedOn w:val="Normal"/>
    <w:link w:val="SubsolCaracter"/>
    <w:uiPriority w:val="99"/>
    <w:unhideWhenUsed/>
    <w:rsid w:val="00DC319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C319A"/>
    <w:rPr>
      <w:rFonts w:ascii="Times New Roman" w:hAnsi="Times New Roman"/>
      <w:kern w:val="0"/>
      <w:sz w:val="24"/>
      <w:lang w:val="en-GB"/>
      <w14:ligatures w14:val="none"/>
    </w:rPr>
  </w:style>
  <w:style w:type="character" w:customStyle="1" w:styleId="Titlu1Caracter">
    <w:name w:val="Titlu 1 Caracter"/>
    <w:basedOn w:val="Fontdeparagrafimplicit"/>
    <w:link w:val="Titlu1"/>
    <w:uiPriority w:val="9"/>
    <w:rsid w:val="00A20549"/>
    <w:rPr>
      <w:rFonts w:ascii="Times New Roman" w:eastAsiaTheme="majorEastAsia" w:hAnsi="Times New Roman" w:cstheme="majorBidi"/>
      <w:b/>
      <w:color w:val="000000" w:themeColor="text1"/>
      <w:kern w:val="0"/>
      <w:sz w:val="28"/>
      <w:szCs w:val="32"/>
      <w:lang w:val="en-GB"/>
      <w14:ligatures w14:val="none"/>
    </w:rPr>
  </w:style>
  <w:style w:type="paragraph" w:styleId="Titlucuprins">
    <w:name w:val="TOC Heading"/>
    <w:basedOn w:val="Titlu1"/>
    <w:next w:val="Normal"/>
    <w:uiPriority w:val="39"/>
    <w:unhideWhenUsed/>
    <w:qFormat/>
    <w:rsid w:val="00DC319A"/>
    <w:pPr>
      <w:spacing w:line="259" w:lineRule="auto"/>
      <w:outlineLvl w:val="9"/>
    </w:pPr>
    <w:rPr>
      <w:lang w:val="en-US"/>
    </w:rPr>
  </w:style>
  <w:style w:type="paragraph" w:styleId="Listparagraf">
    <w:name w:val="List Paragraph"/>
    <w:basedOn w:val="Normal"/>
    <w:uiPriority w:val="34"/>
    <w:qFormat/>
    <w:rsid w:val="0040561E"/>
    <w:pPr>
      <w:ind w:left="720"/>
      <w:contextualSpacing/>
    </w:pPr>
  </w:style>
  <w:style w:type="paragraph" w:styleId="Cuprins1">
    <w:name w:val="toc 1"/>
    <w:basedOn w:val="Normal"/>
    <w:next w:val="Normal"/>
    <w:autoRedefine/>
    <w:uiPriority w:val="39"/>
    <w:unhideWhenUsed/>
    <w:rsid w:val="00501015"/>
    <w:pPr>
      <w:spacing w:after="100"/>
    </w:pPr>
  </w:style>
  <w:style w:type="character" w:styleId="Hyperlink">
    <w:name w:val="Hyperlink"/>
    <w:basedOn w:val="Fontdeparagrafimplicit"/>
    <w:uiPriority w:val="99"/>
    <w:unhideWhenUsed/>
    <w:rsid w:val="005010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6C4B699-50DD-436B-963E-48969E2F2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2464</Words>
  <Characters>15828</Characters>
  <Application>Microsoft Office Word</Application>
  <DocSecurity>0</DocSecurity>
  <Lines>267</Lines>
  <Paragraphs>37</Paragraphs>
  <ScaleCrop>false</ScaleCrop>
  <Company/>
  <LinksUpToDate>false</LinksUpToDate>
  <CharactersWithSpaces>18258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2024-01-29T07:07:00Z</dcterms:created>
  <dcterms:modified xsi:type="dcterms:W3CDTF">2024-02-01T17:17:00Z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a1305a31771f6d0c7d293729c9aefa39d3ab0aa32b4c294b5ba272ed2d997bf3</vt:lpwstr>
  </property>
</Properties>
</file>