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814064345"/>
        <w:docPartObj>
          <w:docPartGallery w:val="Cover Pages"/>
          <w:docPartUnique/>
        </w:docPartObj>
      </w:sdtPr>
      <w:sdtEndPr>
        <w:rPr>
          <w:b/>
          <w:bCs/>
          <w:sz w:val="28"/>
          <w:szCs w:val="28"/>
        </w:rPr>
      </w:sdtEndPr>
      <w:sdtContent>
        <w:p w14:paraId="3BE7BD0C" w14:textId="28FBC994" w:rsidR="00543963" w:rsidRPr="00543963" w:rsidRDefault="00543963" w:rsidP="00543963">
          <w:pPr>
            <w:jc w:val="center"/>
            <w:rPr>
              <w:rFonts w:ascii="Arial" w:hAnsi="Arial" w:cs="Arial"/>
            </w:rPr>
          </w:pPr>
          <w:r w:rsidRPr="00543963">
            <w:rPr>
              <w:rFonts w:ascii="Arial" w:hAnsi="Arial" w:cs="Arial"/>
              <w:noProof/>
            </w:rPr>
            <w:drawing>
              <wp:inline distT="0" distB="0" distL="0" distR="0" wp14:anchorId="6D34FC2C" wp14:editId="24BB143B">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sidRPr="00543963">
            <w:rPr>
              <w:rFonts w:ascii="Arial" w:hAnsi="Arial" w:cs="Arial"/>
              <w:noProof/>
            </w:rPr>
            <mc:AlternateContent>
              <mc:Choice Requires="wps">
                <w:drawing>
                  <wp:anchor distT="0" distB="0" distL="114300" distR="114300" simplePos="0" relativeHeight="251670528" behindDoc="0" locked="0" layoutInCell="1" allowOverlap="1" wp14:anchorId="3838A8B5" wp14:editId="5E70FB3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8B58C" w14:textId="0A8A9216" w:rsidR="00543963" w:rsidRDefault="00543963" w:rsidP="00543963">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3298F07" w14:textId="72005D2C" w:rsidR="00543963" w:rsidRDefault="00543963">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838A8B5" id="_x0000_t202" coordsize="21600,21600" o:spt="202" path="m,l,21600r21600,l21600,xe">
                    <v:stroke joinstyle="miter"/>
                    <v:path gradientshapeok="t" o:connecttype="rect"/>
                  </v:shapetype>
                  <v:shape id="Text Box 161" o:spid="_x0000_s1026" type="#_x0000_t202" style="position:absolute;left:0;text-align:left;margin-left:0;margin-top:0;width:8in;height:79.5pt;z-index:25167052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4208B58C" w14:textId="0A8A9216" w:rsidR="00543963" w:rsidRDefault="00543963" w:rsidP="00543963">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3298F07" w14:textId="72005D2C" w:rsidR="00543963" w:rsidRDefault="00543963">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293ED00B" w14:textId="530ACE7D" w:rsidR="00543963" w:rsidRPr="00543963" w:rsidRDefault="00543963" w:rsidP="00543963">
          <w:pPr>
            <w:spacing w:after="157"/>
            <w:ind w:left="89"/>
            <w:jc w:val="center"/>
            <w:rPr>
              <w:rFonts w:ascii="Arial" w:hAnsi="Arial" w:cs="Arial"/>
            </w:rPr>
          </w:pPr>
          <w:r w:rsidRPr="00543963">
            <w:rPr>
              <w:rFonts w:ascii="Arial" w:hAnsi="Arial" w:cs="Arial"/>
              <w:sz w:val="36"/>
            </w:rPr>
            <w:t xml:space="preserve"> </w:t>
          </w:r>
        </w:p>
        <w:p w14:paraId="69BFFB4D" w14:textId="6220ABAD" w:rsidR="00543963" w:rsidRPr="00070AB3" w:rsidRDefault="00543963" w:rsidP="00070AB3">
          <w:pPr>
            <w:spacing w:after="42" w:line="360" w:lineRule="auto"/>
            <w:ind w:left="89"/>
            <w:jc w:val="center"/>
            <w:rPr>
              <w:rFonts w:ascii="Arial" w:hAnsi="Arial" w:cs="Arial"/>
              <w:sz w:val="16"/>
              <w:szCs w:val="16"/>
            </w:rPr>
          </w:pPr>
          <w:r w:rsidRPr="00070AB3">
            <w:rPr>
              <w:rFonts w:ascii="Arial" w:hAnsi="Arial" w:cs="Arial"/>
              <w:sz w:val="24"/>
              <w:szCs w:val="16"/>
            </w:rPr>
            <w:t xml:space="preserve"> </w:t>
          </w:r>
          <w:r w:rsidR="00070AB3" w:rsidRPr="00070AB3">
            <w:rPr>
              <w:rFonts w:ascii="Arial" w:hAnsi="Arial" w:cs="Arial"/>
              <w:sz w:val="24"/>
              <w:szCs w:val="16"/>
            </w:rPr>
            <w:t>Digital Health Technologies for Dementia Prevention and Support Among Older Adults in the United Kingdom: A Systematic Literature Review of Engagement, Barriers, and Effectiveness</w:t>
          </w:r>
        </w:p>
        <w:p w14:paraId="0518B9DA" w14:textId="77777777" w:rsidR="00543963" w:rsidRPr="00543963" w:rsidRDefault="00543963" w:rsidP="00543963">
          <w:pPr>
            <w:spacing w:after="157"/>
            <w:ind w:left="2367" w:right="2358"/>
            <w:jc w:val="center"/>
            <w:rPr>
              <w:rFonts w:ascii="Arial" w:hAnsi="Arial" w:cs="Arial"/>
            </w:rPr>
          </w:pPr>
          <w:r w:rsidRPr="00543963">
            <w:rPr>
              <w:rFonts w:ascii="Arial" w:hAnsi="Arial" w:cs="Arial"/>
            </w:rPr>
            <w:t xml:space="preserve">by </w:t>
          </w:r>
        </w:p>
        <w:p w14:paraId="209EA3DC" w14:textId="77777777" w:rsidR="00543963" w:rsidRPr="00543963" w:rsidRDefault="00543963" w:rsidP="00543963">
          <w:pPr>
            <w:spacing w:after="158"/>
            <w:ind w:left="59"/>
            <w:jc w:val="center"/>
            <w:rPr>
              <w:rFonts w:ascii="Arial" w:hAnsi="Arial" w:cs="Arial"/>
            </w:rPr>
          </w:pPr>
          <w:r w:rsidRPr="00543963">
            <w:rPr>
              <w:rFonts w:ascii="Arial" w:hAnsi="Arial" w:cs="Arial"/>
            </w:rPr>
            <w:t xml:space="preserve"> </w:t>
          </w:r>
        </w:p>
        <w:p w14:paraId="0100E33A" w14:textId="55C4F6F0" w:rsidR="00543963" w:rsidRPr="00543963" w:rsidRDefault="00543963" w:rsidP="00543963">
          <w:pPr>
            <w:spacing w:after="157"/>
            <w:ind w:left="2367" w:right="2359"/>
            <w:jc w:val="center"/>
            <w:rPr>
              <w:rFonts w:ascii="Arial" w:hAnsi="Arial" w:cs="Arial"/>
            </w:rPr>
          </w:pPr>
          <w:r w:rsidRPr="00543963">
            <w:rPr>
              <w:rFonts w:ascii="Arial" w:hAnsi="Arial" w:cs="Arial"/>
            </w:rPr>
            <w:t>Janvi Ishwarbhai Chauhan</w:t>
          </w:r>
          <w:r w:rsidR="008172AC">
            <w:rPr>
              <w:rFonts w:ascii="Arial" w:hAnsi="Arial" w:cs="Arial"/>
            </w:rPr>
            <w:t xml:space="preserve"> | 2431585</w:t>
          </w:r>
        </w:p>
        <w:p w14:paraId="126AD554" w14:textId="7C408495" w:rsidR="00543963" w:rsidRPr="00543963" w:rsidRDefault="00543963" w:rsidP="00543963">
          <w:pPr>
            <w:spacing w:after="158"/>
            <w:ind w:left="59"/>
            <w:jc w:val="center"/>
            <w:rPr>
              <w:rFonts w:ascii="Arial" w:hAnsi="Arial" w:cs="Arial"/>
            </w:rPr>
          </w:pPr>
          <w:r w:rsidRPr="00543963">
            <w:rPr>
              <w:rFonts w:ascii="Arial" w:hAnsi="Arial" w:cs="Arial"/>
            </w:rPr>
            <w:t xml:space="preserve"> </w:t>
          </w:r>
        </w:p>
        <w:p w14:paraId="2786AB4B" w14:textId="77777777" w:rsidR="00543963" w:rsidRPr="00543963" w:rsidRDefault="00543963" w:rsidP="00543963">
          <w:pPr>
            <w:spacing w:after="158"/>
            <w:ind w:left="59"/>
            <w:jc w:val="center"/>
            <w:rPr>
              <w:rFonts w:ascii="Arial" w:hAnsi="Arial" w:cs="Arial"/>
            </w:rPr>
          </w:pPr>
          <w:r w:rsidRPr="00543963">
            <w:rPr>
              <w:rFonts w:ascii="Arial" w:hAnsi="Arial" w:cs="Arial"/>
            </w:rPr>
            <w:t xml:space="preserve"> </w:t>
          </w:r>
        </w:p>
        <w:p w14:paraId="7466236D" w14:textId="77777777" w:rsidR="00543963" w:rsidRPr="00543963" w:rsidRDefault="00543963" w:rsidP="00543963">
          <w:pPr>
            <w:spacing w:after="158"/>
            <w:ind w:left="59"/>
            <w:jc w:val="center"/>
            <w:rPr>
              <w:rFonts w:ascii="Arial" w:hAnsi="Arial" w:cs="Arial"/>
            </w:rPr>
          </w:pPr>
          <w:r w:rsidRPr="00543963">
            <w:rPr>
              <w:rFonts w:ascii="Arial" w:hAnsi="Arial" w:cs="Arial"/>
            </w:rPr>
            <w:t xml:space="preserve"> </w:t>
          </w:r>
        </w:p>
        <w:p w14:paraId="0D69FBDF" w14:textId="17366C97" w:rsidR="00543963" w:rsidRPr="00543963" w:rsidRDefault="00543963" w:rsidP="00543963">
          <w:pPr>
            <w:spacing w:after="156"/>
            <w:ind w:left="59"/>
            <w:jc w:val="center"/>
            <w:rPr>
              <w:rFonts w:ascii="Arial" w:hAnsi="Arial" w:cs="Arial"/>
              <w:sz w:val="24"/>
              <w:szCs w:val="24"/>
            </w:rPr>
          </w:pPr>
          <w:r w:rsidRPr="00543963">
            <w:rPr>
              <w:rFonts w:ascii="Arial" w:hAnsi="Arial" w:cs="Arial"/>
              <w:sz w:val="24"/>
              <w:szCs w:val="24"/>
            </w:rPr>
            <w:t xml:space="preserve">A Dissertation submitted in partial fulfilment of the requirements for the degree of </w:t>
          </w:r>
          <w:r w:rsidR="00FE1995" w:rsidRPr="00543963">
            <w:rPr>
              <w:rFonts w:ascii="Arial" w:hAnsi="Arial" w:cs="Arial"/>
              <w:sz w:val="24"/>
              <w:szCs w:val="24"/>
            </w:rPr>
            <w:t>Master of Science</w:t>
          </w:r>
          <w:r w:rsidRPr="00543963">
            <w:rPr>
              <w:rFonts w:ascii="Arial" w:hAnsi="Arial" w:cs="Arial"/>
              <w:sz w:val="24"/>
              <w:szCs w:val="24"/>
            </w:rPr>
            <w:t xml:space="preserve"> in Public Health and Social Care in Practice</w:t>
          </w:r>
        </w:p>
        <w:p w14:paraId="5D585769" w14:textId="77777777" w:rsidR="00543963" w:rsidRPr="00543963" w:rsidRDefault="00543963" w:rsidP="00543963">
          <w:pPr>
            <w:spacing w:after="169"/>
            <w:rPr>
              <w:rFonts w:ascii="Arial" w:hAnsi="Arial" w:cs="Arial"/>
              <w:b/>
              <w:bCs/>
            </w:rPr>
          </w:pPr>
        </w:p>
        <w:p w14:paraId="211E3FAC" w14:textId="77777777" w:rsidR="00543963" w:rsidRPr="00543963" w:rsidRDefault="00543963" w:rsidP="00543963">
          <w:pPr>
            <w:spacing w:after="169"/>
            <w:jc w:val="center"/>
            <w:rPr>
              <w:rFonts w:ascii="Arial" w:hAnsi="Arial" w:cs="Arial"/>
              <w:b/>
              <w:bCs/>
            </w:rPr>
          </w:pPr>
        </w:p>
        <w:p w14:paraId="207D6BE0" w14:textId="77777777" w:rsidR="00543963" w:rsidRPr="00543963" w:rsidRDefault="00543963" w:rsidP="00543963">
          <w:pPr>
            <w:spacing w:after="169"/>
            <w:jc w:val="center"/>
            <w:rPr>
              <w:rFonts w:ascii="Arial" w:hAnsi="Arial" w:cs="Arial"/>
              <w:b/>
              <w:bCs/>
              <w:sz w:val="24"/>
              <w:szCs w:val="24"/>
            </w:rPr>
          </w:pPr>
          <w:r w:rsidRPr="00543963">
            <w:rPr>
              <w:rFonts w:ascii="Arial" w:hAnsi="Arial" w:cs="Arial"/>
              <w:b/>
              <w:bCs/>
              <w:sz w:val="24"/>
              <w:szCs w:val="24"/>
            </w:rPr>
            <w:t>The Institute of Inner-City Learning</w:t>
          </w:r>
        </w:p>
        <w:p w14:paraId="06A0214F" w14:textId="77777777" w:rsidR="00543963" w:rsidRPr="00543963" w:rsidRDefault="00543963" w:rsidP="00543963">
          <w:pPr>
            <w:spacing w:after="169"/>
            <w:jc w:val="center"/>
            <w:rPr>
              <w:rFonts w:ascii="Arial" w:hAnsi="Arial" w:cs="Arial"/>
              <w:b/>
              <w:bCs/>
              <w:sz w:val="24"/>
              <w:szCs w:val="24"/>
            </w:rPr>
          </w:pPr>
          <w:r w:rsidRPr="00543963">
            <w:rPr>
              <w:rFonts w:ascii="Arial" w:hAnsi="Arial" w:cs="Arial"/>
              <w:b/>
              <w:bCs/>
              <w:sz w:val="24"/>
              <w:szCs w:val="24"/>
            </w:rPr>
            <w:t>University of Wales Trinity Saint David – London Campus</w:t>
          </w:r>
        </w:p>
        <w:p w14:paraId="482A7844" w14:textId="77777777" w:rsidR="00543963" w:rsidRPr="00543963" w:rsidRDefault="00543963" w:rsidP="00543963">
          <w:pPr>
            <w:spacing w:after="157"/>
            <w:ind w:left="2367" w:right="2357"/>
            <w:jc w:val="center"/>
            <w:rPr>
              <w:rFonts w:ascii="Arial" w:hAnsi="Arial" w:cs="Arial"/>
              <w:b/>
              <w:bCs/>
              <w:sz w:val="24"/>
              <w:szCs w:val="24"/>
            </w:rPr>
          </w:pPr>
        </w:p>
        <w:p w14:paraId="205494C2" w14:textId="77777777" w:rsidR="00543963" w:rsidRPr="00543963" w:rsidRDefault="00543963" w:rsidP="00543963">
          <w:pPr>
            <w:spacing w:after="157"/>
            <w:ind w:left="2367" w:right="2357"/>
            <w:jc w:val="center"/>
            <w:rPr>
              <w:rFonts w:ascii="Arial" w:hAnsi="Arial" w:cs="Arial"/>
              <w:b/>
              <w:bCs/>
              <w:sz w:val="24"/>
              <w:szCs w:val="24"/>
            </w:rPr>
          </w:pPr>
        </w:p>
        <w:p w14:paraId="67DB97F6" w14:textId="057BFD72" w:rsidR="00543963" w:rsidRPr="00543963" w:rsidRDefault="00543963" w:rsidP="00543963">
          <w:pPr>
            <w:spacing w:after="157"/>
            <w:ind w:left="2367" w:right="2357"/>
            <w:jc w:val="center"/>
            <w:rPr>
              <w:rFonts w:ascii="Arial" w:hAnsi="Arial" w:cs="Arial"/>
              <w:b/>
              <w:bCs/>
              <w:sz w:val="24"/>
              <w:szCs w:val="24"/>
            </w:rPr>
          </w:pPr>
          <w:r w:rsidRPr="00543963">
            <w:rPr>
              <w:rFonts w:ascii="Arial" w:hAnsi="Arial" w:cs="Arial"/>
              <w:b/>
              <w:bCs/>
              <w:sz w:val="24"/>
              <w:szCs w:val="24"/>
            </w:rPr>
            <w:t>June 2026</w:t>
          </w:r>
        </w:p>
        <w:p w14:paraId="4DEADA85" w14:textId="6E61AF20" w:rsidR="00543963" w:rsidRPr="00543963" w:rsidRDefault="00CF6342" w:rsidP="00543963">
          <w:pPr>
            <w:jc w:val="center"/>
            <w:rPr>
              <w:rFonts w:ascii="Arial" w:hAnsi="Arial" w:cs="Arial"/>
              <w:b/>
              <w:bCs/>
              <w:sz w:val="28"/>
              <w:szCs w:val="28"/>
            </w:rPr>
          </w:pPr>
        </w:p>
      </w:sdtContent>
    </w:sdt>
    <w:p w14:paraId="71BAEAF0" w14:textId="77777777" w:rsidR="00543963" w:rsidRPr="00543963" w:rsidRDefault="00543963" w:rsidP="00BB400C">
      <w:pPr>
        <w:spacing w:line="360" w:lineRule="auto"/>
        <w:jc w:val="both"/>
        <w:rPr>
          <w:rFonts w:ascii="Arial" w:hAnsi="Arial" w:cs="Arial"/>
          <w:b/>
          <w:bCs/>
          <w:sz w:val="28"/>
          <w:szCs w:val="28"/>
        </w:rPr>
      </w:pPr>
    </w:p>
    <w:p w14:paraId="1DCEC8A3" w14:textId="77777777" w:rsidR="00543963" w:rsidRPr="00543963" w:rsidRDefault="00543963" w:rsidP="00BB400C">
      <w:pPr>
        <w:spacing w:line="360" w:lineRule="auto"/>
        <w:jc w:val="both"/>
        <w:rPr>
          <w:rFonts w:ascii="Arial" w:hAnsi="Arial" w:cs="Arial"/>
          <w:b/>
          <w:bCs/>
          <w:sz w:val="28"/>
          <w:szCs w:val="28"/>
        </w:rPr>
      </w:pPr>
    </w:p>
    <w:p w14:paraId="09AFFA16" w14:textId="77777777" w:rsidR="00543963" w:rsidRDefault="00543963" w:rsidP="00543963">
      <w:pPr>
        <w:pStyle w:val="Heading1"/>
        <w:rPr>
          <w:rFonts w:ascii="Arial" w:eastAsia="Times New Roman" w:hAnsi="Arial" w:cs="Arial"/>
          <w:lang w:val="hr-HR"/>
        </w:rPr>
      </w:pPr>
    </w:p>
    <w:p w14:paraId="5CED359C" w14:textId="77777777" w:rsidR="00543963" w:rsidRDefault="00543963" w:rsidP="00543963">
      <w:pPr>
        <w:pStyle w:val="Heading1"/>
        <w:rPr>
          <w:rFonts w:ascii="Arial" w:eastAsia="Times New Roman" w:hAnsi="Arial" w:cs="Arial"/>
          <w:lang w:val="hr-HR"/>
        </w:rPr>
      </w:pPr>
    </w:p>
    <w:p w14:paraId="79F75A3E" w14:textId="77777777" w:rsidR="00543963" w:rsidRDefault="00543963" w:rsidP="00543963">
      <w:pPr>
        <w:pStyle w:val="Heading1"/>
        <w:rPr>
          <w:rFonts w:ascii="Arial" w:eastAsia="Times New Roman" w:hAnsi="Arial" w:cs="Arial"/>
          <w:lang w:val="hr-HR"/>
        </w:rPr>
      </w:pPr>
    </w:p>
    <w:p w14:paraId="6E65E9A8" w14:textId="79C14DC0" w:rsidR="00543963" w:rsidRPr="00543963" w:rsidRDefault="00543963" w:rsidP="00543963">
      <w:pPr>
        <w:pStyle w:val="Heading1"/>
        <w:rPr>
          <w:rFonts w:ascii="Arial" w:eastAsia="Times New Roman" w:hAnsi="Arial" w:cs="Arial"/>
          <w:b/>
          <w:bCs/>
          <w:lang w:val="hr-HR"/>
        </w:rPr>
      </w:pPr>
      <w:bookmarkStart w:id="0" w:name="_Toc232034582"/>
      <w:r w:rsidRPr="00543963">
        <w:rPr>
          <w:rFonts w:ascii="Arial" w:eastAsia="Times New Roman" w:hAnsi="Arial" w:cs="Arial"/>
          <w:b/>
          <w:bCs/>
          <w:lang w:val="hr-HR"/>
        </w:rPr>
        <w:t>Declaration</w:t>
      </w:r>
      <w:bookmarkEnd w:id="0"/>
    </w:p>
    <w:p w14:paraId="56C1BD7A" w14:textId="77777777" w:rsidR="00543963" w:rsidRPr="00543963" w:rsidRDefault="00543963" w:rsidP="00543963">
      <w:pPr>
        <w:spacing w:after="200" w:line="276" w:lineRule="auto"/>
        <w:rPr>
          <w:rFonts w:ascii="Arial" w:eastAsia="Times New Roman" w:hAnsi="Arial" w:cs="Arial"/>
          <w:color w:val="000000" w:themeColor="text1"/>
          <w:sz w:val="24"/>
          <w:szCs w:val="24"/>
          <w:lang w:val="hr-HR"/>
        </w:rPr>
      </w:pPr>
    </w:p>
    <w:p w14:paraId="28C3B501" w14:textId="77777777" w:rsidR="00DB7C8E" w:rsidRPr="00DB7C8E" w:rsidRDefault="00DB7C8E" w:rsidP="00DB7C8E">
      <w:pPr>
        <w:spacing w:after="200" w:line="276" w:lineRule="auto"/>
        <w:rPr>
          <w:rFonts w:ascii="Arial" w:hAnsi="Arial" w:cs="Arial"/>
          <w:noProof/>
        </w:rPr>
      </w:pPr>
      <w:r w:rsidRPr="00DB7C8E">
        <w:rPr>
          <w:rFonts w:ascii="Arial" w:hAnsi="Arial" w:cs="Arial"/>
          <w:noProof/>
        </w:rPr>
        <w:t>I, Janvi Chauhan, confirm that this dissertation is the result of my own work. All content presented within this document has been produced independently by me, except where acknowledgment has been made through appropriate citation and referencing. I further declare that this dissertation has not previously been submitted, either in full or in part, for the award of any other academic degree or qualification, unless otherwise stated.</w:t>
      </w:r>
    </w:p>
    <w:p w14:paraId="40D21603" w14:textId="77777777" w:rsidR="00543963" w:rsidRPr="00543963" w:rsidRDefault="00543963" w:rsidP="00543963">
      <w:pPr>
        <w:spacing w:after="200" w:line="276" w:lineRule="auto"/>
        <w:rPr>
          <w:rFonts w:ascii="Arial" w:eastAsia="Times New Roman" w:hAnsi="Arial" w:cs="Arial"/>
          <w:color w:val="000000" w:themeColor="text1"/>
          <w:sz w:val="24"/>
          <w:szCs w:val="24"/>
          <w:lang w:val="hr-HR"/>
        </w:rPr>
      </w:pPr>
    </w:p>
    <w:p w14:paraId="56A34263" w14:textId="77777777" w:rsidR="00543963" w:rsidRPr="00543963" w:rsidRDefault="00543963" w:rsidP="00543963">
      <w:pPr>
        <w:spacing w:after="200" w:line="276" w:lineRule="auto"/>
        <w:rPr>
          <w:rFonts w:ascii="Arial" w:eastAsia="Times New Roman" w:hAnsi="Arial" w:cs="Arial"/>
          <w:color w:val="000000" w:themeColor="text1"/>
          <w:sz w:val="24"/>
          <w:szCs w:val="24"/>
          <w:lang w:val="hr-HR"/>
        </w:rPr>
      </w:pPr>
    </w:p>
    <w:p w14:paraId="5036ACE0" w14:textId="59B7C2E6" w:rsidR="00543963" w:rsidRPr="00543963" w:rsidRDefault="00543963" w:rsidP="00543963">
      <w:pPr>
        <w:spacing w:after="200" w:line="276" w:lineRule="auto"/>
        <w:rPr>
          <w:rFonts w:ascii="Arial" w:eastAsia="Times New Roman" w:hAnsi="Arial" w:cs="Arial"/>
          <w:color w:val="000000" w:themeColor="text1"/>
          <w:sz w:val="24"/>
          <w:szCs w:val="24"/>
          <w:u w:val="single"/>
          <w:lang w:val="hr-HR"/>
        </w:rPr>
      </w:pPr>
      <w:r w:rsidRPr="00543963">
        <w:rPr>
          <w:rFonts w:ascii="Arial" w:eastAsia="Times New Roman" w:hAnsi="Arial" w:cs="Arial"/>
          <w:color w:val="000000" w:themeColor="text1"/>
          <w:sz w:val="24"/>
          <w:szCs w:val="24"/>
          <w:lang w:val="hr-HR"/>
        </w:rPr>
        <w:t>Signed</w:t>
      </w:r>
      <w:r>
        <w:rPr>
          <w:rFonts w:ascii="Arial" w:eastAsia="Times New Roman" w:hAnsi="Arial" w:cs="Arial"/>
          <w:color w:val="000000" w:themeColor="text1"/>
          <w:sz w:val="24"/>
          <w:szCs w:val="24"/>
          <w:lang w:val="hr-HR"/>
        </w:rPr>
        <w:t xml:space="preserve"> </w:t>
      </w:r>
      <w:r>
        <w:rPr>
          <w:rFonts w:ascii="Arial" w:eastAsia="Times New Roman" w:hAnsi="Arial" w:cs="Arial"/>
          <w:color w:val="000000" w:themeColor="text1"/>
          <w:sz w:val="24"/>
          <w:szCs w:val="24"/>
          <w:u w:val="single"/>
          <w:lang w:val="hr-HR"/>
        </w:rPr>
        <w:t>JANVI CHAUHAN</w:t>
      </w:r>
    </w:p>
    <w:p w14:paraId="5C92F034" w14:textId="77777777" w:rsidR="00543963" w:rsidRPr="00543963" w:rsidRDefault="00543963" w:rsidP="00543963">
      <w:pPr>
        <w:spacing w:after="200" w:line="276" w:lineRule="auto"/>
        <w:rPr>
          <w:rFonts w:ascii="Arial" w:eastAsia="Times New Roman" w:hAnsi="Arial" w:cs="Arial"/>
          <w:color w:val="000000" w:themeColor="text1"/>
          <w:sz w:val="24"/>
          <w:szCs w:val="24"/>
          <w:lang w:val="hr-HR"/>
        </w:rPr>
      </w:pPr>
    </w:p>
    <w:p w14:paraId="0C15EB23" w14:textId="03FE1F30" w:rsidR="00543963" w:rsidRPr="00543963" w:rsidRDefault="00543963" w:rsidP="00543963">
      <w:pPr>
        <w:spacing w:after="200" w:line="276" w:lineRule="auto"/>
        <w:rPr>
          <w:rFonts w:ascii="Arial" w:eastAsia="Times New Roman" w:hAnsi="Arial" w:cs="Arial"/>
          <w:color w:val="000000" w:themeColor="text1"/>
          <w:sz w:val="24"/>
          <w:szCs w:val="24"/>
          <w:lang w:val="hr-HR"/>
        </w:rPr>
      </w:pPr>
      <w:r w:rsidRPr="00543963">
        <w:rPr>
          <w:rFonts w:ascii="Arial" w:eastAsia="Times New Roman" w:hAnsi="Arial" w:cs="Arial"/>
          <w:color w:val="000000" w:themeColor="text1"/>
          <w:sz w:val="24"/>
          <w:szCs w:val="24"/>
          <w:lang w:val="hr-HR"/>
        </w:rPr>
        <w:t>Date</w:t>
      </w:r>
      <w:r>
        <w:rPr>
          <w:rFonts w:ascii="Arial" w:eastAsia="Times New Roman" w:hAnsi="Arial" w:cs="Arial"/>
          <w:color w:val="000000" w:themeColor="text1"/>
          <w:sz w:val="24"/>
          <w:szCs w:val="24"/>
          <w:lang w:val="hr-HR"/>
        </w:rPr>
        <w:t xml:space="preserve"> 08/06/2026</w:t>
      </w:r>
    </w:p>
    <w:p w14:paraId="1F27A8B0" w14:textId="77777777" w:rsidR="00543963" w:rsidRPr="00543963" w:rsidRDefault="00543963" w:rsidP="00BB400C">
      <w:pPr>
        <w:spacing w:line="360" w:lineRule="auto"/>
        <w:jc w:val="both"/>
        <w:rPr>
          <w:rFonts w:ascii="Arial" w:hAnsi="Arial" w:cs="Arial"/>
          <w:b/>
          <w:bCs/>
          <w:sz w:val="28"/>
          <w:szCs w:val="28"/>
        </w:rPr>
      </w:pPr>
    </w:p>
    <w:p w14:paraId="5E1CD735" w14:textId="77777777" w:rsidR="00543963" w:rsidRPr="00543963" w:rsidRDefault="00543963" w:rsidP="00BB400C">
      <w:pPr>
        <w:spacing w:line="360" w:lineRule="auto"/>
        <w:jc w:val="both"/>
        <w:rPr>
          <w:rFonts w:ascii="Arial" w:hAnsi="Arial" w:cs="Arial"/>
          <w:b/>
          <w:bCs/>
          <w:sz w:val="28"/>
          <w:szCs w:val="28"/>
        </w:rPr>
      </w:pPr>
    </w:p>
    <w:p w14:paraId="22CC199D" w14:textId="77777777" w:rsidR="00543963" w:rsidRPr="00543963" w:rsidRDefault="00543963" w:rsidP="00BB400C">
      <w:pPr>
        <w:spacing w:line="360" w:lineRule="auto"/>
        <w:jc w:val="both"/>
        <w:rPr>
          <w:rFonts w:ascii="Arial" w:hAnsi="Arial" w:cs="Arial"/>
          <w:b/>
          <w:bCs/>
          <w:sz w:val="28"/>
          <w:szCs w:val="28"/>
        </w:rPr>
      </w:pPr>
    </w:p>
    <w:p w14:paraId="02070A55" w14:textId="77777777" w:rsidR="00543963" w:rsidRPr="00543963" w:rsidRDefault="00543963" w:rsidP="00BB400C">
      <w:pPr>
        <w:spacing w:line="360" w:lineRule="auto"/>
        <w:jc w:val="both"/>
        <w:rPr>
          <w:rFonts w:ascii="Arial" w:hAnsi="Arial" w:cs="Arial"/>
          <w:b/>
          <w:bCs/>
          <w:sz w:val="28"/>
          <w:szCs w:val="28"/>
        </w:rPr>
      </w:pPr>
    </w:p>
    <w:p w14:paraId="78A4CCF5" w14:textId="77777777" w:rsidR="00543963" w:rsidRPr="00543963" w:rsidRDefault="00543963" w:rsidP="00BB400C">
      <w:pPr>
        <w:spacing w:line="360" w:lineRule="auto"/>
        <w:jc w:val="both"/>
        <w:rPr>
          <w:rFonts w:ascii="Arial" w:hAnsi="Arial" w:cs="Arial"/>
          <w:b/>
          <w:bCs/>
          <w:sz w:val="28"/>
          <w:szCs w:val="28"/>
        </w:rPr>
      </w:pPr>
    </w:p>
    <w:p w14:paraId="71E1B184" w14:textId="77777777" w:rsidR="00543963" w:rsidRPr="00543963" w:rsidRDefault="00543963" w:rsidP="00BB400C">
      <w:pPr>
        <w:spacing w:line="360" w:lineRule="auto"/>
        <w:jc w:val="both"/>
        <w:rPr>
          <w:rFonts w:ascii="Arial" w:hAnsi="Arial" w:cs="Arial"/>
          <w:b/>
          <w:bCs/>
          <w:sz w:val="28"/>
          <w:szCs w:val="28"/>
        </w:rPr>
      </w:pPr>
    </w:p>
    <w:p w14:paraId="6D3609B8" w14:textId="77777777" w:rsidR="00543963" w:rsidRPr="00543963" w:rsidRDefault="00543963" w:rsidP="00BB400C">
      <w:pPr>
        <w:spacing w:line="360" w:lineRule="auto"/>
        <w:jc w:val="both"/>
        <w:rPr>
          <w:rFonts w:ascii="Arial" w:hAnsi="Arial" w:cs="Arial"/>
          <w:b/>
          <w:bCs/>
          <w:sz w:val="28"/>
          <w:szCs w:val="28"/>
        </w:rPr>
      </w:pPr>
    </w:p>
    <w:p w14:paraId="59C71512" w14:textId="77777777" w:rsidR="00543963" w:rsidRPr="00543963" w:rsidRDefault="00543963" w:rsidP="00BB400C">
      <w:pPr>
        <w:spacing w:line="360" w:lineRule="auto"/>
        <w:jc w:val="both"/>
        <w:rPr>
          <w:rFonts w:ascii="Arial" w:hAnsi="Arial" w:cs="Arial"/>
          <w:b/>
          <w:bCs/>
          <w:sz w:val="28"/>
          <w:szCs w:val="28"/>
        </w:rPr>
      </w:pPr>
    </w:p>
    <w:p w14:paraId="6322BF58" w14:textId="77777777" w:rsidR="00543963" w:rsidRPr="00543963" w:rsidRDefault="00543963" w:rsidP="00BB400C">
      <w:pPr>
        <w:spacing w:line="360" w:lineRule="auto"/>
        <w:jc w:val="both"/>
        <w:rPr>
          <w:rFonts w:ascii="Arial" w:hAnsi="Arial" w:cs="Arial"/>
          <w:b/>
          <w:bCs/>
          <w:sz w:val="28"/>
          <w:szCs w:val="28"/>
        </w:rPr>
      </w:pPr>
    </w:p>
    <w:p w14:paraId="547AB6BC" w14:textId="77777777" w:rsidR="00543963" w:rsidRPr="00543963" w:rsidRDefault="00543963" w:rsidP="00BB400C">
      <w:pPr>
        <w:spacing w:line="360" w:lineRule="auto"/>
        <w:jc w:val="both"/>
        <w:rPr>
          <w:rFonts w:ascii="Arial" w:hAnsi="Arial" w:cs="Arial"/>
          <w:b/>
          <w:bCs/>
          <w:sz w:val="28"/>
          <w:szCs w:val="28"/>
        </w:rPr>
      </w:pPr>
    </w:p>
    <w:p w14:paraId="46CAC1EE" w14:textId="77777777" w:rsidR="00543963" w:rsidRPr="00543963" w:rsidRDefault="00543963" w:rsidP="00BB400C">
      <w:pPr>
        <w:spacing w:line="360" w:lineRule="auto"/>
        <w:jc w:val="both"/>
        <w:rPr>
          <w:rFonts w:ascii="Arial" w:hAnsi="Arial" w:cs="Arial"/>
          <w:b/>
          <w:bCs/>
          <w:sz w:val="28"/>
          <w:szCs w:val="28"/>
        </w:rPr>
      </w:pPr>
    </w:p>
    <w:p w14:paraId="73B15323" w14:textId="77777777" w:rsidR="00543963" w:rsidRPr="00543963" w:rsidRDefault="00543963" w:rsidP="00BB400C">
      <w:pPr>
        <w:spacing w:line="360" w:lineRule="auto"/>
        <w:jc w:val="both"/>
        <w:rPr>
          <w:rFonts w:ascii="Arial" w:hAnsi="Arial" w:cs="Arial"/>
          <w:b/>
          <w:bCs/>
          <w:sz w:val="28"/>
          <w:szCs w:val="28"/>
        </w:rPr>
      </w:pPr>
    </w:p>
    <w:p w14:paraId="518BD0E1" w14:textId="77777777" w:rsidR="00543963" w:rsidRPr="00543963" w:rsidRDefault="00543963" w:rsidP="00BB400C">
      <w:pPr>
        <w:spacing w:line="360" w:lineRule="auto"/>
        <w:jc w:val="both"/>
        <w:rPr>
          <w:rFonts w:ascii="Arial" w:hAnsi="Arial" w:cs="Arial"/>
          <w:b/>
          <w:bCs/>
          <w:sz w:val="28"/>
          <w:szCs w:val="28"/>
        </w:rPr>
      </w:pPr>
    </w:p>
    <w:p w14:paraId="545CF743" w14:textId="77777777" w:rsidR="00543963" w:rsidRPr="00543963" w:rsidRDefault="00543963" w:rsidP="00BB400C">
      <w:pPr>
        <w:spacing w:line="360" w:lineRule="auto"/>
        <w:jc w:val="both"/>
        <w:rPr>
          <w:rFonts w:ascii="Arial" w:hAnsi="Arial" w:cs="Arial"/>
          <w:b/>
          <w:bCs/>
          <w:sz w:val="28"/>
          <w:szCs w:val="28"/>
        </w:rPr>
      </w:pPr>
    </w:p>
    <w:p w14:paraId="0D86B9DB" w14:textId="77777777" w:rsidR="00543963" w:rsidRPr="00543963" w:rsidRDefault="00543963" w:rsidP="00543963">
      <w:pPr>
        <w:pStyle w:val="Heading2"/>
        <w:ind w:left="12" w:right="4"/>
        <w:rPr>
          <w:rFonts w:ascii="Arial" w:hAnsi="Arial" w:cs="Arial"/>
          <w:b/>
          <w:bCs/>
        </w:rPr>
      </w:pPr>
      <w:bookmarkStart w:id="1" w:name="_Toc232034583"/>
      <w:r w:rsidRPr="00543963">
        <w:rPr>
          <w:rFonts w:ascii="Arial" w:hAnsi="Arial" w:cs="Arial"/>
          <w:b/>
          <w:bCs/>
        </w:rPr>
        <w:t>Acknowledgements</w:t>
      </w:r>
      <w:bookmarkEnd w:id="1"/>
      <w:r w:rsidRPr="00543963">
        <w:rPr>
          <w:rFonts w:ascii="Arial" w:hAnsi="Arial" w:cs="Arial"/>
          <w:b/>
          <w:bCs/>
        </w:rPr>
        <w:t xml:space="preserve"> </w:t>
      </w:r>
    </w:p>
    <w:p w14:paraId="0494CB59" w14:textId="77777777" w:rsidR="00543963" w:rsidRPr="00543963" w:rsidRDefault="00543963" w:rsidP="00543963">
      <w:pPr>
        <w:spacing w:after="158"/>
        <w:rPr>
          <w:rFonts w:ascii="Arial" w:hAnsi="Arial" w:cs="Arial"/>
        </w:rPr>
      </w:pPr>
      <w:r w:rsidRPr="00543963">
        <w:rPr>
          <w:rFonts w:ascii="Arial" w:hAnsi="Arial" w:cs="Arial"/>
        </w:rPr>
        <w:t xml:space="preserve"> </w:t>
      </w:r>
    </w:p>
    <w:p w14:paraId="084C4DAF" w14:textId="77777777" w:rsidR="00DF7140" w:rsidRPr="00DF7140" w:rsidRDefault="00DF7140" w:rsidP="00DF7140">
      <w:pPr>
        <w:spacing w:after="169"/>
        <w:rPr>
          <w:rFonts w:ascii="Arial" w:hAnsi="Arial" w:cs="Arial"/>
        </w:rPr>
      </w:pPr>
      <w:r w:rsidRPr="00DF7140">
        <w:rPr>
          <w:rFonts w:ascii="Arial" w:hAnsi="Arial" w:cs="Arial"/>
        </w:rPr>
        <w:t>I would like to express my sincere gratitude to everyone who has supported and guided me throughout the completion of this dissertation.</w:t>
      </w:r>
    </w:p>
    <w:p w14:paraId="724CEBE4" w14:textId="77777777" w:rsidR="00DF7140" w:rsidRPr="00DF7140" w:rsidRDefault="00DF7140" w:rsidP="00DF7140">
      <w:pPr>
        <w:spacing w:after="169"/>
        <w:rPr>
          <w:rFonts w:ascii="Arial" w:hAnsi="Arial" w:cs="Arial"/>
        </w:rPr>
      </w:pPr>
      <w:r w:rsidRPr="00DF7140">
        <w:rPr>
          <w:rFonts w:ascii="Arial" w:hAnsi="Arial" w:cs="Arial"/>
        </w:rPr>
        <w:t>First and foremost, I would like to thank my supervisor for their valuable guidance, constructive feedback, and continuous encouragement during every stage of this research. Their expertise and support have been instrumental in the successful completion of this study.</w:t>
      </w:r>
    </w:p>
    <w:p w14:paraId="0C028850" w14:textId="77777777" w:rsidR="00DF7140" w:rsidRPr="00DF7140" w:rsidRDefault="00DF7140" w:rsidP="00DF7140">
      <w:pPr>
        <w:spacing w:after="169"/>
        <w:rPr>
          <w:rFonts w:ascii="Arial" w:hAnsi="Arial" w:cs="Arial"/>
        </w:rPr>
      </w:pPr>
      <w:r w:rsidRPr="00DF7140">
        <w:rPr>
          <w:rFonts w:ascii="Arial" w:hAnsi="Arial" w:cs="Arial"/>
        </w:rPr>
        <w:t>I am also grateful to the faculty and staff of the University of Wales Trinity Saint David for providing the academic resources and learning environment necessary for conducting this research.</w:t>
      </w:r>
    </w:p>
    <w:p w14:paraId="5834098D" w14:textId="77777777" w:rsidR="00DF7140" w:rsidRPr="00DF7140" w:rsidRDefault="00DF7140" w:rsidP="00DF7140">
      <w:pPr>
        <w:spacing w:after="169"/>
        <w:rPr>
          <w:rFonts w:ascii="Arial" w:hAnsi="Arial" w:cs="Arial"/>
        </w:rPr>
      </w:pPr>
      <w:r w:rsidRPr="00DF7140">
        <w:rPr>
          <w:rFonts w:ascii="Arial" w:hAnsi="Arial" w:cs="Arial"/>
        </w:rPr>
        <w:t>My heartfelt appreciation goes to my family and friends for their unwavering support, patience, and motivation throughout my academic journey. Their encouragement has helped me overcome challenges and remain focused on achieving my goals.</w:t>
      </w:r>
    </w:p>
    <w:p w14:paraId="5F5F51AB" w14:textId="77777777" w:rsidR="00DF7140" w:rsidRPr="00DF7140" w:rsidRDefault="00DF7140" w:rsidP="00DF7140">
      <w:pPr>
        <w:spacing w:after="169"/>
        <w:rPr>
          <w:rFonts w:ascii="Arial" w:hAnsi="Arial" w:cs="Arial"/>
        </w:rPr>
      </w:pPr>
      <w:r w:rsidRPr="00DF7140">
        <w:rPr>
          <w:rFonts w:ascii="Arial" w:hAnsi="Arial" w:cs="Arial"/>
        </w:rPr>
        <w:t>Finally, I would like to acknowledge all the authors, researchers, and organisations whose published work contributed to the development of this dissertation. Their insights and findings provided a valuable foundation for this study.</w:t>
      </w:r>
    </w:p>
    <w:p w14:paraId="66CCF917" w14:textId="77777777" w:rsidR="00DF7140" w:rsidRPr="00DF7140" w:rsidRDefault="00DF7140" w:rsidP="00DF7140">
      <w:pPr>
        <w:spacing w:after="169"/>
        <w:rPr>
          <w:rFonts w:ascii="Arial" w:hAnsi="Arial" w:cs="Arial"/>
        </w:rPr>
      </w:pPr>
      <w:r w:rsidRPr="00DF7140">
        <w:rPr>
          <w:rFonts w:ascii="Arial" w:hAnsi="Arial" w:cs="Arial"/>
        </w:rPr>
        <w:t>Thank you to everyone who played a role, directly or indirectly, in the completion of this dissertation.</w:t>
      </w:r>
    </w:p>
    <w:p w14:paraId="35AC2A9A" w14:textId="77777777" w:rsidR="00543963" w:rsidRPr="00543963" w:rsidRDefault="00543963" w:rsidP="00543963">
      <w:pPr>
        <w:spacing w:after="169"/>
        <w:rPr>
          <w:rFonts w:ascii="Arial" w:hAnsi="Arial" w:cs="Arial"/>
        </w:rPr>
      </w:pPr>
    </w:p>
    <w:p w14:paraId="5F8CBB19" w14:textId="77777777" w:rsidR="00543963" w:rsidRPr="00543963" w:rsidRDefault="00543963" w:rsidP="00543963">
      <w:pPr>
        <w:spacing w:after="169"/>
        <w:rPr>
          <w:rFonts w:ascii="Arial" w:hAnsi="Arial" w:cs="Arial"/>
        </w:rPr>
      </w:pPr>
    </w:p>
    <w:p w14:paraId="59D07DD3" w14:textId="77777777" w:rsidR="00543963" w:rsidRPr="00543963" w:rsidRDefault="00543963" w:rsidP="00543963">
      <w:pPr>
        <w:spacing w:after="169"/>
        <w:rPr>
          <w:rFonts w:ascii="Arial" w:hAnsi="Arial" w:cs="Arial"/>
        </w:rPr>
      </w:pPr>
    </w:p>
    <w:p w14:paraId="497F8005" w14:textId="77777777" w:rsidR="00543963" w:rsidRPr="00543963" w:rsidRDefault="00543963" w:rsidP="00543963">
      <w:pPr>
        <w:spacing w:after="169"/>
        <w:rPr>
          <w:rFonts w:ascii="Arial" w:hAnsi="Arial" w:cs="Arial"/>
        </w:rPr>
      </w:pPr>
    </w:p>
    <w:p w14:paraId="4C64DCD0" w14:textId="77777777" w:rsidR="00543963" w:rsidRPr="00543963" w:rsidRDefault="00543963" w:rsidP="00543963">
      <w:pPr>
        <w:spacing w:after="169"/>
        <w:rPr>
          <w:rFonts w:ascii="Arial" w:hAnsi="Arial" w:cs="Arial"/>
        </w:rPr>
      </w:pPr>
    </w:p>
    <w:p w14:paraId="184F6FC6" w14:textId="77777777" w:rsidR="00543963" w:rsidRPr="00543963" w:rsidRDefault="00543963" w:rsidP="00543963">
      <w:pPr>
        <w:spacing w:after="169"/>
        <w:rPr>
          <w:rFonts w:ascii="Arial" w:hAnsi="Arial" w:cs="Arial"/>
        </w:rPr>
      </w:pPr>
    </w:p>
    <w:p w14:paraId="522257FA" w14:textId="77777777" w:rsidR="00543963" w:rsidRPr="00543963" w:rsidRDefault="00543963" w:rsidP="00543963">
      <w:pPr>
        <w:spacing w:after="169"/>
        <w:rPr>
          <w:rFonts w:ascii="Arial" w:hAnsi="Arial" w:cs="Arial"/>
        </w:rPr>
      </w:pPr>
    </w:p>
    <w:p w14:paraId="66C686A3" w14:textId="77777777" w:rsidR="00543963" w:rsidRPr="00543963" w:rsidRDefault="00543963" w:rsidP="00543963">
      <w:pPr>
        <w:spacing w:after="169"/>
        <w:rPr>
          <w:rFonts w:ascii="Arial" w:hAnsi="Arial" w:cs="Arial"/>
        </w:rPr>
      </w:pPr>
    </w:p>
    <w:p w14:paraId="07DBF394" w14:textId="77777777" w:rsidR="00543963" w:rsidRPr="00442320" w:rsidRDefault="00543963" w:rsidP="00543963">
      <w:pPr>
        <w:pStyle w:val="Heading1"/>
        <w:rPr>
          <w:rFonts w:ascii="Arial" w:hAnsi="Arial" w:cs="Arial"/>
          <w:b/>
          <w:bCs/>
        </w:rPr>
      </w:pPr>
      <w:bookmarkStart w:id="2" w:name="_Toc232034584"/>
      <w:r w:rsidRPr="00442320">
        <w:rPr>
          <w:rFonts w:ascii="Arial" w:hAnsi="Arial" w:cs="Arial"/>
          <w:b/>
          <w:bCs/>
        </w:rPr>
        <w:lastRenderedPageBreak/>
        <w:t>Abstract</w:t>
      </w:r>
      <w:bookmarkEnd w:id="2"/>
    </w:p>
    <w:p w14:paraId="0FC44770" w14:textId="70CCEB32" w:rsidR="00543963" w:rsidRPr="00543963" w:rsidRDefault="00543963" w:rsidP="00543963">
      <w:pPr>
        <w:spacing w:line="360" w:lineRule="auto"/>
        <w:jc w:val="both"/>
        <w:rPr>
          <w:rFonts w:ascii="Arial" w:hAnsi="Arial" w:cs="Arial"/>
        </w:rPr>
      </w:pPr>
      <w:r w:rsidRPr="00543963">
        <w:rPr>
          <w:rFonts w:ascii="Arial" w:hAnsi="Arial" w:cs="Arial"/>
        </w:rPr>
        <w:t xml:space="preserve">Dementia is a growing public health challenge in the United Kingdom and worldwide, with increasing prevalence associated with population ageing. As many dementia risk factors are modifiable, digital health technologies have emerged as potential tools for supporting dementia prevention, early detection, and ongoing care. </w:t>
      </w:r>
      <w:r w:rsidR="00DF7140" w:rsidRPr="00DF7140">
        <w:rPr>
          <w:rFonts w:ascii="Arial" w:hAnsi="Arial" w:cs="Arial"/>
        </w:rPr>
        <w:t>This study provides a critical analysis of the ways in which older adults interact with and utilise digital health interventions aimed at supporting dementia prevention and enhancing care within the United Kingdom</w:t>
      </w:r>
      <w:r w:rsidR="00DF7140">
        <w:rPr>
          <w:rFonts w:ascii="Arial" w:hAnsi="Arial" w:cs="Arial"/>
        </w:rPr>
        <w:t xml:space="preserve"> </w:t>
      </w:r>
      <w:r w:rsidRPr="00543963">
        <w:rPr>
          <w:rFonts w:ascii="Arial" w:hAnsi="Arial" w:cs="Arial"/>
        </w:rPr>
        <w:t>and explores how these technologies can be improved to enhance accessibility and effectiveness.</w:t>
      </w:r>
    </w:p>
    <w:p w14:paraId="77F55579" w14:textId="47987063" w:rsidR="00543963" w:rsidRPr="00543963" w:rsidRDefault="006E7C4F" w:rsidP="00543963">
      <w:pPr>
        <w:spacing w:line="360" w:lineRule="auto"/>
        <w:jc w:val="both"/>
        <w:rPr>
          <w:rFonts w:ascii="Arial" w:hAnsi="Arial" w:cs="Arial"/>
        </w:rPr>
      </w:pPr>
      <w:r w:rsidRPr="006E7C4F">
        <w:rPr>
          <w:rFonts w:ascii="Arial" w:hAnsi="Arial" w:cs="Arial"/>
        </w:rPr>
        <w:t>The study investigates and critically evaluates how older individuals adopt and use digital health interventions for dementia prevention and support across the UK.</w:t>
      </w:r>
      <w:r>
        <w:rPr>
          <w:rFonts w:ascii="Arial" w:hAnsi="Arial" w:cs="Arial"/>
        </w:rPr>
        <w:t xml:space="preserve"> </w:t>
      </w:r>
      <w:r w:rsidR="00543963" w:rsidRPr="00543963">
        <w:rPr>
          <w:rFonts w:ascii="Arial" w:hAnsi="Arial" w:cs="Arial"/>
        </w:rPr>
        <w:t>Relevant literature was identified through searches of PubMed, CINAHL, Google Scholar, ScienceDirect, and the UWTSD online library. Following the PRISMA framework, 16 studies met the inclusion criteria and were analysed using thematic analysis guided by the Social Ecological Model.</w:t>
      </w:r>
    </w:p>
    <w:p w14:paraId="774495FC" w14:textId="74441B57" w:rsidR="006E7C4F" w:rsidRPr="006E7C4F" w:rsidRDefault="00543963" w:rsidP="006E7C4F">
      <w:pPr>
        <w:spacing w:line="360" w:lineRule="auto"/>
        <w:jc w:val="both"/>
        <w:rPr>
          <w:rFonts w:ascii="Arial" w:hAnsi="Arial" w:cs="Arial"/>
        </w:rPr>
      </w:pPr>
      <w:r w:rsidRPr="00543963">
        <w:rPr>
          <w:rFonts w:ascii="Arial" w:hAnsi="Arial" w:cs="Arial"/>
        </w:rPr>
        <w:t xml:space="preserve">The findings identified four key themes: digital health interventions for dementia prevention, digital engagement and adherence, barriers and facilitators influencing engagement, and </w:t>
      </w:r>
      <w:r w:rsidR="006E7C4F">
        <w:rPr>
          <w:rFonts w:ascii="Arial" w:hAnsi="Arial" w:cs="Arial"/>
        </w:rPr>
        <w:t>t</w:t>
      </w:r>
      <w:r w:rsidR="006E7C4F" w:rsidRPr="006E7C4F">
        <w:rPr>
          <w:rFonts w:ascii="Arial" w:hAnsi="Arial" w:cs="Arial"/>
        </w:rPr>
        <w:t>he influence of digital technologies on cognitive functioning and their potential role in reducing the risk of dementia.</w:t>
      </w:r>
    </w:p>
    <w:p w14:paraId="4D993C90" w14:textId="77777777" w:rsidR="006C4140" w:rsidRPr="006C4140" w:rsidRDefault="00543963" w:rsidP="006C4140">
      <w:pPr>
        <w:spacing w:line="360" w:lineRule="auto"/>
        <w:jc w:val="both"/>
        <w:rPr>
          <w:rFonts w:ascii="Arial" w:hAnsi="Arial" w:cs="Arial"/>
        </w:rPr>
      </w:pPr>
      <w:r w:rsidRPr="00543963">
        <w:rPr>
          <w:rFonts w:ascii="Arial" w:hAnsi="Arial" w:cs="Arial"/>
        </w:rPr>
        <w:t xml:space="preserve">The review found that digital interventions, including mobile health applications, telehealth services, digital coaching programmes, wearable devices, and cognitive training tools, supported healthier lifestyle behaviours, increased awareness of dementia risk factors, and promoted cognitive engagement. Higher levels of user engagement were associated with more positive outcomes. </w:t>
      </w:r>
      <w:r w:rsidR="006C4140" w:rsidRPr="006C4140">
        <w:rPr>
          <w:rFonts w:ascii="Arial" w:hAnsi="Arial" w:cs="Arial"/>
        </w:rPr>
        <w:t>Despite the potential benefits, participation and sustained engagement were hindered by several factors, including inadequate digital skills, reduced confidence in using technology, usability concerns, cognitive limitations, and difficulties related to accessibility.</w:t>
      </w:r>
    </w:p>
    <w:p w14:paraId="4BD2700B" w14:textId="0AB54B3D" w:rsidR="00543963" w:rsidRPr="00543963" w:rsidRDefault="00543963" w:rsidP="00543963">
      <w:pPr>
        <w:spacing w:line="360" w:lineRule="auto"/>
        <w:jc w:val="both"/>
        <w:rPr>
          <w:rFonts w:ascii="Arial" w:hAnsi="Arial" w:cs="Arial"/>
        </w:rPr>
      </w:pPr>
      <w:r w:rsidRPr="00543963">
        <w:rPr>
          <w:rFonts w:ascii="Arial" w:hAnsi="Arial" w:cs="Arial"/>
        </w:rPr>
        <w:t>The study concludes that digital health technologies have significant potential to support dementia prevention and healthy ageing among older adults. However, their effectiveness depends on sustained engagement, accessible design, personalised support, and improved digital inclusion. Further longitudinal research is recommended to evaluate long-term outcomes and determine whether behavioural improvements achieved through digital interventions lead to measurable reductions in dementia incidence.</w:t>
      </w:r>
    </w:p>
    <w:p w14:paraId="7E82ECBA" w14:textId="77777777" w:rsidR="00543963" w:rsidRPr="00543963" w:rsidRDefault="00543963" w:rsidP="00BB400C">
      <w:pPr>
        <w:spacing w:line="360" w:lineRule="auto"/>
        <w:jc w:val="both"/>
        <w:rPr>
          <w:rFonts w:ascii="Arial" w:hAnsi="Arial" w:cs="Arial"/>
          <w:sz w:val="28"/>
          <w:szCs w:val="28"/>
        </w:rPr>
      </w:pPr>
    </w:p>
    <w:p w14:paraId="35D8CBF8" w14:textId="77777777" w:rsidR="00543963" w:rsidRPr="00543963" w:rsidRDefault="00543963" w:rsidP="00BB400C">
      <w:pPr>
        <w:spacing w:line="360" w:lineRule="auto"/>
        <w:jc w:val="both"/>
        <w:rPr>
          <w:rFonts w:ascii="Arial" w:hAnsi="Arial" w:cs="Arial"/>
          <w:sz w:val="28"/>
          <w:szCs w:val="28"/>
        </w:rPr>
      </w:pPr>
    </w:p>
    <w:p w14:paraId="480C0544" w14:textId="77777777" w:rsidR="00543963" w:rsidRPr="00543963" w:rsidRDefault="00543963" w:rsidP="00BB400C">
      <w:pPr>
        <w:spacing w:line="360" w:lineRule="auto"/>
        <w:jc w:val="both"/>
        <w:rPr>
          <w:rFonts w:ascii="Arial" w:hAnsi="Arial" w:cs="Arial"/>
          <w:b/>
          <w:bCs/>
          <w:sz w:val="28"/>
          <w:szCs w:val="28"/>
        </w:rPr>
      </w:pPr>
    </w:p>
    <w:sdt>
      <w:sdtPr>
        <w:rPr>
          <w:rFonts w:ascii="Arial" w:eastAsiaTheme="minorHAnsi" w:hAnsi="Arial" w:cs="Arial"/>
          <w:color w:val="auto"/>
          <w:kern w:val="2"/>
          <w:sz w:val="22"/>
          <w:szCs w:val="22"/>
          <w:lang w:val="en-IN"/>
          <w14:ligatures w14:val="standardContextual"/>
        </w:rPr>
        <w:id w:val="742376711"/>
        <w:docPartObj>
          <w:docPartGallery w:val="Table of Contents"/>
          <w:docPartUnique/>
        </w:docPartObj>
      </w:sdtPr>
      <w:sdtEndPr>
        <w:rPr>
          <w:b/>
          <w:bCs/>
          <w:noProof/>
        </w:rPr>
      </w:sdtEndPr>
      <w:sdtContent>
        <w:p w14:paraId="6D58ABCE" w14:textId="6B0767A4" w:rsidR="00543963" w:rsidRPr="00543963" w:rsidRDefault="00543963">
          <w:pPr>
            <w:pStyle w:val="TOCHeading"/>
            <w:rPr>
              <w:rFonts w:ascii="Arial" w:hAnsi="Arial" w:cs="Arial"/>
            </w:rPr>
          </w:pPr>
          <w:r w:rsidRPr="00543963">
            <w:rPr>
              <w:rFonts w:ascii="Arial" w:hAnsi="Arial" w:cs="Arial"/>
            </w:rPr>
            <w:t>Contents</w:t>
          </w:r>
        </w:p>
        <w:p w14:paraId="0EA50260" w14:textId="25226D38" w:rsidR="008172AC" w:rsidRDefault="00543963">
          <w:pPr>
            <w:pStyle w:val="TOC1"/>
            <w:tabs>
              <w:tab w:val="right" w:leader="dot" w:pos="9016"/>
            </w:tabs>
            <w:rPr>
              <w:rFonts w:eastAsiaTheme="minorEastAsia"/>
              <w:noProof/>
              <w:sz w:val="24"/>
              <w:szCs w:val="24"/>
              <w:lang w:eastAsia="en-IN" w:bidi="gu-IN"/>
            </w:rPr>
          </w:pPr>
          <w:r w:rsidRPr="00543963">
            <w:rPr>
              <w:rFonts w:ascii="Arial" w:hAnsi="Arial" w:cs="Arial"/>
            </w:rPr>
            <w:fldChar w:fldCharType="begin"/>
          </w:r>
          <w:r w:rsidRPr="00543963">
            <w:rPr>
              <w:rFonts w:ascii="Arial" w:hAnsi="Arial" w:cs="Arial"/>
            </w:rPr>
            <w:instrText xml:space="preserve"> TOC \o "1-3" \h \z \u </w:instrText>
          </w:r>
          <w:r w:rsidRPr="00543963">
            <w:rPr>
              <w:rFonts w:ascii="Arial" w:hAnsi="Arial" w:cs="Arial"/>
            </w:rPr>
            <w:fldChar w:fldCharType="separate"/>
          </w:r>
          <w:hyperlink w:anchor="_Toc232034582" w:history="1">
            <w:r w:rsidR="008172AC" w:rsidRPr="00584B49">
              <w:rPr>
                <w:rStyle w:val="Hyperlink"/>
                <w:rFonts w:ascii="Arial" w:eastAsia="Times New Roman" w:hAnsi="Arial" w:cs="Arial"/>
                <w:b/>
                <w:bCs/>
                <w:noProof/>
                <w:lang w:val="hr-HR"/>
              </w:rPr>
              <w:t>Declaration</w:t>
            </w:r>
            <w:r w:rsidR="008172AC">
              <w:rPr>
                <w:noProof/>
                <w:webHidden/>
              </w:rPr>
              <w:tab/>
            </w:r>
            <w:r w:rsidR="008172AC">
              <w:rPr>
                <w:noProof/>
                <w:webHidden/>
              </w:rPr>
              <w:fldChar w:fldCharType="begin"/>
            </w:r>
            <w:r w:rsidR="008172AC">
              <w:rPr>
                <w:noProof/>
                <w:webHidden/>
              </w:rPr>
              <w:instrText xml:space="preserve"> PAGEREF _Toc232034582 \h </w:instrText>
            </w:r>
            <w:r w:rsidR="008172AC">
              <w:rPr>
                <w:noProof/>
                <w:webHidden/>
              </w:rPr>
            </w:r>
            <w:r w:rsidR="008172AC">
              <w:rPr>
                <w:noProof/>
                <w:webHidden/>
              </w:rPr>
              <w:fldChar w:fldCharType="separate"/>
            </w:r>
            <w:r w:rsidR="008172AC">
              <w:rPr>
                <w:noProof/>
                <w:webHidden/>
              </w:rPr>
              <w:t>1</w:t>
            </w:r>
            <w:r w:rsidR="008172AC">
              <w:rPr>
                <w:noProof/>
                <w:webHidden/>
              </w:rPr>
              <w:fldChar w:fldCharType="end"/>
            </w:r>
          </w:hyperlink>
        </w:p>
        <w:p w14:paraId="6B58C363" w14:textId="7B5DFBD3" w:rsidR="008172AC" w:rsidRDefault="008172AC">
          <w:pPr>
            <w:pStyle w:val="TOC2"/>
            <w:tabs>
              <w:tab w:val="right" w:leader="dot" w:pos="9016"/>
            </w:tabs>
            <w:rPr>
              <w:rFonts w:eastAsiaTheme="minorEastAsia"/>
              <w:noProof/>
              <w:sz w:val="24"/>
              <w:szCs w:val="24"/>
              <w:lang w:eastAsia="en-IN" w:bidi="gu-IN"/>
            </w:rPr>
          </w:pPr>
          <w:hyperlink w:anchor="_Toc232034583" w:history="1">
            <w:r w:rsidRPr="00584B49">
              <w:rPr>
                <w:rStyle w:val="Hyperlink"/>
                <w:rFonts w:ascii="Arial" w:hAnsi="Arial" w:cs="Arial"/>
                <w:b/>
                <w:bCs/>
                <w:noProof/>
              </w:rPr>
              <w:t>Acknowledgements</w:t>
            </w:r>
            <w:r>
              <w:rPr>
                <w:noProof/>
                <w:webHidden/>
              </w:rPr>
              <w:tab/>
            </w:r>
            <w:r>
              <w:rPr>
                <w:noProof/>
                <w:webHidden/>
              </w:rPr>
              <w:fldChar w:fldCharType="begin"/>
            </w:r>
            <w:r>
              <w:rPr>
                <w:noProof/>
                <w:webHidden/>
              </w:rPr>
              <w:instrText xml:space="preserve"> PAGEREF _Toc232034583 \h </w:instrText>
            </w:r>
            <w:r>
              <w:rPr>
                <w:noProof/>
                <w:webHidden/>
              </w:rPr>
            </w:r>
            <w:r>
              <w:rPr>
                <w:noProof/>
                <w:webHidden/>
              </w:rPr>
              <w:fldChar w:fldCharType="separate"/>
            </w:r>
            <w:r>
              <w:rPr>
                <w:noProof/>
                <w:webHidden/>
              </w:rPr>
              <w:t>2</w:t>
            </w:r>
            <w:r>
              <w:rPr>
                <w:noProof/>
                <w:webHidden/>
              </w:rPr>
              <w:fldChar w:fldCharType="end"/>
            </w:r>
          </w:hyperlink>
        </w:p>
        <w:p w14:paraId="474C94BE" w14:textId="1DB3BF19" w:rsidR="008172AC" w:rsidRDefault="008172AC">
          <w:pPr>
            <w:pStyle w:val="TOC1"/>
            <w:tabs>
              <w:tab w:val="right" w:leader="dot" w:pos="9016"/>
            </w:tabs>
            <w:rPr>
              <w:rFonts w:eastAsiaTheme="minorEastAsia"/>
              <w:noProof/>
              <w:sz w:val="24"/>
              <w:szCs w:val="24"/>
              <w:lang w:eastAsia="en-IN" w:bidi="gu-IN"/>
            </w:rPr>
          </w:pPr>
          <w:hyperlink w:anchor="_Toc232034584" w:history="1">
            <w:r w:rsidRPr="00584B49">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_Toc232034584 \h </w:instrText>
            </w:r>
            <w:r>
              <w:rPr>
                <w:noProof/>
                <w:webHidden/>
              </w:rPr>
            </w:r>
            <w:r>
              <w:rPr>
                <w:noProof/>
                <w:webHidden/>
              </w:rPr>
              <w:fldChar w:fldCharType="separate"/>
            </w:r>
            <w:r>
              <w:rPr>
                <w:noProof/>
                <w:webHidden/>
              </w:rPr>
              <w:t>3</w:t>
            </w:r>
            <w:r>
              <w:rPr>
                <w:noProof/>
                <w:webHidden/>
              </w:rPr>
              <w:fldChar w:fldCharType="end"/>
            </w:r>
          </w:hyperlink>
        </w:p>
        <w:p w14:paraId="5FF30687" w14:textId="6BA99866" w:rsidR="008172AC" w:rsidRDefault="008172AC">
          <w:pPr>
            <w:pStyle w:val="TOC1"/>
            <w:tabs>
              <w:tab w:val="right" w:leader="dot" w:pos="9016"/>
            </w:tabs>
            <w:rPr>
              <w:rFonts w:eastAsiaTheme="minorEastAsia"/>
              <w:noProof/>
              <w:sz w:val="24"/>
              <w:szCs w:val="24"/>
              <w:lang w:eastAsia="en-IN" w:bidi="gu-IN"/>
            </w:rPr>
          </w:pPr>
          <w:hyperlink w:anchor="_Toc232034585" w:history="1">
            <w:r w:rsidRPr="00584B49">
              <w:rPr>
                <w:rStyle w:val="Hyperlink"/>
                <w:rFonts w:ascii="Arial" w:hAnsi="Arial" w:cs="Arial"/>
                <w:b/>
                <w:bCs/>
                <w:noProof/>
              </w:rPr>
              <w:t>List of Abbreviations</w:t>
            </w:r>
            <w:r>
              <w:rPr>
                <w:noProof/>
                <w:webHidden/>
              </w:rPr>
              <w:tab/>
            </w:r>
            <w:r>
              <w:rPr>
                <w:noProof/>
                <w:webHidden/>
              </w:rPr>
              <w:fldChar w:fldCharType="begin"/>
            </w:r>
            <w:r>
              <w:rPr>
                <w:noProof/>
                <w:webHidden/>
              </w:rPr>
              <w:instrText xml:space="preserve"> PAGEREF _Toc232034585 \h </w:instrText>
            </w:r>
            <w:r>
              <w:rPr>
                <w:noProof/>
                <w:webHidden/>
              </w:rPr>
            </w:r>
            <w:r>
              <w:rPr>
                <w:noProof/>
                <w:webHidden/>
              </w:rPr>
              <w:fldChar w:fldCharType="separate"/>
            </w:r>
            <w:r>
              <w:rPr>
                <w:noProof/>
                <w:webHidden/>
              </w:rPr>
              <w:t>7</w:t>
            </w:r>
            <w:r>
              <w:rPr>
                <w:noProof/>
                <w:webHidden/>
              </w:rPr>
              <w:fldChar w:fldCharType="end"/>
            </w:r>
          </w:hyperlink>
        </w:p>
        <w:p w14:paraId="094E4A27" w14:textId="4A298E74" w:rsidR="008172AC" w:rsidRDefault="008172AC">
          <w:pPr>
            <w:pStyle w:val="TOC1"/>
            <w:tabs>
              <w:tab w:val="right" w:leader="dot" w:pos="9016"/>
            </w:tabs>
            <w:rPr>
              <w:rFonts w:eastAsiaTheme="minorEastAsia"/>
              <w:noProof/>
              <w:sz w:val="24"/>
              <w:szCs w:val="24"/>
              <w:lang w:eastAsia="en-IN" w:bidi="gu-IN"/>
            </w:rPr>
          </w:pPr>
          <w:hyperlink w:anchor="_Toc232034586" w:history="1">
            <w:r w:rsidRPr="00584B49">
              <w:rPr>
                <w:rStyle w:val="Hyperlink"/>
                <w:rFonts w:ascii="Arial" w:hAnsi="Arial" w:cs="Arial"/>
                <w:b/>
                <w:bCs/>
                <w:noProof/>
              </w:rPr>
              <w:t>List of figures</w:t>
            </w:r>
            <w:r>
              <w:rPr>
                <w:noProof/>
                <w:webHidden/>
              </w:rPr>
              <w:tab/>
            </w:r>
            <w:r>
              <w:rPr>
                <w:noProof/>
                <w:webHidden/>
              </w:rPr>
              <w:fldChar w:fldCharType="begin"/>
            </w:r>
            <w:r>
              <w:rPr>
                <w:noProof/>
                <w:webHidden/>
              </w:rPr>
              <w:instrText xml:space="preserve"> PAGEREF _Toc232034586 \h </w:instrText>
            </w:r>
            <w:r>
              <w:rPr>
                <w:noProof/>
                <w:webHidden/>
              </w:rPr>
            </w:r>
            <w:r>
              <w:rPr>
                <w:noProof/>
                <w:webHidden/>
              </w:rPr>
              <w:fldChar w:fldCharType="separate"/>
            </w:r>
            <w:r>
              <w:rPr>
                <w:noProof/>
                <w:webHidden/>
              </w:rPr>
              <w:t>8</w:t>
            </w:r>
            <w:r>
              <w:rPr>
                <w:noProof/>
                <w:webHidden/>
              </w:rPr>
              <w:fldChar w:fldCharType="end"/>
            </w:r>
          </w:hyperlink>
        </w:p>
        <w:p w14:paraId="1B7F7D3B" w14:textId="4CE1F64B" w:rsidR="008172AC" w:rsidRDefault="008172AC">
          <w:pPr>
            <w:pStyle w:val="TOC1"/>
            <w:tabs>
              <w:tab w:val="right" w:leader="dot" w:pos="9016"/>
            </w:tabs>
            <w:rPr>
              <w:rFonts w:eastAsiaTheme="minorEastAsia"/>
              <w:noProof/>
              <w:sz w:val="24"/>
              <w:szCs w:val="24"/>
              <w:lang w:eastAsia="en-IN" w:bidi="gu-IN"/>
            </w:rPr>
          </w:pPr>
          <w:hyperlink w:anchor="_Toc232034587" w:history="1">
            <w:r w:rsidRPr="00584B49">
              <w:rPr>
                <w:rStyle w:val="Hyperlink"/>
                <w:rFonts w:ascii="Arial" w:hAnsi="Arial" w:cs="Arial"/>
                <w:b/>
                <w:bCs/>
                <w:noProof/>
              </w:rPr>
              <w:t>List of tables</w:t>
            </w:r>
            <w:r>
              <w:rPr>
                <w:noProof/>
                <w:webHidden/>
              </w:rPr>
              <w:tab/>
            </w:r>
            <w:r>
              <w:rPr>
                <w:noProof/>
                <w:webHidden/>
              </w:rPr>
              <w:fldChar w:fldCharType="begin"/>
            </w:r>
            <w:r>
              <w:rPr>
                <w:noProof/>
                <w:webHidden/>
              </w:rPr>
              <w:instrText xml:space="preserve"> PAGEREF _Toc232034587 \h </w:instrText>
            </w:r>
            <w:r>
              <w:rPr>
                <w:noProof/>
                <w:webHidden/>
              </w:rPr>
            </w:r>
            <w:r>
              <w:rPr>
                <w:noProof/>
                <w:webHidden/>
              </w:rPr>
              <w:fldChar w:fldCharType="separate"/>
            </w:r>
            <w:r>
              <w:rPr>
                <w:noProof/>
                <w:webHidden/>
              </w:rPr>
              <w:t>9</w:t>
            </w:r>
            <w:r>
              <w:rPr>
                <w:noProof/>
                <w:webHidden/>
              </w:rPr>
              <w:fldChar w:fldCharType="end"/>
            </w:r>
          </w:hyperlink>
        </w:p>
        <w:p w14:paraId="04F409B8" w14:textId="4261E639" w:rsidR="008172AC" w:rsidRDefault="008172AC">
          <w:pPr>
            <w:pStyle w:val="TOC1"/>
            <w:tabs>
              <w:tab w:val="right" w:leader="dot" w:pos="9016"/>
            </w:tabs>
            <w:rPr>
              <w:rFonts w:eastAsiaTheme="minorEastAsia"/>
              <w:noProof/>
              <w:sz w:val="24"/>
              <w:szCs w:val="24"/>
              <w:lang w:eastAsia="en-IN" w:bidi="gu-IN"/>
            </w:rPr>
          </w:pPr>
          <w:hyperlink w:anchor="_Toc232034588" w:history="1">
            <w:r w:rsidRPr="00584B49">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_Toc232034588 \h </w:instrText>
            </w:r>
            <w:r>
              <w:rPr>
                <w:noProof/>
                <w:webHidden/>
              </w:rPr>
            </w:r>
            <w:r>
              <w:rPr>
                <w:noProof/>
                <w:webHidden/>
              </w:rPr>
              <w:fldChar w:fldCharType="separate"/>
            </w:r>
            <w:r>
              <w:rPr>
                <w:noProof/>
                <w:webHidden/>
              </w:rPr>
              <w:t>9</w:t>
            </w:r>
            <w:r>
              <w:rPr>
                <w:noProof/>
                <w:webHidden/>
              </w:rPr>
              <w:fldChar w:fldCharType="end"/>
            </w:r>
          </w:hyperlink>
        </w:p>
        <w:p w14:paraId="21257DAF" w14:textId="1C9BEB5B" w:rsidR="008172AC" w:rsidRDefault="008172AC">
          <w:pPr>
            <w:pStyle w:val="TOC3"/>
            <w:tabs>
              <w:tab w:val="right" w:leader="dot" w:pos="9016"/>
            </w:tabs>
            <w:rPr>
              <w:rFonts w:eastAsiaTheme="minorEastAsia"/>
              <w:noProof/>
              <w:sz w:val="24"/>
              <w:szCs w:val="24"/>
              <w:lang w:eastAsia="en-IN" w:bidi="gu-IN"/>
            </w:rPr>
          </w:pPr>
          <w:hyperlink w:anchor="_Toc232034589" w:history="1">
            <w:r w:rsidRPr="00584B49">
              <w:rPr>
                <w:rStyle w:val="Hyperlink"/>
                <w:rFonts w:ascii="Arial" w:hAnsi="Arial" w:cs="Arial"/>
                <w:b/>
                <w:bCs/>
                <w:noProof/>
              </w:rPr>
              <w:t>1.1.1 Dementia in the United Kingdom</w:t>
            </w:r>
            <w:r>
              <w:rPr>
                <w:noProof/>
                <w:webHidden/>
              </w:rPr>
              <w:tab/>
            </w:r>
            <w:r>
              <w:rPr>
                <w:noProof/>
                <w:webHidden/>
              </w:rPr>
              <w:fldChar w:fldCharType="begin"/>
            </w:r>
            <w:r>
              <w:rPr>
                <w:noProof/>
                <w:webHidden/>
              </w:rPr>
              <w:instrText xml:space="preserve"> PAGEREF _Toc232034589 \h </w:instrText>
            </w:r>
            <w:r>
              <w:rPr>
                <w:noProof/>
                <w:webHidden/>
              </w:rPr>
            </w:r>
            <w:r>
              <w:rPr>
                <w:noProof/>
                <w:webHidden/>
              </w:rPr>
              <w:fldChar w:fldCharType="separate"/>
            </w:r>
            <w:r>
              <w:rPr>
                <w:noProof/>
                <w:webHidden/>
              </w:rPr>
              <w:t>10</w:t>
            </w:r>
            <w:r>
              <w:rPr>
                <w:noProof/>
                <w:webHidden/>
              </w:rPr>
              <w:fldChar w:fldCharType="end"/>
            </w:r>
          </w:hyperlink>
        </w:p>
        <w:p w14:paraId="36537200" w14:textId="4601E7B0" w:rsidR="008172AC" w:rsidRDefault="008172AC">
          <w:pPr>
            <w:pStyle w:val="TOC3"/>
            <w:tabs>
              <w:tab w:val="right" w:leader="dot" w:pos="9016"/>
            </w:tabs>
            <w:rPr>
              <w:rFonts w:eastAsiaTheme="minorEastAsia"/>
              <w:noProof/>
              <w:sz w:val="24"/>
              <w:szCs w:val="24"/>
              <w:lang w:eastAsia="en-IN" w:bidi="gu-IN"/>
            </w:rPr>
          </w:pPr>
          <w:hyperlink w:anchor="_Toc232034590" w:history="1">
            <w:r w:rsidRPr="00584B49">
              <w:rPr>
                <w:rStyle w:val="Hyperlink"/>
                <w:rFonts w:ascii="Arial" w:hAnsi="Arial" w:cs="Arial"/>
                <w:b/>
                <w:bCs/>
                <w:noProof/>
              </w:rPr>
              <w:t>1.1.2 Digital Health Interventions for Dementia Prevention</w:t>
            </w:r>
            <w:r>
              <w:rPr>
                <w:noProof/>
                <w:webHidden/>
              </w:rPr>
              <w:tab/>
            </w:r>
            <w:r>
              <w:rPr>
                <w:noProof/>
                <w:webHidden/>
              </w:rPr>
              <w:fldChar w:fldCharType="begin"/>
            </w:r>
            <w:r>
              <w:rPr>
                <w:noProof/>
                <w:webHidden/>
              </w:rPr>
              <w:instrText xml:space="preserve"> PAGEREF _Toc232034590 \h </w:instrText>
            </w:r>
            <w:r>
              <w:rPr>
                <w:noProof/>
                <w:webHidden/>
              </w:rPr>
            </w:r>
            <w:r>
              <w:rPr>
                <w:noProof/>
                <w:webHidden/>
              </w:rPr>
              <w:fldChar w:fldCharType="separate"/>
            </w:r>
            <w:r>
              <w:rPr>
                <w:noProof/>
                <w:webHidden/>
              </w:rPr>
              <w:t>11</w:t>
            </w:r>
            <w:r>
              <w:rPr>
                <w:noProof/>
                <w:webHidden/>
              </w:rPr>
              <w:fldChar w:fldCharType="end"/>
            </w:r>
          </w:hyperlink>
        </w:p>
        <w:p w14:paraId="3A493228" w14:textId="05483CAE" w:rsidR="008172AC" w:rsidRDefault="008172AC">
          <w:pPr>
            <w:pStyle w:val="TOC2"/>
            <w:tabs>
              <w:tab w:val="right" w:leader="dot" w:pos="9016"/>
            </w:tabs>
            <w:rPr>
              <w:rFonts w:eastAsiaTheme="minorEastAsia"/>
              <w:noProof/>
              <w:sz w:val="24"/>
              <w:szCs w:val="24"/>
              <w:lang w:eastAsia="en-IN" w:bidi="gu-IN"/>
            </w:rPr>
          </w:pPr>
          <w:hyperlink w:anchor="_Toc232034591" w:history="1">
            <w:r w:rsidRPr="00584B49">
              <w:rPr>
                <w:rStyle w:val="Hyperlink"/>
                <w:rFonts w:ascii="Arial" w:hAnsi="Arial" w:cs="Arial"/>
                <w:b/>
                <w:bCs/>
                <w:noProof/>
              </w:rPr>
              <w:t>1.3 Research Question</w:t>
            </w:r>
            <w:r>
              <w:rPr>
                <w:noProof/>
                <w:webHidden/>
              </w:rPr>
              <w:tab/>
            </w:r>
            <w:r>
              <w:rPr>
                <w:noProof/>
                <w:webHidden/>
              </w:rPr>
              <w:fldChar w:fldCharType="begin"/>
            </w:r>
            <w:r>
              <w:rPr>
                <w:noProof/>
                <w:webHidden/>
              </w:rPr>
              <w:instrText xml:space="preserve"> PAGEREF _Toc232034591 \h </w:instrText>
            </w:r>
            <w:r>
              <w:rPr>
                <w:noProof/>
                <w:webHidden/>
              </w:rPr>
            </w:r>
            <w:r>
              <w:rPr>
                <w:noProof/>
                <w:webHidden/>
              </w:rPr>
              <w:fldChar w:fldCharType="separate"/>
            </w:r>
            <w:r>
              <w:rPr>
                <w:noProof/>
                <w:webHidden/>
              </w:rPr>
              <w:t>12</w:t>
            </w:r>
            <w:r>
              <w:rPr>
                <w:noProof/>
                <w:webHidden/>
              </w:rPr>
              <w:fldChar w:fldCharType="end"/>
            </w:r>
          </w:hyperlink>
        </w:p>
        <w:p w14:paraId="2515FF4D" w14:textId="797E8644" w:rsidR="008172AC" w:rsidRDefault="008172AC">
          <w:pPr>
            <w:pStyle w:val="TOC2"/>
            <w:tabs>
              <w:tab w:val="right" w:leader="dot" w:pos="9016"/>
            </w:tabs>
            <w:rPr>
              <w:rFonts w:eastAsiaTheme="minorEastAsia"/>
              <w:noProof/>
              <w:sz w:val="24"/>
              <w:szCs w:val="24"/>
              <w:lang w:eastAsia="en-IN" w:bidi="gu-IN"/>
            </w:rPr>
          </w:pPr>
          <w:hyperlink w:anchor="_Toc232034592" w:history="1">
            <w:r w:rsidRPr="00584B49">
              <w:rPr>
                <w:rStyle w:val="Hyperlink"/>
                <w:rFonts w:ascii="Arial" w:hAnsi="Arial" w:cs="Arial"/>
                <w:b/>
                <w:bCs/>
                <w:noProof/>
              </w:rPr>
              <w:t>1.4 Research Aim and Objectives</w:t>
            </w:r>
            <w:r>
              <w:rPr>
                <w:noProof/>
                <w:webHidden/>
              </w:rPr>
              <w:tab/>
            </w:r>
            <w:r>
              <w:rPr>
                <w:noProof/>
                <w:webHidden/>
              </w:rPr>
              <w:fldChar w:fldCharType="begin"/>
            </w:r>
            <w:r>
              <w:rPr>
                <w:noProof/>
                <w:webHidden/>
              </w:rPr>
              <w:instrText xml:space="preserve"> PAGEREF _Toc232034592 \h </w:instrText>
            </w:r>
            <w:r>
              <w:rPr>
                <w:noProof/>
                <w:webHidden/>
              </w:rPr>
            </w:r>
            <w:r>
              <w:rPr>
                <w:noProof/>
                <w:webHidden/>
              </w:rPr>
              <w:fldChar w:fldCharType="separate"/>
            </w:r>
            <w:r>
              <w:rPr>
                <w:noProof/>
                <w:webHidden/>
              </w:rPr>
              <w:t>12</w:t>
            </w:r>
            <w:r>
              <w:rPr>
                <w:noProof/>
                <w:webHidden/>
              </w:rPr>
              <w:fldChar w:fldCharType="end"/>
            </w:r>
          </w:hyperlink>
        </w:p>
        <w:p w14:paraId="57EFED7C" w14:textId="2C854AA5" w:rsidR="008172AC" w:rsidRDefault="008172AC">
          <w:pPr>
            <w:pStyle w:val="TOC3"/>
            <w:tabs>
              <w:tab w:val="right" w:leader="dot" w:pos="9016"/>
            </w:tabs>
            <w:rPr>
              <w:rFonts w:eastAsiaTheme="minorEastAsia"/>
              <w:noProof/>
              <w:sz w:val="24"/>
              <w:szCs w:val="24"/>
              <w:lang w:eastAsia="en-IN" w:bidi="gu-IN"/>
            </w:rPr>
          </w:pPr>
          <w:hyperlink w:anchor="_Toc232034593" w:history="1">
            <w:r w:rsidRPr="00584B49">
              <w:rPr>
                <w:rStyle w:val="Hyperlink"/>
                <w:rFonts w:ascii="Arial" w:hAnsi="Arial" w:cs="Arial"/>
                <w:b/>
                <w:bCs/>
                <w:noProof/>
              </w:rPr>
              <w:t>Objectives</w:t>
            </w:r>
            <w:r>
              <w:rPr>
                <w:noProof/>
                <w:webHidden/>
              </w:rPr>
              <w:tab/>
            </w:r>
            <w:r>
              <w:rPr>
                <w:noProof/>
                <w:webHidden/>
              </w:rPr>
              <w:fldChar w:fldCharType="begin"/>
            </w:r>
            <w:r>
              <w:rPr>
                <w:noProof/>
                <w:webHidden/>
              </w:rPr>
              <w:instrText xml:space="preserve"> PAGEREF _Toc232034593 \h </w:instrText>
            </w:r>
            <w:r>
              <w:rPr>
                <w:noProof/>
                <w:webHidden/>
              </w:rPr>
            </w:r>
            <w:r>
              <w:rPr>
                <w:noProof/>
                <w:webHidden/>
              </w:rPr>
              <w:fldChar w:fldCharType="separate"/>
            </w:r>
            <w:r>
              <w:rPr>
                <w:noProof/>
                <w:webHidden/>
              </w:rPr>
              <w:t>13</w:t>
            </w:r>
            <w:r>
              <w:rPr>
                <w:noProof/>
                <w:webHidden/>
              </w:rPr>
              <w:fldChar w:fldCharType="end"/>
            </w:r>
          </w:hyperlink>
        </w:p>
        <w:p w14:paraId="2A7696F3" w14:textId="1D0EF54A" w:rsidR="008172AC" w:rsidRDefault="008172AC">
          <w:pPr>
            <w:pStyle w:val="TOC2"/>
            <w:tabs>
              <w:tab w:val="right" w:leader="dot" w:pos="9016"/>
            </w:tabs>
            <w:rPr>
              <w:rFonts w:eastAsiaTheme="minorEastAsia"/>
              <w:noProof/>
              <w:sz w:val="24"/>
              <w:szCs w:val="24"/>
              <w:lang w:eastAsia="en-IN" w:bidi="gu-IN"/>
            </w:rPr>
          </w:pPr>
          <w:hyperlink w:anchor="_Toc232034594" w:history="1">
            <w:r w:rsidRPr="00584B49">
              <w:rPr>
                <w:rStyle w:val="Hyperlink"/>
                <w:rFonts w:ascii="Arial" w:hAnsi="Arial" w:cs="Arial"/>
                <w:b/>
                <w:bCs/>
                <w:noProof/>
              </w:rPr>
              <w:t>1.5 Overview</w:t>
            </w:r>
            <w:r>
              <w:rPr>
                <w:noProof/>
                <w:webHidden/>
              </w:rPr>
              <w:tab/>
            </w:r>
            <w:r>
              <w:rPr>
                <w:noProof/>
                <w:webHidden/>
              </w:rPr>
              <w:fldChar w:fldCharType="begin"/>
            </w:r>
            <w:r>
              <w:rPr>
                <w:noProof/>
                <w:webHidden/>
              </w:rPr>
              <w:instrText xml:space="preserve"> PAGEREF _Toc232034594 \h </w:instrText>
            </w:r>
            <w:r>
              <w:rPr>
                <w:noProof/>
                <w:webHidden/>
              </w:rPr>
            </w:r>
            <w:r>
              <w:rPr>
                <w:noProof/>
                <w:webHidden/>
              </w:rPr>
              <w:fldChar w:fldCharType="separate"/>
            </w:r>
            <w:r>
              <w:rPr>
                <w:noProof/>
                <w:webHidden/>
              </w:rPr>
              <w:t>13</w:t>
            </w:r>
            <w:r>
              <w:rPr>
                <w:noProof/>
                <w:webHidden/>
              </w:rPr>
              <w:fldChar w:fldCharType="end"/>
            </w:r>
          </w:hyperlink>
        </w:p>
        <w:p w14:paraId="2289A725" w14:textId="22D8A8E5" w:rsidR="008172AC" w:rsidRDefault="008172AC">
          <w:pPr>
            <w:pStyle w:val="TOC1"/>
            <w:tabs>
              <w:tab w:val="right" w:leader="dot" w:pos="9016"/>
            </w:tabs>
            <w:rPr>
              <w:rFonts w:eastAsiaTheme="minorEastAsia"/>
              <w:noProof/>
              <w:sz w:val="24"/>
              <w:szCs w:val="24"/>
              <w:lang w:eastAsia="en-IN" w:bidi="gu-IN"/>
            </w:rPr>
          </w:pPr>
          <w:hyperlink w:anchor="_Toc232034595" w:history="1">
            <w:r w:rsidRPr="00584B49">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_Toc232034595 \h </w:instrText>
            </w:r>
            <w:r>
              <w:rPr>
                <w:noProof/>
                <w:webHidden/>
              </w:rPr>
            </w:r>
            <w:r>
              <w:rPr>
                <w:noProof/>
                <w:webHidden/>
              </w:rPr>
              <w:fldChar w:fldCharType="separate"/>
            </w:r>
            <w:r>
              <w:rPr>
                <w:noProof/>
                <w:webHidden/>
              </w:rPr>
              <w:t>13</w:t>
            </w:r>
            <w:r>
              <w:rPr>
                <w:noProof/>
                <w:webHidden/>
              </w:rPr>
              <w:fldChar w:fldCharType="end"/>
            </w:r>
          </w:hyperlink>
        </w:p>
        <w:p w14:paraId="15DDF921" w14:textId="21FEBF5E" w:rsidR="008172AC" w:rsidRDefault="008172AC">
          <w:pPr>
            <w:pStyle w:val="TOC2"/>
            <w:tabs>
              <w:tab w:val="right" w:leader="dot" w:pos="9016"/>
            </w:tabs>
            <w:rPr>
              <w:rFonts w:eastAsiaTheme="minorEastAsia"/>
              <w:noProof/>
              <w:sz w:val="24"/>
              <w:szCs w:val="24"/>
              <w:lang w:eastAsia="en-IN" w:bidi="gu-IN"/>
            </w:rPr>
          </w:pPr>
          <w:hyperlink w:anchor="_Toc232034596" w:history="1">
            <w:r w:rsidRPr="00584B49">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_Toc232034596 \h </w:instrText>
            </w:r>
            <w:r>
              <w:rPr>
                <w:noProof/>
                <w:webHidden/>
              </w:rPr>
            </w:r>
            <w:r>
              <w:rPr>
                <w:noProof/>
                <w:webHidden/>
              </w:rPr>
              <w:fldChar w:fldCharType="separate"/>
            </w:r>
            <w:r>
              <w:rPr>
                <w:noProof/>
                <w:webHidden/>
              </w:rPr>
              <w:t>13</w:t>
            </w:r>
            <w:r>
              <w:rPr>
                <w:noProof/>
                <w:webHidden/>
              </w:rPr>
              <w:fldChar w:fldCharType="end"/>
            </w:r>
          </w:hyperlink>
        </w:p>
        <w:p w14:paraId="7FAB33C9" w14:textId="352F6B9B" w:rsidR="008172AC" w:rsidRDefault="008172AC">
          <w:pPr>
            <w:pStyle w:val="TOC2"/>
            <w:tabs>
              <w:tab w:val="right" w:leader="dot" w:pos="9016"/>
            </w:tabs>
            <w:rPr>
              <w:rFonts w:eastAsiaTheme="minorEastAsia"/>
              <w:noProof/>
              <w:sz w:val="24"/>
              <w:szCs w:val="24"/>
              <w:lang w:eastAsia="en-IN" w:bidi="gu-IN"/>
            </w:rPr>
          </w:pPr>
          <w:hyperlink w:anchor="_Toc232034597" w:history="1">
            <w:r w:rsidRPr="00584B49">
              <w:rPr>
                <w:rStyle w:val="Hyperlink"/>
                <w:rFonts w:ascii="Arial" w:hAnsi="Arial" w:cs="Arial"/>
                <w:b/>
                <w:bCs/>
                <w:noProof/>
              </w:rPr>
              <w:t>2.2 Dementia as a Global Public Health Challenge</w:t>
            </w:r>
            <w:r>
              <w:rPr>
                <w:noProof/>
                <w:webHidden/>
              </w:rPr>
              <w:tab/>
            </w:r>
            <w:r>
              <w:rPr>
                <w:noProof/>
                <w:webHidden/>
              </w:rPr>
              <w:fldChar w:fldCharType="begin"/>
            </w:r>
            <w:r>
              <w:rPr>
                <w:noProof/>
                <w:webHidden/>
              </w:rPr>
              <w:instrText xml:space="preserve"> PAGEREF _Toc232034597 \h </w:instrText>
            </w:r>
            <w:r>
              <w:rPr>
                <w:noProof/>
                <w:webHidden/>
              </w:rPr>
            </w:r>
            <w:r>
              <w:rPr>
                <w:noProof/>
                <w:webHidden/>
              </w:rPr>
              <w:fldChar w:fldCharType="separate"/>
            </w:r>
            <w:r>
              <w:rPr>
                <w:noProof/>
                <w:webHidden/>
              </w:rPr>
              <w:t>14</w:t>
            </w:r>
            <w:r>
              <w:rPr>
                <w:noProof/>
                <w:webHidden/>
              </w:rPr>
              <w:fldChar w:fldCharType="end"/>
            </w:r>
          </w:hyperlink>
        </w:p>
        <w:p w14:paraId="65EEAD30" w14:textId="68E766ED" w:rsidR="008172AC" w:rsidRDefault="008172AC">
          <w:pPr>
            <w:pStyle w:val="TOC2"/>
            <w:tabs>
              <w:tab w:val="right" w:leader="dot" w:pos="9016"/>
            </w:tabs>
            <w:rPr>
              <w:rFonts w:eastAsiaTheme="minorEastAsia"/>
              <w:noProof/>
              <w:sz w:val="24"/>
              <w:szCs w:val="24"/>
              <w:lang w:eastAsia="en-IN" w:bidi="gu-IN"/>
            </w:rPr>
          </w:pPr>
          <w:hyperlink w:anchor="_Toc232034598" w:history="1">
            <w:r w:rsidRPr="00584B49">
              <w:rPr>
                <w:rStyle w:val="Hyperlink"/>
                <w:rFonts w:ascii="Arial" w:hAnsi="Arial" w:cs="Arial"/>
                <w:b/>
                <w:bCs/>
                <w:noProof/>
              </w:rPr>
              <w:t>2.3 Digital Health Interventions for Dementia Prevention</w:t>
            </w:r>
            <w:r>
              <w:rPr>
                <w:noProof/>
                <w:webHidden/>
              </w:rPr>
              <w:tab/>
            </w:r>
            <w:r>
              <w:rPr>
                <w:noProof/>
                <w:webHidden/>
              </w:rPr>
              <w:fldChar w:fldCharType="begin"/>
            </w:r>
            <w:r>
              <w:rPr>
                <w:noProof/>
                <w:webHidden/>
              </w:rPr>
              <w:instrText xml:space="preserve"> PAGEREF _Toc232034598 \h </w:instrText>
            </w:r>
            <w:r>
              <w:rPr>
                <w:noProof/>
                <w:webHidden/>
              </w:rPr>
            </w:r>
            <w:r>
              <w:rPr>
                <w:noProof/>
                <w:webHidden/>
              </w:rPr>
              <w:fldChar w:fldCharType="separate"/>
            </w:r>
            <w:r>
              <w:rPr>
                <w:noProof/>
                <w:webHidden/>
              </w:rPr>
              <w:t>15</w:t>
            </w:r>
            <w:r>
              <w:rPr>
                <w:noProof/>
                <w:webHidden/>
              </w:rPr>
              <w:fldChar w:fldCharType="end"/>
            </w:r>
          </w:hyperlink>
        </w:p>
        <w:p w14:paraId="1076FE5B" w14:textId="7B257E79" w:rsidR="008172AC" w:rsidRDefault="008172AC">
          <w:pPr>
            <w:pStyle w:val="TOC3"/>
            <w:tabs>
              <w:tab w:val="right" w:leader="dot" w:pos="9016"/>
            </w:tabs>
            <w:rPr>
              <w:rFonts w:eastAsiaTheme="minorEastAsia"/>
              <w:noProof/>
              <w:sz w:val="24"/>
              <w:szCs w:val="24"/>
              <w:lang w:eastAsia="en-IN" w:bidi="gu-IN"/>
            </w:rPr>
          </w:pPr>
          <w:hyperlink w:anchor="_Toc232034599" w:history="1">
            <w:r w:rsidRPr="00584B49">
              <w:rPr>
                <w:rStyle w:val="Hyperlink"/>
                <w:rFonts w:ascii="Arial" w:hAnsi="Arial" w:cs="Arial"/>
                <w:b/>
                <w:bCs/>
                <w:noProof/>
              </w:rPr>
              <w:t>2.3.1 Mobile Health Applications</w:t>
            </w:r>
            <w:r>
              <w:rPr>
                <w:noProof/>
                <w:webHidden/>
              </w:rPr>
              <w:tab/>
            </w:r>
            <w:r>
              <w:rPr>
                <w:noProof/>
                <w:webHidden/>
              </w:rPr>
              <w:fldChar w:fldCharType="begin"/>
            </w:r>
            <w:r>
              <w:rPr>
                <w:noProof/>
                <w:webHidden/>
              </w:rPr>
              <w:instrText xml:space="preserve"> PAGEREF _Toc232034599 \h </w:instrText>
            </w:r>
            <w:r>
              <w:rPr>
                <w:noProof/>
                <w:webHidden/>
              </w:rPr>
            </w:r>
            <w:r>
              <w:rPr>
                <w:noProof/>
                <w:webHidden/>
              </w:rPr>
              <w:fldChar w:fldCharType="separate"/>
            </w:r>
            <w:r>
              <w:rPr>
                <w:noProof/>
                <w:webHidden/>
              </w:rPr>
              <w:t>16</w:t>
            </w:r>
            <w:r>
              <w:rPr>
                <w:noProof/>
                <w:webHidden/>
              </w:rPr>
              <w:fldChar w:fldCharType="end"/>
            </w:r>
          </w:hyperlink>
        </w:p>
        <w:p w14:paraId="40089C76" w14:textId="72AB183F" w:rsidR="008172AC" w:rsidRDefault="008172AC">
          <w:pPr>
            <w:pStyle w:val="TOC3"/>
            <w:tabs>
              <w:tab w:val="right" w:leader="dot" w:pos="9016"/>
            </w:tabs>
            <w:rPr>
              <w:rFonts w:eastAsiaTheme="minorEastAsia"/>
              <w:noProof/>
              <w:sz w:val="24"/>
              <w:szCs w:val="24"/>
              <w:lang w:eastAsia="en-IN" w:bidi="gu-IN"/>
            </w:rPr>
          </w:pPr>
          <w:hyperlink w:anchor="_Toc232034600" w:history="1">
            <w:r w:rsidRPr="00584B49">
              <w:rPr>
                <w:rStyle w:val="Hyperlink"/>
                <w:rFonts w:ascii="Arial" w:hAnsi="Arial" w:cs="Arial"/>
                <w:b/>
                <w:bCs/>
                <w:noProof/>
              </w:rPr>
              <w:t>2.3.2 Wearable Devices</w:t>
            </w:r>
            <w:r>
              <w:rPr>
                <w:noProof/>
                <w:webHidden/>
              </w:rPr>
              <w:tab/>
            </w:r>
            <w:r>
              <w:rPr>
                <w:noProof/>
                <w:webHidden/>
              </w:rPr>
              <w:fldChar w:fldCharType="begin"/>
            </w:r>
            <w:r>
              <w:rPr>
                <w:noProof/>
                <w:webHidden/>
              </w:rPr>
              <w:instrText xml:space="preserve"> PAGEREF _Toc232034600 \h </w:instrText>
            </w:r>
            <w:r>
              <w:rPr>
                <w:noProof/>
                <w:webHidden/>
              </w:rPr>
            </w:r>
            <w:r>
              <w:rPr>
                <w:noProof/>
                <w:webHidden/>
              </w:rPr>
              <w:fldChar w:fldCharType="separate"/>
            </w:r>
            <w:r>
              <w:rPr>
                <w:noProof/>
                <w:webHidden/>
              </w:rPr>
              <w:t>16</w:t>
            </w:r>
            <w:r>
              <w:rPr>
                <w:noProof/>
                <w:webHidden/>
              </w:rPr>
              <w:fldChar w:fldCharType="end"/>
            </w:r>
          </w:hyperlink>
        </w:p>
        <w:p w14:paraId="25672593" w14:textId="04D22E26" w:rsidR="008172AC" w:rsidRDefault="008172AC">
          <w:pPr>
            <w:pStyle w:val="TOC3"/>
            <w:tabs>
              <w:tab w:val="right" w:leader="dot" w:pos="9016"/>
            </w:tabs>
            <w:rPr>
              <w:rFonts w:eastAsiaTheme="minorEastAsia"/>
              <w:noProof/>
              <w:sz w:val="24"/>
              <w:szCs w:val="24"/>
              <w:lang w:eastAsia="en-IN" w:bidi="gu-IN"/>
            </w:rPr>
          </w:pPr>
          <w:hyperlink w:anchor="_Toc232034601" w:history="1">
            <w:r w:rsidRPr="00584B49">
              <w:rPr>
                <w:rStyle w:val="Hyperlink"/>
                <w:rFonts w:ascii="Arial" w:hAnsi="Arial" w:cs="Arial"/>
                <w:b/>
                <w:bCs/>
                <w:noProof/>
              </w:rPr>
              <w:t>2.3.3 Telehealth and Remote Care</w:t>
            </w:r>
            <w:r>
              <w:rPr>
                <w:noProof/>
                <w:webHidden/>
              </w:rPr>
              <w:tab/>
            </w:r>
            <w:r>
              <w:rPr>
                <w:noProof/>
                <w:webHidden/>
              </w:rPr>
              <w:fldChar w:fldCharType="begin"/>
            </w:r>
            <w:r>
              <w:rPr>
                <w:noProof/>
                <w:webHidden/>
              </w:rPr>
              <w:instrText xml:space="preserve"> PAGEREF _Toc232034601 \h </w:instrText>
            </w:r>
            <w:r>
              <w:rPr>
                <w:noProof/>
                <w:webHidden/>
              </w:rPr>
            </w:r>
            <w:r>
              <w:rPr>
                <w:noProof/>
                <w:webHidden/>
              </w:rPr>
              <w:fldChar w:fldCharType="separate"/>
            </w:r>
            <w:r>
              <w:rPr>
                <w:noProof/>
                <w:webHidden/>
              </w:rPr>
              <w:t>16</w:t>
            </w:r>
            <w:r>
              <w:rPr>
                <w:noProof/>
                <w:webHidden/>
              </w:rPr>
              <w:fldChar w:fldCharType="end"/>
            </w:r>
          </w:hyperlink>
        </w:p>
        <w:p w14:paraId="01192F8E" w14:textId="71B516DA" w:rsidR="008172AC" w:rsidRDefault="008172AC">
          <w:pPr>
            <w:pStyle w:val="TOC3"/>
            <w:tabs>
              <w:tab w:val="right" w:leader="dot" w:pos="9016"/>
            </w:tabs>
            <w:rPr>
              <w:rFonts w:eastAsiaTheme="minorEastAsia"/>
              <w:noProof/>
              <w:sz w:val="24"/>
              <w:szCs w:val="24"/>
              <w:lang w:eastAsia="en-IN" w:bidi="gu-IN"/>
            </w:rPr>
          </w:pPr>
          <w:hyperlink w:anchor="_Toc232034602" w:history="1">
            <w:r w:rsidRPr="00584B49">
              <w:rPr>
                <w:rStyle w:val="Hyperlink"/>
                <w:rFonts w:ascii="Arial" w:hAnsi="Arial" w:cs="Arial"/>
                <w:b/>
                <w:bCs/>
                <w:noProof/>
              </w:rPr>
              <w:t>2.3.4 Digital Cognitive Training</w:t>
            </w:r>
            <w:r>
              <w:rPr>
                <w:noProof/>
                <w:webHidden/>
              </w:rPr>
              <w:tab/>
            </w:r>
            <w:r>
              <w:rPr>
                <w:noProof/>
                <w:webHidden/>
              </w:rPr>
              <w:fldChar w:fldCharType="begin"/>
            </w:r>
            <w:r>
              <w:rPr>
                <w:noProof/>
                <w:webHidden/>
              </w:rPr>
              <w:instrText xml:space="preserve"> PAGEREF _Toc232034602 \h </w:instrText>
            </w:r>
            <w:r>
              <w:rPr>
                <w:noProof/>
                <w:webHidden/>
              </w:rPr>
            </w:r>
            <w:r>
              <w:rPr>
                <w:noProof/>
                <w:webHidden/>
              </w:rPr>
              <w:fldChar w:fldCharType="separate"/>
            </w:r>
            <w:r>
              <w:rPr>
                <w:noProof/>
                <w:webHidden/>
              </w:rPr>
              <w:t>16</w:t>
            </w:r>
            <w:r>
              <w:rPr>
                <w:noProof/>
                <w:webHidden/>
              </w:rPr>
              <w:fldChar w:fldCharType="end"/>
            </w:r>
          </w:hyperlink>
        </w:p>
        <w:p w14:paraId="3E420213" w14:textId="2461E127" w:rsidR="008172AC" w:rsidRDefault="008172AC">
          <w:pPr>
            <w:pStyle w:val="TOC3"/>
            <w:tabs>
              <w:tab w:val="right" w:leader="dot" w:pos="9016"/>
            </w:tabs>
            <w:rPr>
              <w:rFonts w:eastAsiaTheme="minorEastAsia"/>
              <w:noProof/>
              <w:sz w:val="24"/>
              <w:szCs w:val="24"/>
              <w:lang w:eastAsia="en-IN" w:bidi="gu-IN"/>
            </w:rPr>
          </w:pPr>
          <w:hyperlink w:anchor="_Toc232034603" w:history="1">
            <w:r w:rsidRPr="00584B49">
              <w:rPr>
                <w:rStyle w:val="Hyperlink"/>
                <w:rFonts w:ascii="Arial" w:hAnsi="Arial" w:cs="Arial"/>
                <w:b/>
                <w:bCs/>
                <w:noProof/>
              </w:rPr>
              <w:t>2.3.5 Personalisation and Scalability</w:t>
            </w:r>
            <w:r>
              <w:rPr>
                <w:noProof/>
                <w:webHidden/>
              </w:rPr>
              <w:tab/>
            </w:r>
            <w:r>
              <w:rPr>
                <w:noProof/>
                <w:webHidden/>
              </w:rPr>
              <w:fldChar w:fldCharType="begin"/>
            </w:r>
            <w:r>
              <w:rPr>
                <w:noProof/>
                <w:webHidden/>
              </w:rPr>
              <w:instrText xml:space="preserve"> PAGEREF _Toc232034603 \h </w:instrText>
            </w:r>
            <w:r>
              <w:rPr>
                <w:noProof/>
                <w:webHidden/>
              </w:rPr>
            </w:r>
            <w:r>
              <w:rPr>
                <w:noProof/>
                <w:webHidden/>
              </w:rPr>
              <w:fldChar w:fldCharType="separate"/>
            </w:r>
            <w:r>
              <w:rPr>
                <w:noProof/>
                <w:webHidden/>
              </w:rPr>
              <w:t>17</w:t>
            </w:r>
            <w:r>
              <w:rPr>
                <w:noProof/>
                <w:webHidden/>
              </w:rPr>
              <w:fldChar w:fldCharType="end"/>
            </w:r>
          </w:hyperlink>
        </w:p>
        <w:p w14:paraId="0556622E" w14:textId="6574C85C" w:rsidR="008172AC" w:rsidRDefault="008172AC">
          <w:pPr>
            <w:pStyle w:val="TOC3"/>
            <w:tabs>
              <w:tab w:val="right" w:leader="dot" w:pos="9016"/>
            </w:tabs>
            <w:rPr>
              <w:rFonts w:eastAsiaTheme="minorEastAsia"/>
              <w:noProof/>
              <w:sz w:val="24"/>
              <w:szCs w:val="24"/>
              <w:lang w:eastAsia="en-IN" w:bidi="gu-IN"/>
            </w:rPr>
          </w:pPr>
          <w:hyperlink w:anchor="_Toc232034604" w:history="1">
            <w:r w:rsidRPr="00584B49">
              <w:rPr>
                <w:rStyle w:val="Hyperlink"/>
                <w:rFonts w:ascii="Arial" w:hAnsi="Arial" w:cs="Arial"/>
                <w:b/>
                <w:bCs/>
                <w:noProof/>
              </w:rPr>
              <w:t>Critical Perspective</w:t>
            </w:r>
            <w:r>
              <w:rPr>
                <w:noProof/>
                <w:webHidden/>
              </w:rPr>
              <w:tab/>
            </w:r>
            <w:r>
              <w:rPr>
                <w:noProof/>
                <w:webHidden/>
              </w:rPr>
              <w:fldChar w:fldCharType="begin"/>
            </w:r>
            <w:r>
              <w:rPr>
                <w:noProof/>
                <w:webHidden/>
              </w:rPr>
              <w:instrText xml:space="preserve"> PAGEREF _Toc232034604 \h </w:instrText>
            </w:r>
            <w:r>
              <w:rPr>
                <w:noProof/>
                <w:webHidden/>
              </w:rPr>
            </w:r>
            <w:r>
              <w:rPr>
                <w:noProof/>
                <w:webHidden/>
              </w:rPr>
              <w:fldChar w:fldCharType="separate"/>
            </w:r>
            <w:r>
              <w:rPr>
                <w:noProof/>
                <w:webHidden/>
              </w:rPr>
              <w:t>17</w:t>
            </w:r>
            <w:r>
              <w:rPr>
                <w:noProof/>
                <w:webHidden/>
              </w:rPr>
              <w:fldChar w:fldCharType="end"/>
            </w:r>
          </w:hyperlink>
        </w:p>
        <w:p w14:paraId="5E014465" w14:textId="0400D078" w:rsidR="008172AC" w:rsidRDefault="008172AC">
          <w:pPr>
            <w:pStyle w:val="TOC2"/>
            <w:tabs>
              <w:tab w:val="right" w:leader="dot" w:pos="9016"/>
            </w:tabs>
            <w:rPr>
              <w:rFonts w:eastAsiaTheme="minorEastAsia"/>
              <w:noProof/>
              <w:sz w:val="24"/>
              <w:szCs w:val="24"/>
              <w:lang w:eastAsia="en-IN" w:bidi="gu-IN"/>
            </w:rPr>
          </w:pPr>
          <w:hyperlink w:anchor="_Toc232034605" w:history="1">
            <w:r w:rsidRPr="00584B49">
              <w:rPr>
                <w:rStyle w:val="Hyperlink"/>
                <w:rFonts w:ascii="Arial" w:hAnsi="Arial" w:cs="Arial"/>
                <w:b/>
                <w:bCs/>
                <w:noProof/>
              </w:rPr>
              <w:t>2.4 Facilitators of Engagement with Digital Health Technologies</w:t>
            </w:r>
            <w:r>
              <w:rPr>
                <w:noProof/>
                <w:webHidden/>
              </w:rPr>
              <w:tab/>
            </w:r>
            <w:r>
              <w:rPr>
                <w:noProof/>
                <w:webHidden/>
              </w:rPr>
              <w:fldChar w:fldCharType="begin"/>
            </w:r>
            <w:r>
              <w:rPr>
                <w:noProof/>
                <w:webHidden/>
              </w:rPr>
              <w:instrText xml:space="preserve"> PAGEREF _Toc232034605 \h </w:instrText>
            </w:r>
            <w:r>
              <w:rPr>
                <w:noProof/>
                <w:webHidden/>
              </w:rPr>
            </w:r>
            <w:r>
              <w:rPr>
                <w:noProof/>
                <w:webHidden/>
              </w:rPr>
              <w:fldChar w:fldCharType="separate"/>
            </w:r>
            <w:r>
              <w:rPr>
                <w:noProof/>
                <w:webHidden/>
              </w:rPr>
              <w:t>17</w:t>
            </w:r>
            <w:r>
              <w:rPr>
                <w:noProof/>
                <w:webHidden/>
              </w:rPr>
              <w:fldChar w:fldCharType="end"/>
            </w:r>
          </w:hyperlink>
        </w:p>
        <w:p w14:paraId="71A9ADAE" w14:textId="6F5A1E9E" w:rsidR="008172AC" w:rsidRDefault="008172AC">
          <w:pPr>
            <w:pStyle w:val="TOC2"/>
            <w:tabs>
              <w:tab w:val="right" w:leader="dot" w:pos="9016"/>
            </w:tabs>
            <w:rPr>
              <w:rFonts w:eastAsiaTheme="minorEastAsia"/>
              <w:noProof/>
              <w:sz w:val="24"/>
              <w:szCs w:val="24"/>
              <w:lang w:eastAsia="en-IN" w:bidi="gu-IN"/>
            </w:rPr>
          </w:pPr>
          <w:hyperlink w:anchor="_Toc232034606" w:history="1">
            <w:r w:rsidRPr="00584B49">
              <w:rPr>
                <w:rStyle w:val="Hyperlink"/>
                <w:rFonts w:ascii="Arial" w:hAnsi="Arial" w:cs="Arial"/>
                <w:b/>
                <w:bCs/>
                <w:noProof/>
              </w:rPr>
              <w:t>2.5 Social Ecological Model as the Theoretical Framework</w:t>
            </w:r>
            <w:r>
              <w:rPr>
                <w:noProof/>
                <w:webHidden/>
              </w:rPr>
              <w:tab/>
            </w:r>
            <w:r>
              <w:rPr>
                <w:noProof/>
                <w:webHidden/>
              </w:rPr>
              <w:fldChar w:fldCharType="begin"/>
            </w:r>
            <w:r>
              <w:rPr>
                <w:noProof/>
                <w:webHidden/>
              </w:rPr>
              <w:instrText xml:space="preserve"> PAGEREF _Toc232034606 \h </w:instrText>
            </w:r>
            <w:r>
              <w:rPr>
                <w:noProof/>
                <w:webHidden/>
              </w:rPr>
            </w:r>
            <w:r>
              <w:rPr>
                <w:noProof/>
                <w:webHidden/>
              </w:rPr>
              <w:fldChar w:fldCharType="separate"/>
            </w:r>
            <w:r>
              <w:rPr>
                <w:noProof/>
                <w:webHidden/>
              </w:rPr>
              <w:t>18</w:t>
            </w:r>
            <w:r>
              <w:rPr>
                <w:noProof/>
                <w:webHidden/>
              </w:rPr>
              <w:fldChar w:fldCharType="end"/>
            </w:r>
          </w:hyperlink>
        </w:p>
        <w:p w14:paraId="1578E7FF" w14:textId="3DC7D240" w:rsidR="008172AC" w:rsidRDefault="008172AC">
          <w:pPr>
            <w:pStyle w:val="TOC3"/>
            <w:tabs>
              <w:tab w:val="right" w:leader="dot" w:pos="9016"/>
            </w:tabs>
            <w:rPr>
              <w:rFonts w:eastAsiaTheme="minorEastAsia"/>
              <w:noProof/>
              <w:sz w:val="24"/>
              <w:szCs w:val="24"/>
              <w:lang w:eastAsia="en-IN" w:bidi="gu-IN"/>
            </w:rPr>
          </w:pPr>
          <w:hyperlink w:anchor="_Toc232034607" w:history="1">
            <w:r w:rsidRPr="00584B49">
              <w:rPr>
                <w:rStyle w:val="Hyperlink"/>
                <w:rFonts w:ascii="Arial" w:hAnsi="Arial" w:cs="Arial"/>
                <w:b/>
                <w:bCs/>
                <w:noProof/>
              </w:rPr>
              <w:t>2.5.1 Individual Level</w:t>
            </w:r>
            <w:r>
              <w:rPr>
                <w:noProof/>
                <w:webHidden/>
              </w:rPr>
              <w:tab/>
            </w:r>
            <w:r>
              <w:rPr>
                <w:noProof/>
                <w:webHidden/>
              </w:rPr>
              <w:fldChar w:fldCharType="begin"/>
            </w:r>
            <w:r>
              <w:rPr>
                <w:noProof/>
                <w:webHidden/>
              </w:rPr>
              <w:instrText xml:space="preserve"> PAGEREF _Toc232034607 \h </w:instrText>
            </w:r>
            <w:r>
              <w:rPr>
                <w:noProof/>
                <w:webHidden/>
              </w:rPr>
            </w:r>
            <w:r>
              <w:rPr>
                <w:noProof/>
                <w:webHidden/>
              </w:rPr>
              <w:fldChar w:fldCharType="separate"/>
            </w:r>
            <w:r>
              <w:rPr>
                <w:noProof/>
                <w:webHidden/>
              </w:rPr>
              <w:t>19</w:t>
            </w:r>
            <w:r>
              <w:rPr>
                <w:noProof/>
                <w:webHidden/>
              </w:rPr>
              <w:fldChar w:fldCharType="end"/>
            </w:r>
          </w:hyperlink>
        </w:p>
        <w:p w14:paraId="5A68D7CF" w14:textId="7E5B2278" w:rsidR="008172AC" w:rsidRDefault="008172AC">
          <w:pPr>
            <w:pStyle w:val="TOC3"/>
            <w:tabs>
              <w:tab w:val="right" w:leader="dot" w:pos="9016"/>
            </w:tabs>
            <w:rPr>
              <w:rFonts w:eastAsiaTheme="minorEastAsia"/>
              <w:noProof/>
              <w:sz w:val="24"/>
              <w:szCs w:val="24"/>
              <w:lang w:eastAsia="en-IN" w:bidi="gu-IN"/>
            </w:rPr>
          </w:pPr>
          <w:hyperlink w:anchor="_Toc232034608" w:history="1">
            <w:r w:rsidRPr="00584B49">
              <w:rPr>
                <w:rStyle w:val="Hyperlink"/>
                <w:rFonts w:ascii="Arial" w:hAnsi="Arial" w:cs="Arial"/>
                <w:b/>
                <w:bCs/>
                <w:noProof/>
              </w:rPr>
              <w:t>2.5.2 Interpersonal Level</w:t>
            </w:r>
            <w:r>
              <w:rPr>
                <w:noProof/>
                <w:webHidden/>
              </w:rPr>
              <w:tab/>
            </w:r>
            <w:r>
              <w:rPr>
                <w:noProof/>
                <w:webHidden/>
              </w:rPr>
              <w:fldChar w:fldCharType="begin"/>
            </w:r>
            <w:r>
              <w:rPr>
                <w:noProof/>
                <w:webHidden/>
              </w:rPr>
              <w:instrText xml:space="preserve"> PAGEREF _Toc232034608 \h </w:instrText>
            </w:r>
            <w:r>
              <w:rPr>
                <w:noProof/>
                <w:webHidden/>
              </w:rPr>
            </w:r>
            <w:r>
              <w:rPr>
                <w:noProof/>
                <w:webHidden/>
              </w:rPr>
              <w:fldChar w:fldCharType="separate"/>
            </w:r>
            <w:r>
              <w:rPr>
                <w:noProof/>
                <w:webHidden/>
              </w:rPr>
              <w:t>20</w:t>
            </w:r>
            <w:r>
              <w:rPr>
                <w:noProof/>
                <w:webHidden/>
              </w:rPr>
              <w:fldChar w:fldCharType="end"/>
            </w:r>
          </w:hyperlink>
        </w:p>
        <w:p w14:paraId="032C068E" w14:textId="6BB4F513" w:rsidR="008172AC" w:rsidRDefault="008172AC">
          <w:pPr>
            <w:pStyle w:val="TOC3"/>
            <w:tabs>
              <w:tab w:val="right" w:leader="dot" w:pos="9016"/>
            </w:tabs>
            <w:rPr>
              <w:rFonts w:eastAsiaTheme="minorEastAsia"/>
              <w:noProof/>
              <w:sz w:val="24"/>
              <w:szCs w:val="24"/>
              <w:lang w:eastAsia="en-IN" w:bidi="gu-IN"/>
            </w:rPr>
          </w:pPr>
          <w:hyperlink w:anchor="_Toc232034609" w:history="1">
            <w:r w:rsidRPr="00584B49">
              <w:rPr>
                <w:rStyle w:val="Hyperlink"/>
                <w:rFonts w:ascii="Arial" w:hAnsi="Arial" w:cs="Arial"/>
                <w:b/>
                <w:bCs/>
                <w:noProof/>
              </w:rPr>
              <w:t>2.5.3 Organisational and Community Level</w:t>
            </w:r>
            <w:r>
              <w:rPr>
                <w:noProof/>
                <w:webHidden/>
              </w:rPr>
              <w:tab/>
            </w:r>
            <w:r>
              <w:rPr>
                <w:noProof/>
                <w:webHidden/>
              </w:rPr>
              <w:fldChar w:fldCharType="begin"/>
            </w:r>
            <w:r>
              <w:rPr>
                <w:noProof/>
                <w:webHidden/>
              </w:rPr>
              <w:instrText xml:space="preserve"> PAGEREF _Toc232034609 \h </w:instrText>
            </w:r>
            <w:r>
              <w:rPr>
                <w:noProof/>
                <w:webHidden/>
              </w:rPr>
            </w:r>
            <w:r>
              <w:rPr>
                <w:noProof/>
                <w:webHidden/>
              </w:rPr>
              <w:fldChar w:fldCharType="separate"/>
            </w:r>
            <w:r>
              <w:rPr>
                <w:noProof/>
                <w:webHidden/>
              </w:rPr>
              <w:t>20</w:t>
            </w:r>
            <w:r>
              <w:rPr>
                <w:noProof/>
                <w:webHidden/>
              </w:rPr>
              <w:fldChar w:fldCharType="end"/>
            </w:r>
          </w:hyperlink>
        </w:p>
        <w:p w14:paraId="4B042DB5" w14:textId="3F5CEB37" w:rsidR="008172AC" w:rsidRDefault="008172AC">
          <w:pPr>
            <w:pStyle w:val="TOC3"/>
            <w:tabs>
              <w:tab w:val="right" w:leader="dot" w:pos="9016"/>
            </w:tabs>
            <w:rPr>
              <w:rFonts w:eastAsiaTheme="minorEastAsia"/>
              <w:noProof/>
              <w:sz w:val="24"/>
              <w:szCs w:val="24"/>
              <w:lang w:eastAsia="en-IN" w:bidi="gu-IN"/>
            </w:rPr>
          </w:pPr>
          <w:hyperlink w:anchor="_Toc232034610" w:history="1">
            <w:r w:rsidRPr="00584B49">
              <w:rPr>
                <w:rStyle w:val="Hyperlink"/>
                <w:rFonts w:ascii="Arial" w:hAnsi="Arial" w:cs="Arial"/>
                <w:b/>
                <w:bCs/>
                <w:noProof/>
              </w:rPr>
              <w:t>2.5.4 Policy Level</w:t>
            </w:r>
            <w:r>
              <w:rPr>
                <w:noProof/>
                <w:webHidden/>
              </w:rPr>
              <w:tab/>
            </w:r>
            <w:r>
              <w:rPr>
                <w:noProof/>
                <w:webHidden/>
              </w:rPr>
              <w:fldChar w:fldCharType="begin"/>
            </w:r>
            <w:r>
              <w:rPr>
                <w:noProof/>
                <w:webHidden/>
              </w:rPr>
              <w:instrText xml:space="preserve"> PAGEREF _Toc232034610 \h </w:instrText>
            </w:r>
            <w:r>
              <w:rPr>
                <w:noProof/>
                <w:webHidden/>
              </w:rPr>
            </w:r>
            <w:r>
              <w:rPr>
                <w:noProof/>
                <w:webHidden/>
              </w:rPr>
              <w:fldChar w:fldCharType="separate"/>
            </w:r>
            <w:r>
              <w:rPr>
                <w:noProof/>
                <w:webHidden/>
              </w:rPr>
              <w:t>21</w:t>
            </w:r>
            <w:r>
              <w:rPr>
                <w:noProof/>
                <w:webHidden/>
              </w:rPr>
              <w:fldChar w:fldCharType="end"/>
            </w:r>
          </w:hyperlink>
        </w:p>
        <w:p w14:paraId="7A5A5477" w14:textId="3E7FECD2" w:rsidR="008172AC" w:rsidRDefault="008172AC">
          <w:pPr>
            <w:pStyle w:val="TOC3"/>
            <w:tabs>
              <w:tab w:val="right" w:leader="dot" w:pos="9016"/>
            </w:tabs>
            <w:rPr>
              <w:rFonts w:eastAsiaTheme="minorEastAsia"/>
              <w:noProof/>
              <w:sz w:val="24"/>
              <w:szCs w:val="24"/>
              <w:lang w:eastAsia="en-IN" w:bidi="gu-IN"/>
            </w:rPr>
          </w:pPr>
          <w:hyperlink w:anchor="_Toc232034611" w:history="1">
            <w:r w:rsidRPr="00584B49">
              <w:rPr>
                <w:rStyle w:val="Hyperlink"/>
                <w:rFonts w:ascii="Arial" w:hAnsi="Arial" w:cs="Arial"/>
                <w:b/>
                <w:bCs/>
                <w:noProof/>
              </w:rPr>
              <w:t>2.5.5 Summary of SEM Application</w:t>
            </w:r>
            <w:r>
              <w:rPr>
                <w:noProof/>
                <w:webHidden/>
              </w:rPr>
              <w:tab/>
            </w:r>
            <w:r>
              <w:rPr>
                <w:noProof/>
                <w:webHidden/>
              </w:rPr>
              <w:fldChar w:fldCharType="begin"/>
            </w:r>
            <w:r>
              <w:rPr>
                <w:noProof/>
                <w:webHidden/>
              </w:rPr>
              <w:instrText xml:space="preserve"> PAGEREF _Toc232034611 \h </w:instrText>
            </w:r>
            <w:r>
              <w:rPr>
                <w:noProof/>
                <w:webHidden/>
              </w:rPr>
            </w:r>
            <w:r>
              <w:rPr>
                <w:noProof/>
                <w:webHidden/>
              </w:rPr>
              <w:fldChar w:fldCharType="separate"/>
            </w:r>
            <w:r>
              <w:rPr>
                <w:noProof/>
                <w:webHidden/>
              </w:rPr>
              <w:t>21</w:t>
            </w:r>
            <w:r>
              <w:rPr>
                <w:noProof/>
                <w:webHidden/>
              </w:rPr>
              <w:fldChar w:fldCharType="end"/>
            </w:r>
          </w:hyperlink>
        </w:p>
        <w:p w14:paraId="766756A8" w14:textId="23BC53EA" w:rsidR="008172AC" w:rsidRDefault="008172AC">
          <w:pPr>
            <w:pStyle w:val="TOC3"/>
            <w:tabs>
              <w:tab w:val="right" w:leader="dot" w:pos="9016"/>
            </w:tabs>
            <w:rPr>
              <w:rFonts w:eastAsiaTheme="minorEastAsia"/>
              <w:noProof/>
              <w:sz w:val="24"/>
              <w:szCs w:val="24"/>
              <w:lang w:eastAsia="en-IN" w:bidi="gu-IN"/>
            </w:rPr>
          </w:pPr>
          <w:hyperlink w:anchor="_Toc232034612" w:history="1">
            <w:r w:rsidRPr="00584B49">
              <w:rPr>
                <w:rStyle w:val="Hyperlink"/>
                <w:rFonts w:ascii="Arial" w:hAnsi="Arial" w:cs="Arial"/>
                <w:b/>
                <w:bCs/>
                <w:noProof/>
              </w:rPr>
              <w:t>2.6 Research Gap</w:t>
            </w:r>
            <w:r>
              <w:rPr>
                <w:noProof/>
                <w:webHidden/>
              </w:rPr>
              <w:tab/>
            </w:r>
            <w:r>
              <w:rPr>
                <w:noProof/>
                <w:webHidden/>
              </w:rPr>
              <w:fldChar w:fldCharType="begin"/>
            </w:r>
            <w:r>
              <w:rPr>
                <w:noProof/>
                <w:webHidden/>
              </w:rPr>
              <w:instrText xml:space="preserve"> PAGEREF _Toc232034612 \h </w:instrText>
            </w:r>
            <w:r>
              <w:rPr>
                <w:noProof/>
                <w:webHidden/>
              </w:rPr>
            </w:r>
            <w:r>
              <w:rPr>
                <w:noProof/>
                <w:webHidden/>
              </w:rPr>
              <w:fldChar w:fldCharType="separate"/>
            </w:r>
            <w:r>
              <w:rPr>
                <w:noProof/>
                <w:webHidden/>
              </w:rPr>
              <w:t>21</w:t>
            </w:r>
            <w:r>
              <w:rPr>
                <w:noProof/>
                <w:webHidden/>
              </w:rPr>
              <w:fldChar w:fldCharType="end"/>
            </w:r>
          </w:hyperlink>
        </w:p>
        <w:p w14:paraId="75746DEE" w14:textId="1C47B116" w:rsidR="008172AC" w:rsidRDefault="008172AC">
          <w:pPr>
            <w:pStyle w:val="TOC2"/>
            <w:tabs>
              <w:tab w:val="right" w:leader="dot" w:pos="9016"/>
            </w:tabs>
            <w:rPr>
              <w:rFonts w:eastAsiaTheme="minorEastAsia"/>
              <w:noProof/>
              <w:sz w:val="24"/>
              <w:szCs w:val="24"/>
              <w:lang w:eastAsia="en-IN" w:bidi="gu-IN"/>
            </w:rPr>
          </w:pPr>
          <w:hyperlink w:anchor="_Toc232034613" w:history="1">
            <w:r w:rsidRPr="00584B49">
              <w:rPr>
                <w:rStyle w:val="Hyperlink"/>
                <w:rFonts w:ascii="Arial" w:hAnsi="Arial" w:cs="Arial"/>
                <w:b/>
                <w:bCs/>
                <w:noProof/>
              </w:rPr>
              <w:t>2.7 Digital Disparities in Older Adult Populations</w:t>
            </w:r>
            <w:r>
              <w:rPr>
                <w:noProof/>
                <w:webHidden/>
              </w:rPr>
              <w:tab/>
            </w:r>
            <w:r>
              <w:rPr>
                <w:noProof/>
                <w:webHidden/>
              </w:rPr>
              <w:fldChar w:fldCharType="begin"/>
            </w:r>
            <w:r>
              <w:rPr>
                <w:noProof/>
                <w:webHidden/>
              </w:rPr>
              <w:instrText xml:space="preserve"> PAGEREF _Toc232034613 \h </w:instrText>
            </w:r>
            <w:r>
              <w:rPr>
                <w:noProof/>
                <w:webHidden/>
              </w:rPr>
            </w:r>
            <w:r>
              <w:rPr>
                <w:noProof/>
                <w:webHidden/>
              </w:rPr>
              <w:fldChar w:fldCharType="separate"/>
            </w:r>
            <w:r>
              <w:rPr>
                <w:noProof/>
                <w:webHidden/>
              </w:rPr>
              <w:t>22</w:t>
            </w:r>
            <w:r>
              <w:rPr>
                <w:noProof/>
                <w:webHidden/>
              </w:rPr>
              <w:fldChar w:fldCharType="end"/>
            </w:r>
          </w:hyperlink>
        </w:p>
        <w:p w14:paraId="0EAA29E4" w14:textId="0249378D" w:rsidR="008172AC" w:rsidRDefault="008172AC">
          <w:pPr>
            <w:pStyle w:val="TOC2"/>
            <w:tabs>
              <w:tab w:val="right" w:leader="dot" w:pos="9016"/>
            </w:tabs>
            <w:rPr>
              <w:rFonts w:eastAsiaTheme="minorEastAsia"/>
              <w:noProof/>
              <w:sz w:val="24"/>
              <w:szCs w:val="24"/>
              <w:lang w:eastAsia="en-IN" w:bidi="gu-IN"/>
            </w:rPr>
          </w:pPr>
          <w:hyperlink w:anchor="_Toc232034614" w:history="1">
            <w:r w:rsidRPr="00584B49">
              <w:rPr>
                <w:rStyle w:val="Hyperlink"/>
                <w:rFonts w:ascii="Arial" w:hAnsi="Arial" w:cs="Arial"/>
                <w:b/>
                <w:bCs/>
                <w:noProof/>
              </w:rPr>
              <w:t>2.8 Application of the Social Ecological Model (SEM)</w:t>
            </w:r>
            <w:r>
              <w:rPr>
                <w:noProof/>
                <w:webHidden/>
              </w:rPr>
              <w:tab/>
            </w:r>
            <w:r>
              <w:rPr>
                <w:noProof/>
                <w:webHidden/>
              </w:rPr>
              <w:fldChar w:fldCharType="begin"/>
            </w:r>
            <w:r>
              <w:rPr>
                <w:noProof/>
                <w:webHidden/>
              </w:rPr>
              <w:instrText xml:space="preserve"> PAGEREF _Toc232034614 \h </w:instrText>
            </w:r>
            <w:r>
              <w:rPr>
                <w:noProof/>
                <w:webHidden/>
              </w:rPr>
            </w:r>
            <w:r>
              <w:rPr>
                <w:noProof/>
                <w:webHidden/>
              </w:rPr>
              <w:fldChar w:fldCharType="separate"/>
            </w:r>
            <w:r>
              <w:rPr>
                <w:noProof/>
                <w:webHidden/>
              </w:rPr>
              <w:t>23</w:t>
            </w:r>
            <w:r>
              <w:rPr>
                <w:noProof/>
                <w:webHidden/>
              </w:rPr>
              <w:fldChar w:fldCharType="end"/>
            </w:r>
          </w:hyperlink>
        </w:p>
        <w:p w14:paraId="3115CEFE" w14:textId="5F9065B9" w:rsidR="008172AC" w:rsidRDefault="008172AC">
          <w:pPr>
            <w:pStyle w:val="TOC1"/>
            <w:tabs>
              <w:tab w:val="right" w:leader="dot" w:pos="9016"/>
            </w:tabs>
            <w:rPr>
              <w:rFonts w:eastAsiaTheme="minorEastAsia"/>
              <w:noProof/>
              <w:sz w:val="24"/>
              <w:szCs w:val="24"/>
              <w:lang w:eastAsia="en-IN" w:bidi="gu-IN"/>
            </w:rPr>
          </w:pPr>
          <w:hyperlink w:anchor="_Toc232034615" w:history="1">
            <w:r w:rsidRPr="00584B49">
              <w:rPr>
                <w:rStyle w:val="Hyperlink"/>
                <w:rFonts w:ascii="Arial" w:hAnsi="Arial" w:cs="Arial"/>
                <w:b/>
                <w:bCs/>
                <w:noProof/>
              </w:rPr>
              <w:t>Chapter - 3 Methodology.</w:t>
            </w:r>
            <w:r>
              <w:rPr>
                <w:noProof/>
                <w:webHidden/>
              </w:rPr>
              <w:tab/>
            </w:r>
            <w:r>
              <w:rPr>
                <w:noProof/>
                <w:webHidden/>
              </w:rPr>
              <w:fldChar w:fldCharType="begin"/>
            </w:r>
            <w:r>
              <w:rPr>
                <w:noProof/>
                <w:webHidden/>
              </w:rPr>
              <w:instrText xml:space="preserve"> PAGEREF _Toc232034615 \h </w:instrText>
            </w:r>
            <w:r>
              <w:rPr>
                <w:noProof/>
                <w:webHidden/>
              </w:rPr>
            </w:r>
            <w:r>
              <w:rPr>
                <w:noProof/>
                <w:webHidden/>
              </w:rPr>
              <w:fldChar w:fldCharType="separate"/>
            </w:r>
            <w:r>
              <w:rPr>
                <w:noProof/>
                <w:webHidden/>
              </w:rPr>
              <w:t>25</w:t>
            </w:r>
            <w:r>
              <w:rPr>
                <w:noProof/>
                <w:webHidden/>
              </w:rPr>
              <w:fldChar w:fldCharType="end"/>
            </w:r>
          </w:hyperlink>
        </w:p>
        <w:p w14:paraId="2CB2C4D6" w14:textId="00542695" w:rsidR="008172AC" w:rsidRDefault="008172AC">
          <w:pPr>
            <w:pStyle w:val="TOC2"/>
            <w:tabs>
              <w:tab w:val="right" w:leader="dot" w:pos="9016"/>
            </w:tabs>
            <w:rPr>
              <w:rFonts w:eastAsiaTheme="minorEastAsia"/>
              <w:noProof/>
              <w:sz w:val="24"/>
              <w:szCs w:val="24"/>
              <w:lang w:eastAsia="en-IN" w:bidi="gu-IN"/>
            </w:rPr>
          </w:pPr>
          <w:hyperlink w:anchor="_Toc232034616" w:history="1">
            <w:r w:rsidRPr="00584B49">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_Toc232034616 \h </w:instrText>
            </w:r>
            <w:r>
              <w:rPr>
                <w:noProof/>
                <w:webHidden/>
              </w:rPr>
            </w:r>
            <w:r>
              <w:rPr>
                <w:noProof/>
                <w:webHidden/>
              </w:rPr>
              <w:fldChar w:fldCharType="separate"/>
            </w:r>
            <w:r>
              <w:rPr>
                <w:noProof/>
                <w:webHidden/>
              </w:rPr>
              <w:t>25</w:t>
            </w:r>
            <w:r>
              <w:rPr>
                <w:noProof/>
                <w:webHidden/>
              </w:rPr>
              <w:fldChar w:fldCharType="end"/>
            </w:r>
          </w:hyperlink>
        </w:p>
        <w:p w14:paraId="6136020F" w14:textId="656C33F7" w:rsidR="008172AC" w:rsidRDefault="008172AC">
          <w:pPr>
            <w:pStyle w:val="TOC2"/>
            <w:tabs>
              <w:tab w:val="right" w:leader="dot" w:pos="9016"/>
            </w:tabs>
            <w:rPr>
              <w:rFonts w:eastAsiaTheme="minorEastAsia"/>
              <w:noProof/>
              <w:sz w:val="24"/>
              <w:szCs w:val="24"/>
              <w:lang w:eastAsia="en-IN" w:bidi="gu-IN"/>
            </w:rPr>
          </w:pPr>
          <w:hyperlink w:anchor="_Toc232034617" w:history="1">
            <w:r w:rsidRPr="00584B49">
              <w:rPr>
                <w:rStyle w:val="Hyperlink"/>
                <w:rFonts w:ascii="Arial" w:hAnsi="Arial" w:cs="Arial"/>
                <w:b/>
                <w:bCs/>
                <w:noProof/>
              </w:rPr>
              <w:t>3.2 Research Design</w:t>
            </w:r>
            <w:r>
              <w:rPr>
                <w:noProof/>
                <w:webHidden/>
              </w:rPr>
              <w:tab/>
            </w:r>
            <w:r>
              <w:rPr>
                <w:noProof/>
                <w:webHidden/>
              </w:rPr>
              <w:fldChar w:fldCharType="begin"/>
            </w:r>
            <w:r>
              <w:rPr>
                <w:noProof/>
                <w:webHidden/>
              </w:rPr>
              <w:instrText xml:space="preserve"> PAGEREF _Toc232034617 \h </w:instrText>
            </w:r>
            <w:r>
              <w:rPr>
                <w:noProof/>
                <w:webHidden/>
              </w:rPr>
            </w:r>
            <w:r>
              <w:rPr>
                <w:noProof/>
                <w:webHidden/>
              </w:rPr>
              <w:fldChar w:fldCharType="separate"/>
            </w:r>
            <w:r>
              <w:rPr>
                <w:noProof/>
                <w:webHidden/>
              </w:rPr>
              <w:t>25</w:t>
            </w:r>
            <w:r>
              <w:rPr>
                <w:noProof/>
                <w:webHidden/>
              </w:rPr>
              <w:fldChar w:fldCharType="end"/>
            </w:r>
          </w:hyperlink>
        </w:p>
        <w:p w14:paraId="6FF9DBC1" w14:textId="749A7BD8" w:rsidR="008172AC" w:rsidRDefault="008172AC">
          <w:pPr>
            <w:pStyle w:val="TOC2"/>
            <w:tabs>
              <w:tab w:val="right" w:leader="dot" w:pos="9016"/>
            </w:tabs>
            <w:rPr>
              <w:rFonts w:eastAsiaTheme="minorEastAsia"/>
              <w:noProof/>
              <w:sz w:val="24"/>
              <w:szCs w:val="24"/>
              <w:lang w:eastAsia="en-IN" w:bidi="gu-IN"/>
            </w:rPr>
          </w:pPr>
          <w:hyperlink w:anchor="_Toc232034618" w:history="1">
            <w:r w:rsidRPr="00584B49">
              <w:rPr>
                <w:rStyle w:val="Hyperlink"/>
                <w:rFonts w:ascii="Arial" w:hAnsi="Arial" w:cs="Arial"/>
                <w:b/>
                <w:bCs/>
                <w:noProof/>
              </w:rPr>
              <w:t>3.3 Research Approach</w:t>
            </w:r>
            <w:r>
              <w:rPr>
                <w:noProof/>
                <w:webHidden/>
              </w:rPr>
              <w:tab/>
            </w:r>
            <w:r>
              <w:rPr>
                <w:noProof/>
                <w:webHidden/>
              </w:rPr>
              <w:fldChar w:fldCharType="begin"/>
            </w:r>
            <w:r>
              <w:rPr>
                <w:noProof/>
                <w:webHidden/>
              </w:rPr>
              <w:instrText xml:space="preserve"> PAGEREF _Toc232034618 \h </w:instrText>
            </w:r>
            <w:r>
              <w:rPr>
                <w:noProof/>
                <w:webHidden/>
              </w:rPr>
            </w:r>
            <w:r>
              <w:rPr>
                <w:noProof/>
                <w:webHidden/>
              </w:rPr>
              <w:fldChar w:fldCharType="separate"/>
            </w:r>
            <w:r>
              <w:rPr>
                <w:noProof/>
                <w:webHidden/>
              </w:rPr>
              <w:t>25</w:t>
            </w:r>
            <w:r>
              <w:rPr>
                <w:noProof/>
                <w:webHidden/>
              </w:rPr>
              <w:fldChar w:fldCharType="end"/>
            </w:r>
          </w:hyperlink>
        </w:p>
        <w:p w14:paraId="5F7060F0" w14:textId="157BAA7D" w:rsidR="008172AC" w:rsidRDefault="008172AC">
          <w:pPr>
            <w:pStyle w:val="TOC2"/>
            <w:tabs>
              <w:tab w:val="right" w:leader="dot" w:pos="9016"/>
            </w:tabs>
            <w:rPr>
              <w:rFonts w:eastAsiaTheme="minorEastAsia"/>
              <w:noProof/>
              <w:sz w:val="24"/>
              <w:szCs w:val="24"/>
              <w:lang w:eastAsia="en-IN" w:bidi="gu-IN"/>
            </w:rPr>
          </w:pPr>
          <w:hyperlink w:anchor="_Toc232034619" w:history="1">
            <w:r w:rsidRPr="00584B49">
              <w:rPr>
                <w:rStyle w:val="Hyperlink"/>
                <w:rFonts w:ascii="Arial" w:hAnsi="Arial" w:cs="Arial"/>
                <w:b/>
                <w:bCs/>
                <w:noProof/>
              </w:rPr>
              <w:t>3.4 Search Strategy</w:t>
            </w:r>
            <w:r>
              <w:rPr>
                <w:noProof/>
                <w:webHidden/>
              </w:rPr>
              <w:tab/>
            </w:r>
            <w:r>
              <w:rPr>
                <w:noProof/>
                <w:webHidden/>
              </w:rPr>
              <w:fldChar w:fldCharType="begin"/>
            </w:r>
            <w:r>
              <w:rPr>
                <w:noProof/>
                <w:webHidden/>
              </w:rPr>
              <w:instrText xml:space="preserve"> PAGEREF _Toc232034619 \h </w:instrText>
            </w:r>
            <w:r>
              <w:rPr>
                <w:noProof/>
                <w:webHidden/>
              </w:rPr>
            </w:r>
            <w:r>
              <w:rPr>
                <w:noProof/>
                <w:webHidden/>
              </w:rPr>
              <w:fldChar w:fldCharType="separate"/>
            </w:r>
            <w:r>
              <w:rPr>
                <w:noProof/>
                <w:webHidden/>
              </w:rPr>
              <w:t>26</w:t>
            </w:r>
            <w:r>
              <w:rPr>
                <w:noProof/>
                <w:webHidden/>
              </w:rPr>
              <w:fldChar w:fldCharType="end"/>
            </w:r>
          </w:hyperlink>
        </w:p>
        <w:p w14:paraId="7543D1B1" w14:textId="247938BF" w:rsidR="008172AC" w:rsidRDefault="008172AC">
          <w:pPr>
            <w:pStyle w:val="TOC2"/>
            <w:tabs>
              <w:tab w:val="right" w:leader="dot" w:pos="9016"/>
            </w:tabs>
            <w:rPr>
              <w:rFonts w:eastAsiaTheme="minorEastAsia"/>
              <w:noProof/>
              <w:sz w:val="24"/>
              <w:szCs w:val="24"/>
              <w:lang w:eastAsia="en-IN" w:bidi="gu-IN"/>
            </w:rPr>
          </w:pPr>
          <w:hyperlink w:anchor="_Toc232034620" w:history="1">
            <w:r w:rsidRPr="00584B49">
              <w:rPr>
                <w:rStyle w:val="Hyperlink"/>
                <w:rFonts w:ascii="Arial" w:hAnsi="Arial" w:cs="Arial"/>
                <w:b/>
                <w:bCs/>
                <w:noProof/>
              </w:rPr>
              <w:t>3.5 Inclusion and Exclusion Criteria</w:t>
            </w:r>
            <w:r>
              <w:rPr>
                <w:noProof/>
                <w:webHidden/>
              </w:rPr>
              <w:tab/>
            </w:r>
            <w:r>
              <w:rPr>
                <w:noProof/>
                <w:webHidden/>
              </w:rPr>
              <w:fldChar w:fldCharType="begin"/>
            </w:r>
            <w:r>
              <w:rPr>
                <w:noProof/>
                <w:webHidden/>
              </w:rPr>
              <w:instrText xml:space="preserve"> PAGEREF _Toc232034620 \h </w:instrText>
            </w:r>
            <w:r>
              <w:rPr>
                <w:noProof/>
                <w:webHidden/>
              </w:rPr>
            </w:r>
            <w:r>
              <w:rPr>
                <w:noProof/>
                <w:webHidden/>
              </w:rPr>
              <w:fldChar w:fldCharType="separate"/>
            </w:r>
            <w:r>
              <w:rPr>
                <w:noProof/>
                <w:webHidden/>
              </w:rPr>
              <w:t>26</w:t>
            </w:r>
            <w:r>
              <w:rPr>
                <w:noProof/>
                <w:webHidden/>
              </w:rPr>
              <w:fldChar w:fldCharType="end"/>
            </w:r>
          </w:hyperlink>
        </w:p>
        <w:p w14:paraId="45D072D4" w14:textId="06827F35" w:rsidR="008172AC" w:rsidRDefault="008172AC">
          <w:pPr>
            <w:pStyle w:val="TOC2"/>
            <w:tabs>
              <w:tab w:val="right" w:leader="dot" w:pos="9016"/>
            </w:tabs>
            <w:rPr>
              <w:rFonts w:eastAsiaTheme="minorEastAsia"/>
              <w:noProof/>
              <w:sz w:val="24"/>
              <w:szCs w:val="24"/>
              <w:lang w:eastAsia="en-IN" w:bidi="gu-IN"/>
            </w:rPr>
          </w:pPr>
          <w:hyperlink w:anchor="_Toc232034621" w:history="1">
            <w:r w:rsidRPr="00584B49">
              <w:rPr>
                <w:rStyle w:val="Hyperlink"/>
                <w:rFonts w:ascii="Arial" w:hAnsi="Arial" w:cs="Arial"/>
                <w:b/>
                <w:bCs/>
                <w:noProof/>
              </w:rPr>
              <w:t>3.6 Study Screening and Selection Process</w:t>
            </w:r>
            <w:r>
              <w:rPr>
                <w:noProof/>
                <w:webHidden/>
              </w:rPr>
              <w:tab/>
            </w:r>
            <w:r>
              <w:rPr>
                <w:noProof/>
                <w:webHidden/>
              </w:rPr>
              <w:fldChar w:fldCharType="begin"/>
            </w:r>
            <w:r>
              <w:rPr>
                <w:noProof/>
                <w:webHidden/>
              </w:rPr>
              <w:instrText xml:space="preserve"> PAGEREF _Toc232034621 \h </w:instrText>
            </w:r>
            <w:r>
              <w:rPr>
                <w:noProof/>
                <w:webHidden/>
              </w:rPr>
            </w:r>
            <w:r>
              <w:rPr>
                <w:noProof/>
                <w:webHidden/>
              </w:rPr>
              <w:fldChar w:fldCharType="separate"/>
            </w:r>
            <w:r>
              <w:rPr>
                <w:noProof/>
                <w:webHidden/>
              </w:rPr>
              <w:t>27</w:t>
            </w:r>
            <w:r>
              <w:rPr>
                <w:noProof/>
                <w:webHidden/>
              </w:rPr>
              <w:fldChar w:fldCharType="end"/>
            </w:r>
          </w:hyperlink>
        </w:p>
        <w:p w14:paraId="68D20ED9" w14:textId="3997A752" w:rsidR="008172AC" w:rsidRDefault="008172AC">
          <w:pPr>
            <w:pStyle w:val="TOC2"/>
            <w:tabs>
              <w:tab w:val="right" w:leader="dot" w:pos="9016"/>
            </w:tabs>
            <w:rPr>
              <w:rFonts w:eastAsiaTheme="minorEastAsia"/>
              <w:noProof/>
              <w:sz w:val="24"/>
              <w:szCs w:val="24"/>
              <w:lang w:eastAsia="en-IN" w:bidi="gu-IN"/>
            </w:rPr>
          </w:pPr>
          <w:hyperlink w:anchor="_Toc232034622" w:history="1">
            <w:r w:rsidRPr="00584B49">
              <w:rPr>
                <w:rStyle w:val="Hyperlink"/>
                <w:rFonts w:ascii="Arial" w:hAnsi="Arial" w:cs="Arial"/>
                <w:b/>
                <w:bCs/>
                <w:noProof/>
              </w:rPr>
              <w:t>3.7 Data Extraction and Critical Appraisal</w:t>
            </w:r>
            <w:r>
              <w:rPr>
                <w:noProof/>
                <w:webHidden/>
              </w:rPr>
              <w:tab/>
            </w:r>
            <w:r>
              <w:rPr>
                <w:noProof/>
                <w:webHidden/>
              </w:rPr>
              <w:fldChar w:fldCharType="begin"/>
            </w:r>
            <w:r>
              <w:rPr>
                <w:noProof/>
                <w:webHidden/>
              </w:rPr>
              <w:instrText xml:space="preserve"> PAGEREF _Toc232034622 \h </w:instrText>
            </w:r>
            <w:r>
              <w:rPr>
                <w:noProof/>
                <w:webHidden/>
              </w:rPr>
            </w:r>
            <w:r>
              <w:rPr>
                <w:noProof/>
                <w:webHidden/>
              </w:rPr>
              <w:fldChar w:fldCharType="separate"/>
            </w:r>
            <w:r>
              <w:rPr>
                <w:noProof/>
                <w:webHidden/>
              </w:rPr>
              <w:t>28</w:t>
            </w:r>
            <w:r>
              <w:rPr>
                <w:noProof/>
                <w:webHidden/>
              </w:rPr>
              <w:fldChar w:fldCharType="end"/>
            </w:r>
          </w:hyperlink>
        </w:p>
        <w:p w14:paraId="5D9080E2" w14:textId="71F05509" w:rsidR="008172AC" w:rsidRDefault="008172AC">
          <w:pPr>
            <w:pStyle w:val="TOC2"/>
            <w:tabs>
              <w:tab w:val="right" w:leader="dot" w:pos="9016"/>
            </w:tabs>
            <w:rPr>
              <w:rFonts w:eastAsiaTheme="minorEastAsia"/>
              <w:noProof/>
              <w:sz w:val="24"/>
              <w:szCs w:val="24"/>
              <w:lang w:eastAsia="en-IN" w:bidi="gu-IN"/>
            </w:rPr>
          </w:pPr>
          <w:hyperlink w:anchor="_Toc232034623" w:history="1">
            <w:r w:rsidRPr="00584B49">
              <w:rPr>
                <w:rStyle w:val="Hyperlink"/>
                <w:rFonts w:ascii="Arial" w:hAnsi="Arial" w:cs="Arial"/>
                <w:b/>
                <w:bCs/>
                <w:noProof/>
              </w:rPr>
              <w:t>3.8 Data Analysis</w:t>
            </w:r>
            <w:r>
              <w:rPr>
                <w:noProof/>
                <w:webHidden/>
              </w:rPr>
              <w:tab/>
            </w:r>
            <w:r>
              <w:rPr>
                <w:noProof/>
                <w:webHidden/>
              </w:rPr>
              <w:fldChar w:fldCharType="begin"/>
            </w:r>
            <w:r>
              <w:rPr>
                <w:noProof/>
                <w:webHidden/>
              </w:rPr>
              <w:instrText xml:space="preserve"> PAGEREF _Toc232034623 \h </w:instrText>
            </w:r>
            <w:r>
              <w:rPr>
                <w:noProof/>
                <w:webHidden/>
              </w:rPr>
            </w:r>
            <w:r>
              <w:rPr>
                <w:noProof/>
                <w:webHidden/>
              </w:rPr>
              <w:fldChar w:fldCharType="separate"/>
            </w:r>
            <w:r>
              <w:rPr>
                <w:noProof/>
                <w:webHidden/>
              </w:rPr>
              <w:t>29</w:t>
            </w:r>
            <w:r>
              <w:rPr>
                <w:noProof/>
                <w:webHidden/>
              </w:rPr>
              <w:fldChar w:fldCharType="end"/>
            </w:r>
          </w:hyperlink>
        </w:p>
        <w:p w14:paraId="0BAD4714" w14:textId="5BC35689" w:rsidR="008172AC" w:rsidRDefault="008172AC">
          <w:pPr>
            <w:pStyle w:val="TOC2"/>
            <w:tabs>
              <w:tab w:val="right" w:leader="dot" w:pos="9016"/>
            </w:tabs>
            <w:rPr>
              <w:rFonts w:eastAsiaTheme="minorEastAsia"/>
              <w:noProof/>
              <w:sz w:val="24"/>
              <w:szCs w:val="24"/>
              <w:lang w:eastAsia="en-IN" w:bidi="gu-IN"/>
            </w:rPr>
          </w:pPr>
          <w:hyperlink w:anchor="_Toc232034624" w:history="1">
            <w:r w:rsidRPr="00584B49">
              <w:rPr>
                <w:rStyle w:val="Hyperlink"/>
                <w:rFonts w:ascii="Arial" w:hAnsi="Arial" w:cs="Arial"/>
                <w:b/>
                <w:bCs/>
                <w:noProof/>
              </w:rPr>
              <w:t>3.9 Ethical Considerations</w:t>
            </w:r>
            <w:r>
              <w:rPr>
                <w:noProof/>
                <w:webHidden/>
              </w:rPr>
              <w:tab/>
            </w:r>
            <w:r>
              <w:rPr>
                <w:noProof/>
                <w:webHidden/>
              </w:rPr>
              <w:fldChar w:fldCharType="begin"/>
            </w:r>
            <w:r>
              <w:rPr>
                <w:noProof/>
                <w:webHidden/>
              </w:rPr>
              <w:instrText xml:space="preserve"> PAGEREF _Toc232034624 \h </w:instrText>
            </w:r>
            <w:r>
              <w:rPr>
                <w:noProof/>
                <w:webHidden/>
              </w:rPr>
            </w:r>
            <w:r>
              <w:rPr>
                <w:noProof/>
                <w:webHidden/>
              </w:rPr>
              <w:fldChar w:fldCharType="separate"/>
            </w:r>
            <w:r>
              <w:rPr>
                <w:noProof/>
                <w:webHidden/>
              </w:rPr>
              <w:t>30</w:t>
            </w:r>
            <w:r>
              <w:rPr>
                <w:noProof/>
                <w:webHidden/>
              </w:rPr>
              <w:fldChar w:fldCharType="end"/>
            </w:r>
          </w:hyperlink>
        </w:p>
        <w:p w14:paraId="118C901A" w14:textId="56A99F4D" w:rsidR="008172AC" w:rsidRDefault="008172AC">
          <w:pPr>
            <w:pStyle w:val="TOC2"/>
            <w:tabs>
              <w:tab w:val="right" w:leader="dot" w:pos="9016"/>
            </w:tabs>
            <w:rPr>
              <w:rFonts w:eastAsiaTheme="minorEastAsia"/>
              <w:noProof/>
              <w:sz w:val="24"/>
              <w:szCs w:val="24"/>
              <w:lang w:eastAsia="en-IN" w:bidi="gu-IN"/>
            </w:rPr>
          </w:pPr>
          <w:hyperlink w:anchor="_Toc232034625" w:history="1">
            <w:r w:rsidRPr="00584B49">
              <w:rPr>
                <w:rStyle w:val="Hyperlink"/>
                <w:rFonts w:ascii="Arial" w:hAnsi="Arial" w:cs="Arial"/>
                <w:b/>
                <w:bCs/>
                <w:noProof/>
              </w:rPr>
              <w:t>3.10 Limitations</w:t>
            </w:r>
            <w:r>
              <w:rPr>
                <w:noProof/>
                <w:webHidden/>
              </w:rPr>
              <w:tab/>
            </w:r>
            <w:r>
              <w:rPr>
                <w:noProof/>
                <w:webHidden/>
              </w:rPr>
              <w:fldChar w:fldCharType="begin"/>
            </w:r>
            <w:r>
              <w:rPr>
                <w:noProof/>
                <w:webHidden/>
              </w:rPr>
              <w:instrText xml:space="preserve"> PAGEREF _Toc232034625 \h </w:instrText>
            </w:r>
            <w:r>
              <w:rPr>
                <w:noProof/>
                <w:webHidden/>
              </w:rPr>
            </w:r>
            <w:r>
              <w:rPr>
                <w:noProof/>
                <w:webHidden/>
              </w:rPr>
              <w:fldChar w:fldCharType="separate"/>
            </w:r>
            <w:r>
              <w:rPr>
                <w:noProof/>
                <w:webHidden/>
              </w:rPr>
              <w:t>30</w:t>
            </w:r>
            <w:r>
              <w:rPr>
                <w:noProof/>
                <w:webHidden/>
              </w:rPr>
              <w:fldChar w:fldCharType="end"/>
            </w:r>
          </w:hyperlink>
        </w:p>
        <w:p w14:paraId="5880F402" w14:textId="79CBF9E7" w:rsidR="008172AC" w:rsidRDefault="008172AC">
          <w:pPr>
            <w:pStyle w:val="TOC2"/>
            <w:tabs>
              <w:tab w:val="right" w:leader="dot" w:pos="9016"/>
            </w:tabs>
            <w:rPr>
              <w:rFonts w:eastAsiaTheme="minorEastAsia"/>
              <w:noProof/>
              <w:sz w:val="24"/>
              <w:szCs w:val="24"/>
              <w:lang w:eastAsia="en-IN" w:bidi="gu-IN"/>
            </w:rPr>
          </w:pPr>
          <w:hyperlink w:anchor="_Toc232034626" w:history="1">
            <w:r w:rsidRPr="00584B49">
              <w:rPr>
                <w:rStyle w:val="Hyperlink"/>
                <w:rFonts w:ascii="Arial" w:hAnsi="Arial" w:cs="Arial"/>
                <w:b/>
                <w:bCs/>
                <w:noProof/>
              </w:rPr>
              <w:t>3.11 Use of PRISMA Framework</w:t>
            </w:r>
            <w:r>
              <w:rPr>
                <w:noProof/>
                <w:webHidden/>
              </w:rPr>
              <w:tab/>
            </w:r>
            <w:r>
              <w:rPr>
                <w:noProof/>
                <w:webHidden/>
              </w:rPr>
              <w:fldChar w:fldCharType="begin"/>
            </w:r>
            <w:r>
              <w:rPr>
                <w:noProof/>
                <w:webHidden/>
              </w:rPr>
              <w:instrText xml:space="preserve"> PAGEREF _Toc232034626 \h </w:instrText>
            </w:r>
            <w:r>
              <w:rPr>
                <w:noProof/>
                <w:webHidden/>
              </w:rPr>
            </w:r>
            <w:r>
              <w:rPr>
                <w:noProof/>
                <w:webHidden/>
              </w:rPr>
              <w:fldChar w:fldCharType="separate"/>
            </w:r>
            <w:r>
              <w:rPr>
                <w:noProof/>
                <w:webHidden/>
              </w:rPr>
              <w:t>31</w:t>
            </w:r>
            <w:r>
              <w:rPr>
                <w:noProof/>
                <w:webHidden/>
              </w:rPr>
              <w:fldChar w:fldCharType="end"/>
            </w:r>
          </w:hyperlink>
        </w:p>
        <w:p w14:paraId="661DE444" w14:textId="097778E9" w:rsidR="008172AC" w:rsidRDefault="008172AC">
          <w:pPr>
            <w:pStyle w:val="TOC2"/>
            <w:tabs>
              <w:tab w:val="right" w:leader="dot" w:pos="9016"/>
            </w:tabs>
            <w:rPr>
              <w:rFonts w:eastAsiaTheme="minorEastAsia"/>
              <w:noProof/>
              <w:sz w:val="24"/>
              <w:szCs w:val="24"/>
              <w:lang w:eastAsia="en-IN" w:bidi="gu-IN"/>
            </w:rPr>
          </w:pPr>
          <w:hyperlink w:anchor="_Toc232034627" w:history="1">
            <w:r w:rsidRPr="00584B49">
              <w:rPr>
                <w:rStyle w:val="Hyperlink"/>
                <w:rFonts w:ascii="Arial" w:hAnsi="Arial" w:cs="Arial"/>
                <w:b/>
                <w:bCs/>
                <w:noProof/>
              </w:rPr>
              <w:t>3.12 Evaluation of Methodological Approach</w:t>
            </w:r>
            <w:r>
              <w:rPr>
                <w:noProof/>
                <w:webHidden/>
              </w:rPr>
              <w:tab/>
            </w:r>
            <w:r>
              <w:rPr>
                <w:noProof/>
                <w:webHidden/>
              </w:rPr>
              <w:fldChar w:fldCharType="begin"/>
            </w:r>
            <w:r>
              <w:rPr>
                <w:noProof/>
                <w:webHidden/>
              </w:rPr>
              <w:instrText xml:space="preserve"> PAGEREF _Toc232034627 \h </w:instrText>
            </w:r>
            <w:r>
              <w:rPr>
                <w:noProof/>
                <w:webHidden/>
              </w:rPr>
            </w:r>
            <w:r>
              <w:rPr>
                <w:noProof/>
                <w:webHidden/>
              </w:rPr>
              <w:fldChar w:fldCharType="separate"/>
            </w:r>
            <w:r>
              <w:rPr>
                <w:noProof/>
                <w:webHidden/>
              </w:rPr>
              <w:t>31</w:t>
            </w:r>
            <w:r>
              <w:rPr>
                <w:noProof/>
                <w:webHidden/>
              </w:rPr>
              <w:fldChar w:fldCharType="end"/>
            </w:r>
          </w:hyperlink>
        </w:p>
        <w:p w14:paraId="23CAE1FE" w14:textId="3A2B12EC" w:rsidR="008172AC" w:rsidRDefault="008172AC">
          <w:pPr>
            <w:pStyle w:val="TOC1"/>
            <w:tabs>
              <w:tab w:val="right" w:leader="dot" w:pos="9016"/>
            </w:tabs>
            <w:rPr>
              <w:rFonts w:eastAsiaTheme="minorEastAsia"/>
              <w:noProof/>
              <w:sz w:val="24"/>
              <w:szCs w:val="24"/>
              <w:lang w:eastAsia="en-IN" w:bidi="gu-IN"/>
            </w:rPr>
          </w:pPr>
          <w:hyperlink w:anchor="_Toc232034628" w:history="1">
            <w:r w:rsidRPr="00584B49">
              <w:rPr>
                <w:rStyle w:val="Hyperlink"/>
                <w:rFonts w:ascii="Arial" w:hAnsi="Arial" w:cs="Arial"/>
                <w:b/>
                <w:bCs/>
                <w:noProof/>
              </w:rPr>
              <w:t>Chapter 4 Result</w:t>
            </w:r>
            <w:r>
              <w:rPr>
                <w:noProof/>
                <w:webHidden/>
              </w:rPr>
              <w:tab/>
            </w:r>
            <w:r>
              <w:rPr>
                <w:noProof/>
                <w:webHidden/>
              </w:rPr>
              <w:fldChar w:fldCharType="begin"/>
            </w:r>
            <w:r>
              <w:rPr>
                <w:noProof/>
                <w:webHidden/>
              </w:rPr>
              <w:instrText xml:space="preserve"> PAGEREF _Toc232034628 \h </w:instrText>
            </w:r>
            <w:r>
              <w:rPr>
                <w:noProof/>
                <w:webHidden/>
              </w:rPr>
            </w:r>
            <w:r>
              <w:rPr>
                <w:noProof/>
                <w:webHidden/>
              </w:rPr>
              <w:fldChar w:fldCharType="separate"/>
            </w:r>
            <w:r>
              <w:rPr>
                <w:noProof/>
                <w:webHidden/>
              </w:rPr>
              <w:t>32</w:t>
            </w:r>
            <w:r>
              <w:rPr>
                <w:noProof/>
                <w:webHidden/>
              </w:rPr>
              <w:fldChar w:fldCharType="end"/>
            </w:r>
          </w:hyperlink>
        </w:p>
        <w:p w14:paraId="394C8638" w14:textId="0867E789" w:rsidR="008172AC" w:rsidRDefault="008172AC">
          <w:pPr>
            <w:pStyle w:val="TOC2"/>
            <w:tabs>
              <w:tab w:val="right" w:leader="dot" w:pos="9016"/>
            </w:tabs>
            <w:rPr>
              <w:rFonts w:eastAsiaTheme="minorEastAsia"/>
              <w:noProof/>
              <w:sz w:val="24"/>
              <w:szCs w:val="24"/>
              <w:lang w:eastAsia="en-IN" w:bidi="gu-IN"/>
            </w:rPr>
          </w:pPr>
          <w:hyperlink w:anchor="_Toc232034629" w:history="1">
            <w:r w:rsidRPr="00584B49">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_Toc232034629 \h </w:instrText>
            </w:r>
            <w:r>
              <w:rPr>
                <w:noProof/>
                <w:webHidden/>
              </w:rPr>
            </w:r>
            <w:r>
              <w:rPr>
                <w:noProof/>
                <w:webHidden/>
              </w:rPr>
              <w:fldChar w:fldCharType="separate"/>
            </w:r>
            <w:r>
              <w:rPr>
                <w:noProof/>
                <w:webHidden/>
              </w:rPr>
              <w:t>32</w:t>
            </w:r>
            <w:r>
              <w:rPr>
                <w:noProof/>
                <w:webHidden/>
              </w:rPr>
              <w:fldChar w:fldCharType="end"/>
            </w:r>
          </w:hyperlink>
        </w:p>
        <w:p w14:paraId="47C5EDFB" w14:textId="0FDB901A" w:rsidR="008172AC" w:rsidRDefault="008172AC">
          <w:pPr>
            <w:pStyle w:val="TOC2"/>
            <w:tabs>
              <w:tab w:val="right" w:leader="dot" w:pos="9016"/>
            </w:tabs>
            <w:rPr>
              <w:rFonts w:eastAsiaTheme="minorEastAsia"/>
              <w:noProof/>
              <w:sz w:val="24"/>
              <w:szCs w:val="24"/>
              <w:lang w:eastAsia="en-IN" w:bidi="gu-IN"/>
            </w:rPr>
          </w:pPr>
          <w:hyperlink w:anchor="_Toc232034630" w:history="1">
            <w:r w:rsidRPr="00584B49">
              <w:rPr>
                <w:rStyle w:val="Hyperlink"/>
                <w:rFonts w:ascii="Arial" w:hAnsi="Arial" w:cs="Arial"/>
                <w:b/>
                <w:bCs/>
                <w:noProof/>
              </w:rPr>
              <w:t>4.2 Characteristics of Included Studies</w:t>
            </w:r>
            <w:r>
              <w:rPr>
                <w:noProof/>
                <w:webHidden/>
              </w:rPr>
              <w:tab/>
            </w:r>
            <w:r>
              <w:rPr>
                <w:noProof/>
                <w:webHidden/>
              </w:rPr>
              <w:fldChar w:fldCharType="begin"/>
            </w:r>
            <w:r>
              <w:rPr>
                <w:noProof/>
                <w:webHidden/>
              </w:rPr>
              <w:instrText xml:space="preserve"> PAGEREF _Toc232034630 \h </w:instrText>
            </w:r>
            <w:r>
              <w:rPr>
                <w:noProof/>
                <w:webHidden/>
              </w:rPr>
            </w:r>
            <w:r>
              <w:rPr>
                <w:noProof/>
                <w:webHidden/>
              </w:rPr>
              <w:fldChar w:fldCharType="separate"/>
            </w:r>
            <w:r>
              <w:rPr>
                <w:noProof/>
                <w:webHidden/>
              </w:rPr>
              <w:t>32</w:t>
            </w:r>
            <w:r>
              <w:rPr>
                <w:noProof/>
                <w:webHidden/>
              </w:rPr>
              <w:fldChar w:fldCharType="end"/>
            </w:r>
          </w:hyperlink>
        </w:p>
        <w:p w14:paraId="0F4795A5" w14:textId="63A0D5B9" w:rsidR="008172AC" w:rsidRDefault="008172AC">
          <w:pPr>
            <w:pStyle w:val="TOC3"/>
            <w:tabs>
              <w:tab w:val="right" w:leader="dot" w:pos="9016"/>
            </w:tabs>
            <w:rPr>
              <w:rFonts w:eastAsiaTheme="minorEastAsia"/>
              <w:noProof/>
              <w:sz w:val="24"/>
              <w:szCs w:val="24"/>
              <w:lang w:eastAsia="en-IN" w:bidi="gu-IN"/>
            </w:rPr>
          </w:pPr>
          <w:hyperlink w:anchor="_Toc232034631" w:history="1">
            <w:r w:rsidRPr="00584B49">
              <w:rPr>
                <w:rStyle w:val="Hyperlink"/>
                <w:rFonts w:ascii="Arial" w:hAnsi="Arial" w:cs="Arial"/>
                <w:b/>
                <w:bCs/>
                <w:noProof/>
              </w:rPr>
              <w:t>4.2.1  Digital Health Interventions for Dementia Prevention</w:t>
            </w:r>
            <w:r>
              <w:rPr>
                <w:noProof/>
                <w:webHidden/>
              </w:rPr>
              <w:tab/>
            </w:r>
            <w:r>
              <w:rPr>
                <w:noProof/>
                <w:webHidden/>
              </w:rPr>
              <w:fldChar w:fldCharType="begin"/>
            </w:r>
            <w:r>
              <w:rPr>
                <w:noProof/>
                <w:webHidden/>
              </w:rPr>
              <w:instrText xml:space="preserve"> PAGEREF _Toc232034631 \h </w:instrText>
            </w:r>
            <w:r>
              <w:rPr>
                <w:noProof/>
                <w:webHidden/>
              </w:rPr>
            </w:r>
            <w:r>
              <w:rPr>
                <w:noProof/>
                <w:webHidden/>
              </w:rPr>
              <w:fldChar w:fldCharType="separate"/>
            </w:r>
            <w:r>
              <w:rPr>
                <w:noProof/>
                <w:webHidden/>
              </w:rPr>
              <w:t>33</w:t>
            </w:r>
            <w:r>
              <w:rPr>
                <w:noProof/>
                <w:webHidden/>
              </w:rPr>
              <w:fldChar w:fldCharType="end"/>
            </w:r>
          </w:hyperlink>
        </w:p>
        <w:p w14:paraId="48449E27" w14:textId="63901AB7" w:rsidR="008172AC" w:rsidRDefault="008172AC">
          <w:pPr>
            <w:pStyle w:val="TOC1"/>
            <w:tabs>
              <w:tab w:val="right" w:leader="dot" w:pos="9016"/>
            </w:tabs>
            <w:rPr>
              <w:rFonts w:eastAsiaTheme="minorEastAsia"/>
              <w:noProof/>
              <w:sz w:val="24"/>
              <w:szCs w:val="24"/>
              <w:lang w:eastAsia="en-IN" w:bidi="gu-IN"/>
            </w:rPr>
          </w:pPr>
          <w:hyperlink w:anchor="_Toc232034632" w:history="1">
            <w:r w:rsidRPr="00584B49">
              <w:rPr>
                <w:rStyle w:val="Hyperlink"/>
                <w:rFonts w:ascii="Arial" w:hAnsi="Arial" w:cs="Arial"/>
                <w:b/>
                <w:bCs/>
                <w:noProof/>
              </w:rPr>
              <w:t>4.3 Digital Engagement and Adherence</w:t>
            </w:r>
            <w:r>
              <w:rPr>
                <w:noProof/>
                <w:webHidden/>
              </w:rPr>
              <w:tab/>
            </w:r>
            <w:r>
              <w:rPr>
                <w:noProof/>
                <w:webHidden/>
              </w:rPr>
              <w:fldChar w:fldCharType="begin"/>
            </w:r>
            <w:r>
              <w:rPr>
                <w:noProof/>
                <w:webHidden/>
              </w:rPr>
              <w:instrText xml:space="preserve"> PAGEREF _Toc232034632 \h </w:instrText>
            </w:r>
            <w:r>
              <w:rPr>
                <w:noProof/>
                <w:webHidden/>
              </w:rPr>
            </w:r>
            <w:r>
              <w:rPr>
                <w:noProof/>
                <w:webHidden/>
              </w:rPr>
              <w:fldChar w:fldCharType="separate"/>
            </w:r>
            <w:r>
              <w:rPr>
                <w:noProof/>
                <w:webHidden/>
              </w:rPr>
              <w:t>35</w:t>
            </w:r>
            <w:r>
              <w:rPr>
                <w:noProof/>
                <w:webHidden/>
              </w:rPr>
              <w:fldChar w:fldCharType="end"/>
            </w:r>
          </w:hyperlink>
        </w:p>
        <w:p w14:paraId="0B741563" w14:textId="6A5D9D79" w:rsidR="008172AC" w:rsidRDefault="008172AC">
          <w:pPr>
            <w:pStyle w:val="TOC3"/>
            <w:tabs>
              <w:tab w:val="right" w:leader="dot" w:pos="9016"/>
            </w:tabs>
            <w:rPr>
              <w:rFonts w:eastAsiaTheme="minorEastAsia"/>
              <w:noProof/>
              <w:sz w:val="24"/>
              <w:szCs w:val="24"/>
              <w:lang w:eastAsia="en-IN" w:bidi="gu-IN"/>
            </w:rPr>
          </w:pPr>
          <w:hyperlink w:anchor="_Toc232034633" w:history="1">
            <w:r w:rsidRPr="00584B49">
              <w:rPr>
                <w:rStyle w:val="Hyperlink"/>
                <w:rFonts w:ascii="Arial" w:hAnsi="Arial" w:cs="Arial"/>
                <w:b/>
                <w:bCs/>
                <w:noProof/>
              </w:rPr>
              <w:t>4.3.1 Factors Influencing User Engagement</w:t>
            </w:r>
            <w:r>
              <w:rPr>
                <w:noProof/>
                <w:webHidden/>
              </w:rPr>
              <w:tab/>
            </w:r>
            <w:r>
              <w:rPr>
                <w:noProof/>
                <w:webHidden/>
              </w:rPr>
              <w:fldChar w:fldCharType="begin"/>
            </w:r>
            <w:r>
              <w:rPr>
                <w:noProof/>
                <w:webHidden/>
              </w:rPr>
              <w:instrText xml:space="preserve"> PAGEREF _Toc232034633 \h </w:instrText>
            </w:r>
            <w:r>
              <w:rPr>
                <w:noProof/>
                <w:webHidden/>
              </w:rPr>
            </w:r>
            <w:r>
              <w:rPr>
                <w:noProof/>
                <w:webHidden/>
              </w:rPr>
              <w:fldChar w:fldCharType="separate"/>
            </w:r>
            <w:r>
              <w:rPr>
                <w:noProof/>
                <w:webHidden/>
              </w:rPr>
              <w:t>35</w:t>
            </w:r>
            <w:r>
              <w:rPr>
                <w:noProof/>
                <w:webHidden/>
              </w:rPr>
              <w:fldChar w:fldCharType="end"/>
            </w:r>
          </w:hyperlink>
        </w:p>
        <w:p w14:paraId="7F653AEC" w14:textId="564527AC" w:rsidR="008172AC" w:rsidRDefault="008172AC">
          <w:pPr>
            <w:pStyle w:val="TOC3"/>
            <w:tabs>
              <w:tab w:val="right" w:leader="dot" w:pos="9016"/>
            </w:tabs>
            <w:rPr>
              <w:rFonts w:eastAsiaTheme="minorEastAsia"/>
              <w:noProof/>
              <w:sz w:val="24"/>
              <w:szCs w:val="24"/>
              <w:lang w:eastAsia="en-IN" w:bidi="gu-IN"/>
            </w:rPr>
          </w:pPr>
          <w:hyperlink w:anchor="_Toc232034634" w:history="1">
            <w:r w:rsidRPr="00584B49">
              <w:rPr>
                <w:rStyle w:val="Hyperlink"/>
                <w:rFonts w:ascii="Arial" w:hAnsi="Arial" w:cs="Arial"/>
                <w:b/>
                <w:bCs/>
                <w:noProof/>
              </w:rPr>
              <w:t>4.3.2 Sustained Participation and Long-Term Adherence</w:t>
            </w:r>
            <w:r>
              <w:rPr>
                <w:noProof/>
                <w:webHidden/>
              </w:rPr>
              <w:tab/>
            </w:r>
            <w:r>
              <w:rPr>
                <w:noProof/>
                <w:webHidden/>
              </w:rPr>
              <w:fldChar w:fldCharType="begin"/>
            </w:r>
            <w:r>
              <w:rPr>
                <w:noProof/>
                <w:webHidden/>
              </w:rPr>
              <w:instrText xml:space="preserve"> PAGEREF _Toc232034634 \h </w:instrText>
            </w:r>
            <w:r>
              <w:rPr>
                <w:noProof/>
                <w:webHidden/>
              </w:rPr>
            </w:r>
            <w:r>
              <w:rPr>
                <w:noProof/>
                <w:webHidden/>
              </w:rPr>
              <w:fldChar w:fldCharType="separate"/>
            </w:r>
            <w:r>
              <w:rPr>
                <w:noProof/>
                <w:webHidden/>
              </w:rPr>
              <w:t>36</w:t>
            </w:r>
            <w:r>
              <w:rPr>
                <w:noProof/>
                <w:webHidden/>
              </w:rPr>
              <w:fldChar w:fldCharType="end"/>
            </w:r>
          </w:hyperlink>
        </w:p>
        <w:p w14:paraId="69926645" w14:textId="17203F04" w:rsidR="008172AC" w:rsidRDefault="008172AC">
          <w:pPr>
            <w:pStyle w:val="TOC3"/>
            <w:tabs>
              <w:tab w:val="right" w:leader="dot" w:pos="9016"/>
            </w:tabs>
            <w:rPr>
              <w:rFonts w:eastAsiaTheme="minorEastAsia"/>
              <w:noProof/>
              <w:sz w:val="24"/>
              <w:szCs w:val="24"/>
              <w:lang w:eastAsia="en-IN" w:bidi="gu-IN"/>
            </w:rPr>
          </w:pPr>
          <w:hyperlink w:anchor="_Toc232034635" w:history="1">
            <w:r w:rsidRPr="00584B49">
              <w:rPr>
                <w:rStyle w:val="Hyperlink"/>
                <w:rFonts w:ascii="Arial" w:hAnsi="Arial" w:cs="Arial"/>
                <w:b/>
                <w:bCs/>
                <w:noProof/>
              </w:rPr>
              <w:t>4.3.3 Synthesis of Digital Engagement and Adherence</w:t>
            </w:r>
            <w:r>
              <w:rPr>
                <w:noProof/>
                <w:webHidden/>
              </w:rPr>
              <w:tab/>
            </w:r>
            <w:r>
              <w:rPr>
                <w:noProof/>
                <w:webHidden/>
              </w:rPr>
              <w:fldChar w:fldCharType="begin"/>
            </w:r>
            <w:r>
              <w:rPr>
                <w:noProof/>
                <w:webHidden/>
              </w:rPr>
              <w:instrText xml:space="preserve"> PAGEREF _Toc232034635 \h </w:instrText>
            </w:r>
            <w:r>
              <w:rPr>
                <w:noProof/>
                <w:webHidden/>
              </w:rPr>
            </w:r>
            <w:r>
              <w:rPr>
                <w:noProof/>
                <w:webHidden/>
              </w:rPr>
              <w:fldChar w:fldCharType="separate"/>
            </w:r>
            <w:r>
              <w:rPr>
                <w:noProof/>
                <w:webHidden/>
              </w:rPr>
              <w:t>36</w:t>
            </w:r>
            <w:r>
              <w:rPr>
                <w:noProof/>
                <w:webHidden/>
              </w:rPr>
              <w:fldChar w:fldCharType="end"/>
            </w:r>
          </w:hyperlink>
        </w:p>
        <w:p w14:paraId="306A4CB2" w14:textId="62EA6F0F" w:rsidR="008172AC" w:rsidRDefault="008172AC">
          <w:pPr>
            <w:pStyle w:val="TOC2"/>
            <w:tabs>
              <w:tab w:val="right" w:leader="dot" w:pos="9016"/>
            </w:tabs>
            <w:rPr>
              <w:rFonts w:eastAsiaTheme="minorEastAsia"/>
              <w:noProof/>
              <w:sz w:val="24"/>
              <w:szCs w:val="24"/>
              <w:lang w:eastAsia="en-IN" w:bidi="gu-IN"/>
            </w:rPr>
          </w:pPr>
          <w:hyperlink w:anchor="_Toc232034636" w:history="1">
            <w:r w:rsidRPr="00584B49">
              <w:rPr>
                <w:rStyle w:val="Hyperlink"/>
                <w:rFonts w:ascii="Arial" w:hAnsi="Arial" w:cs="Arial"/>
                <w:b/>
                <w:bCs/>
                <w:noProof/>
              </w:rPr>
              <w:t>4.4 Barriers and Facilitators Influencing Digital Health Engagement</w:t>
            </w:r>
            <w:r>
              <w:rPr>
                <w:noProof/>
                <w:webHidden/>
              </w:rPr>
              <w:tab/>
            </w:r>
            <w:r>
              <w:rPr>
                <w:noProof/>
                <w:webHidden/>
              </w:rPr>
              <w:fldChar w:fldCharType="begin"/>
            </w:r>
            <w:r>
              <w:rPr>
                <w:noProof/>
                <w:webHidden/>
              </w:rPr>
              <w:instrText xml:space="preserve"> PAGEREF _Toc232034636 \h </w:instrText>
            </w:r>
            <w:r>
              <w:rPr>
                <w:noProof/>
                <w:webHidden/>
              </w:rPr>
            </w:r>
            <w:r>
              <w:rPr>
                <w:noProof/>
                <w:webHidden/>
              </w:rPr>
              <w:fldChar w:fldCharType="separate"/>
            </w:r>
            <w:r>
              <w:rPr>
                <w:noProof/>
                <w:webHidden/>
              </w:rPr>
              <w:t>37</w:t>
            </w:r>
            <w:r>
              <w:rPr>
                <w:noProof/>
                <w:webHidden/>
              </w:rPr>
              <w:fldChar w:fldCharType="end"/>
            </w:r>
          </w:hyperlink>
        </w:p>
        <w:p w14:paraId="790D0427" w14:textId="3E4DCD89" w:rsidR="008172AC" w:rsidRDefault="008172AC">
          <w:pPr>
            <w:pStyle w:val="TOC3"/>
            <w:tabs>
              <w:tab w:val="right" w:leader="dot" w:pos="9016"/>
            </w:tabs>
            <w:rPr>
              <w:rFonts w:eastAsiaTheme="minorEastAsia"/>
              <w:noProof/>
              <w:sz w:val="24"/>
              <w:szCs w:val="24"/>
              <w:lang w:eastAsia="en-IN" w:bidi="gu-IN"/>
            </w:rPr>
          </w:pPr>
          <w:hyperlink w:anchor="_Toc232034637" w:history="1">
            <w:r w:rsidRPr="00584B49">
              <w:rPr>
                <w:rStyle w:val="Hyperlink"/>
                <w:rFonts w:ascii="Arial" w:hAnsi="Arial" w:cs="Arial"/>
                <w:b/>
                <w:bCs/>
                <w:noProof/>
              </w:rPr>
              <w:t>4.4.1 Digital Literacy, Confidence and Motivation</w:t>
            </w:r>
            <w:r>
              <w:rPr>
                <w:noProof/>
                <w:webHidden/>
              </w:rPr>
              <w:tab/>
            </w:r>
            <w:r>
              <w:rPr>
                <w:noProof/>
                <w:webHidden/>
              </w:rPr>
              <w:fldChar w:fldCharType="begin"/>
            </w:r>
            <w:r>
              <w:rPr>
                <w:noProof/>
                <w:webHidden/>
              </w:rPr>
              <w:instrText xml:space="preserve"> PAGEREF _Toc232034637 \h </w:instrText>
            </w:r>
            <w:r>
              <w:rPr>
                <w:noProof/>
                <w:webHidden/>
              </w:rPr>
            </w:r>
            <w:r>
              <w:rPr>
                <w:noProof/>
                <w:webHidden/>
              </w:rPr>
              <w:fldChar w:fldCharType="separate"/>
            </w:r>
            <w:r>
              <w:rPr>
                <w:noProof/>
                <w:webHidden/>
              </w:rPr>
              <w:t>37</w:t>
            </w:r>
            <w:r>
              <w:rPr>
                <w:noProof/>
                <w:webHidden/>
              </w:rPr>
              <w:fldChar w:fldCharType="end"/>
            </w:r>
          </w:hyperlink>
        </w:p>
        <w:p w14:paraId="036554EB" w14:textId="3855ED23" w:rsidR="008172AC" w:rsidRDefault="008172AC">
          <w:pPr>
            <w:pStyle w:val="TOC3"/>
            <w:tabs>
              <w:tab w:val="right" w:leader="dot" w:pos="9016"/>
            </w:tabs>
            <w:rPr>
              <w:rFonts w:eastAsiaTheme="minorEastAsia"/>
              <w:noProof/>
              <w:sz w:val="24"/>
              <w:szCs w:val="24"/>
              <w:lang w:eastAsia="en-IN" w:bidi="gu-IN"/>
            </w:rPr>
          </w:pPr>
          <w:hyperlink w:anchor="_Toc232034638" w:history="1">
            <w:r w:rsidRPr="00584B49">
              <w:rPr>
                <w:rStyle w:val="Hyperlink"/>
                <w:rFonts w:ascii="Arial" w:hAnsi="Arial" w:cs="Arial"/>
                <w:b/>
                <w:bCs/>
                <w:noProof/>
              </w:rPr>
              <w:t>4.4.2 Usability, Accessibility and Cognitive Challenges</w:t>
            </w:r>
            <w:r>
              <w:rPr>
                <w:noProof/>
                <w:webHidden/>
              </w:rPr>
              <w:tab/>
            </w:r>
            <w:r>
              <w:rPr>
                <w:noProof/>
                <w:webHidden/>
              </w:rPr>
              <w:fldChar w:fldCharType="begin"/>
            </w:r>
            <w:r>
              <w:rPr>
                <w:noProof/>
                <w:webHidden/>
              </w:rPr>
              <w:instrText xml:space="preserve"> PAGEREF _Toc232034638 \h </w:instrText>
            </w:r>
            <w:r>
              <w:rPr>
                <w:noProof/>
                <w:webHidden/>
              </w:rPr>
            </w:r>
            <w:r>
              <w:rPr>
                <w:noProof/>
                <w:webHidden/>
              </w:rPr>
              <w:fldChar w:fldCharType="separate"/>
            </w:r>
            <w:r>
              <w:rPr>
                <w:noProof/>
                <w:webHidden/>
              </w:rPr>
              <w:t>38</w:t>
            </w:r>
            <w:r>
              <w:rPr>
                <w:noProof/>
                <w:webHidden/>
              </w:rPr>
              <w:fldChar w:fldCharType="end"/>
            </w:r>
          </w:hyperlink>
        </w:p>
        <w:p w14:paraId="61775B83" w14:textId="206412DC" w:rsidR="008172AC" w:rsidRDefault="008172AC">
          <w:pPr>
            <w:pStyle w:val="TOC3"/>
            <w:tabs>
              <w:tab w:val="right" w:leader="dot" w:pos="9016"/>
            </w:tabs>
            <w:rPr>
              <w:rFonts w:eastAsiaTheme="minorEastAsia"/>
              <w:noProof/>
              <w:sz w:val="24"/>
              <w:szCs w:val="24"/>
              <w:lang w:eastAsia="en-IN" w:bidi="gu-IN"/>
            </w:rPr>
          </w:pPr>
          <w:hyperlink w:anchor="_Toc232034639" w:history="1">
            <w:r w:rsidRPr="00584B49">
              <w:rPr>
                <w:rStyle w:val="Hyperlink"/>
                <w:rFonts w:ascii="Arial" w:hAnsi="Arial" w:cs="Arial"/>
                <w:b/>
                <w:bCs/>
                <w:noProof/>
              </w:rPr>
              <w:t>4.4.3 Influence of Cognitive Load and Technology Complexity</w:t>
            </w:r>
            <w:r>
              <w:rPr>
                <w:noProof/>
                <w:webHidden/>
              </w:rPr>
              <w:tab/>
            </w:r>
            <w:r>
              <w:rPr>
                <w:noProof/>
                <w:webHidden/>
              </w:rPr>
              <w:fldChar w:fldCharType="begin"/>
            </w:r>
            <w:r>
              <w:rPr>
                <w:noProof/>
                <w:webHidden/>
              </w:rPr>
              <w:instrText xml:space="preserve"> PAGEREF _Toc232034639 \h </w:instrText>
            </w:r>
            <w:r>
              <w:rPr>
                <w:noProof/>
                <w:webHidden/>
              </w:rPr>
            </w:r>
            <w:r>
              <w:rPr>
                <w:noProof/>
                <w:webHidden/>
              </w:rPr>
              <w:fldChar w:fldCharType="separate"/>
            </w:r>
            <w:r>
              <w:rPr>
                <w:noProof/>
                <w:webHidden/>
              </w:rPr>
              <w:t>39</w:t>
            </w:r>
            <w:r>
              <w:rPr>
                <w:noProof/>
                <w:webHidden/>
              </w:rPr>
              <w:fldChar w:fldCharType="end"/>
            </w:r>
          </w:hyperlink>
        </w:p>
        <w:p w14:paraId="3AFEADDF" w14:textId="04F921CB" w:rsidR="008172AC" w:rsidRDefault="008172AC">
          <w:pPr>
            <w:pStyle w:val="TOC3"/>
            <w:tabs>
              <w:tab w:val="right" w:leader="dot" w:pos="9016"/>
            </w:tabs>
            <w:rPr>
              <w:rFonts w:eastAsiaTheme="minorEastAsia"/>
              <w:noProof/>
              <w:sz w:val="24"/>
              <w:szCs w:val="24"/>
              <w:lang w:eastAsia="en-IN" w:bidi="gu-IN"/>
            </w:rPr>
          </w:pPr>
          <w:hyperlink w:anchor="_Toc232034640" w:history="1">
            <w:r w:rsidRPr="00584B49">
              <w:rPr>
                <w:rStyle w:val="Hyperlink"/>
                <w:rFonts w:ascii="Arial" w:hAnsi="Arial" w:cs="Arial"/>
                <w:b/>
                <w:bCs/>
                <w:noProof/>
              </w:rPr>
              <w:t>4.4.4 Synthesis of Barriers and Facilitators Influencing Digital Health Engagement</w:t>
            </w:r>
            <w:r>
              <w:rPr>
                <w:noProof/>
                <w:webHidden/>
              </w:rPr>
              <w:tab/>
            </w:r>
            <w:r>
              <w:rPr>
                <w:noProof/>
                <w:webHidden/>
              </w:rPr>
              <w:fldChar w:fldCharType="begin"/>
            </w:r>
            <w:r>
              <w:rPr>
                <w:noProof/>
                <w:webHidden/>
              </w:rPr>
              <w:instrText xml:space="preserve"> PAGEREF _Toc232034640 \h </w:instrText>
            </w:r>
            <w:r>
              <w:rPr>
                <w:noProof/>
                <w:webHidden/>
              </w:rPr>
            </w:r>
            <w:r>
              <w:rPr>
                <w:noProof/>
                <w:webHidden/>
              </w:rPr>
              <w:fldChar w:fldCharType="separate"/>
            </w:r>
            <w:r>
              <w:rPr>
                <w:noProof/>
                <w:webHidden/>
              </w:rPr>
              <w:t>39</w:t>
            </w:r>
            <w:r>
              <w:rPr>
                <w:noProof/>
                <w:webHidden/>
              </w:rPr>
              <w:fldChar w:fldCharType="end"/>
            </w:r>
          </w:hyperlink>
        </w:p>
        <w:p w14:paraId="57611276" w14:textId="5388516E" w:rsidR="008172AC" w:rsidRDefault="008172AC">
          <w:pPr>
            <w:pStyle w:val="TOC2"/>
            <w:tabs>
              <w:tab w:val="right" w:leader="dot" w:pos="9016"/>
            </w:tabs>
            <w:rPr>
              <w:rFonts w:eastAsiaTheme="minorEastAsia"/>
              <w:noProof/>
              <w:sz w:val="24"/>
              <w:szCs w:val="24"/>
              <w:lang w:eastAsia="en-IN" w:bidi="gu-IN"/>
            </w:rPr>
          </w:pPr>
          <w:hyperlink w:anchor="_Toc232034641" w:history="1">
            <w:r w:rsidRPr="00584B49">
              <w:rPr>
                <w:rStyle w:val="Hyperlink"/>
                <w:rFonts w:ascii="Arial" w:hAnsi="Arial" w:cs="Arial"/>
                <w:b/>
                <w:bCs/>
                <w:noProof/>
              </w:rPr>
              <w:t>4.5 Impact of Digital Health Technologies on Cognitive Health and Dementia Risk</w:t>
            </w:r>
            <w:r>
              <w:rPr>
                <w:noProof/>
                <w:webHidden/>
              </w:rPr>
              <w:tab/>
            </w:r>
            <w:r>
              <w:rPr>
                <w:noProof/>
                <w:webHidden/>
              </w:rPr>
              <w:fldChar w:fldCharType="begin"/>
            </w:r>
            <w:r>
              <w:rPr>
                <w:noProof/>
                <w:webHidden/>
              </w:rPr>
              <w:instrText xml:space="preserve"> PAGEREF _Toc232034641 \h </w:instrText>
            </w:r>
            <w:r>
              <w:rPr>
                <w:noProof/>
                <w:webHidden/>
              </w:rPr>
            </w:r>
            <w:r>
              <w:rPr>
                <w:noProof/>
                <w:webHidden/>
              </w:rPr>
              <w:fldChar w:fldCharType="separate"/>
            </w:r>
            <w:r>
              <w:rPr>
                <w:noProof/>
                <w:webHidden/>
              </w:rPr>
              <w:t>40</w:t>
            </w:r>
            <w:r>
              <w:rPr>
                <w:noProof/>
                <w:webHidden/>
              </w:rPr>
              <w:fldChar w:fldCharType="end"/>
            </w:r>
          </w:hyperlink>
        </w:p>
        <w:p w14:paraId="420E1986" w14:textId="7B316284" w:rsidR="008172AC" w:rsidRDefault="008172AC">
          <w:pPr>
            <w:pStyle w:val="TOC3"/>
            <w:tabs>
              <w:tab w:val="right" w:leader="dot" w:pos="9016"/>
            </w:tabs>
            <w:rPr>
              <w:rFonts w:eastAsiaTheme="minorEastAsia"/>
              <w:noProof/>
              <w:sz w:val="24"/>
              <w:szCs w:val="24"/>
              <w:lang w:eastAsia="en-IN" w:bidi="gu-IN"/>
            </w:rPr>
          </w:pPr>
          <w:hyperlink w:anchor="_Toc232034642" w:history="1">
            <w:r w:rsidRPr="00584B49">
              <w:rPr>
                <w:rStyle w:val="Hyperlink"/>
                <w:rFonts w:ascii="Arial" w:hAnsi="Arial" w:cs="Arial"/>
                <w:b/>
                <w:bCs/>
                <w:noProof/>
              </w:rPr>
              <w:t>4.5.1 Cognitive Health Outcomes</w:t>
            </w:r>
            <w:r>
              <w:rPr>
                <w:noProof/>
                <w:webHidden/>
              </w:rPr>
              <w:tab/>
            </w:r>
            <w:r>
              <w:rPr>
                <w:noProof/>
                <w:webHidden/>
              </w:rPr>
              <w:fldChar w:fldCharType="begin"/>
            </w:r>
            <w:r>
              <w:rPr>
                <w:noProof/>
                <w:webHidden/>
              </w:rPr>
              <w:instrText xml:space="preserve"> PAGEREF _Toc232034642 \h </w:instrText>
            </w:r>
            <w:r>
              <w:rPr>
                <w:noProof/>
                <w:webHidden/>
              </w:rPr>
            </w:r>
            <w:r>
              <w:rPr>
                <w:noProof/>
                <w:webHidden/>
              </w:rPr>
              <w:fldChar w:fldCharType="separate"/>
            </w:r>
            <w:r>
              <w:rPr>
                <w:noProof/>
                <w:webHidden/>
              </w:rPr>
              <w:t>40</w:t>
            </w:r>
            <w:r>
              <w:rPr>
                <w:noProof/>
                <w:webHidden/>
              </w:rPr>
              <w:fldChar w:fldCharType="end"/>
            </w:r>
          </w:hyperlink>
        </w:p>
        <w:p w14:paraId="31F60FA9" w14:textId="2121A667" w:rsidR="008172AC" w:rsidRDefault="008172AC">
          <w:pPr>
            <w:pStyle w:val="TOC3"/>
            <w:tabs>
              <w:tab w:val="right" w:leader="dot" w:pos="9016"/>
            </w:tabs>
            <w:rPr>
              <w:rFonts w:eastAsiaTheme="minorEastAsia"/>
              <w:noProof/>
              <w:sz w:val="24"/>
              <w:szCs w:val="24"/>
              <w:lang w:eastAsia="en-IN" w:bidi="gu-IN"/>
            </w:rPr>
          </w:pPr>
          <w:hyperlink w:anchor="_Toc232034643" w:history="1">
            <w:r w:rsidRPr="00584B49">
              <w:rPr>
                <w:rStyle w:val="Hyperlink"/>
                <w:rFonts w:ascii="Arial" w:hAnsi="Arial" w:cs="Arial"/>
                <w:b/>
                <w:bCs/>
                <w:noProof/>
              </w:rPr>
              <w:t>4.5.2 Dementia Risk Reduction Through Behavioural Change</w:t>
            </w:r>
            <w:r>
              <w:rPr>
                <w:noProof/>
                <w:webHidden/>
              </w:rPr>
              <w:tab/>
            </w:r>
            <w:r>
              <w:rPr>
                <w:noProof/>
                <w:webHidden/>
              </w:rPr>
              <w:fldChar w:fldCharType="begin"/>
            </w:r>
            <w:r>
              <w:rPr>
                <w:noProof/>
                <w:webHidden/>
              </w:rPr>
              <w:instrText xml:space="preserve"> PAGEREF _Toc232034643 \h </w:instrText>
            </w:r>
            <w:r>
              <w:rPr>
                <w:noProof/>
                <w:webHidden/>
              </w:rPr>
            </w:r>
            <w:r>
              <w:rPr>
                <w:noProof/>
                <w:webHidden/>
              </w:rPr>
              <w:fldChar w:fldCharType="separate"/>
            </w:r>
            <w:r>
              <w:rPr>
                <w:noProof/>
                <w:webHidden/>
              </w:rPr>
              <w:t>41</w:t>
            </w:r>
            <w:r>
              <w:rPr>
                <w:noProof/>
                <w:webHidden/>
              </w:rPr>
              <w:fldChar w:fldCharType="end"/>
            </w:r>
          </w:hyperlink>
        </w:p>
        <w:p w14:paraId="47C3820A" w14:textId="561F365B" w:rsidR="008172AC" w:rsidRDefault="008172AC">
          <w:pPr>
            <w:pStyle w:val="TOC3"/>
            <w:tabs>
              <w:tab w:val="right" w:leader="dot" w:pos="9016"/>
            </w:tabs>
            <w:rPr>
              <w:rFonts w:eastAsiaTheme="minorEastAsia"/>
              <w:noProof/>
              <w:sz w:val="24"/>
              <w:szCs w:val="24"/>
              <w:lang w:eastAsia="en-IN" w:bidi="gu-IN"/>
            </w:rPr>
          </w:pPr>
          <w:hyperlink w:anchor="_Toc232034644" w:history="1">
            <w:r w:rsidRPr="00584B49">
              <w:rPr>
                <w:rStyle w:val="Hyperlink"/>
                <w:rFonts w:ascii="Arial" w:hAnsi="Arial" w:cs="Arial"/>
                <w:b/>
                <w:bCs/>
                <w:noProof/>
              </w:rPr>
              <w:t>4.5.3 Technology Use and Healthy Ageing</w:t>
            </w:r>
            <w:r>
              <w:rPr>
                <w:noProof/>
                <w:webHidden/>
              </w:rPr>
              <w:tab/>
            </w:r>
            <w:r>
              <w:rPr>
                <w:noProof/>
                <w:webHidden/>
              </w:rPr>
              <w:fldChar w:fldCharType="begin"/>
            </w:r>
            <w:r>
              <w:rPr>
                <w:noProof/>
                <w:webHidden/>
              </w:rPr>
              <w:instrText xml:space="preserve"> PAGEREF _Toc232034644 \h </w:instrText>
            </w:r>
            <w:r>
              <w:rPr>
                <w:noProof/>
                <w:webHidden/>
              </w:rPr>
            </w:r>
            <w:r>
              <w:rPr>
                <w:noProof/>
                <w:webHidden/>
              </w:rPr>
              <w:fldChar w:fldCharType="separate"/>
            </w:r>
            <w:r>
              <w:rPr>
                <w:noProof/>
                <w:webHidden/>
              </w:rPr>
              <w:t>42</w:t>
            </w:r>
            <w:r>
              <w:rPr>
                <w:noProof/>
                <w:webHidden/>
              </w:rPr>
              <w:fldChar w:fldCharType="end"/>
            </w:r>
          </w:hyperlink>
        </w:p>
        <w:p w14:paraId="32608397" w14:textId="54F1E299" w:rsidR="008172AC" w:rsidRDefault="008172AC">
          <w:pPr>
            <w:pStyle w:val="TOC3"/>
            <w:tabs>
              <w:tab w:val="right" w:leader="dot" w:pos="9016"/>
            </w:tabs>
            <w:rPr>
              <w:rFonts w:eastAsiaTheme="minorEastAsia"/>
              <w:noProof/>
              <w:sz w:val="24"/>
              <w:szCs w:val="24"/>
              <w:lang w:eastAsia="en-IN" w:bidi="gu-IN"/>
            </w:rPr>
          </w:pPr>
          <w:hyperlink w:anchor="_Toc232034645" w:history="1">
            <w:r w:rsidRPr="00584B49">
              <w:rPr>
                <w:rStyle w:val="Hyperlink"/>
                <w:rFonts w:ascii="Arial" w:hAnsi="Arial" w:cs="Arial"/>
                <w:b/>
                <w:bCs/>
                <w:noProof/>
              </w:rPr>
              <w:t>4.5.4 Synthesis of Cognitive Health and Dementia Risk Outcomes</w:t>
            </w:r>
            <w:r>
              <w:rPr>
                <w:noProof/>
                <w:webHidden/>
              </w:rPr>
              <w:tab/>
            </w:r>
            <w:r>
              <w:rPr>
                <w:noProof/>
                <w:webHidden/>
              </w:rPr>
              <w:fldChar w:fldCharType="begin"/>
            </w:r>
            <w:r>
              <w:rPr>
                <w:noProof/>
                <w:webHidden/>
              </w:rPr>
              <w:instrText xml:space="preserve"> PAGEREF _Toc232034645 \h </w:instrText>
            </w:r>
            <w:r>
              <w:rPr>
                <w:noProof/>
                <w:webHidden/>
              </w:rPr>
            </w:r>
            <w:r>
              <w:rPr>
                <w:noProof/>
                <w:webHidden/>
              </w:rPr>
              <w:fldChar w:fldCharType="separate"/>
            </w:r>
            <w:r>
              <w:rPr>
                <w:noProof/>
                <w:webHidden/>
              </w:rPr>
              <w:t>42</w:t>
            </w:r>
            <w:r>
              <w:rPr>
                <w:noProof/>
                <w:webHidden/>
              </w:rPr>
              <w:fldChar w:fldCharType="end"/>
            </w:r>
          </w:hyperlink>
        </w:p>
        <w:p w14:paraId="3BA4F60C" w14:textId="2B0E9689" w:rsidR="008172AC" w:rsidRDefault="008172AC">
          <w:pPr>
            <w:pStyle w:val="TOC2"/>
            <w:tabs>
              <w:tab w:val="right" w:leader="dot" w:pos="9016"/>
            </w:tabs>
            <w:rPr>
              <w:rFonts w:eastAsiaTheme="minorEastAsia"/>
              <w:noProof/>
              <w:sz w:val="24"/>
              <w:szCs w:val="24"/>
              <w:lang w:eastAsia="en-IN" w:bidi="gu-IN"/>
            </w:rPr>
          </w:pPr>
          <w:hyperlink w:anchor="_Toc232034646" w:history="1">
            <w:r w:rsidRPr="00584B49">
              <w:rPr>
                <w:rStyle w:val="Hyperlink"/>
                <w:rFonts w:ascii="Arial" w:hAnsi="Arial" w:cs="Arial"/>
                <w:b/>
                <w:bCs/>
                <w:noProof/>
              </w:rPr>
              <w:t>4.6 Chapter Summary</w:t>
            </w:r>
            <w:r>
              <w:rPr>
                <w:noProof/>
                <w:webHidden/>
              </w:rPr>
              <w:tab/>
            </w:r>
            <w:r>
              <w:rPr>
                <w:noProof/>
                <w:webHidden/>
              </w:rPr>
              <w:fldChar w:fldCharType="begin"/>
            </w:r>
            <w:r>
              <w:rPr>
                <w:noProof/>
                <w:webHidden/>
              </w:rPr>
              <w:instrText xml:space="preserve"> PAGEREF _Toc232034646 \h </w:instrText>
            </w:r>
            <w:r>
              <w:rPr>
                <w:noProof/>
                <w:webHidden/>
              </w:rPr>
            </w:r>
            <w:r>
              <w:rPr>
                <w:noProof/>
                <w:webHidden/>
              </w:rPr>
              <w:fldChar w:fldCharType="separate"/>
            </w:r>
            <w:r>
              <w:rPr>
                <w:noProof/>
                <w:webHidden/>
              </w:rPr>
              <w:t>43</w:t>
            </w:r>
            <w:r>
              <w:rPr>
                <w:noProof/>
                <w:webHidden/>
              </w:rPr>
              <w:fldChar w:fldCharType="end"/>
            </w:r>
          </w:hyperlink>
        </w:p>
        <w:p w14:paraId="427FFB0F" w14:textId="6715DE44" w:rsidR="008172AC" w:rsidRDefault="008172AC">
          <w:pPr>
            <w:pStyle w:val="TOC1"/>
            <w:tabs>
              <w:tab w:val="right" w:leader="dot" w:pos="9016"/>
            </w:tabs>
            <w:rPr>
              <w:rFonts w:eastAsiaTheme="minorEastAsia"/>
              <w:noProof/>
              <w:sz w:val="24"/>
              <w:szCs w:val="24"/>
              <w:lang w:eastAsia="en-IN" w:bidi="gu-IN"/>
            </w:rPr>
          </w:pPr>
          <w:hyperlink w:anchor="_Toc232034647" w:history="1">
            <w:r w:rsidRPr="00584B49">
              <w:rPr>
                <w:rStyle w:val="Hyperlink"/>
                <w:rFonts w:ascii="Arial" w:hAnsi="Arial" w:cs="Arial"/>
                <w:b/>
                <w:bCs/>
                <w:noProof/>
              </w:rPr>
              <w:t>Chapter – 5 Discussion.</w:t>
            </w:r>
            <w:r>
              <w:rPr>
                <w:noProof/>
                <w:webHidden/>
              </w:rPr>
              <w:tab/>
            </w:r>
            <w:r>
              <w:rPr>
                <w:noProof/>
                <w:webHidden/>
              </w:rPr>
              <w:fldChar w:fldCharType="begin"/>
            </w:r>
            <w:r>
              <w:rPr>
                <w:noProof/>
                <w:webHidden/>
              </w:rPr>
              <w:instrText xml:space="preserve"> PAGEREF _Toc232034647 \h </w:instrText>
            </w:r>
            <w:r>
              <w:rPr>
                <w:noProof/>
                <w:webHidden/>
              </w:rPr>
            </w:r>
            <w:r>
              <w:rPr>
                <w:noProof/>
                <w:webHidden/>
              </w:rPr>
              <w:fldChar w:fldCharType="separate"/>
            </w:r>
            <w:r>
              <w:rPr>
                <w:noProof/>
                <w:webHidden/>
              </w:rPr>
              <w:t>45</w:t>
            </w:r>
            <w:r>
              <w:rPr>
                <w:noProof/>
                <w:webHidden/>
              </w:rPr>
              <w:fldChar w:fldCharType="end"/>
            </w:r>
          </w:hyperlink>
        </w:p>
        <w:p w14:paraId="42CF39FA" w14:textId="175ADBA9" w:rsidR="008172AC" w:rsidRDefault="008172AC">
          <w:pPr>
            <w:pStyle w:val="TOC2"/>
            <w:tabs>
              <w:tab w:val="right" w:leader="dot" w:pos="9016"/>
            </w:tabs>
            <w:rPr>
              <w:rFonts w:eastAsiaTheme="minorEastAsia"/>
              <w:noProof/>
              <w:sz w:val="24"/>
              <w:szCs w:val="24"/>
              <w:lang w:eastAsia="en-IN" w:bidi="gu-IN"/>
            </w:rPr>
          </w:pPr>
          <w:hyperlink w:anchor="_Toc232034648" w:history="1">
            <w:r w:rsidRPr="00584B49">
              <w:rPr>
                <w:rStyle w:val="Hyperlink"/>
                <w:rFonts w:ascii="Arial" w:hAnsi="Arial" w:cs="Arial"/>
                <w:b/>
                <w:bCs/>
                <w:noProof/>
              </w:rPr>
              <w:t>5.1 Introduction</w:t>
            </w:r>
            <w:r>
              <w:rPr>
                <w:noProof/>
                <w:webHidden/>
              </w:rPr>
              <w:tab/>
            </w:r>
            <w:r>
              <w:rPr>
                <w:noProof/>
                <w:webHidden/>
              </w:rPr>
              <w:fldChar w:fldCharType="begin"/>
            </w:r>
            <w:r>
              <w:rPr>
                <w:noProof/>
                <w:webHidden/>
              </w:rPr>
              <w:instrText xml:space="preserve"> PAGEREF _Toc232034648 \h </w:instrText>
            </w:r>
            <w:r>
              <w:rPr>
                <w:noProof/>
                <w:webHidden/>
              </w:rPr>
            </w:r>
            <w:r>
              <w:rPr>
                <w:noProof/>
                <w:webHidden/>
              </w:rPr>
              <w:fldChar w:fldCharType="separate"/>
            </w:r>
            <w:r>
              <w:rPr>
                <w:noProof/>
                <w:webHidden/>
              </w:rPr>
              <w:t>45</w:t>
            </w:r>
            <w:r>
              <w:rPr>
                <w:noProof/>
                <w:webHidden/>
              </w:rPr>
              <w:fldChar w:fldCharType="end"/>
            </w:r>
          </w:hyperlink>
        </w:p>
        <w:p w14:paraId="22F00942" w14:textId="6BB67FE1" w:rsidR="008172AC" w:rsidRDefault="008172AC">
          <w:pPr>
            <w:pStyle w:val="TOC3"/>
            <w:tabs>
              <w:tab w:val="right" w:leader="dot" w:pos="9016"/>
            </w:tabs>
            <w:rPr>
              <w:rFonts w:eastAsiaTheme="minorEastAsia"/>
              <w:noProof/>
              <w:sz w:val="24"/>
              <w:szCs w:val="24"/>
              <w:lang w:eastAsia="en-IN" w:bidi="gu-IN"/>
            </w:rPr>
          </w:pPr>
          <w:hyperlink w:anchor="_Toc232034649" w:history="1">
            <w:r w:rsidRPr="00584B49">
              <w:rPr>
                <w:rStyle w:val="Hyperlink"/>
                <w:rFonts w:ascii="Arial" w:hAnsi="Arial" w:cs="Arial"/>
                <w:b/>
                <w:bCs/>
                <w:noProof/>
              </w:rPr>
              <w:t>5.1.1 Digital Health Interventions for Dementia Prevention</w:t>
            </w:r>
            <w:r>
              <w:rPr>
                <w:noProof/>
                <w:webHidden/>
              </w:rPr>
              <w:tab/>
            </w:r>
            <w:r>
              <w:rPr>
                <w:noProof/>
                <w:webHidden/>
              </w:rPr>
              <w:fldChar w:fldCharType="begin"/>
            </w:r>
            <w:r>
              <w:rPr>
                <w:noProof/>
                <w:webHidden/>
              </w:rPr>
              <w:instrText xml:space="preserve"> PAGEREF _Toc232034649 \h </w:instrText>
            </w:r>
            <w:r>
              <w:rPr>
                <w:noProof/>
                <w:webHidden/>
              </w:rPr>
            </w:r>
            <w:r>
              <w:rPr>
                <w:noProof/>
                <w:webHidden/>
              </w:rPr>
              <w:fldChar w:fldCharType="separate"/>
            </w:r>
            <w:r>
              <w:rPr>
                <w:noProof/>
                <w:webHidden/>
              </w:rPr>
              <w:t>45</w:t>
            </w:r>
            <w:r>
              <w:rPr>
                <w:noProof/>
                <w:webHidden/>
              </w:rPr>
              <w:fldChar w:fldCharType="end"/>
            </w:r>
          </w:hyperlink>
        </w:p>
        <w:p w14:paraId="6D9FEFDB" w14:textId="784F0D81" w:rsidR="008172AC" w:rsidRDefault="008172AC">
          <w:pPr>
            <w:pStyle w:val="TOC3"/>
            <w:tabs>
              <w:tab w:val="right" w:leader="dot" w:pos="9016"/>
            </w:tabs>
            <w:rPr>
              <w:rFonts w:eastAsiaTheme="minorEastAsia"/>
              <w:noProof/>
              <w:sz w:val="24"/>
              <w:szCs w:val="24"/>
              <w:lang w:eastAsia="en-IN" w:bidi="gu-IN"/>
            </w:rPr>
          </w:pPr>
          <w:hyperlink w:anchor="_Toc232034650" w:history="1">
            <w:r w:rsidRPr="00584B49">
              <w:rPr>
                <w:rStyle w:val="Hyperlink"/>
                <w:rFonts w:ascii="Arial" w:hAnsi="Arial" w:cs="Arial"/>
                <w:b/>
                <w:bCs/>
                <w:noProof/>
              </w:rPr>
              <w:t>5.2.2 Digital Engagement and Adherence</w:t>
            </w:r>
            <w:r>
              <w:rPr>
                <w:noProof/>
                <w:webHidden/>
              </w:rPr>
              <w:tab/>
            </w:r>
            <w:r>
              <w:rPr>
                <w:noProof/>
                <w:webHidden/>
              </w:rPr>
              <w:fldChar w:fldCharType="begin"/>
            </w:r>
            <w:r>
              <w:rPr>
                <w:noProof/>
                <w:webHidden/>
              </w:rPr>
              <w:instrText xml:space="preserve"> PAGEREF _Toc232034650 \h </w:instrText>
            </w:r>
            <w:r>
              <w:rPr>
                <w:noProof/>
                <w:webHidden/>
              </w:rPr>
            </w:r>
            <w:r>
              <w:rPr>
                <w:noProof/>
                <w:webHidden/>
              </w:rPr>
              <w:fldChar w:fldCharType="separate"/>
            </w:r>
            <w:r>
              <w:rPr>
                <w:noProof/>
                <w:webHidden/>
              </w:rPr>
              <w:t>47</w:t>
            </w:r>
            <w:r>
              <w:rPr>
                <w:noProof/>
                <w:webHidden/>
              </w:rPr>
              <w:fldChar w:fldCharType="end"/>
            </w:r>
          </w:hyperlink>
        </w:p>
        <w:p w14:paraId="2BC19E52" w14:textId="49330732" w:rsidR="008172AC" w:rsidRDefault="008172AC">
          <w:pPr>
            <w:pStyle w:val="TOC3"/>
            <w:tabs>
              <w:tab w:val="right" w:leader="dot" w:pos="9016"/>
            </w:tabs>
            <w:rPr>
              <w:rFonts w:eastAsiaTheme="minorEastAsia"/>
              <w:noProof/>
              <w:sz w:val="24"/>
              <w:szCs w:val="24"/>
              <w:lang w:eastAsia="en-IN" w:bidi="gu-IN"/>
            </w:rPr>
          </w:pPr>
          <w:hyperlink w:anchor="_Toc232034651" w:history="1">
            <w:r w:rsidRPr="00584B49">
              <w:rPr>
                <w:rStyle w:val="Hyperlink"/>
                <w:rFonts w:ascii="Arial" w:hAnsi="Arial" w:cs="Arial"/>
                <w:b/>
                <w:bCs/>
                <w:noProof/>
              </w:rPr>
              <w:t>5.2.3 Barriers and Facilitators Influencing Digital Health Engagement</w:t>
            </w:r>
            <w:r>
              <w:rPr>
                <w:noProof/>
                <w:webHidden/>
              </w:rPr>
              <w:tab/>
            </w:r>
            <w:r>
              <w:rPr>
                <w:noProof/>
                <w:webHidden/>
              </w:rPr>
              <w:fldChar w:fldCharType="begin"/>
            </w:r>
            <w:r>
              <w:rPr>
                <w:noProof/>
                <w:webHidden/>
              </w:rPr>
              <w:instrText xml:space="preserve"> PAGEREF _Toc232034651 \h </w:instrText>
            </w:r>
            <w:r>
              <w:rPr>
                <w:noProof/>
                <w:webHidden/>
              </w:rPr>
            </w:r>
            <w:r>
              <w:rPr>
                <w:noProof/>
                <w:webHidden/>
              </w:rPr>
              <w:fldChar w:fldCharType="separate"/>
            </w:r>
            <w:r>
              <w:rPr>
                <w:noProof/>
                <w:webHidden/>
              </w:rPr>
              <w:t>48</w:t>
            </w:r>
            <w:r>
              <w:rPr>
                <w:noProof/>
                <w:webHidden/>
              </w:rPr>
              <w:fldChar w:fldCharType="end"/>
            </w:r>
          </w:hyperlink>
        </w:p>
        <w:p w14:paraId="3DE369B6" w14:textId="531BA1C9" w:rsidR="008172AC" w:rsidRDefault="008172AC">
          <w:pPr>
            <w:pStyle w:val="TOC3"/>
            <w:tabs>
              <w:tab w:val="right" w:leader="dot" w:pos="9016"/>
            </w:tabs>
            <w:rPr>
              <w:rFonts w:eastAsiaTheme="minorEastAsia"/>
              <w:noProof/>
              <w:sz w:val="24"/>
              <w:szCs w:val="24"/>
              <w:lang w:eastAsia="en-IN" w:bidi="gu-IN"/>
            </w:rPr>
          </w:pPr>
          <w:hyperlink w:anchor="_Toc232034652" w:history="1">
            <w:r w:rsidRPr="00584B49">
              <w:rPr>
                <w:rStyle w:val="Hyperlink"/>
                <w:rFonts w:ascii="Arial" w:hAnsi="Arial" w:cs="Arial"/>
                <w:b/>
                <w:bCs/>
                <w:noProof/>
              </w:rPr>
              <w:t>5.2.4 Impact of Digital Health Technologies on Cognitive Health and Dementia Risk</w:t>
            </w:r>
            <w:r>
              <w:rPr>
                <w:noProof/>
                <w:webHidden/>
              </w:rPr>
              <w:tab/>
            </w:r>
            <w:r>
              <w:rPr>
                <w:noProof/>
                <w:webHidden/>
              </w:rPr>
              <w:fldChar w:fldCharType="begin"/>
            </w:r>
            <w:r>
              <w:rPr>
                <w:noProof/>
                <w:webHidden/>
              </w:rPr>
              <w:instrText xml:space="preserve"> PAGEREF _Toc232034652 \h </w:instrText>
            </w:r>
            <w:r>
              <w:rPr>
                <w:noProof/>
                <w:webHidden/>
              </w:rPr>
            </w:r>
            <w:r>
              <w:rPr>
                <w:noProof/>
                <w:webHidden/>
              </w:rPr>
              <w:fldChar w:fldCharType="separate"/>
            </w:r>
            <w:r>
              <w:rPr>
                <w:noProof/>
                <w:webHidden/>
              </w:rPr>
              <w:t>50</w:t>
            </w:r>
            <w:r>
              <w:rPr>
                <w:noProof/>
                <w:webHidden/>
              </w:rPr>
              <w:fldChar w:fldCharType="end"/>
            </w:r>
          </w:hyperlink>
        </w:p>
        <w:p w14:paraId="585B2E40" w14:textId="23670538" w:rsidR="008172AC" w:rsidRDefault="008172AC">
          <w:pPr>
            <w:pStyle w:val="TOC3"/>
            <w:tabs>
              <w:tab w:val="right" w:leader="dot" w:pos="9016"/>
            </w:tabs>
            <w:rPr>
              <w:rFonts w:eastAsiaTheme="minorEastAsia"/>
              <w:noProof/>
              <w:sz w:val="24"/>
              <w:szCs w:val="24"/>
              <w:lang w:eastAsia="en-IN" w:bidi="gu-IN"/>
            </w:rPr>
          </w:pPr>
          <w:hyperlink w:anchor="_Toc232034653" w:history="1">
            <w:r w:rsidRPr="00584B49">
              <w:rPr>
                <w:rStyle w:val="Hyperlink"/>
                <w:rFonts w:ascii="Arial" w:hAnsi="Arial" w:cs="Arial"/>
                <w:b/>
                <w:bCs/>
                <w:noProof/>
              </w:rPr>
              <w:t>5.2.5 Integrated Interpretation of Findings</w:t>
            </w:r>
            <w:r>
              <w:rPr>
                <w:noProof/>
                <w:webHidden/>
              </w:rPr>
              <w:tab/>
            </w:r>
            <w:r>
              <w:rPr>
                <w:noProof/>
                <w:webHidden/>
              </w:rPr>
              <w:fldChar w:fldCharType="begin"/>
            </w:r>
            <w:r>
              <w:rPr>
                <w:noProof/>
                <w:webHidden/>
              </w:rPr>
              <w:instrText xml:space="preserve"> PAGEREF _Toc232034653 \h </w:instrText>
            </w:r>
            <w:r>
              <w:rPr>
                <w:noProof/>
                <w:webHidden/>
              </w:rPr>
            </w:r>
            <w:r>
              <w:rPr>
                <w:noProof/>
                <w:webHidden/>
              </w:rPr>
              <w:fldChar w:fldCharType="separate"/>
            </w:r>
            <w:r>
              <w:rPr>
                <w:noProof/>
                <w:webHidden/>
              </w:rPr>
              <w:t>52</w:t>
            </w:r>
            <w:r>
              <w:rPr>
                <w:noProof/>
                <w:webHidden/>
              </w:rPr>
              <w:fldChar w:fldCharType="end"/>
            </w:r>
          </w:hyperlink>
        </w:p>
        <w:p w14:paraId="3D0A43DD" w14:textId="2E3FF37F" w:rsidR="008172AC" w:rsidRDefault="008172AC">
          <w:pPr>
            <w:pStyle w:val="TOC2"/>
            <w:tabs>
              <w:tab w:val="right" w:leader="dot" w:pos="9016"/>
            </w:tabs>
            <w:rPr>
              <w:rFonts w:eastAsiaTheme="minorEastAsia"/>
              <w:noProof/>
              <w:sz w:val="24"/>
              <w:szCs w:val="24"/>
              <w:lang w:eastAsia="en-IN" w:bidi="gu-IN"/>
            </w:rPr>
          </w:pPr>
          <w:hyperlink w:anchor="_Toc232034654" w:history="1">
            <w:r w:rsidRPr="00584B49">
              <w:rPr>
                <w:rStyle w:val="Hyperlink"/>
                <w:rFonts w:ascii="Arial" w:hAnsi="Arial" w:cs="Arial"/>
                <w:b/>
                <w:bCs/>
                <w:noProof/>
              </w:rPr>
              <w:t>5.2 Implications for Practice and Policy</w:t>
            </w:r>
            <w:r>
              <w:rPr>
                <w:noProof/>
                <w:webHidden/>
              </w:rPr>
              <w:tab/>
            </w:r>
            <w:r>
              <w:rPr>
                <w:noProof/>
                <w:webHidden/>
              </w:rPr>
              <w:fldChar w:fldCharType="begin"/>
            </w:r>
            <w:r>
              <w:rPr>
                <w:noProof/>
                <w:webHidden/>
              </w:rPr>
              <w:instrText xml:space="preserve"> PAGEREF _Toc232034654 \h </w:instrText>
            </w:r>
            <w:r>
              <w:rPr>
                <w:noProof/>
                <w:webHidden/>
              </w:rPr>
            </w:r>
            <w:r>
              <w:rPr>
                <w:noProof/>
                <w:webHidden/>
              </w:rPr>
              <w:fldChar w:fldCharType="separate"/>
            </w:r>
            <w:r>
              <w:rPr>
                <w:noProof/>
                <w:webHidden/>
              </w:rPr>
              <w:t>53</w:t>
            </w:r>
            <w:r>
              <w:rPr>
                <w:noProof/>
                <w:webHidden/>
              </w:rPr>
              <w:fldChar w:fldCharType="end"/>
            </w:r>
          </w:hyperlink>
        </w:p>
        <w:p w14:paraId="4DDA3D5E" w14:textId="056229A4" w:rsidR="008172AC" w:rsidRDefault="008172AC">
          <w:pPr>
            <w:pStyle w:val="TOC3"/>
            <w:tabs>
              <w:tab w:val="right" w:leader="dot" w:pos="9016"/>
            </w:tabs>
            <w:rPr>
              <w:rFonts w:eastAsiaTheme="minorEastAsia"/>
              <w:noProof/>
              <w:sz w:val="24"/>
              <w:szCs w:val="24"/>
              <w:lang w:eastAsia="en-IN" w:bidi="gu-IN"/>
            </w:rPr>
          </w:pPr>
          <w:hyperlink w:anchor="_Toc232034655" w:history="1">
            <w:r w:rsidRPr="00584B49">
              <w:rPr>
                <w:rStyle w:val="Hyperlink"/>
                <w:rFonts w:ascii="Arial" w:hAnsi="Arial" w:cs="Arial"/>
                <w:b/>
                <w:bCs/>
                <w:noProof/>
              </w:rPr>
              <w:t>5.2.1 Implications for Healthcare Practice</w:t>
            </w:r>
            <w:r>
              <w:rPr>
                <w:noProof/>
                <w:webHidden/>
              </w:rPr>
              <w:tab/>
            </w:r>
            <w:r>
              <w:rPr>
                <w:noProof/>
                <w:webHidden/>
              </w:rPr>
              <w:fldChar w:fldCharType="begin"/>
            </w:r>
            <w:r>
              <w:rPr>
                <w:noProof/>
                <w:webHidden/>
              </w:rPr>
              <w:instrText xml:space="preserve"> PAGEREF _Toc232034655 \h </w:instrText>
            </w:r>
            <w:r>
              <w:rPr>
                <w:noProof/>
                <w:webHidden/>
              </w:rPr>
            </w:r>
            <w:r>
              <w:rPr>
                <w:noProof/>
                <w:webHidden/>
              </w:rPr>
              <w:fldChar w:fldCharType="separate"/>
            </w:r>
            <w:r>
              <w:rPr>
                <w:noProof/>
                <w:webHidden/>
              </w:rPr>
              <w:t>53</w:t>
            </w:r>
            <w:r>
              <w:rPr>
                <w:noProof/>
                <w:webHidden/>
              </w:rPr>
              <w:fldChar w:fldCharType="end"/>
            </w:r>
          </w:hyperlink>
        </w:p>
        <w:p w14:paraId="48710EF2" w14:textId="4B2CF33B" w:rsidR="008172AC" w:rsidRDefault="008172AC">
          <w:pPr>
            <w:pStyle w:val="TOC3"/>
            <w:tabs>
              <w:tab w:val="right" w:leader="dot" w:pos="9016"/>
            </w:tabs>
            <w:rPr>
              <w:rFonts w:eastAsiaTheme="minorEastAsia"/>
              <w:noProof/>
              <w:sz w:val="24"/>
              <w:szCs w:val="24"/>
              <w:lang w:eastAsia="en-IN" w:bidi="gu-IN"/>
            </w:rPr>
          </w:pPr>
          <w:hyperlink w:anchor="_Toc232034656" w:history="1">
            <w:r w:rsidRPr="00584B49">
              <w:rPr>
                <w:rStyle w:val="Hyperlink"/>
                <w:rFonts w:ascii="Arial" w:hAnsi="Arial" w:cs="Arial"/>
                <w:b/>
                <w:bCs/>
                <w:noProof/>
              </w:rPr>
              <w:t>5.2.2 Implications for Public Health Policy</w:t>
            </w:r>
            <w:r>
              <w:rPr>
                <w:noProof/>
                <w:webHidden/>
              </w:rPr>
              <w:tab/>
            </w:r>
            <w:r>
              <w:rPr>
                <w:noProof/>
                <w:webHidden/>
              </w:rPr>
              <w:fldChar w:fldCharType="begin"/>
            </w:r>
            <w:r>
              <w:rPr>
                <w:noProof/>
                <w:webHidden/>
              </w:rPr>
              <w:instrText xml:space="preserve"> PAGEREF _Toc232034656 \h </w:instrText>
            </w:r>
            <w:r>
              <w:rPr>
                <w:noProof/>
                <w:webHidden/>
              </w:rPr>
            </w:r>
            <w:r>
              <w:rPr>
                <w:noProof/>
                <w:webHidden/>
              </w:rPr>
              <w:fldChar w:fldCharType="separate"/>
            </w:r>
            <w:r>
              <w:rPr>
                <w:noProof/>
                <w:webHidden/>
              </w:rPr>
              <w:t>54</w:t>
            </w:r>
            <w:r>
              <w:rPr>
                <w:noProof/>
                <w:webHidden/>
              </w:rPr>
              <w:fldChar w:fldCharType="end"/>
            </w:r>
          </w:hyperlink>
        </w:p>
        <w:p w14:paraId="345744EA" w14:textId="2B9A567E" w:rsidR="008172AC" w:rsidRDefault="008172AC">
          <w:pPr>
            <w:pStyle w:val="TOC3"/>
            <w:tabs>
              <w:tab w:val="right" w:leader="dot" w:pos="9016"/>
            </w:tabs>
            <w:rPr>
              <w:rFonts w:eastAsiaTheme="minorEastAsia"/>
              <w:noProof/>
              <w:sz w:val="24"/>
              <w:szCs w:val="24"/>
              <w:lang w:eastAsia="en-IN" w:bidi="gu-IN"/>
            </w:rPr>
          </w:pPr>
          <w:hyperlink w:anchor="_Toc232034657" w:history="1">
            <w:r w:rsidRPr="00584B49">
              <w:rPr>
                <w:rStyle w:val="Hyperlink"/>
                <w:rFonts w:ascii="Arial" w:hAnsi="Arial" w:cs="Arial"/>
                <w:b/>
                <w:bCs/>
                <w:noProof/>
              </w:rPr>
              <w:t>5.2.3 Implications for Digital Inclusion and Dementia Prevention</w:t>
            </w:r>
            <w:r>
              <w:rPr>
                <w:noProof/>
                <w:webHidden/>
              </w:rPr>
              <w:tab/>
            </w:r>
            <w:r>
              <w:rPr>
                <w:noProof/>
                <w:webHidden/>
              </w:rPr>
              <w:fldChar w:fldCharType="begin"/>
            </w:r>
            <w:r>
              <w:rPr>
                <w:noProof/>
                <w:webHidden/>
              </w:rPr>
              <w:instrText xml:space="preserve"> PAGEREF _Toc232034657 \h </w:instrText>
            </w:r>
            <w:r>
              <w:rPr>
                <w:noProof/>
                <w:webHidden/>
              </w:rPr>
            </w:r>
            <w:r>
              <w:rPr>
                <w:noProof/>
                <w:webHidden/>
              </w:rPr>
              <w:fldChar w:fldCharType="separate"/>
            </w:r>
            <w:r>
              <w:rPr>
                <w:noProof/>
                <w:webHidden/>
              </w:rPr>
              <w:t>54</w:t>
            </w:r>
            <w:r>
              <w:rPr>
                <w:noProof/>
                <w:webHidden/>
              </w:rPr>
              <w:fldChar w:fldCharType="end"/>
            </w:r>
          </w:hyperlink>
        </w:p>
        <w:p w14:paraId="12FB872C" w14:textId="01C87CD8" w:rsidR="008172AC" w:rsidRDefault="008172AC">
          <w:pPr>
            <w:pStyle w:val="TOC2"/>
            <w:tabs>
              <w:tab w:val="right" w:leader="dot" w:pos="9016"/>
            </w:tabs>
            <w:rPr>
              <w:rFonts w:eastAsiaTheme="minorEastAsia"/>
              <w:noProof/>
              <w:sz w:val="24"/>
              <w:szCs w:val="24"/>
              <w:lang w:eastAsia="en-IN" w:bidi="gu-IN"/>
            </w:rPr>
          </w:pPr>
          <w:hyperlink w:anchor="_Toc232034658" w:history="1">
            <w:r w:rsidRPr="00584B49">
              <w:rPr>
                <w:rStyle w:val="Hyperlink"/>
                <w:rFonts w:ascii="Arial" w:hAnsi="Arial" w:cs="Arial"/>
                <w:b/>
                <w:bCs/>
                <w:noProof/>
              </w:rPr>
              <w:t>5.3 Recommendations for Future Research</w:t>
            </w:r>
            <w:r>
              <w:rPr>
                <w:noProof/>
                <w:webHidden/>
              </w:rPr>
              <w:tab/>
            </w:r>
            <w:r>
              <w:rPr>
                <w:noProof/>
                <w:webHidden/>
              </w:rPr>
              <w:fldChar w:fldCharType="begin"/>
            </w:r>
            <w:r>
              <w:rPr>
                <w:noProof/>
                <w:webHidden/>
              </w:rPr>
              <w:instrText xml:space="preserve"> PAGEREF _Toc232034658 \h </w:instrText>
            </w:r>
            <w:r>
              <w:rPr>
                <w:noProof/>
                <w:webHidden/>
              </w:rPr>
            </w:r>
            <w:r>
              <w:rPr>
                <w:noProof/>
                <w:webHidden/>
              </w:rPr>
              <w:fldChar w:fldCharType="separate"/>
            </w:r>
            <w:r>
              <w:rPr>
                <w:noProof/>
                <w:webHidden/>
              </w:rPr>
              <w:t>55</w:t>
            </w:r>
            <w:r>
              <w:rPr>
                <w:noProof/>
                <w:webHidden/>
              </w:rPr>
              <w:fldChar w:fldCharType="end"/>
            </w:r>
          </w:hyperlink>
        </w:p>
        <w:p w14:paraId="567D655F" w14:textId="167F1BF3" w:rsidR="008172AC" w:rsidRDefault="008172AC">
          <w:pPr>
            <w:pStyle w:val="TOC2"/>
            <w:tabs>
              <w:tab w:val="right" w:leader="dot" w:pos="9016"/>
            </w:tabs>
            <w:rPr>
              <w:rFonts w:eastAsiaTheme="minorEastAsia"/>
              <w:noProof/>
              <w:sz w:val="24"/>
              <w:szCs w:val="24"/>
              <w:lang w:eastAsia="en-IN" w:bidi="gu-IN"/>
            </w:rPr>
          </w:pPr>
          <w:hyperlink w:anchor="_Toc232034659" w:history="1">
            <w:r w:rsidRPr="00584B49">
              <w:rPr>
                <w:rStyle w:val="Hyperlink"/>
                <w:rFonts w:ascii="Arial" w:hAnsi="Arial" w:cs="Arial"/>
                <w:b/>
                <w:bCs/>
                <w:noProof/>
              </w:rPr>
              <w:t>5.4 Strengths and Limitations of the Review</w:t>
            </w:r>
            <w:r>
              <w:rPr>
                <w:noProof/>
                <w:webHidden/>
              </w:rPr>
              <w:tab/>
            </w:r>
            <w:r>
              <w:rPr>
                <w:noProof/>
                <w:webHidden/>
              </w:rPr>
              <w:fldChar w:fldCharType="begin"/>
            </w:r>
            <w:r>
              <w:rPr>
                <w:noProof/>
                <w:webHidden/>
              </w:rPr>
              <w:instrText xml:space="preserve"> PAGEREF _Toc232034659 \h </w:instrText>
            </w:r>
            <w:r>
              <w:rPr>
                <w:noProof/>
                <w:webHidden/>
              </w:rPr>
            </w:r>
            <w:r>
              <w:rPr>
                <w:noProof/>
                <w:webHidden/>
              </w:rPr>
              <w:fldChar w:fldCharType="separate"/>
            </w:r>
            <w:r>
              <w:rPr>
                <w:noProof/>
                <w:webHidden/>
              </w:rPr>
              <w:t>56</w:t>
            </w:r>
            <w:r>
              <w:rPr>
                <w:noProof/>
                <w:webHidden/>
              </w:rPr>
              <w:fldChar w:fldCharType="end"/>
            </w:r>
          </w:hyperlink>
        </w:p>
        <w:p w14:paraId="23A6C4CE" w14:textId="6BE1DF9E" w:rsidR="008172AC" w:rsidRDefault="008172AC">
          <w:pPr>
            <w:pStyle w:val="TOC3"/>
            <w:tabs>
              <w:tab w:val="right" w:leader="dot" w:pos="9016"/>
            </w:tabs>
            <w:rPr>
              <w:rFonts w:eastAsiaTheme="minorEastAsia"/>
              <w:noProof/>
              <w:sz w:val="24"/>
              <w:szCs w:val="24"/>
              <w:lang w:eastAsia="en-IN" w:bidi="gu-IN"/>
            </w:rPr>
          </w:pPr>
          <w:hyperlink w:anchor="_Toc232034660" w:history="1">
            <w:r w:rsidRPr="00584B49">
              <w:rPr>
                <w:rStyle w:val="Hyperlink"/>
                <w:rFonts w:ascii="Arial" w:hAnsi="Arial" w:cs="Arial"/>
                <w:b/>
                <w:bCs/>
                <w:noProof/>
              </w:rPr>
              <w:t>5.4.1 Strengths of the Review</w:t>
            </w:r>
            <w:r>
              <w:rPr>
                <w:noProof/>
                <w:webHidden/>
              </w:rPr>
              <w:tab/>
            </w:r>
            <w:r>
              <w:rPr>
                <w:noProof/>
                <w:webHidden/>
              </w:rPr>
              <w:fldChar w:fldCharType="begin"/>
            </w:r>
            <w:r>
              <w:rPr>
                <w:noProof/>
                <w:webHidden/>
              </w:rPr>
              <w:instrText xml:space="preserve"> PAGEREF _Toc232034660 \h </w:instrText>
            </w:r>
            <w:r>
              <w:rPr>
                <w:noProof/>
                <w:webHidden/>
              </w:rPr>
            </w:r>
            <w:r>
              <w:rPr>
                <w:noProof/>
                <w:webHidden/>
              </w:rPr>
              <w:fldChar w:fldCharType="separate"/>
            </w:r>
            <w:r>
              <w:rPr>
                <w:noProof/>
                <w:webHidden/>
              </w:rPr>
              <w:t>56</w:t>
            </w:r>
            <w:r>
              <w:rPr>
                <w:noProof/>
                <w:webHidden/>
              </w:rPr>
              <w:fldChar w:fldCharType="end"/>
            </w:r>
          </w:hyperlink>
        </w:p>
        <w:p w14:paraId="4FD8DDC3" w14:textId="404983C8" w:rsidR="008172AC" w:rsidRDefault="008172AC">
          <w:pPr>
            <w:pStyle w:val="TOC3"/>
            <w:tabs>
              <w:tab w:val="right" w:leader="dot" w:pos="9016"/>
            </w:tabs>
            <w:rPr>
              <w:rFonts w:eastAsiaTheme="minorEastAsia"/>
              <w:noProof/>
              <w:sz w:val="24"/>
              <w:szCs w:val="24"/>
              <w:lang w:eastAsia="en-IN" w:bidi="gu-IN"/>
            </w:rPr>
          </w:pPr>
          <w:hyperlink w:anchor="_Toc232034661" w:history="1">
            <w:r w:rsidRPr="00584B49">
              <w:rPr>
                <w:rStyle w:val="Hyperlink"/>
                <w:rFonts w:ascii="Arial" w:hAnsi="Arial" w:cs="Arial"/>
                <w:b/>
                <w:bCs/>
                <w:noProof/>
              </w:rPr>
              <w:t>5.4.2 Limitations of the Review</w:t>
            </w:r>
            <w:r>
              <w:rPr>
                <w:noProof/>
                <w:webHidden/>
              </w:rPr>
              <w:tab/>
            </w:r>
            <w:r>
              <w:rPr>
                <w:noProof/>
                <w:webHidden/>
              </w:rPr>
              <w:fldChar w:fldCharType="begin"/>
            </w:r>
            <w:r>
              <w:rPr>
                <w:noProof/>
                <w:webHidden/>
              </w:rPr>
              <w:instrText xml:space="preserve"> PAGEREF _Toc232034661 \h </w:instrText>
            </w:r>
            <w:r>
              <w:rPr>
                <w:noProof/>
                <w:webHidden/>
              </w:rPr>
            </w:r>
            <w:r>
              <w:rPr>
                <w:noProof/>
                <w:webHidden/>
              </w:rPr>
              <w:fldChar w:fldCharType="separate"/>
            </w:r>
            <w:r>
              <w:rPr>
                <w:noProof/>
                <w:webHidden/>
              </w:rPr>
              <w:t>57</w:t>
            </w:r>
            <w:r>
              <w:rPr>
                <w:noProof/>
                <w:webHidden/>
              </w:rPr>
              <w:fldChar w:fldCharType="end"/>
            </w:r>
          </w:hyperlink>
        </w:p>
        <w:p w14:paraId="4DC07441" w14:textId="4E88BE7E" w:rsidR="008172AC" w:rsidRDefault="008172AC">
          <w:pPr>
            <w:pStyle w:val="TOC2"/>
            <w:tabs>
              <w:tab w:val="right" w:leader="dot" w:pos="9016"/>
            </w:tabs>
            <w:rPr>
              <w:rFonts w:eastAsiaTheme="minorEastAsia"/>
              <w:noProof/>
              <w:sz w:val="24"/>
              <w:szCs w:val="24"/>
              <w:lang w:eastAsia="en-IN" w:bidi="gu-IN"/>
            </w:rPr>
          </w:pPr>
          <w:hyperlink w:anchor="_Toc232034662" w:history="1">
            <w:r w:rsidRPr="00584B49">
              <w:rPr>
                <w:rStyle w:val="Hyperlink"/>
                <w:rFonts w:ascii="Arial" w:hAnsi="Arial" w:cs="Arial"/>
                <w:b/>
                <w:bCs/>
                <w:noProof/>
              </w:rPr>
              <w:t>5.5 Conclusion</w:t>
            </w:r>
            <w:r>
              <w:rPr>
                <w:noProof/>
                <w:webHidden/>
              </w:rPr>
              <w:tab/>
            </w:r>
            <w:r>
              <w:rPr>
                <w:noProof/>
                <w:webHidden/>
              </w:rPr>
              <w:fldChar w:fldCharType="begin"/>
            </w:r>
            <w:r>
              <w:rPr>
                <w:noProof/>
                <w:webHidden/>
              </w:rPr>
              <w:instrText xml:space="preserve"> PAGEREF _Toc232034662 \h </w:instrText>
            </w:r>
            <w:r>
              <w:rPr>
                <w:noProof/>
                <w:webHidden/>
              </w:rPr>
            </w:r>
            <w:r>
              <w:rPr>
                <w:noProof/>
                <w:webHidden/>
              </w:rPr>
              <w:fldChar w:fldCharType="separate"/>
            </w:r>
            <w:r>
              <w:rPr>
                <w:noProof/>
                <w:webHidden/>
              </w:rPr>
              <w:t>58</w:t>
            </w:r>
            <w:r>
              <w:rPr>
                <w:noProof/>
                <w:webHidden/>
              </w:rPr>
              <w:fldChar w:fldCharType="end"/>
            </w:r>
          </w:hyperlink>
        </w:p>
        <w:p w14:paraId="6B38C976" w14:textId="0CD3C168" w:rsidR="008172AC" w:rsidRDefault="008172AC">
          <w:pPr>
            <w:pStyle w:val="TOC1"/>
            <w:tabs>
              <w:tab w:val="right" w:leader="dot" w:pos="9016"/>
            </w:tabs>
            <w:rPr>
              <w:rFonts w:eastAsiaTheme="minorEastAsia"/>
              <w:noProof/>
              <w:sz w:val="24"/>
              <w:szCs w:val="24"/>
              <w:lang w:eastAsia="en-IN" w:bidi="gu-IN"/>
            </w:rPr>
          </w:pPr>
          <w:hyperlink w:anchor="_Toc232034663" w:history="1">
            <w:r w:rsidRPr="00584B49">
              <w:rPr>
                <w:rStyle w:val="Hyperlink"/>
                <w:rFonts w:ascii="Arial" w:hAnsi="Arial" w:cs="Arial"/>
                <w:b/>
                <w:bCs/>
                <w:noProof/>
              </w:rPr>
              <w:t>Chapter 6: Conclusion</w:t>
            </w:r>
            <w:r>
              <w:rPr>
                <w:noProof/>
                <w:webHidden/>
              </w:rPr>
              <w:tab/>
            </w:r>
            <w:r>
              <w:rPr>
                <w:noProof/>
                <w:webHidden/>
              </w:rPr>
              <w:fldChar w:fldCharType="begin"/>
            </w:r>
            <w:r>
              <w:rPr>
                <w:noProof/>
                <w:webHidden/>
              </w:rPr>
              <w:instrText xml:space="preserve"> PAGEREF _Toc232034663 \h </w:instrText>
            </w:r>
            <w:r>
              <w:rPr>
                <w:noProof/>
                <w:webHidden/>
              </w:rPr>
            </w:r>
            <w:r>
              <w:rPr>
                <w:noProof/>
                <w:webHidden/>
              </w:rPr>
              <w:fldChar w:fldCharType="separate"/>
            </w:r>
            <w:r>
              <w:rPr>
                <w:noProof/>
                <w:webHidden/>
              </w:rPr>
              <w:t>60</w:t>
            </w:r>
            <w:r>
              <w:rPr>
                <w:noProof/>
                <w:webHidden/>
              </w:rPr>
              <w:fldChar w:fldCharType="end"/>
            </w:r>
          </w:hyperlink>
        </w:p>
        <w:p w14:paraId="7C95AAA0" w14:textId="0EAABB60" w:rsidR="008172AC" w:rsidRDefault="008172AC">
          <w:pPr>
            <w:pStyle w:val="TOC2"/>
            <w:tabs>
              <w:tab w:val="right" w:leader="dot" w:pos="9016"/>
            </w:tabs>
            <w:rPr>
              <w:rFonts w:eastAsiaTheme="minorEastAsia"/>
              <w:noProof/>
              <w:sz w:val="24"/>
              <w:szCs w:val="24"/>
              <w:lang w:eastAsia="en-IN" w:bidi="gu-IN"/>
            </w:rPr>
          </w:pPr>
          <w:hyperlink w:anchor="_Toc232034664" w:history="1">
            <w:r w:rsidRPr="00584B49">
              <w:rPr>
                <w:rStyle w:val="Hyperlink"/>
                <w:rFonts w:ascii="Arial" w:hAnsi="Arial" w:cs="Arial"/>
                <w:b/>
                <w:bCs/>
                <w:noProof/>
              </w:rPr>
              <w:t>6.1 Overall Conclusion</w:t>
            </w:r>
            <w:r>
              <w:rPr>
                <w:noProof/>
                <w:webHidden/>
              </w:rPr>
              <w:tab/>
            </w:r>
            <w:r>
              <w:rPr>
                <w:noProof/>
                <w:webHidden/>
              </w:rPr>
              <w:fldChar w:fldCharType="begin"/>
            </w:r>
            <w:r>
              <w:rPr>
                <w:noProof/>
                <w:webHidden/>
              </w:rPr>
              <w:instrText xml:space="preserve"> PAGEREF _Toc232034664 \h </w:instrText>
            </w:r>
            <w:r>
              <w:rPr>
                <w:noProof/>
                <w:webHidden/>
              </w:rPr>
            </w:r>
            <w:r>
              <w:rPr>
                <w:noProof/>
                <w:webHidden/>
              </w:rPr>
              <w:fldChar w:fldCharType="separate"/>
            </w:r>
            <w:r>
              <w:rPr>
                <w:noProof/>
                <w:webHidden/>
              </w:rPr>
              <w:t>60</w:t>
            </w:r>
            <w:r>
              <w:rPr>
                <w:noProof/>
                <w:webHidden/>
              </w:rPr>
              <w:fldChar w:fldCharType="end"/>
            </w:r>
          </w:hyperlink>
        </w:p>
        <w:p w14:paraId="14BFB895" w14:textId="0EF7D7DF" w:rsidR="008172AC" w:rsidRDefault="008172AC">
          <w:pPr>
            <w:pStyle w:val="TOC2"/>
            <w:tabs>
              <w:tab w:val="right" w:leader="dot" w:pos="9016"/>
            </w:tabs>
            <w:rPr>
              <w:rFonts w:eastAsiaTheme="minorEastAsia"/>
              <w:noProof/>
              <w:sz w:val="24"/>
              <w:szCs w:val="24"/>
              <w:lang w:eastAsia="en-IN" w:bidi="gu-IN"/>
            </w:rPr>
          </w:pPr>
          <w:hyperlink w:anchor="_Toc232034665" w:history="1">
            <w:r w:rsidRPr="00584B49">
              <w:rPr>
                <w:rStyle w:val="Hyperlink"/>
                <w:rFonts w:ascii="Arial" w:hAnsi="Arial" w:cs="Arial"/>
                <w:b/>
                <w:bCs/>
                <w:noProof/>
              </w:rPr>
              <w:t>6.2 Achievement of Research Aim and Objectives</w:t>
            </w:r>
            <w:r>
              <w:rPr>
                <w:noProof/>
                <w:webHidden/>
              </w:rPr>
              <w:tab/>
            </w:r>
            <w:r>
              <w:rPr>
                <w:noProof/>
                <w:webHidden/>
              </w:rPr>
              <w:fldChar w:fldCharType="begin"/>
            </w:r>
            <w:r>
              <w:rPr>
                <w:noProof/>
                <w:webHidden/>
              </w:rPr>
              <w:instrText xml:space="preserve"> PAGEREF _Toc232034665 \h </w:instrText>
            </w:r>
            <w:r>
              <w:rPr>
                <w:noProof/>
                <w:webHidden/>
              </w:rPr>
            </w:r>
            <w:r>
              <w:rPr>
                <w:noProof/>
                <w:webHidden/>
              </w:rPr>
              <w:fldChar w:fldCharType="separate"/>
            </w:r>
            <w:r>
              <w:rPr>
                <w:noProof/>
                <w:webHidden/>
              </w:rPr>
              <w:t>60</w:t>
            </w:r>
            <w:r>
              <w:rPr>
                <w:noProof/>
                <w:webHidden/>
              </w:rPr>
              <w:fldChar w:fldCharType="end"/>
            </w:r>
          </w:hyperlink>
        </w:p>
        <w:p w14:paraId="1A18FABB" w14:textId="7542D21E" w:rsidR="008172AC" w:rsidRDefault="008172AC">
          <w:pPr>
            <w:pStyle w:val="TOC2"/>
            <w:tabs>
              <w:tab w:val="right" w:leader="dot" w:pos="9016"/>
            </w:tabs>
            <w:rPr>
              <w:rFonts w:eastAsiaTheme="minorEastAsia"/>
              <w:noProof/>
              <w:sz w:val="24"/>
              <w:szCs w:val="24"/>
              <w:lang w:eastAsia="en-IN" w:bidi="gu-IN"/>
            </w:rPr>
          </w:pPr>
          <w:hyperlink w:anchor="_Toc232034666" w:history="1">
            <w:r w:rsidRPr="00584B49">
              <w:rPr>
                <w:rStyle w:val="Hyperlink"/>
                <w:rFonts w:ascii="Arial" w:hAnsi="Arial" w:cs="Arial"/>
                <w:b/>
                <w:bCs/>
                <w:noProof/>
              </w:rPr>
              <w:t>6.3 Contribution to Knowledge</w:t>
            </w:r>
            <w:r>
              <w:rPr>
                <w:noProof/>
                <w:webHidden/>
              </w:rPr>
              <w:tab/>
            </w:r>
            <w:r>
              <w:rPr>
                <w:noProof/>
                <w:webHidden/>
              </w:rPr>
              <w:fldChar w:fldCharType="begin"/>
            </w:r>
            <w:r>
              <w:rPr>
                <w:noProof/>
                <w:webHidden/>
              </w:rPr>
              <w:instrText xml:space="preserve"> PAGEREF _Toc232034666 \h </w:instrText>
            </w:r>
            <w:r>
              <w:rPr>
                <w:noProof/>
                <w:webHidden/>
              </w:rPr>
            </w:r>
            <w:r>
              <w:rPr>
                <w:noProof/>
                <w:webHidden/>
              </w:rPr>
              <w:fldChar w:fldCharType="separate"/>
            </w:r>
            <w:r>
              <w:rPr>
                <w:noProof/>
                <w:webHidden/>
              </w:rPr>
              <w:t>61</w:t>
            </w:r>
            <w:r>
              <w:rPr>
                <w:noProof/>
                <w:webHidden/>
              </w:rPr>
              <w:fldChar w:fldCharType="end"/>
            </w:r>
          </w:hyperlink>
        </w:p>
        <w:p w14:paraId="4B57A02A" w14:textId="19CD29FA" w:rsidR="008172AC" w:rsidRDefault="008172AC">
          <w:pPr>
            <w:pStyle w:val="TOC2"/>
            <w:tabs>
              <w:tab w:val="right" w:leader="dot" w:pos="9016"/>
            </w:tabs>
            <w:rPr>
              <w:rFonts w:eastAsiaTheme="minorEastAsia"/>
              <w:noProof/>
              <w:sz w:val="24"/>
              <w:szCs w:val="24"/>
              <w:lang w:eastAsia="en-IN" w:bidi="gu-IN"/>
            </w:rPr>
          </w:pPr>
          <w:hyperlink w:anchor="_Toc232034667" w:history="1">
            <w:r w:rsidRPr="00584B49">
              <w:rPr>
                <w:rStyle w:val="Hyperlink"/>
                <w:rFonts w:ascii="Arial" w:hAnsi="Arial" w:cs="Arial"/>
                <w:b/>
                <w:bCs/>
                <w:noProof/>
              </w:rPr>
              <w:t>6.4 Final Conclusion</w:t>
            </w:r>
            <w:r>
              <w:rPr>
                <w:noProof/>
                <w:webHidden/>
              </w:rPr>
              <w:tab/>
            </w:r>
            <w:r>
              <w:rPr>
                <w:noProof/>
                <w:webHidden/>
              </w:rPr>
              <w:fldChar w:fldCharType="begin"/>
            </w:r>
            <w:r>
              <w:rPr>
                <w:noProof/>
                <w:webHidden/>
              </w:rPr>
              <w:instrText xml:space="preserve"> PAGEREF _Toc232034667 \h </w:instrText>
            </w:r>
            <w:r>
              <w:rPr>
                <w:noProof/>
                <w:webHidden/>
              </w:rPr>
            </w:r>
            <w:r>
              <w:rPr>
                <w:noProof/>
                <w:webHidden/>
              </w:rPr>
              <w:fldChar w:fldCharType="separate"/>
            </w:r>
            <w:r>
              <w:rPr>
                <w:noProof/>
                <w:webHidden/>
              </w:rPr>
              <w:t>61</w:t>
            </w:r>
            <w:r>
              <w:rPr>
                <w:noProof/>
                <w:webHidden/>
              </w:rPr>
              <w:fldChar w:fldCharType="end"/>
            </w:r>
          </w:hyperlink>
        </w:p>
        <w:p w14:paraId="7BA848FD" w14:textId="4009FB38" w:rsidR="008172AC" w:rsidRDefault="008172AC">
          <w:pPr>
            <w:pStyle w:val="TOC1"/>
            <w:tabs>
              <w:tab w:val="right" w:leader="dot" w:pos="9016"/>
            </w:tabs>
            <w:rPr>
              <w:rFonts w:eastAsiaTheme="minorEastAsia"/>
              <w:noProof/>
              <w:sz w:val="24"/>
              <w:szCs w:val="24"/>
              <w:lang w:eastAsia="en-IN" w:bidi="gu-IN"/>
            </w:rPr>
          </w:pPr>
          <w:hyperlink w:anchor="_Toc232034668" w:history="1">
            <w:r w:rsidRPr="00584B4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_Toc232034668 \h </w:instrText>
            </w:r>
            <w:r>
              <w:rPr>
                <w:noProof/>
                <w:webHidden/>
              </w:rPr>
            </w:r>
            <w:r>
              <w:rPr>
                <w:noProof/>
                <w:webHidden/>
              </w:rPr>
              <w:fldChar w:fldCharType="separate"/>
            </w:r>
            <w:r>
              <w:rPr>
                <w:noProof/>
                <w:webHidden/>
              </w:rPr>
              <w:t>62</w:t>
            </w:r>
            <w:r>
              <w:rPr>
                <w:noProof/>
                <w:webHidden/>
              </w:rPr>
              <w:fldChar w:fldCharType="end"/>
            </w:r>
          </w:hyperlink>
        </w:p>
        <w:p w14:paraId="02051B08" w14:textId="04F36C70" w:rsidR="008172AC" w:rsidRDefault="008172AC">
          <w:pPr>
            <w:pStyle w:val="TOC1"/>
            <w:tabs>
              <w:tab w:val="right" w:leader="dot" w:pos="9016"/>
            </w:tabs>
            <w:rPr>
              <w:rFonts w:eastAsiaTheme="minorEastAsia"/>
              <w:noProof/>
              <w:sz w:val="24"/>
              <w:szCs w:val="24"/>
              <w:lang w:eastAsia="en-IN" w:bidi="gu-IN"/>
            </w:rPr>
          </w:pPr>
          <w:hyperlink w:anchor="_Toc232034669" w:history="1">
            <w:r w:rsidRPr="00584B49">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_Toc232034669 \h </w:instrText>
            </w:r>
            <w:r>
              <w:rPr>
                <w:noProof/>
                <w:webHidden/>
              </w:rPr>
            </w:r>
            <w:r>
              <w:rPr>
                <w:noProof/>
                <w:webHidden/>
              </w:rPr>
              <w:fldChar w:fldCharType="separate"/>
            </w:r>
            <w:r>
              <w:rPr>
                <w:noProof/>
                <w:webHidden/>
              </w:rPr>
              <w:t>67</w:t>
            </w:r>
            <w:r>
              <w:rPr>
                <w:noProof/>
                <w:webHidden/>
              </w:rPr>
              <w:fldChar w:fldCharType="end"/>
            </w:r>
          </w:hyperlink>
        </w:p>
        <w:p w14:paraId="18EAC4F8" w14:textId="0482A41F" w:rsidR="008172AC" w:rsidRDefault="008172AC">
          <w:pPr>
            <w:pStyle w:val="TOC1"/>
            <w:tabs>
              <w:tab w:val="right" w:leader="dot" w:pos="9016"/>
            </w:tabs>
            <w:rPr>
              <w:rFonts w:eastAsiaTheme="minorEastAsia"/>
              <w:noProof/>
              <w:sz w:val="24"/>
              <w:szCs w:val="24"/>
              <w:lang w:eastAsia="en-IN" w:bidi="gu-IN"/>
            </w:rPr>
          </w:pPr>
          <w:hyperlink w:anchor="_Toc232034670" w:history="1">
            <w:r w:rsidRPr="00584B49">
              <w:rPr>
                <w:rStyle w:val="Hyperlink"/>
                <w:rFonts w:ascii="Arial" w:hAnsi="Arial" w:cs="Arial"/>
                <w:b/>
                <w:noProof/>
              </w:rPr>
              <w:t>Appendix 2 – Critical Appraisals</w:t>
            </w:r>
            <w:r>
              <w:rPr>
                <w:noProof/>
                <w:webHidden/>
              </w:rPr>
              <w:tab/>
            </w:r>
            <w:r>
              <w:rPr>
                <w:noProof/>
                <w:webHidden/>
              </w:rPr>
              <w:fldChar w:fldCharType="begin"/>
            </w:r>
            <w:r>
              <w:rPr>
                <w:noProof/>
                <w:webHidden/>
              </w:rPr>
              <w:instrText xml:space="preserve"> PAGEREF _Toc232034670 \h </w:instrText>
            </w:r>
            <w:r>
              <w:rPr>
                <w:noProof/>
                <w:webHidden/>
              </w:rPr>
            </w:r>
            <w:r>
              <w:rPr>
                <w:noProof/>
                <w:webHidden/>
              </w:rPr>
              <w:fldChar w:fldCharType="separate"/>
            </w:r>
            <w:r>
              <w:rPr>
                <w:noProof/>
                <w:webHidden/>
              </w:rPr>
              <w:t>74</w:t>
            </w:r>
            <w:r>
              <w:rPr>
                <w:noProof/>
                <w:webHidden/>
              </w:rPr>
              <w:fldChar w:fldCharType="end"/>
            </w:r>
          </w:hyperlink>
        </w:p>
        <w:p w14:paraId="7DC40261" w14:textId="01932761" w:rsidR="00543963" w:rsidRPr="00543963" w:rsidRDefault="00543963">
          <w:pPr>
            <w:rPr>
              <w:rFonts w:ascii="Arial" w:hAnsi="Arial" w:cs="Arial"/>
            </w:rPr>
          </w:pPr>
          <w:r w:rsidRPr="00543963">
            <w:rPr>
              <w:rFonts w:ascii="Arial" w:hAnsi="Arial" w:cs="Arial"/>
              <w:b/>
              <w:bCs/>
              <w:noProof/>
            </w:rPr>
            <w:fldChar w:fldCharType="end"/>
          </w:r>
        </w:p>
      </w:sdtContent>
    </w:sdt>
    <w:p w14:paraId="7F14F9C2" w14:textId="77777777" w:rsidR="00543963" w:rsidRPr="00543963" w:rsidRDefault="00543963" w:rsidP="00BB400C">
      <w:pPr>
        <w:spacing w:line="360" w:lineRule="auto"/>
        <w:jc w:val="both"/>
        <w:rPr>
          <w:rFonts w:ascii="Arial" w:hAnsi="Arial" w:cs="Arial"/>
          <w:b/>
          <w:bCs/>
          <w:sz w:val="28"/>
          <w:szCs w:val="28"/>
        </w:rPr>
      </w:pPr>
    </w:p>
    <w:p w14:paraId="4C80BBB6" w14:textId="77777777" w:rsidR="00543963" w:rsidRPr="00543963" w:rsidRDefault="00543963" w:rsidP="00BB400C">
      <w:pPr>
        <w:spacing w:line="360" w:lineRule="auto"/>
        <w:jc w:val="both"/>
        <w:rPr>
          <w:rFonts w:ascii="Arial" w:hAnsi="Arial" w:cs="Arial"/>
          <w:b/>
          <w:bCs/>
          <w:sz w:val="28"/>
          <w:szCs w:val="28"/>
        </w:rPr>
      </w:pPr>
    </w:p>
    <w:p w14:paraId="0C58A301" w14:textId="77777777" w:rsidR="00543963" w:rsidRPr="00543963" w:rsidRDefault="00543963" w:rsidP="00BB400C">
      <w:pPr>
        <w:spacing w:line="360" w:lineRule="auto"/>
        <w:jc w:val="both"/>
        <w:rPr>
          <w:rFonts w:ascii="Arial" w:hAnsi="Arial" w:cs="Arial"/>
          <w:b/>
          <w:bCs/>
          <w:sz w:val="28"/>
          <w:szCs w:val="28"/>
        </w:rPr>
      </w:pPr>
    </w:p>
    <w:p w14:paraId="765DEAFB" w14:textId="77777777" w:rsidR="00543963" w:rsidRPr="00543963" w:rsidRDefault="00543963" w:rsidP="00BB400C">
      <w:pPr>
        <w:spacing w:line="360" w:lineRule="auto"/>
        <w:jc w:val="both"/>
        <w:rPr>
          <w:rFonts w:ascii="Arial" w:hAnsi="Arial" w:cs="Arial"/>
          <w:b/>
          <w:bCs/>
          <w:sz w:val="28"/>
          <w:szCs w:val="28"/>
        </w:rPr>
      </w:pPr>
    </w:p>
    <w:p w14:paraId="063A65DA" w14:textId="77777777" w:rsidR="00543963" w:rsidRPr="00543963" w:rsidRDefault="00543963" w:rsidP="00BB400C">
      <w:pPr>
        <w:spacing w:line="360" w:lineRule="auto"/>
        <w:jc w:val="both"/>
        <w:rPr>
          <w:rFonts w:ascii="Arial" w:hAnsi="Arial" w:cs="Arial"/>
          <w:b/>
          <w:bCs/>
          <w:sz w:val="28"/>
          <w:szCs w:val="28"/>
        </w:rPr>
      </w:pPr>
    </w:p>
    <w:p w14:paraId="05FEDF88" w14:textId="77777777" w:rsidR="00543963" w:rsidRPr="00543963" w:rsidRDefault="00543963" w:rsidP="00BB400C">
      <w:pPr>
        <w:spacing w:line="360" w:lineRule="auto"/>
        <w:jc w:val="both"/>
        <w:rPr>
          <w:rFonts w:ascii="Arial" w:hAnsi="Arial" w:cs="Arial"/>
          <w:b/>
          <w:bCs/>
          <w:sz w:val="28"/>
          <w:szCs w:val="28"/>
        </w:rPr>
      </w:pPr>
    </w:p>
    <w:p w14:paraId="01A11004" w14:textId="77777777" w:rsidR="00543963" w:rsidRPr="00543963" w:rsidRDefault="00543963" w:rsidP="00BB400C">
      <w:pPr>
        <w:spacing w:line="360" w:lineRule="auto"/>
        <w:jc w:val="both"/>
        <w:rPr>
          <w:rFonts w:ascii="Arial" w:hAnsi="Arial" w:cs="Arial"/>
          <w:b/>
          <w:bCs/>
          <w:sz w:val="28"/>
          <w:szCs w:val="28"/>
        </w:rPr>
      </w:pPr>
    </w:p>
    <w:p w14:paraId="3705ECA5" w14:textId="77777777" w:rsidR="00543963" w:rsidRPr="00543963" w:rsidRDefault="00543963" w:rsidP="00BB400C">
      <w:pPr>
        <w:spacing w:line="360" w:lineRule="auto"/>
        <w:jc w:val="both"/>
        <w:rPr>
          <w:rFonts w:ascii="Arial" w:hAnsi="Arial" w:cs="Arial"/>
          <w:b/>
          <w:bCs/>
          <w:sz w:val="28"/>
          <w:szCs w:val="28"/>
        </w:rPr>
      </w:pPr>
    </w:p>
    <w:p w14:paraId="56673A72" w14:textId="77777777" w:rsidR="00543963" w:rsidRPr="00543963" w:rsidRDefault="00543963" w:rsidP="00BB400C">
      <w:pPr>
        <w:spacing w:line="360" w:lineRule="auto"/>
        <w:jc w:val="both"/>
        <w:rPr>
          <w:rFonts w:ascii="Arial" w:hAnsi="Arial" w:cs="Arial"/>
          <w:b/>
          <w:bCs/>
          <w:sz w:val="28"/>
          <w:szCs w:val="28"/>
        </w:rPr>
      </w:pPr>
    </w:p>
    <w:p w14:paraId="12996A86" w14:textId="77777777" w:rsidR="00543963" w:rsidRPr="00543963" w:rsidRDefault="00543963" w:rsidP="00BB400C">
      <w:pPr>
        <w:spacing w:line="360" w:lineRule="auto"/>
        <w:jc w:val="both"/>
        <w:rPr>
          <w:rFonts w:ascii="Arial" w:hAnsi="Arial" w:cs="Arial"/>
          <w:b/>
          <w:bCs/>
          <w:sz w:val="28"/>
          <w:szCs w:val="28"/>
        </w:rPr>
      </w:pPr>
    </w:p>
    <w:p w14:paraId="1FEB2FEB" w14:textId="77777777" w:rsidR="00543963" w:rsidRPr="00543963" w:rsidRDefault="00543963" w:rsidP="00BB400C">
      <w:pPr>
        <w:spacing w:line="360" w:lineRule="auto"/>
        <w:jc w:val="both"/>
        <w:rPr>
          <w:rFonts w:ascii="Arial" w:hAnsi="Arial" w:cs="Arial"/>
          <w:b/>
          <w:bCs/>
          <w:sz w:val="28"/>
          <w:szCs w:val="28"/>
        </w:rPr>
      </w:pPr>
    </w:p>
    <w:p w14:paraId="7FE3FBC5" w14:textId="77777777" w:rsidR="00127D9F" w:rsidRPr="00127D9F" w:rsidRDefault="00127D9F" w:rsidP="00127D9F">
      <w:pPr>
        <w:pStyle w:val="Heading1"/>
        <w:rPr>
          <w:rFonts w:ascii="Arial" w:hAnsi="Arial" w:cs="Arial"/>
          <w:b/>
          <w:bCs/>
          <w:sz w:val="28"/>
          <w:szCs w:val="28"/>
        </w:rPr>
      </w:pPr>
      <w:bookmarkStart w:id="3" w:name="_Toc232034585"/>
      <w:r w:rsidRPr="00127D9F">
        <w:rPr>
          <w:rFonts w:ascii="Arial" w:hAnsi="Arial" w:cs="Arial"/>
          <w:b/>
          <w:bCs/>
          <w:sz w:val="28"/>
          <w:szCs w:val="28"/>
        </w:rPr>
        <w:t>List of Abbreviations</w:t>
      </w:r>
      <w:bookmarkEnd w:id="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4"/>
        <w:gridCol w:w="6227"/>
      </w:tblGrid>
      <w:tr w:rsidR="00127D9F" w:rsidRPr="00127D9F" w14:paraId="206CDEFE" w14:textId="77777777">
        <w:trPr>
          <w:tblHeader/>
          <w:tblCellSpacing w:w="15" w:type="dxa"/>
        </w:trPr>
        <w:tc>
          <w:tcPr>
            <w:tcW w:w="0" w:type="auto"/>
            <w:vAlign w:val="center"/>
            <w:hideMark/>
          </w:tcPr>
          <w:p w14:paraId="683EC374" w14:textId="77777777" w:rsidR="00127D9F" w:rsidRPr="00127D9F" w:rsidRDefault="00127D9F" w:rsidP="00127D9F">
            <w:r w:rsidRPr="00127D9F">
              <w:t>Abbreviation</w:t>
            </w:r>
          </w:p>
        </w:tc>
        <w:tc>
          <w:tcPr>
            <w:tcW w:w="0" w:type="auto"/>
            <w:vAlign w:val="center"/>
            <w:hideMark/>
          </w:tcPr>
          <w:p w14:paraId="4ADD21F7" w14:textId="77777777" w:rsidR="00127D9F" w:rsidRPr="00127D9F" w:rsidRDefault="00127D9F" w:rsidP="00127D9F">
            <w:r w:rsidRPr="00127D9F">
              <w:t>Full Term</w:t>
            </w:r>
          </w:p>
        </w:tc>
      </w:tr>
      <w:tr w:rsidR="00127D9F" w:rsidRPr="00127D9F" w14:paraId="43FC0C6A" w14:textId="77777777">
        <w:trPr>
          <w:tblCellSpacing w:w="15" w:type="dxa"/>
        </w:trPr>
        <w:tc>
          <w:tcPr>
            <w:tcW w:w="0" w:type="auto"/>
            <w:vAlign w:val="center"/>
            <w:hideMark/>
          </w:tcPr>
          <w:p w14:paraId="0BB37D16" w14:textId="77777777" w:rsidR="00127D9F" w:rsidRPr="00127D9F" w:rsidRDefault="00127D9F" w:rsidP="00127D9F">
            <w:r w:rsidRPr="00127D9F">
              <w:t>AI</w:t>
            </w:r>
          </w:p>
        </w:tc>
        <w:tc>
          <w:tcPr>
            <w:tcW w:w="0" w:type="auto"/>
            <w:vAlign w:val="center"/>
            <w:hideMark/>
          </w:tcPr>
          <w:p w14:paraId="7FD25B0D" w14:textId="77777777" w:rsidR="00127D9F" w:rsidRPr="00127D9F" w:rsidRDefault="00127D9F" w:rsidP="00127D9F">
            <w:r w:rsidRPr="00127D9F">
              <w:t>Artificial Intelligence</w:t>
            </w:r>
          </w:p>
        </w:tc>
      </w:tr>
      <w:tr w:rsidR="00127D9F" w:rsidRPr="00127D9F" w14:paraId="79F3B381" w14:textId="77777777">
        <w:trPr>
          <w:tblCellSpacing w:w="15" w:type="dxa"/>
        </w:trPr>
        <w:tc>
          <w:tcPr>
            <w:tcW w:w="0" w:type="auto"/>
            <w:vAlign w:val="center"/>
            <w:hideMark/>
          </w:tcPr>
          <w:p w14:paraId="377520BD" w14:textId="77777777" w:rsidR="00127D9F" w:rsidRPr="00127D9F" w:rsidRDefault="00127D9F" w:rsidP="00127D9F">
            <w:r w:rsidRPr="00127D9F">
              <w:t>CASP</w:t>
            </w:r>
          </w:p>
        </w:tc>
        <w:tc>
          <w:tcPr>
            <w:tcW w:w="0" w:type="auto"/>
            <w:vAlign w:val="center"/>
            <w:hideMark/>
          </w:tcPr>
          <w:p w14:paraId="2375D185" w14:textId="77777777" w:rsidR="00127D9F" w:rsidRPr="00127D9F" w:rsidRDefault="00127D9F" w:rsidP="00127D9F">
            <w:r w:rsidRPr="00127D9F">
              <w:t>Critical Appraisal Skills Programme</w:t>
            </w:r>
          </w:p>
        </w:tc>
      </w:tr>
      <w:tr w:rsidR="00127D9F" w:rsidRPr="00127D9F" w14:paraId="04E020ED" w14:textId="77777777">
        <w:trPr>
          <w:tblCellSpacing w:w="15" w:type="dxa"/>
        </w:trPr>
        <w:tc>
          <w:tcPr>
            <w:tcW w:w="0" w:type="auto"/>
            <w:vAlign w:val="center"/>
            <w:hideMark/>
          </w:tcPr>
          <w:p w14:paraId="153A540D" w14:textId="77777777" w:rsidR="00127D9F" w:rsidRPr="00127D9F" w:rsidRDefault="00127D9F" w:rsidP="00127D9F">
            <w:r w:rsidRPr="00127D9F">
              <w:t>CINAHL</w:t>
            </w:r>
          </w:p>
        </w:tc>
        <w:tc>
          <w:tcPr>
            <w:tcW w:w="0" w:type="auto"/>
            <w:vAlign w:val="center"/>
            <w:hideMark/>
          </w:tcPr>
          <w:p w14:paraId="79B737AF" w14:textId="77777777" w:rsidR="00127D9F" w:rsidRPr="00127D9F" w:rsidRDefault="00127D9F" w:rsidP="00127D9F">
            <w:r w:rsidRPr="00127D9F">
              <w:t>Cumulative Index to Nursing and Allied Health Literature</w:t>
            </w:r>
          </w:p>
        </w:tc>
      </w:tr>
      <w:tr w:rsidR="00127D9F" w:rsidRPr="00127D9F" w14:paraId="5E5C8989" w14:textId="77777777">
        <w:trPr>
          <w:tblCellSpacing w:w="15" w:type="dxa"/>
        </w:trPr>
        <w:tc>
          <w:tcPr>
            <w:tcW w:w="0" w:type="auto"/>
            <w:vAlign w:val="center"/>
            <w:hideMark/>
          </w:tcPr>
          <w:p w14:paraId="255BCA63" w14:textId="77777777" w:rsidR="00127D9F" w:rsidRPr="00127D9F" w:rsidRDefault="00127D9F" w:rsidP="00127D9F">
            <w:r w:rsidRPr="00127D9F">
              <w:t>DALYs</w:t>
            </w:r>
          </w:p>
        </w:tc>
        <w:tc>
          <w:tcPr>
            <w:tcW w:w="0" w:type="auto"/>
            <w:vAlign w:val="center"/>
            <w:hideMark/>
          </w:tcPr>
          <w:p w14:paraId="4D700AD6" w14:textId="77777777" w:rsidR="00127D9F" w:rsidRPr="00127D9F" w:rsidRDefault="00127D9F" w:rsidP="00127D9F">
            <w:r w:rsidRPr="00127D9F">
              <w:t>Disability-Adjusted Life Years</w:t>
            </w:r>
          </w:p>
        </w:tc>
      </w:tr>
      <w:tr w:rsidR="00127D9F" w:rsidRPr="00127D9F" w14:paraId="784E7C8F" w14:textId="77777777">
        <w:trPr>
          <w:tblCellSpacing w:w="15" w:type="dxa"/>
        </w:trPr>
        <w:tc>
          <w:tcPr>
            <w:tcW w:w="0" w:type="auto"/>
            <w:vAlign w:val="center"/>
            <w:hideMark/>
          </w:tcPr>
          <w:p w14:paraId="1F1525C9" w14:textId="77777777" w:rsidR="00127D9F" w:rsidRPr="00127D9F" w:rsidRDefault="00127D9F" w:rsidP="00127D9F">
            <w:r w:rsidRPr="00127D9F">
              <w:t>eHealth</w:t>
            </w:r>
          </w:p>
        </w:tc>
        <w:tc>
          <w:tcPr>
            <w:tcW w:w="0" w:type="auto"/>
            <w:vAlign w:val="center"/>
            <w:hideMark/>
          </w:tcPr>
          <w:p w14:paraId="095761C5" w14:textId="77777777" w:rsidR="00127D9F" w:rsidRPr="00127D9F" w:rsidRDefault="00127D9F" w:rsidP="00127D9F">
            <w:r w:rsidRPr="00127D9F">
              <w:t>Electronic Health</w:t>
            </w:r>
          </w:p>
        </w:tc>
      </w:tr>
      <w:tr w:rsidR="00127D9F" w:rsidRPr="00127D9F" w14:paraId="69F14366" w14:textId="77777777">
        <w:trPr>
          <w:tblCellSpacing w:w="15" w:type="dxa"/>
        </w:trPr>
        <w:tc>
          <w:tcPr>
            <w:tcW w:w="0" w:type="auto"/>
            <w:vAlign w:val="center"/>
            <w:hideMark/>
          </w:tcPr>
          <w:p w14:paraId="760D6A6A" w14:textId="77777777" w:rsidR="00127D9F" w:rsidRPr="00127D9F" w:rsidRDefault="00127D9F" w:rsidP="00127D9F">
            <w:r w:rsidRPr="00127D9F">
              <w:t>MCI</w:t>
            </w:r>
          </w:p>
        </w:tc>
        <w:tc>
          <w:tcPr>
            <w:tcW w:w="0" w:type="auto"/>
            <w:vAlign w:val="center"/>
            <w:hideMark/>
          </w:tcPr>
          <w:p w14:paraId="7BB85712" w14:textId="77777777" w:rsidR="00127D9F" w:rsidRPr="00127D9F" w:rsidRDefault="00127D9F" w:rsidP="00127D9F">
            <w:r w:rsidRPr="00127D9F">
              <w:t>Mild Cognitive Impairment</w:t>
            </w:r>
          </w:p>
        </w:tc>
      </w:tr>
      <w:tr w:rsidR="00127D9F" w:rsidRPr="00127D9F" w14:paraId="0F5D5E39" w14:textId="77777777">
        <w:trPr>
          <w:tblCellSpacing w:w="15" w:type="dxa"/>
        </w:trPr>
        <w:tc>
          <w:tcPr>
            <w:tcW w:w="0" w:type="auto"/>
            <w:vAlign w:val="center"/>
            <w:hideMark/>
          </w:tcPr>
          <w:p w14:paraId="67B3959D" w14:textId="77777777" w:rsidR="00127D9F" w:rsidRPr="00127D9F" w:rsidRDefault="00127D9F" w:rsidP="00127D9F">
            <w:r w:rsidRPr="00127D9F">
              <w:t>mHealth</w:t>
            </w:r>
          </w:p>
        </w:tc>
        <w:tc>
          <w:tcPr>
            <w:tcW w:w="0" w:type="auto"/>
            <w:vAlign w:val="center"/>
            <w:hideMark/>
          </w:tcPr>
          <w:p w14:paraId="6F7FA803" w14:textId="77777777" w:rsidR="00127D9F" w:rsidRPr="00127D9F" w:rsidRDefault="00127D9F" w:rsidP="00127D9F">
            <w:r w:rsidRPr="00127D9F">
              <w:t>Mobile Health</w:t>
            </w:r>
          </w:p>
        </w:tc>
      </w:tr>
      <w:tr w:rsidR="00127D9F" w:rsidRPr="00127D9F" w14:paraId="3CC11748" w14:textId="77777777">
        <w:trPr>
          <w:tblCellSpacing w:w="15" w:type="dxa"/>
        </w:trPr>
        <w:tc>
          <w:tcPr>
            <w:tcW w:w="0" w:type="auto"/>
            <w:vAlign w:val="center"/>
            <w:hideMark/>
          </w:tcPr>
          <w:p w14:paraId="0BF4702D" w14:textId="77777777" w:rsidR="00127D9F" w:rsidRPr="00127D9F" w:rsidRDefault="00127D9F" w:rsidP="00127D9F">
            <w:r w:rsidRPr="00127D9F">
              <w:t>NHS</w:t>
            </w:r>
          </w:p>
        </w:tc>
        <w:tc>
          <w:tcPr>
            <w:tcW w:w="0" w:type="auto"/>
            <w:vAlign w:val="center"/>
            <w:hideMark/>
          </w:tcPr>
          <w:p w14:paraId="3B801C0E" w14:textId="77777777" w:rsidR="00127D9F" w:rsidRPr="00127D9F" w:rsidRDefault="00127D9F" w:rsidP="00127D9F">
            <w:r w:rsidRPr="00127D9F">
              <w:t>National Health Service</w:t>
            </w:r>
          </w:p>
        </w:tc>
      </w:tr>
      <w:tr w:rsidR="00127D9F" w:rsidRPr="00127D9F" w14:paraId="2F0B098C" w14:textId="77777777">
        <w:trPr>
          <w:tblCellSpacing w:w="15" w:type="dxa"/>
        </w:trPr>
        <w:tc>
          <w:tcPr>
            <w:tcW w:w="0" w:type="auto"/>
            <w:vAlign w:val="center"/>
            <w:hideMark/>
          </w:tcPr>
          <w:p w14:paraId="56A708F6" w14:textId="77777777" w:rsidR="00127D9F" w:rsidRPr="00127D9F" w:rsidRDefault="00127D9F" w:rsidP="00127D9F">
            <w:r w:rsidRPr="00127D9F">
              <w:t>ONS</w:t>
            </w:r>
          </w:p>
        </w:tc>
        <w:tc>
          <w:tcPr>
            <w:tcW w:w="0" w:type="auto"/>
            <w:vAlign w:val="center"/>
            <w:hideMark/>
          </w:tcPr>
          <w:p w14:paraId="610F9D1B" w14:textId="77777777" w:rsidR="00127D9F" w:rsidRPr="00127D9F" w:rsidRDefault="00127D9F" w:rsidP="00127D9F">
            <w:r w:rsidRPr="00127D9F">
              <w:t>Office for National Statistics</w:t>
            </w:r>
          </w:p>
        </w:tc>
      </w:tr>
      <w:tr w:rsidR="00127D9F" w:rsidRPr="00127D9F" w14:paraId="66AC0DA2" w14:textId="77777777">
        <w:trPr>
          <w:tblCellSpacing w:w="15" w:type="dxa"/>
        </w:trPr>
        <w:tc>
          <w:tcPr>
            <w:tcW w:w="0" w:type="auto"/>
            <w:vAlign w:val="center"/>
            <w:hideMark/>
          </w:tcPr>
          <w:p w14:paraId="557A198C" w14:textId="77777777" w:rsidR="00127D9F" w:rsidRPr="00127D9F" w:rsidRDefault="00127D9F" w:rsidP="00127D9F">
            <w:r w:rsidRPr="00127D9F">
              <w:t>PRISMA</w:t>
            </w:r>
          </w:p>
        </w:tc>
        <w:tc>
          <w:tcPr>
            <w:tcW w:w="0" w:type="auto"/>
            <w:vAlign w:val="center"/>
            <w:hideMark/>
          </w:tcPr>
          <w:p w14:paraId="4832F9F5" w14:textId="77777777" w:rsidR="00127D9F" w:rsidRPr="00127D9F" w:rsidRDefault="00127D9F" w:rsidP="00127D9F">
            <w:r w:rsidRPr="00127D9F">
              <w:t>Preferred Reporting Items for Systematic Reviews and Meta-Analyses</w:t>
            </w:r>
          </w:p>
        </w:tc>
      </w:tr>
      <w:tr w:rsidR="00127D9F" w:rsidRPr="00127D9F" w14:paraId="0422ADFC" w14:textId="77777777">
        <w:trPr>
          <w:tblCellSpacing w:w="15" w:type="dxa"/>
        </w:trPr>
        <w:tc>
          <w:tcPr>
            <w:tcW w:w="0" w:type="auto"/>
            <w:vAlign w:val="center"/>
            <w:hideMark/>
          </w:tcPr>
          <w:p w14:paraId="7193F3B0" w14:textId="77777777" w:rsidR="00127D9F" w:rsidRPr="00127D9F" w:rsidRDefault="00127D9F" w:rsidP="00127D9F">
            <w:r w:rsidRPr="00127D9F">
              <w:t>RCT</w:t>
            </w:r>
          </w:p>
        </w:tc>
        <w:tc>
          <w:tcPr>
            <w:tcW w:w="0" w:type="auto"/>
            <w:vAlign w:val="center"/>
            <w:hideMark/>
          </w:tcPr>
          <w:p w14:paraId="53F8A018" w14:textId="77777777" w:rsidR="00127D9F" w:rsidRPr="00127D9F" w:rsidRDefault="00127D9F" w:rsidP="00127D9F">
            <w:r w:rsidRPr="00127D9F">
              <w:t>Randomised Controlled Trial</w:t>
            </w:r>
          </w:p>
        </w:tc>
      </w:tr>
      <w:tr w:rsidR="00127D9F" w:rsidRPr="00127D9F" w14:paraId="24517A9C" w14:textId="77777777">
        <w:trPr>
          <w:tblCellSpacing w:w="15" w:type="dxa"/>
        </w:trPr>
        <w:tc>
          <w:tcPr>
            <w:tcW w:w="0" w:type="auto"/>
            <w:vAlign w:val="center"/>
            <w:hideMark/>
          </w:tcPr>
          <w:p w14:paraId="41795A4A" w14:textId="77777777" w:rsidR="00127D9F" w:rsidRPr="00127D9F" w:rsidRDefault="00127D9F" w:rsidP="00127D9F">
            <w:r w:rsidRPr="00127D9F">
              <w:t>SEM</w:t>
            </w:r>
          </w:p>
        </w:tc>
        <w:tc>
          <w:tcPr>
            <w:tcW w:w="0" w:type="auto"/>
            <w:vAlign w:val="center"/>
            <w:hideMark/>
          </w:tcPr>
          <w:p w14:paraId="67899622" w14:textId="77777777" w:rsidR="00127D9F" w:rsidRPr="00127D9F" w:rsidRDefault="00127D9F" w:rsidP="00127D9F">
            <w:r w:rsidRPr="00127D9F">
              <w:t>Social Ecological Model</w:t>
            </w:r>
          </w:p>
        </w:tc>
      </w:tr>
      <w:tr w:rsidR="00127D9F" w:rsidRPr="00127D9F" w14:paraId="3A3D40BE" w14:textId="77777777">
        <w:trPr>
          <w:tblCellSpacing w:w="15" w:type="dxa"/>
        </w:trPr>
        <w:tc>
          <w:tcPr>
            <w:tcW w:w="0" w:type="auto"/>
            <w:vAlign w:val="center"/>
            <w:hideMark/>
          </w:tcPr>
          <w:p w14:paraId="64D9677F" w14:textId="77777777" w:rsidR="00127D9F" w:rsidRPr="00127D9F" w:rsidRDefault="00127D9F" w:rsidP="00127D9F">
            <w:r w:rsidRPr="00127D9F">
              <w:t>UWTSD</w:t>
            </w:r>
          </w:p>
        </w:tc>
        <w:tc>
          <w:tcPr>
            <w:tcW w:w="0" w:type="auto"/>
            <w:vAlign w:val="center"/>
            <w:hideMark/>
          </w:tcPr>
          <w:p w14:paraId="03644F27" w14:textId="77777777" w:rsidR="00127D9F" w:rsidRPr="00127D9F" w:rsidRDefault="00127D9F" w:rsidP="00127D9F">
            <w:r w:rsidRPr="00127D9F">
              <w:t>University of Wales Trinity Saint David</w:t>
            </w:r>
          </w:p>
        </w:tc>
      </w:tr>
      <w:tr w:rsidR="00127D9F" w:rsidRPr="00127D9F" w14:paraId="0CA82281" w14:textId="77777777">
        <w:trPr>
          <w:tblCellSpacing w:w="15" w:type="dxa"/>
        </w:trPr>
        <w:tc>
          <w:tcPr>
            <w:tcW w:w="0" w:type="auto"/>
            <w:vAlign w:val="center"/>
            <w:hideMark/>
          </w:tcPr>
          <w:p w14:paraId="5AE98DFE" w14:textId="77777777" w:rsidR="00127D9F" w:rsidRPr="00127D9F" w:rsidRDefault="00127D9F" w:rsidP="00127D9F">
            <w:r w:rsidRPr="00127D9F">
              <w:t>WHO</w:t>
            </w:r>
          </w:p>
        </w:tc>
        <w:tc>
          <w:tcPr>
            <w:tcW w:w="0" w:type="auto"/>
            <w:vAlign w:val="center"/>
            <w:hideMark/>
          </w:tcPr>
          <w:p w14:paraId="4CF9225D" w14:textId="77777777" w:rsidR="00127D9F" w:rsidRPr="00127D9F" w:rsidRDefault="00127D9F" w:rsidP="00127D9F">
            <w:r w:rsidRPr="00127D9F">
              <w:t>World Health Organization</w:t>
            </w:r>
          </w:p>
        </w:tc>
      </w:tr>
      <w:tr w:rsidR="00127D9F" w:rsidRPr="00127D9F" w14:paraId="1CB23AB0" w14:textId="77777777">
        <w:trPr>
          <w:tblCellSpacing w:w="15" w:type="dxa"/>
        </w:trPr>
        <w:tc>
          <w:tcPr>
            <w:tcW w:w="0" w:type="auto"/>
            <w:vAlign w:val="center"/>
            <w:hideMark/>
          </w:tcPr>
          <w:p w14:paraId="294064BD" w14:textId="77777777" w:rsidR="00127D9F" w:rsidRPr="00127D9F" w:rsidRDefault="00127D9F" w:rsidP="00127D9F">
            <w:r w:rsidRPr="00127D9F">
              <w:t>JBI</w:t>
            </w:r>
          </w:p>
        </w:tc>
        <w:tc>
          <w:tcPr>
            <w:tcW w:w="0" w:type="auto"/>
            <w:vAlign w:val="center"/>
            <w:hideMark/>
          </w:tcPr>
          <w:p w14:paraId="26657124" w14:textId="77777777" w:rsidR="00127D9F" w:rsidRPr="00127D9F" w:rsidRDefault="00127D9F" w:rsidP="00127D9F">
            <w:r w:rsidRPr="00127D9F">
              <w:t>Joanna Briggs Institute</w:t>
            </w:r>
          </w:p>
        </w:tc>
      </w:tr>
      <w:tr w:rsidR="00127D9F" w:rsidRPr="00127D9F" w14:paraId="511940A1" w14:textId="77777777">
        <w:trPr>
          <w:tblCellSpacing w:w="15" w:type="dxa"/>
        </w:trPr>
        <w:tc>
          <w:tcPr>
            <w:tcW w:w="0" w:type="auto"/>
            <w:vAlign w:val="center"/>
            <w:hideMark/>
          </w:tcPr>
          <w:p w14:paraId="7C8225C9" w14:textId="77777777" w:rsidR="00127D9F" w:rsidRPr="00127D9F" w:rsidRDefault="00127D9F" w:rsidP="00127D9F">
            <w:r w:rsidRPr="00127D9F">
              <w:t>UK</w:t>
            </w:r>
          </w:p>
        </w:tc>
        <w:tc>
          <w:tcPr>
            <w:tcW w:w="0" w:type="auto"/>
            <w:vAlign w:val="center"/>
            <w:hideMark/>
          </w:tcPr>
          <w:p w14:paraId="27F08489" w14:textId="77777777" w:rsidR="00127D9F" w:rsidRPr="00127D9F" w:rsidRDefault="00127D9F" w:rsidP="00127D9F">
            <w:r w:rsidRPr="00127D9F">
              <w:t>United Kingdom</w:t>
            </w:r>
          </w:p>
        </w:tc>
      </w:tr>
      <w:tr w:rsidR="00127D9F" w:rsidRPr="00127D9F" w14:paraId="7AAA0EDF" w14:textId="77777777">
        <w:trPr>
          <w:tblCellSpacing w:w="15" w:type="dxa"/>
        </w:trPr>
        <w:tc>
          <w:tcPr>
            <w:tcW w:w="0" w:type="auto"/>
            <w:vAlign w:val="center"/>
            <w:hideMark/>
          </w:tcPr>
          <w:p w14:paraId="50D1378E" w14:textId="77777777" w:rsidR="00127D9F" w:rsidRPr="00127D9F" w:rsidRDefault="00127D9F" w:rsidP="00127D9F">
            <w:r w:rsidRPr="00127D9F">
              <w:t>UKHSA</w:t>
            </w:r>
          </w:p>
        </w:tc>
        <w:tc>
          <w:tcPr>
            <w:tcW w:w="0" w:type="auto"/>
            <w:vAlign w:val="center"/>
            <w:hideMark/>
          </w:tcPr>
          <w:p w14:paraId="054D1EFA" w14:textId="77777777" w:rsidR="00127D9F" w:rsidRPr="00127D9F" w:rsidRDefault="00127D9F" w:rsidP="00127D9F">
            <w:r w:rsidRPr="00127D9F">
              <w:t>United Kingdom Health Security Agency</w:t>
            </w:r>
          </w:p>
        </w:tc>
      </w:tr>
      <w:tr w:rsidR="00127D9F" w:rsidRPr="00127D9F" w14:paraId="5837D91A" w14:textId="77777777">
        <w:trPr>
          <w:tblCellSpacing w:w="15" w:type="dxa"/>
        </w:trPr>
        <w:tc>
          <w:tcPr>
            <w:tcW w:w="0" w:type="auto"/>
            <w:vAlign w:val="center"/>
            <w:hideMark/>
          </w:tcPr>
          <w:p w14:paraId="690967BC" w14:textId="77777777" w:rsidR="00127D9F" w:rsidRPr="00127D9F" w:rsidRDefault="00127D9F" w:rsidP="00127D9F">
            <w:r w:rsidRPr="00127D9F">
              <w:t>VC</w:t>
            </w:r>
          </w:p>
        </w:tc>
        <w:tc>
          <w:tcPr>
            <w:tcW w:w="0" w:type="auto"/>
            <w:vAlign w:val="center"/>
            <w:hideMark/>
          </w:tcPr>
          <w:p w14:paraId="28DD98B3" w14:textId="77777777" w:rsidR="00127D9F" w:rsidRPr="00127D9F" w:rsidRDefault="00127D9F" w:rsidP="00127D9F">
            <w:r w:rsidRPr="00127D9F">
              <w:t>Virtual Coach</w:t>
            </w:r>
          </w:p>
        </w:tc>
      </w:tr>
      <w:tr w:rsidR="00127D9F" w:rsidRPr="00127D9F" w14:paraId="64352091" w14:textId="77777777">
        <w:trPr>
          <w:tblCellSpacing w:w="15" w:type="dxa"/>
        </w:trPr>
        <w:tc>
          <w:tcPr>
            <w:tcW w:w="0" w:type="auto"/>
            <w:vAlign w:val="center"/>
          </w:tcPr>
          <w:p w14:paraId="642BA201" w14:textId="77777777" w:rsidR="00127D9F" w:rsidRDefault="00127D9F" w:rsidP="00127D9F"/>
          <w:p w14:paraId="1A58CFA8" w14:textId="77777777" w:rsidR="00127D9F" w:rsidRDefault="00127D9F" w:rsidP="00127D9F"/>
          <w:p w14:paraId="4A81DEF3" w14:textId="77777777" w:rsidR="00127D9F" w:rsidRDefault="00127D9F" w:rsidP="00127D9F"/>
          <w:p w14:paraId="4C8AEDFD" w14:textId="77777777" w:rsidR="00127D9F" w:rsidRDefault="00127D9F" w:rsidP="00127D9F"/>
          <w:p w14:paraId="014092F2" w14:textId="77777777" w:rsidR="00127D9F" w:rsidRDefault="00127D9F" w:rsidP="00127D9F"/>
          <w:p w14:paraId="311C617A" w14:textId="77777777" w:rsidR="00127D9F" w:rsidRDefault="00127D9F" w:rsidP="00127D9F"/>
          <w:p w14:paraId="74E669FD" w14:textId="77777777" w:rsidR="00890F44" w:rsidRDefault="00890F44" w:rsidP="00127D9F"/>
          <w:p w14:paraId="77296E3B" w14:textId="77777777" w:rsidR="006B4921" w:rsidRPr="00127D9F" w:rsidRDefault="006B4921" w:rsidP="00127D9F"/>
        </w:tc>
        <w:tc>
          <w:tcPr>
            <w:tcW w:w="0" w:type="auto"/>
            <w:vAlign w:val="center"/>
          </w:tcPr>
          <w:p w14:paraId="18AEEF4A" w14:textId="77777777" w:rsidR="00127D9F" w:rsidRDefault="00127D9F" w:rsidP="00127D9F"/>
          <w:p w14:paraId="5578EDB8" w14:textId="77777777" w:rsidR="00890F44" w:rsidRDefault="00890F44" w:rsidP="00127D9F"/>
          <w:p w14:paraId="0B76B61D" w14:textId="77777777" w:rsidR="00890F44" w:rsidRPr="00127D9F" w:rsidRDefault="00890F44" w:rsidP="00127D9F"/>
        </w:tc>
      </w:tr>
    </w:tbl>
    <w:p w14:paraId="1E4A8DAB" w14:textId="018FF016" w:rsidR="000178E2" w:rsidRPr="000178E2" w:rsidRDefault="000178E2" w:rsidP="000178E2">
      <w:pPr>
        <w:pStyle w:val="Heading1"/>
        <w:spacing w:after="158" w:line="342" w:lineRule="auto"/>
        <w:rPr>
          <w:rFonts w:ascii="Arial" w:hAnsi="Arial" w:cs="Arial"/>
          <w:b/>
          <w:bCs/>
          <w:sz w:val="28"/>
          <w:szCs w:val="28"/>
        </w:rPr>
      </w:pPr>
      <w:bookmarkStart w:id="4" w:name="_Toc232034586"/>
      <w:r w:rsidRPr="000178E2">
        <w:rPr>
          <w:rFonts w:ascii="Arial" w:hAnsi="Arial" w:cs="Arial"/>
          <w:b/>
          <w:bCs/>
          <w:sz w:val="28"/>
          <w:szCs w:val="28"/>
        </w:rPr>
        <w:t>List of figures</w:t>
      </w:r>
      <w:bookmarkEnd w:id="4"/>
    </w:p>
    <w:p w14:paraId="1A280BB9" w14:textId="6179F220" w:rsidR="006B4921" w:rsidRDefault="006B4921">
      <w:pPr>
        <w:pStyle w:val="TableofFigures"/>
        <w:tabs>
          <w:tab w:val="right" w:leader="dot" w:pos="9016"/>
        </w:tabs>
        <w:rPr>
          <w:noProof/>
        </w:rPr>
      </w:pPr>
      <w:r>
        <w:rPr>
          <w:rFonts w:ascii="Arial" w:hAnsi="Arial" w:cs="Arial"/>
          <w:b/>
          <w:bCs/>
          <w:sz w:val="28"/>
          <w:szCs w:val="28"/>
        </w:rPr>
        <w:fldChar w:fldCharType="begin"/>
      </w:r>
      <w:r>
        <w:rPr>
          <w:rFonts w:ascii="Arial" w:hAnsi="Arial" w:cs="Arial"/>
          <w:b/>
          <w:bCs/>
          <w:sz w:val="28"/>
          <w:szCs w:val="28"/>
        </w:rPr>
        <w:instrText xml:space="preserve"> TOC \h \z \c "Figure" </w:instrText>
      </w:r>
      <w:r>
        <w:rPr>
          <w:rFonts w:ascii="Arial" w:hAnsi="Arial" w:cs="Arial"/>
          <w:b/>
          <w:bCs/>
          <w:sz w:val="28"/>
          <w:szCs w:val="28"/>
        </w:rPr>
        <w:fldChar w:fldCharType="separate"/>
      </w:r>
      <w:hyperlink w:anchor="_Toc231943616" w:history="1">
        <w:r w:rsidRPr="008C49A9">
          <w:rPr>
            <w:rStyle w:val="Hyperlink"/>
            <w:rFonts w:ascii="Arial" w:hAnsi="Arial" w:cs="Arial"/>
            <w:noProof/>
          </w:rPr>
          <w:t>Figure 1</w:t>
        </w:r>
        <w:r w:rsidRPr="008C49A9">
          <w:rPr>
            <w:rStyle w:val="Hyperlink"/>
            <w:rFonts w:ascii="Arial" w:hAnsi="Arial" w:cs="Arial"/>
            <w:noProof/>
            <w:lang w:val="en-US"/>
          </w:rPr>
          <w:t xml:space="preserve"> Social Ecological Model illustrating the multiple levels of influence on health behaviours, including individual, interpersonal, community, organisational, and policy factors (adapted from McLeroy et al., 1988).</w:t>
        </w:r>
        <w:r>
          <w:rPr>
            <w:noProof/>
            <w:webHidden/>
          </w:rPr>
          <w:tab/>
        </w:r>
        <w:r>
          <w:rPr>
            <w:noProof/>
            <w:webHidden/>
          </w:rPr>
          <w:fldChar w:fldCharType="begin"/>
        </w:r>
        <w:r>
          <w:rPr>
            <w:noProof/>
            <w:webHidden/>
          </w:rPr>
          <w:instrText xml:space="preserve"> PAGEREF _Toc231943616 \h </w:instrText>
        </w:r>
        <w:r>
          <w:rPr>
            <w:noProof/>
            <w:webHidden/>
          </w:rPr>
        </w:r>
        <w:r>
          <w:rPr>
            <w:noProof/>
            <w:webHidden/>
          </w:rPr>
          <w:fldChar w:fldCharType="separate"/>
        </w:r>
        <w:r>
          <w:rPr>
            <w:noProof/>
            <w:webHidden/>
          </w:rPr>
          <w:t>17</w:t>
        </w:r>
        <w:r>
          <w:rPr>
            <w:noProof/>
            <w:webHidden/>
          </w:rPr>
          <w:fldChar w:fldCharType="end"/>
        </w:r>
      </w:hyperlink>
    </w:p>
    <w:p w14:paraId="0D56871C" w14:textId="5B79F306" w:rsidR="006B4921" w:rsidRPr="006B4921" w:rsidRDefault="006B4921">
      <w:pPr>
        <w:pStyle w:val="TableofFigures"/>
        <w:tabs>
          <w:tab w:val="right" w:leader="dot" w:pos="9016"/>
        </w:tabs>
        <w:rPr>
          <w:noProof/>
        </w:rPr>
      </w:pPr>
      <w:hyperlink w:anchor="_Toc231943617" w:history="1">
        <w:r w:rsidRPr="008C49A9">
          <w:rPr>
            <w:rStyle w:val="Hyperlink"/>
            <w:rFonts w:ascii="Arial" w:hAnsi="Arial" w:cs="Arial"/>
            <w:b/>
            <w:bCs/>
            <w:noProof/>
          </w:rPr>
          <w:t>Figure 2</w:t>
        </w:r>
        <w:r w:rsidRPr="008C49A9">
          <w:rPr>
            <w:rStyle w:val="Hyperlink"/>
            <w:rFonts w:ascii="Arial" w:hAnsi="Arial" w:cs="Arial"/>
            <w:b/>
            <w:bCs/>
            <w:noProof/>
            <w:lang w:val="en-US"/>
          </w:rPr>
          <w:t xml:space="preserve"> PRISMA diagram (self Developed)</w:t>
        </w:r>
        <w:r>
          <w:rPr>
            <w:noProof/>
            <w:webHidden/>
          </w:rPr>
          <w:tab/>
        </w:r>
        <w:r>
          <w:rPr>
            <w:noProof/>
            <w:webHidden/>
          </w:rPr>
          <w:fldChar w:fldCharType="begin"/>
        </w:r>
        <w:r>
          <w:rPr>
            <w:noProof/>
            <w:webHidden/>
          </w:rPr>
          <w:instrText xml:space="preserve"> PAGEREF _Toc231943617 \h </w:instrText>
        </w:r>
        <w:r>
          <w:rPr>
            <w:noProof/>
            <w:webHidden/>
          </w:rPr>
        </w:r>
        <w:r>
          <w:rPr>
            <w:noProof/>
            <w:webHidden/>
          </w:rPr>
          <w:fldChar w:fldCharType="separate"/>
        </w:r>
        <w:r>
          <w:rPr>
            <w:noProof/>
            <w:webHidden/>
          </w:rPr>
          <w:t>26</w:t>
        </w:r>
        <w:r>
          <w:rPr>
            <w:noProof/>
            <w:webHidden/>
          </w:rPr>
          <w:fldChar w:fldCharType="end"/>
        </w:r>
      </w:hyperlink>
    </w:p>
    <w:p w14:paraId="37F6AA76" w14:textId="4B89FAEA" w:rsidR="006B4921" w:rsidRDefault="006B4921" w:rsidP="00543963">
      <w:pPr>
        <w:pStyle w:val="Heading1"/>
        <w:rPr>
          <w:rFonts w:ascii="Arial" w:hAnsi="Arial" w:cs="Arial"/>
          <w:b/>
          <w:bCs/>
          <w:sz w:val="28"/>
          <w:szCs w:val="28"/>
        </w:rPr>
      </w:pPr>
      <w:r>
        <w:rPr>
          <w:rFonts w:ascii="Arial" w:hAnsi="Arial" w:cs="Arial"/>
          <w:b/>
          <w:bCs/>
          <w:sz w:val="28"/>
          <w:szCs w:val="28"/>
        </w:rPr>
        <w:fldChar w:fldCharType="end"/>
      </w:r>
    </w:p>
    <w:p w14:paraId="3F8755BD" w14:textId="77777777" w:rsidR="000178E2" w:rsidRDefault="000178E2" w:rsidP="000178E2"/>
    <w:p w14:paraId="4B4C5CEC" w14:textId="77777777" w:rsidR="000178E2" w:rsidRDefault="000178E2" w:rsidP="000178E2"/>
    <w:p w14:paraId="47496938" w14:textId="77777777" w:rsidR="000178E2" w:rsidRDefault="000178E2" w:rsidP="000178E2"/>
    <w:p w14:paraId="1CD9E038" w14:textId="77777777" w:rsidR="000178E2" w:rsidRDefault="000178E2" w:rsidP="000178E2"/>
    <w:p w14:paraId="391A3223" w14:textId="77777777" w:rsidR="000178E2" w:rsidRDefault="000178E2" w:rsidP="000178E2"/>
    <w:p w14:paraId="1972A243" w14:textId="77777777" w:rsidR="000178E2" w:rsidRDefault="000178E2" w:rsidP="000178E2"/>
    <w:p w14:paraId="4FAD20DA" w14:textId="77777777" w:rsidR="000178E2" w:rsidRDefault="000178E2" w:rsidP="000178E2"/>
    <w:p w14:paraId="7D818951" w14:textId="77777777" w:rsidR="000178E2" w:rsidRDefault="000178E2" w:rsidP="000178E2"/>
    <w:p w14:paraId="0F8F1A0D" w14:textId="77777777" w:rsidR="000178E2" w:rsidRDefault="000178E2" w:rsidP="000178E2"/>
    <w:p w14:paraId="6307C6A0" w14:textId="77777777" w:rsidR="000178E2" w:rsidRDefault="000178E2" w:rsidP="000178E2"/>
    <w:p w14:paraId="27D96AA5" w14:textId="77777777" w:rsidR="000178E2" w:rsidRDefault="000178E2" w:rsidP="000178E2"/>
    <w:p w14:paraId="6BF8C997" w14:textId="77777777" w:rsidR="000178E2" w:rsidRDefault="000178E2" w:rsidP="000178E2"/>
    <w:p w14:paraId="25999923" w14:textId="77777777" w:rsidR="000178E2" w:rsidRDefault="000178E2" w:rsidP="000178E2"/>
    <w:p w14:paraId="2EC540F2" w14:textId="77777777" w:rsidR="000178E2" w:rsidRDefault="000178E2" w:rsidP="000178E2"/>
    <w:p w14:paraId="5E18762C" w14:textId="77777777" w:rsidR="000178E2" w:rsidRDefault="000178E2" w:rsidP="000178E2"/>
    <w:p w14:paraId="52C4903D" w14:textId="77777777" w:rsidR="000178E2" w:rsidRDefault="000178E2" w:rsidP="000178E2"/>
    <w:p w14:paraId="439942AF" w14:textId="77777777" w:rsidR="000178E2" w:rsidRDefault="000178E2" w:rsidP="000178E2"/>
    <w:p w14:paraId="3DB65B98" w14:textId="77777777" w:rsidR="000178E2" w:rsidRDefault="000178E2" w:rsidP="000178E2"/>
    <w:p w14:paraId="37B0EA3F" w14:textId="77777777" w:rsidR="000178E2" w:rsidRDefault="000178E2" w:rsidP="000178E2"/>
    <w:p w14:paraId="2EC1C36A" w14:textId="77777777" w:rsidR="000178E2" w:rsidRDefault="000178E2" w:rsidP="000178E2"/>
    <w:p w14:paraId="7788DAA4" w14:textId="77777777" w:rsidR="000178E2" w:rsidRDefault="000178E2" w:rsidP="000178E2"/>
    <w:p w14:paraId="130E722B" w14:textId="77777777" w:rsidR="000178E2" w:rsidRDefault="000178E2" w:rsidP="000178E2"/>
    <w:p w14:paraId="77749EB5" w14:textId="77777777" w:rsidR="000178E2" w:rsidRDefault="000178E2" w:rsidP="000178E2"/>
    <w:p w14:paraId="316CC6FF" w14:textId="77777777" w:rsidR="000178E2" w:rsidRDefault="000178E2" w:rsidP="000178E2"/>
    <w:p w14:paraId="461DF975" w14:textId="77777777" w:rsidR="000178E2" w:rsidRDefault="000178E2" w:rsidP="000178E2"/>
    <w:p w14:paraId="6DF0326C" w14:textId="68C48955" w:rsidR="000178E2" w:rsidRDefault="000178E2" w:rsidP="008E763D">
      <w:pPr>
        <w:pStyle w:val="Heading1"/>
        <w:ind w:left="12" w:right="4"/>
        <w:rPr>
          <w:rFonts w:ascii="Arial" w:hAnsi="Arial" w:cs="Arial"/>
          <w:b/>
          <w:bCs/>
          <w:sz w:val="28"/>
          <w:szCs w:val="28"/>
        </w:rPr>
      </w:pPr>
      <w:bookmarkStart w:id="5" w:name="_Toc232034587"/>
      <w:r w:rsidRPr="000178E2">
        <w:rPr>
          <w:rFonts w:ascii="Arial" w:hAnsi="Arial" w:cs="Arial"/>
          <w:b/>
          <w:bCs/>
          <w:sz w:val="28"/>
          <w:szCs w:val="28"/>
        </w:rPr>
        <w:t>List of tables</w:t>
      </w:r>
      <w:bookmarkEnd w:id="5"/>
      <w:r w:rsidRPr="000178E2">
        <w:rPr>
          <w:rFonts w:ascii="Arial" w:hAnsi="Arial" w:cs="Arial"/>
          <w:b/>
          <w:bCs/>
          <w:sz w:val="28"/>
          <w:szCs w:val="28"/>
        </w:rPr>
        <w:t xml:space="preserve"> </w:t>
      </w:r>
    </w:p>
    <w:p w14:paraId="7935482D" w14:textId="1B78225E" w:rsidR="008E763D" w:rsidRDefault="008E763D">
      <w:pPr>
        <w:pStyle w:val="TableofFigures"/>
        <w:tabs>
          <w:tab w:val="right" w:leader="dot" w:pos="9016"/>
        </w:tabs>
        <w:rPr>
          <w:rFonts w:eastAsiaTheme="minorEastAsia"/>
          <w:noProof/>
          <w:sz w:val="24"/>
          <w:szCs w:val="24"/>
          <w:lang w:eastAsia="en-IN" w:bidi="gu-IN"/>
        </w:rPr>
      </w:pPr>
      <w:r>
        <w:fldChar w:fldCharType="begin"/>
      </w:r>
      <w:r>
        <w:instrText xml:space="preserve"> TOC \h \z \c "Table" </w:instrText>
      </w:r>
      <w:r>
        <w:fldChar w:fldCharType="separate"/>
      </w:r>
      <w:hyperlink w:anchor="_Toc231944275" w:history="1">
        <w:r w:rsidRPr="00182770">
          <w:rPr>
            <w:rStyle w:val="Hyperlink"/>
            <w:rFonts w:ascii="Arial" w:hAnsi="Arial" w:cs="Arial"/>
            <w:noProof/>
          </w:rPr>
          <w:t>Table 1</w:t>
        </w:r>
        <w:r w:rsidRPr="00182770">
          <w:rPr>
            <w:rStyle w:val="Hyperlink"/>
            <w:rFonts w:ascii="Arial" w:hAnsi="Arial" w:cs="Arial"/>
            <w:noProof/>
            <w:lang w:val="en-US"/>
          </w:rPr>
          <w:t xml:space="preserve"> Inclusion-exclusion Criteria</w:t>
        </w:r>
        <w:r>
          <w:rPr>
            <w:noProof/>
            <w:webHidden/>
          </w:rPr>
          <w:tab/>
        </w:r>
        <w:r>
          <w:rPr>
            <w:noProof/>
            <w:webHidden/>
          </w:rPr>
          <w:fldChar w:fldCharType="begin"/>
        </w:r>
        <w:r>
          <w:rPr>
            <w:noProof/>
            <w:webHidden/>
          </w:rPr>
          <w:instrText xml:space="preserve"> PAGEREF _Toc231944275 \h </w:instrText>
        </w:r>
        <w:r>
          <w:rPr>
            <w:noProof/>
            <w:webHidden/>
          </w:rPr>
        </w:r>
        <w:r>
          <w:rPr>
            <w:noProof/>
            <w:webHidden/>
          </w:rPr>
          <w:fldChar w:fldCharType="separate"/>
        </w:r>
        <w:r>
          <w:rPr>
            <w:noProof/>
            <w:webHidden/>
          </w:rPr>
          <w:t>26</w:t>
        </w:r>
        <w:r>
          <w:rPr>
            <w:noProof/>
            <w:webHidden/>
          </w:rPr>
          <w:fldChar w:fldCharType="end"/>
        </w:r>
      </w:hyperlink>
    </w:p>
    <w:p w14:paraId="0C1EE548" w14:textId="0DACA81A" w:rsidR="008E763D" w:rsidRDefault="008E763D">
      <w:pPr>
        <w:pStyle w:val="TableofFigures"/>
        <w:tabs>
          <w:tab w:val="right" w:leader="dot" w:pos="9016"/>
        </w:tabs>
        <w:rPr>
          <w:rFonts w:eastAsiaTheme="minorEastAsia"/>
          <w:noProof/>
          <w:sz w:val="24"/>
          <w:szCs w:val="24"/>
          <w:lang w:eastAsia="en-IN" w:bidi="gu-IN"/>
        </w:rPr>
      </w:pPr>
      <w:hyperlink w:anchor="_Toc231944276" w:history="1">
        <w:r w:rsidRPr="00182770">
          <w:rPr>
            <w:rStyle w:val="Hyperlink"/>
            <w:rFonts w:ascii="Arial" w:hAnsi="Arial" w:cs="Arial"/>
            <w:noProof/>
          </w:rPr>
          <w:t>Table 2</w:t>
        </w:r>
        <w:r w:rsidRPr="00182770">
          <w:rPr>
            <w:rStyle w:val="Hyperlink"/>
            <w:rFonts w:ascii="Arial" w:hAnsi="Arial" w:cs="Arial"/>
            <w:noProof/>
            <w:lang w:val="en-US"/>
          </w:rPr>
          <w:t xml:space="preserve"> Thematic Table</w:t>
        </w:r>
        <w:r>
          <w:rPr>
            <w:noProof/>
            <w:webHidden/>
          </w:rPr>
          <w:tab/>
        </w:r>
        <w:r>
          <w:rPr>
            <w:noProof/>
            <w:webHidden/>
          </w:rPr>
          <w:fldChar w:fldCharType="begin"/>
        </w:r>
        <w:r>
          <w:rPr>
            <w:noProof/>
            <w:webHidden/>
          </w:rPr>
          <w:instrText xml:space="preserve"> PAGEREF _Toc231944276 \h </w:instrText>
        </w:r>
        <w:r>
          <w:rPr>
            <w:noProof/>
            <w:webHidden/>
          </w:rPr>
        </w:r>
        <w:r>
          <w:rPr>
            <w:noProof/>
            <w:webHidden/>
          </w:rPr>
          <w:fldChar w:fldCharType="separate"/>
        </w:r>
        <w:r>
          <w:rPr>
            <w:noProof/>
            <w:webHidden/>
          </w:rPr>
          <w:t>32</w:t>
        </w:r>
        <w:r>
          <w:rPr>
            <w:noProof/>
            <w:webHidden/>
          </w:rPr>
          <w:fldChar w:fldCharType="end"/>
        </w:r>
      </w:hyperlink>
    </w:p>
    <w:p w14:paraId="184EA33F" w14:textId="75A3F548" w:rsidR="008E763D" w:rsidRDefault="008E763D">
      <w:pPr>
        <w:pStyle w:val="TableofFigures"/>
        <w:tabs>
          <w:tab w:val="right" w:leader="dot" w:pos="9016"/>
        </w:tabs>
        <w:rPr>
          <w:rFonts w:eastAsiaTheme="minorEastAsia"/>
          <w:noProof/>
          <w:sz w:val="24"/>
          <w:szCs w:val="24"/>
          <w:lang w:eastAsia="en-IN" w:bidi="gu-IN"/>
        </w:rPr>
      </w:pPr>
      <w:hyperlink w:anchor="_Toc231944277" w:history="1">
        <w:r w:rsidRPr="00182770">
          <w:rPr>
            <w:rStyle w:val="Hyperlink"/>
            <w:rFonts w:ascii="Arial" w:hAnsi="Arial" w:cs="Arial"/>
            <w:noProof/>
          </w:rPr>
          <w:t>Table 3</w:t>
        </w:r>
        <w:r w:rsidRPr="00182770">
          <w:rPr>
            <w:rStyle w:val="Hyperlink"/>
            <w:rFonts w:ascii="Arial" w:hAnsi="Arial" w:cs="Arial"/>
            <w:noProof/>
            <w:lang w:val="en-US"/>
          </w:rPr>
          <w:t xml:space="preserve"> Data Extraction Table.</w:t>
        </w:r>
        <w:r>
          <w:rPr>
            <w:noProof/>
            <w:webHidden/>
          </w:rPr>
          <w:tab/>
        </w:r>
        <w:r>
          <w:rPr>
            <w:noProof/>
            <w:webHidden/>
          </w:rPr>
          <w:fldChar w:fldCharType="begin"/>
        </w:r>
        <w:r>
          <w:rPr>
            <w:noProof/>
            <w:webHidden/>
          </w:rPr>
          <w:instrText xml:space="preserve"> PAGEREF _Toc231944277 \h </w:instrText>
        </w:r>
        <w:r>
          <w:rPr>
            <w:noProof/>
            <w:webHidden/>
          </w:rPr>
        </w:r>
        <w:r>
          <w:rPr>
            <w:noProof/>
            <w:webHidden/>
          </w:rPr>
          <w:fldChar w:fldCharType="separate"/>
        </w:r>
        <w:r>
          <w:rPr>
            <w:noProof/>
            <w:webHidden/>
          </w:rPr>
          <w:t>69</w:t>
        </w:r>
        <w:r>
          <w:rPr>
            <w:noProof/>
            <w:webHidden/>
          </w:rPr>
          <w:fldChar w:fldCharType="end"/>
        </w:r>
      </w:hyperlink>
    </w:p>
    <w:p w14:paraId="1BD9622F" w14:textId="2B41093F" w:rsidR="008E763D" w:rsidRDefault="008E763D">
      <w:pPr>
        <w:pStyle w:val="TableofFigures"/>
        <w:tabs>
          <w:tab w:val="right" w:leader="dot" w:pos="9016"/>
        </w:tabs>
        <w:rPr>
          <w:rFonts w:eastAsiaTheme="minorEastAsia"/>
          <w:noProof/>
          <w:sz w:val="24"/>
          <w:szCs w:val="24"/>
          <w:lang w:eastAsia="en-IN" w:bidi="gu-IN"/>
        </w:rPr>
      </w:pPr>
      <w:hyperlink w:anchor="_Toc231944278" w:history="1">
        <w:r w:rsidRPr="00182770">
          <w:rPr>
            <w:rStyle w:val="Hyperlink"/>
            <w:rFonts w:ascii="Arial" w:hAnsi="Arial" w:cs="Arial"/>
            <w:noProof/>
          </w:rPr>
          <w:t>Table 4</w:t>
        </w:r>
        <w:r w:rsidRPr="00182770">
          <w:rPr>
            <w:rStyle w:val="Hyperlink"/>
            <w:rFonts w:ascii="Arial" w:hAnsi="Arial" w:cs="Arial"/>
            <w:noProof/>
            <w:lang w:val="en-US"/>
          </w:rPr>
          <w:t>CASP (2024) Critical Appraisal Tool for Qualitative Research</w:t>
        </w:r>
        <w:r>
          <w:rPr>
            <w:noProof/>
            <w:webHidden/>
          </w:rPr>
          <w:tab/>
        </w:r>
        <w:r>
          <w:rPr>
            <w:noProof/>
            <w:webHidden/>
          </w:rPr>
          <w:fldChar w:fldCharType="begin"/>
        </w:r>
        <w:r>
          <w:rPr>
            <w:noProof/>
            <w:webHidden/>
          </w:rPr>
          <w:instrText xml:space="preserve"> PAGEREF _Toc231944278 \h </w:instrText>
        </w:r>
        <w:r>
          <w:rPr>
            <w:noProof/>
            <w:webHidden/>
          </w:rPr>
        </w:r>
        <w:r>
          <w:rPr>
            <w:noProof/>
            <w:webHidden/>
          </w:rPr>
          <w:fldChar w:fldCharType="separate"/>
        </w:r>
        <w:r>
          <w:rPr>
            <w:noProof/>
            <w:webHidden/>
          </w:rPr>
          <w:t>76</w:t>
        </w:r>
        <w:r>
          <w:rPr>
            <w:noProof/>
            <w:webHidden/>
          </w:rPr>
          <w:fldChar w:fldCharType="end"/>
        </w:r>
      </w:hyperlink>
    </w:p>
    <w:p w14:paraId="7D9864AF" w14:textId="6DC2747A" w:rsidR="008E763D" w:rsidRDefault="008E763D">
      <w:pPr>
        <w:pStyle w:val="TableofFigures"/>
        <w:tabs>
          <w:tab w:val="right" w:leader="dot" w:pos="9016"/>
        </w:tabs>
        <w:rPr>
          <w:rFonts w:eastAsiaTheme="minorEastAsia"/>
          <w:noProof/>
          <w:sz w:val="24"/>
          <w:szCs w:val="24"/>
          <w:lang w:eastAsia="en-IN" w:bidi="gu-IN"/>
        </w:rPr>
      </w:pPr>
      <w:hyperlink w:anchor="_Toc231944279" w:history="1">
        <w:r w:rsidRPr="00182770">
          <w:rPr>
            <w:rStyle w:val="Hyperlink"/>
            <w:rFonts w:ascii="Arial" w:hAnsi="Arial" w:cs="Arial"/>
            <w:noProof/>
          </w:rPr>
          <w:t>Table 5</w:t>
        </w:r>
        <w:r w:rsidRPr="00182770">
          <w:rPr>
            <w:rStyle w:val="Hyperlink"/>
            <w:rFonts w:ascii="Arial" w:hAnsi="Arial" w:cs="Arial"/>
            <w:noProof/>
            <w:lang w:val="en-US"/>
          </w:rPr>
          <w:t xml:space="preserve"> JBI (2017) Critical Appraisal Checklist for Analytical Cross-Sectional Studies</w:t>
        </w:r>
        <w:r>
          <w:rPr>
            <w:noProof/>
            <w:webHidden/>
          </w:rPr>
          <w:tab/>
        </w:r>
        <w:r>
          <w:rPr>
            <w:noProof/>
            <w:webHidden/>
          </w:rPr>
          <w:fldChar w:fldCharType="begin"/>
        </w:r>
        <w:r>
          <w:rPr>
            <w:noProof/>
            <w:webHidden/>
          </w:rPr>
          <w:instrText xml:space="preserve"> PAGEREF _Toc231944279 \h </w:instrText>
        </w:r>
        <w:r>
          <w:rPr>
            <w:noProof/>
            <w:webHidden/>
          </w:rPr>
        </w:r>
        <w:r>
          <w:rPr>
            <w:noProof/>
            <w:webHidden/>
          </w:rPr>
          <w:fldChar w:fldCharType="separate"/>
        </w:r>
        <w:r>
          <w:rPr>
            <w:noProof/>
            <w:webHidden/>
          </w:rPr>
          <w:t>79</w:t>
        </w:r>
        <w:r>
          <w:rPr>
            <w:noProof/>
            <w:webHidden/>
          </w:rPr>
          <w:fldChar w:fldCharType="end"/>
        </w:r>
      </w:hyperlink>
    </w:p>
    <w:p w14:paraId="5A5B95F1" w14:textId="63D55E8B" w:rsidR="008E763D" w:rsidRDefault="008E763D">
      <w:pPr>
        <w:pStyle w:val="TableofFigures"/>
        <w:tabs>
          <w:tab w:val="right" w:leader="dot" w:pos="9016"/>
        </w:tabs>
        <w:rPr>
          <w:rFonts w:eastAsiaTheme="minorEastAsia"/>
          <w:noProof/>
          <w:sz w:val="24"/>
          <w:szCs w:val="24"/>
          <w:lang w:eastAsia="en-IN" w:bidi="gu-IN"/>
        </w:rPr>
      </w:pPr>
      <w:hyperlink w:anchor="_Toc231944280" w:history="1">
        <w:r w:rsidRPr="00182770">
          <w:rPr>
            <w:rStyle w:val="Hyperlink"/>
            <w:rFonts w:ascii="Arial" w:hAnsi="Arial" w:cs="Arial"/>
            <w:noProof/>
          </w:rPr>
          <w:t>Table 6</w:t>
        </w:r>
        <w:r w:rsidRPr="00182770">
          <w:rPr>
            <w:rStyle w:val="Hyperlink"/>
            <w:rFonts w:ascii="Arial" w:hAnsi="Arial" w:cs="Arial"/>
            <w:noProof/>
            <w:lang w:val="en-US"/>
          </w:rPr>
          <w:t xml:space="preserve"> JBI (2017) Critical Appraisal Checklist for Cohort Studies</w:t>
        </w:r>
        <w:r>
          <w:rPr>
            <w:noProof/>
            <w:webHidden/>
          </w:rPr>
          <w:tab/>
        </w:r>
        <w:r>
          <w:rPr>
            <w:noProof/>
            <w:webHidden/>
          </w:rPr>
          <w:fldChar w:fldCharType="begin"/>
        </w:r>
        <w:r>
          <w:rPr>
            <w:noProof/>
            <w:webHidden/>
          </w:rPr>
          <w:instrText xml:space="preserve"> PAGEREF _Toc231944280 \h </w:instrText>
        </w:r>
        <w:r>
          <w:rPr>
            <w:noProof/>
            <w:webHidden/>
          </w:rPr>
        </w:r>
        <w:r>
          <w:rPr>
            <w:noProof/>
            <w:webHidden/>
          </w:rPr>
          <w:fldChar w:fldCharType="separate"/>
        </w:r>
        <w:r>
          <w:rPr>
            <w:noProof/>
            <w:webHidden/>
          </w:rPr>
          <w:t>80</w:t>
        </w:r>
        <w:r>
          <w:rPr>
            <w:noProof/>
            <w:webHidden/>
          </w:rPr>
          <w:fldChar w:fldCharType="end"/>
        </w:r>
      </w:hyperlink>
    </w:p>
    <w:p w14:paraId="06942EDF" w14:textId="0688DA32" w:rsidR="008E763D" w:rsidRDefault="008E763D">
      <w:pPr>
        <w:pStyle w:val="TableofFigures"/>
        <w:tabs>
          <w:tab w:val="right" w:leader="dot" w:pos="9016"/>
        </w:tabs>
        <w:rPr>
          <w:rFonts w:eastAsiaTheme="minorEastAsia"/>
          <w:noProof/>
          <w:sz w:val="24"/>
          <w:szCs w:val="24"/>
          <w:lang w:eastAsia="en-IN" w:bidi="gu-IN"/>
        </w:rPr>
      </w:pPr>
      <w:hyperlink w:anchor="_Toc231944281" w:history="1">
        <w:r w:rsidRPr="00182770">
          <w:rPr>
            <w:rStyle w:val="Hyperlink"/>
            <w:rFonts w:ascii="Arial" w:hAnsi="Arial" w:cs="Arial"/>
            <w:noProof/>
          </w:rPr>
          <w:t>Table 7</w:t>
        </w:r>
        <w:r w:rsidRPr="00182770">
          <w:rPr>
            <w:rStyle w:val="Hyperlink"/>
            <w:rFonts w:ascii="Arial" w:hAnsi="Arial" w:cs="Arial"/>
            <w:noProof/>
            <w:lang w:val="en-US"/>
          </w:rPr>
          <w:t xml:space="preserve"> CASP (2024) Critical Appraisal Tool for Randomised Control Trials</w:t>
        </w:r>
        <w:r>
          <w:rPr>
            <w:noProof/>
            <w:webHidden/>
          </w:rPr>
          <w:tab/>
        </w:r>
        <w:r>
          <w:rPr>
            <w:noProof/>
            <w:webHidden/>
          </w:rPr>
          <w:fldChar w:fldCharType="begin"/>
        </w:r>
        <w:r>
          <w:rPr>
            <w:noProof/>
            <w:webHidden/>
          </w:rPr>
          <w:instrText xml:space="preserve"> PAGEREF _Toc231944281 \h </w:instrText>
        </w:r>
        <w:r>
          <w:rPr>
            <w:noProof/>
            <w:webHidden/>
          </w:rPr>
        </w:r>
        <w:r>
          <w:rPr>
            <w:noProof/>
            <w:webHidden/>
          </w:rPr>
          <w:fldChar w:fldCharType="separate"/>
        </w:r>
        <w:r>
          <w:rPr>
            <w:noProof/>
            <w:webHidden/>
          </w:rPr>
          <w:t>81</w:t>
        </w:r>
        <w:r>
          <w:rPr>
            <w:noProof/>
            <w:webHidden/>
          </w:rPr>
          <w:fldChar w:fldCharType="end"/>
        </w:r>
      </w:hyperlink>
    </w:p>
    <w:p w14:paraId="550692AA" w14:textId="7DD6DF33" w:rsidR="008E763D" w:rsidRDefault="008E763D" w:rsidP="008E763D">
      <w:r>
        <w:fldChar w:fldCharType="end"/>
      </w:r>
    </w:p>
    <w:p w14:paraId="4082839F" w14:textId="77777777" w:rsidR="008E763D" w:rsidRDefault="008E763D" w:rsidP="008E763D"/>
    <w:p w14:paraId="27F8723F" w14:textId="77777777" w:rsidR="008E763D" w:rsidRDefault="008E763D" w:rsidP="008E763D"/>
    <w:p w14:paraId="3F8A998B" w14:textId="77777777" w:rsidR="008E763D" w:rsidRDefault="008E763D" w:rsidP="008E763D"/>
    <w:p w14:paraId="467D6620" w14:textId="77777777" w:rsidR="008E763D" w:rsidRDefault="008E763D" w:rsidP="008E763D"/>
    <w:p w14:paraId="29AD7E8A" w14:textId="77777777" w:rsidR="008E763D" w:rsidRDefault="008E763D" w:rsidP="008E763D"/>
    <w:p w14:paraId="482BFC83" w14:textId="77777777" w:rsidR="008E763D" w:rsidRDefault="008E763D" w:rsidP="008E763D"/>
    <w:p w14:paraId="7FB62C72" w14:textId="77777777" w:rsidR="008E763D" w:rsidRDefault="008E763D" w:rsidP="008E763D"/>
    <w:p w14:paraId="1DFFB786" w14:textId="77777777" w:rsidR="008E763D" w:rsidRDefault="008E763D" w:rsidP="008E763D"/>
    <w:p w14:paraId="3E3DC5C5" w14:textId="77777777" w:rsidR="008E763D" w:rsidRDefault="008E763D" w:rsidP="008E763D"/>
    <w:p w14:paraId="3150DD4B" w14:textId="77777777" w:rsidR="008E763D" w:rsidRDefault="008E763D" w:rsidP="008E763D"/>
    <w:p w14:paraId="414B2BAB" w14:textId="77777777" w:rsidR="008E763D" w:rsidRDefault="008E763D" w:rsidP="008E763D"/>
    <w:p w14:paraId="52FA3CEC" w14:textId="77777777" w:rsidR="008E763D" w:rsidRDefault="008E763D" w:rsidP="008E763D"/>
    <w:p w14:paraId="50B2C4FA" w14:textId="77777777" w:rsidR="008E763D" w:rsidRDefault="008E763D" w:rsidP="008E763D"/>
    <w:p w14:paraId="2543BD49" w14:textId="77777777" w:rsidR="008E763D" w:rsidRDefault="008E763D" w:rsidP="008E763D"/>
    <w:p w14:paraId="6DB3A6A5" w14:textId="77777777" w:rsidR="008E763D" w:rsidRDefault="008E763D" w:rsidP="008E763D"/>
    <w:p w14:paraId="7BE57C7C" w14:textId="77777777" w:rsidR="008E763D" w:rsidRPr="008E763D" w:rsidRDefault="008E763D" w:rsidP="008E763D"/>
    <w:p w14:paraId="6CBE8466" w14:textId="5B8928FF" w:rsidR="009B4B3E" w:rsidRPr="00543963" w:rsidRDefault="009B4B3E" w:rsidP="00543963">
      <w:pPr>
        <w:pStyle w:val="Heading1"/>
        <w:rPr>
          <w:rFonts w:ascii="Arial" w:hAnsi="Arial" w:cs="Arial"/>
          <w:b/>
          <w:bCs/>
          <w:sz w:val="28"/>
          <w:szCs w:val="28"/>
        </w:rPr>
      </w:pPr>
      <w:bookmarkStart w:id="6" w:name="_Toc232034588"/>
      <w:r w:rsidRPr="00543963">
        <w:rPr>
          <w:rFonts w:ascii="Arial" w:hAnsi="Arial" w:cs="Arial"/>
          <w:b/>
          <w:bCs/>
          <w:sz w:val="28"/>
          <w:szCs w:val="28"/>
        </w:rPr>
        <w:lastRenderedPageBreak/>
        <w:t>Chapter 1: Introduction</w:t>
      </w:r>
      <w:bookmarkEnd w:id="6"/>
    </w:p>
    <w:p w14:paraId="07FBDEB5" w14:textId="7D7FC8EB" w:rsidR="001E14A1" w:rsidRPr="00543963" w:rsidRDefault="00BB5986" w:rsidP="001E14A1">
      <w:pPr>
        <w:spacing w:line="360" w:lineRule="auto"/>
        <w:jc w:val="both"/>
        <w:rPr>
          <w:rFonts w:ascii="Arial" w:hAnsi="Arial" w:cs="Arial"/>
        </w:rPr>
      </w:pPr>
      <w:r w:rsidRPr="00BB5986">
        <w:rPr>
          <w:rFonts w:ascii="Arial" w:hAnsi="Arial" w:cs="Arial"/>
        </w:rPr>
        <w:t>Dementia represents one of the most pressing public health challenges of the twenty-first century, with its prevalence increasing rapidly as populations age worldwide. Characterised by progressive cognitive decline affecting memory, reasoning, and daily functioning, dementia imposes substantial social, economic, and healthcare burdens on individuals, families, and health systems (World Health Organization, 2023; Livingston et al., 2020).</w:t>
      </w:r>
      <w:r>
        <w:rPr>
          <w:rFonts w:ascii="Arial" w:hAnsi="Arial" w:cs="Arial"/>
        </w:rPr>
        <w:t xml:space="preserve"> </w:t>
      </w:r>
      <w:r w:rsidR="001E14A1" w:rsidRPr="00543963">
        <w:rPr>
          <w:rFonts w:ascii="Arial" w:hAnsi="Arial" w:cs="Arial"/>
        </w:rPr>
        <w:t xml:space="preserve">Although strongly associated with ageing, </w:t>
      </w:r>
      <w:r w:rsidR="006C4140">
        <w:rPr>
          <w:rFonts w:ascii="Arial" w:hAnsi="Arial" w:cs="Arial"/>
        </w:rPr>
        <w:t>d</w:t>
      </w:r>
      <w:r w:rsidR="006C4140" w:rsidRPr="006C4140">
        <w:rPr>
          <w:rFonts w:ascii="Arial" w:hAnsi="Arial" w:cs="Arial"/>
        </w:rPr>
        <w:t>ementia should not be regarded as an inevitable consequence of growing older.</w:t>
      </w:r>
      <w:r w:rsidR="006C4140">
        <w:rPr>
          <w:rFonts w:ascii="Arial" w:hAnsi="Arial" w:cs="Arial"/>
        </w:rPr>
        <w:t xml:space="preserve"> </w:t>
      </w:r>
      <w:r w:rsidR="001E14A1" w:rsidRPr="00543963">
        <w:rPr>
          <w:rFonts w:ascii="Arial" w:hAnsi="Arial" w:cs="Arial"/>
        </w:rPr>
        <w:t>(World Health Organization, 2023).</w:t>
      </w:r>
    </w:p>
    <w:p w14:paraId="6AAC6016" w14:textId="77777777" w:rsidR="00BB5986" w:rsidRDefault="00BB5986" w:rsidP="001E14A1">
      <w:pPr>
        <w:spacing w:line="360" w:lineRule="auto"/>
        <w:jc w:val="both"/>
        <w:rPr>
          <w:rFonts w:ascii="Arial" w:hAnsi="Arial" w:cs="Arial"/>
        </w:rPr>
      </w:pPr>
      <w:r w:rsidRPr="00BB5986">
        <w:rPr>
          <w:rFonts w:ascii="Arial" w:hAnsi="Arial" w:cs="Arial"/>
        </w:rPr>
        <w:t>Globally, approximately 55 million people are living with dementia, a figure projected to increase substantially in the coming decades due to demographic ageing and increasing life expectancy (World Health Organization, 2023). This projected growth presents significant challenges for health systems, particularly because no curative treatment currently exists, thereby increasing the importance of preventive public health strategies.</w:t>
      </w:r>
    </w:p>
    <w:p w14:paraId="3C2796DD" w14:textId="46A608CC" w:rsidR="001E14A1" w:rsidRPr="00543963" w:rsidRDefault="001E14A1" w:rsidP="001E14A1">
      <w:pPr>
        <w:spacing w:line="360" w:lineRule="auto"/>
        <w:jc w:val="both"/>
        <w:rPr>
          <w:rFonts w:ascii="Arial" w:hAnsi="Arial" w:cs="Arial"/>
        </w:rPr>
      </w:pPr>
      <w:r w:rsidRPr="00543963">
        <w:rPr>
          <w:rFonts w:ascii="Arial" w:hAnsi="Arial" w:cs="Arial"/>
        </w:rPr>
        <w:t xml:space="preserve">Research has identified both non-modifiable and modifiable risk factors associated with dementia development (Livingston et al., 2020). While age, genetics, and family history cannot be changed, several lifestyle-related factors, including physical inactivity, obesity, smoking, hypertension, diabetes, depression, hearing loss, poor diet, and social isolation, have been linked to increased dementia risk (Livingston et al., 2020). </w:t>
      </w:r>
      <w:r w:rsidR="00790531" w:rsidRPr="00790531">
        <w:rPr>
          <w:rFonts w:ascii="Arial" w:hAnsi="Arial" w:cs="Arial"/>
        </w:rPr>
        <w:t>Consequently, dementia prevention has become a key public health priority, focusing on risk reduction and cognitive health promotion</w:t>
      </w:r>
      <w:r w:rsidR="00790531">
        <w:rPr>
          <w:rFonts w:ascii="Arial" w:hAnsi="Arial" w:cs="Arial"/>
        </w:rPr>
        <w:t xml:space="preserve"> </w:t>
      </w:r>
      <w:r w:rsidRPr="00543963">
        <w:rPr>
          <w:rFonts w:ascii="Arial" w:hAnsi="Arial" w:cs="Arial"/>
        </w:rPr>
        <w:t>healthy lifestyles, cognitive wellbeing, and risk reduction throughout later life (World Health Organization, 2023).</w:t>
      </w:r>
    </w:p>
    <w:p w14:paraId="221EAC0E" w14:textId="32C0C8D3" w:rsidR="00790531" w:rsidRPr="00790531" w:rsidRDefault="001E14A1" w:rsidP="00790531">
      <w:pPr>
        <w:spacing w:line="360" w:lineRule="auto"/>
        <w:jc w:val="both"/>
        <w:rPr>
          <w:rFonts w:ascii="Arial" w:hAnsi="Arial" w:cs="Arial"/>
        </w:rPr>
      </w:pPr>
      <w:r w:rsidRPr="00543963">
        <w:rPr>
          <w:rFonts w:ascii="Arial" w:hAnsi="Arial" w:cs="Arial"/>
        </w:rPr>
        <w:t xml:space="preserve">Recent advances in digital health technologies have created new opportunities to support dementia prevention and healthy ageing. Digital interventions, including mobile applications, telehealth platforms, wearable devices, digital coaching, and cognitive training programmes, have shown potential to encourage behaviour change, improve health awareness, and promote cognitive engagement among older adults (Essery et al., 2021; Coley et al., 2022; Bunyan et al., 2024; Rosenberg et al., 2024). However, </w:t>
      </w:r>
      <w:r w:rsidR="00FE1995" w:rsidRPr="00790531">
        <w:rPr>
          <w:rFonts w:ascii="Arial" w:hAnsi="Arial" w:cs="Arial"/>
        </w:rPr>
        <w:t>the</w:t>
      </w:r>
      <w:r w:rsidR="00790531" w:rsidRPr="00790531">
        <w:rPr>
          <w:rFonts w:ascii="Arial" w:hAnsi="Arial" w:cs="Arial"/>
        </w:rPr>
        <w:t xml:space="preserve"> uptake of these technologies remains uneven, highlighting the need to examine the factors affecting their accessibility, adoption, and effectiveness among older adults.</w:t>
      </w:r>
    </w:p>
    <w:p w14:paraId="71198726" w14:textId="0DBB5334" w:rsidR="009B4B3E" w:rsidRPr="00BB5986" w:rsidRDefault="009B4B3E" w:rsidP="00BB5986">
      <w:pPr>
        <w:pStyle w:val="Heading1"/>
        <w:rPr>
          <w:rFonts w:ascii="Arial" w:hAnsi="Arial" w:cs="Arial"/>
          <w:b/>
          <w:bCs/>
          <w:sz w:val="28"/>
          <w:szCs w:val="28"/>
        </w:rPr>
      </w:pPr>
      <w:r w:rsidRPr="00BB5986">
        <w:rPr>
          <w:rFonts w:ascii="Arial" w:hAnsi="Arial" w:cs="Arial"/>
          <w:b/>
          <w:bCs/>
          <w:sz w:val="28"/>
          <w:szCs w:val="28"/>
        </w:rPr>
        <w:t>1.1 Background</w:t>
      </w:r>
    </w:p>
    <w:p w14:paraId="7B62AA0C" w14:textId="77777777" w:rsidR="009B4B3E" w:rsidRPr="00543963" w:rsidRDefault="009B4B3E" w:rsidP="00543963">
      <w:pPr>
        <w:pStyle w:val="Heading3"/>
        <w:rPr>
          <w:rFonts w:ascii="Arial" w:hAnsi="Arial" w:cs="Arial"/>
          <w:b/>
          <w:bCs/>
          <w:sz w:val="24"/>
          <w:szCs w:val="24"/>
        </w:rPr>
      </w:pPr>
      <w:bookmarkStart w:id="7" w:name="_Toc232034589"/>
      <w:r w:rsidRPr="00543963">
        <w:rPr>
          <w:rFonts w:ascii="Arial" w:hAnsi="Arial" w:cs="Arial"/>
          <w:b/>
          <w:bCs/>
          <w:sz w:val="24"/>
          <w:szCs w:val="24"/>
        </w:rPr>
        <w:t>1.1.1 Dementia in the United Kingdom</w:t>
      </w:r>
      <w:bookmarkEnd w:id="7"/>
    </w:p>
    <w:p w14:paraId="3A4BFFD4" w14:textId="0BBD0260" w:rsidR="005A1CD3" w:rsidRPr="00543963" w:rsidRDefault="005A1CD3" w:rsidP="005A1CD3">
      <w:pPr>
        <w:spacing w:line="360" w:lineRule="auto"/>
        <w:jc w:val="both"/>
        <w:rPr>
          <w:rFonts w:ascii="Arial" w:hAnsi="Arial" w:cs="Arial"/>
        </w:rPr>
      </w:pPr>
      <w:r w:rsidRPr="00543963">
        <w:rPr>
          <w:rFonts w:ascii="Arial" w:hAnsi="Arial" w:cs="Arial"/>
        </w:rPr>
        <w:t xml:space="preserve">Dementia is </w:t>
      </w:r>
      <w:r w:rsidR="00790531">
        <w:rPr>
          <w:rFonts w:ascii="Arial" w:hAnsi="Arial" w:cs="Arial"/>
        </w:rPr>
        <w:t>a</w:t>
      </w:r>
      <w:r w:rsidRPr="00543963">
        <w:rPr>
          <w:rFonts w:ascii="Arial" w:hAnsi="Arial" w:cs="Arial"/>
        </w:rPr>
        <w:t xml:space="preserve"> leading </w:t>
      </w:r>
      <w:r w:rsidR="00790531">
        <w:rPr>
          <w:rFonts w:ascii="Arial" w:hAnsi="Arial" w:cs="Arial"/>
        </w:rPr>
        <w:t>determinant</w:t>
      </w:r>
      <w:r w:rsidRPr="00543963">
        <w:rPr>
          <w:rFonts w:ascii="Arial" w:hAnsi="Arial" w:cs="Arial"/>
        </w:rPr>
        <w:t xml:space="preserve"> of disability, dependency, and </w:t>
      </w:r>
      <w:r w:rsidR="00790531">
        <w:rPr>
          <w:rFonts w:ascii="Arial" w:hAnsi="Arial" w:cs="Arial"/>
        </w:rPr>
        <w:t>death rate</w:t>
      </w:r>
      <w:r w:rsidRPr="00543963">
        <w:rPr>
          <w:rFonts w:ascii="Arial" w:hAnsi="Arial" w:cs="Arial"/>
        </w:rPr>
        <w:t xml:space="preserve"> among older adults in the United Kingdom (NHS England, 2022). A</w:t>
      </w:r>
      <w:r w:rsidR="00790531">
        <w:rPr>
          <w:rFonts w:ascii="Arial" w:hAnsi="Arial" w:cs="Arial"/>
        </w:rPr>
        <w:t>n estimated</w:t>
      </w:r>
      <w:r w:rsidRPr="00543963">
        <w:rPr>
          <w:rFonts w:ascii="Arial" w:hAnsi="Arial" w:cs="Arial"/>
        </w:rPr>
        <w:t xml:space="preserve"> 900,000 </w:t>
      </w:r>
      <w:r w:rsidR="00790531">
        <w:rPr>
          <w:rFonts w:ascii="Arial" w:hAnsi="Arial" w:cs="Arial"/>
        </w:rPr>
        <w:t>individuals</w:t>
      </w:r>
      <w:r w:rsidRPr="00543963">
        <w:rPr>
          <w:rFonts w:ascii="Arial" w:hAnsi="Arial" w:cs="Arial"/>
        </w:rPr>
        <w:t xml:space="preserve"> are currently </w:t>
      </w:r>
      <w:r w:rsidR="00790531">
        <w:rPr>
          <w:rFonts w:ascii="Arial" w:hAnsi="Arial" w:cs="Arial"/>
        </w:rPr>
        <w:t>affected</w:t>
      </w:r>
      <w:r w:rsidRPr="00543963">
        <w:rPr>
          <w:rFonts w:ascii="Arial" w:hAnsi="Arial" w:cs="Arial"/>
        </w:rPr>
        <w:t xml:space="preserve"> </w:t>
      </w:r>
      <w:r w:rsidR="00790531">
        <w:rPr>
          <w:rFonts w:ascii="Arial" w:hAnsi="Arial" w:cs="Arial"/>
        </w:rPr>
        <w:t>by</w:t>
      </w:r>
      <w:r w:rsidRPr="00543963">
        <w:rPr>
          <w:rFonts w:ascii="Arial" w:hAnsi="Arial" w:cs="Arial"/>
        </w:rPr>
        <w:t xml:space="preserve"> dementia in the UK, and this figure is projected to exceed 1.6 million by </w:t>
      </w:r>
      <w:r w:rsidRPr="00543963">
        <w:rPr>
          <w:rFonts w:ascii="Arial" w:hAnsi="Arial" w:cs="Arial"/>
        </w:rPr>
        <w:lastRenderedPageBreak/>
        <w:t xml:space="preserve">2040 due to population ageing (NHS England, 2022). </w:t>
      </w:r>
      <w:r w:rsidR="00790531" w:rsidRPr="00790531">
        <w:rPr>
          <w:rFonts w:ascii="Arial" w:hAnsi="Arial" w:cs="Arial"/>
        </w:rPr>
        <w:t>Dementia remains the primary cause of mortality in England and Wales</w:t>
      </w:r>
      <w:r w:rsidRPr="00543963">
        <w:rPr>
          <w:rFonts w:ascii="Arial" w:hAnsi="Arial" w:cs="Arial"/>
        </w:rPr>
        <w:t>, accounting for approximately one in eight deaths, highlighting its significance as a</w:t>
      </w:r>
      <w:r w:rsidR="00790531">
        <w:rPr>
          <w:rFonts w:ascii="Arial" w:hAnsi="Arial" w:cs="Arial"/>
        </w:rPr>
        <w:t>n escalating</w:t>
      </w:r>
      <w:r w:rsidRPr="00543963">
        <w:rPr>
          <w:rFonts w:ascii="Arial" w:hAnsi="Arial" w:cs="Arial"/>
        </w:rPr>
        <w:t xml:space="preserve"> public health concern (Office for National Statistics, 2023). These trends have increased the need for effective strategies focusing on prevention, early detection, and long-term management.</w:t>
      </w:r>
    </w:p>
    <w:p w14:paraId="10A23A5D" w14:textId="64A7120C" w:rsidR="005A1CD3" w:rsidRPr="00543963" w:rsidRDefault="005A1CD3" w:rsidP="005A1CD3">
      <w:pPr>
        <w:spacing w:line="360" w:lineRule="auto"/>
        <w:jc w:val="both"/>
        <w:rPr>
          <w:rFonts w:ascii="Arial" w:hAnsi="Arial" w:cs="Arial"/>
        </w:rPr>
      </w:pPr>
      <w:r w:rsidRPr="00543963">
        <w:rPr>
          <w:rFonts w:ascii="Arial" w:hAnsi="Arial" w:cs="Arial"/>
        </w:rPr>
        <w:t xml:space="preserve">The burden of dementia extends beyond mortality and affects individuals, families, healthcare systems, and wider society. Dementia contributes substantially to Disability-Adjusted Life Years (DALYs) through both </w:t>
      </w:r>
      <w:r w:rsidR="00790531" w:rsidRPr="00790531">
        <w:rPr>
          <w:rFonts w:ascii="Arial" w:hAnsi="Arial" w:cs="Arial"/>
        </w:rPr>
        <w:t>premature death and prolonged disability (World Health Organization</w:t>
      </w:r>
      <w:r w:rsidRPr="00543963">
        <w:rPr>
          <w:rFonts w:ascii="Arial" w:hAnsi="Arial" w:cs="Arial"/>
        </w:rPr>
        <w:t>, 2023). Progressive cognitive decline often results in loss of independence, increased care needs, and prolonged use of health and social care s</w:t>
      </w:r>
      <w:r w:rsidR="00795250">
        <w:rPr>
          <w:rFonts w:ascii="Arial" w:hAnsi="Arial" w:cs="Arial"/>
        </w:rPr>
        <w:t>ystem</w:t>
      </w:r>
      <w:r w:rsidRPr="00543963">
        <w:rPr>
          <w:rFonts w:ascii="Arial" w:hAnsi="Arial" w:cs="Arial"/>
        </w:rPr>
        <w:t xml:space="preserve"> (Livingston et al., 2020). As individuals frequently live with dementia for many years, the condition places considerable pressure on healthcare providers, long-term care services, and informal caregivers.</w:t>
      </w:r>
    </w:p>
    <w:p w14:paraId="3AA5CD2A" w14:textId="583EC263" w:rsidR="005A1CD3" w:rsidRPr="00543963" w:rsidRDefault="005A1CD3" w:rsidP="005A1CD3">
      <w:pPr>
        <w:spacing w:line="360" w:lineRule="auto"/>
        <w:jc w:val="both"/>
        <w:rPr>
          <w:rFonts w:ascii="Arial" w:hAnsi="Arial" w:cs="Arial"/>
        </w:rPr>
      </w:pPr>
      <w:r w:rsidRPr="00543963">
        <w:rPr>
          <w:rFonts w:ascii="Arial" w:hAnsi="Arial" w:cs="Arial"/>
        </w:rPr>
        <w:t xml:space="preserve">The economic and social impact of dementia is also substantial. Rising prevalence increases healthcare expenditure, demand for residential and community-based care, and reliance on family members who provide unpaid support (World Health Organization, 2023). Informal caregivers often experience emotional stress, reduced quality of life, and financial challenges associated with long-term caregiving responsibilities (Livingston et al., 2020). Consequently, dementia </w:t>
      </w:r>
      <w:r w:rsidR="00795250" w:rsidRPr="00795250">
        <w:rPr>
          <w:rFonts w:ascii="Arial" w:hAnsi="Arial" w:cs="Arial"/>
        </w:rPr>
        <w:t>pose escalating pressures on health and social care systems throughout the UK.</w:t>
      </w:r>
    </w:p>
    <w:p w14:paraId="047F8C77" w14:textId="5897172D" w:rsidR="001E14A1" w:rsidRPr="00543963" w:rsidRDefault="00644D11" w:rsidP="005A1CD3">
      <w:pPr>
        <w:spacing w:line="360" w:lineRule="auto"/>
        <w:jc w:val="both"/>
        <w:rPr>
          <w:rFonts w:ascii="Arial" w:hAnsi="Arial" w:cs="Arial"/>
        </w:rPr>
      </w:pPr>
      <w:r w:rsidRPr="00644D11">
        <w:rPr>
          <w:rFonts w:ascii="Arial" w:hAnsi="Arial" w:cs="Arial"/>
        </w:rPr>
        <w:t>Research indicates that a considerable number of dementia cases could potentially be postponed or avoided by targeting modifiable risk factors such as physical inactivity, poor dietary habits, obesity, smoking, hypertension, diabetes, depression, hearing impairment, and social isolation (Livingston et al., 2020).</w:t>
      </w:r>
      <w:r w:rsidRPr="00644D11">
        <w:rPr>
          <w:rFonts w:ascii="Arial" w:hAnsi="Arial" w:cs="Arial"/>
        </w:rPr>
        <w:t xml:space="preserve"> </w:t>
      </w:r>
      <w:r w:rsidR="005A1CD3" w:rsidRPr="00543963">
        <w:rPr>
          <w:rFonts w:ascii="Arial" w:hAnsi="Arial" w:cs="Arial"/>
        </w:rPr>
        <w:t xml:space="preserve">This has shifted attention towards prevention-focused approaches and innovative interventions designed to support healthier lifestyles and cognitive wellbeing. </w:t>
      </w:r>
    </w:p>
    <w:p w14:paraId="05BC93C3" w14:textId="35673C45" w:rsidR="005A1CD3" w:rsidRPr="00543963" w:rsidRDefault="005A1CD3" w:rsidP="005A1CD3">
      <w:pPr>
        <w:spacing w:line="360" w:lineRule="auto"/>
        <w:jc w:val="both"/>
        <w:rPr>
          <w:rFonts w:ascii="Arial" w:hAnsi="Arial" w:cs="Arial"/>
        </w:rPr>
      </w:pPr>
      <w:r w:rsidRPr="00543963">
        <w:rPr>
          <w:rFonts w:ascii="Arial" w:hAnsi="Arial" w:cs="Arial"/>
        </w:rPr>
        <w:t xml:space="preserve">Recent studies have </w:t>
      </w:r>
      <w:r w:rsidR="00795250" w:rsidRPr="00795250">
        <w:rPr>
          <w:rFonts w:ascii="Arial" w:hAnsi="Arial" w:cs="Arial"/>
        </w:rPr>
        <w:t>demonstrated the potential of digital health technologies</w:t>
      </w:r>
      <w:r w:rsidRPr="00543963">
        <w:rPr>
          <w:rFonts w:ascii="Arial" w:hAnsi="Arial" w:cs="Arial"/>
        </w:rPr>
        <w:t>, including digital coaching, cognitive training, telehealth services, and lifestyle interventions, to support behaviour change and dementia risk reduction among older adults (Essery et al., 2021; Coley et al., 2022; Bunyan et al., 2024; Rosenberg et al., 2024). These developments have increased interest in understanding how digital technologies can contribute to dementia prevention and healthy ageing.</w:t>
      </w:r>
    </w:p>
    <w:p w14:paraId="07D0E649" w14:textId="583592FB" w:rsidR="005A1CD3" w:rsidRPr="00543963" w:rsidRDefault="005A1CD3" w:rsidP="00543963">
      <w:pPr>
        <w:pStyle w:val="Heading3"/>
        <w:rPr>
          <w:rFonts w:ascii="Arial" w:hAnsi="Arial" w:cs="Arial"/>
          <w:b/>
          <w:bCs/>
          <w:sz w:val="24"/>
          <w:szCs w:val="24"/>
        </w:rPr>
      </w:pPr>
      <w:bookmarkStart w:id="8" w:name="_Toc232034590"/>
      <w:r w:rsidRPr="00543963">
        <w:rPr>
          <w:rFonts w:ascii="Arial" w:hAnsi="Arial" w:cs="Arial"/>
          <w:b/>
          <w:bCs/>
          <w:sz w:val="24"/>
          <w:szCs w:val="24"/>
        </w:rPr>
        <w:t xml:space="preserve">1.1.2 Digital Health </w:t>
      </w:r>
      <w:r w:rsidR="00807D67">
        <w:rPr>
          <w:rFonts w:ascii="Arial" w:hAnsi="Arial" w:cs="Arial"/>
          <w:b/>
          <w:bCs/>
          <w:sz w:val="24"/>
          <w:szCs w:val="24"/>
        </w:rPr>
        <w:t>Interventions</w:t>
      </w:r>
      <w:r w:rsidRPr="00543963">
        <w:rPr>
          <w:rFonts w:ascii="Arial" w:hAnsi="Arial" w:cs="Arial"/>
          <w:b/>
          <w:bCs/>
          <w:sz w:val="24"/>
          <w:szCs w:val="24"/>
        </w:rPr>
        <w:t xml:space="preserve"> for Dementia Prevention</w:t>
      </w:r>
      <w:bookmarkEnd w:id="8"/>
    </w:p>
    <w:p w14:paraId="741F29F7" w14:textId="03132A5A" w:rsidR="005A1CD3" w:rsidRPr="00543963" w:rsidRDefault="005A1CD3" w:rsidP="005A1CD3">
      <w:pPr>
        <w:spacing w:line="360" w:lineRule="auto"/>
        <w:jc w:val="both"/>
        <w:rPr>
          <w:rFonts w:ascii="Arial" w:hAnsi="Arial" w:cs="Arial"/>
          <w:sz w:val="24"/>
          <w:szCs w:val="24"/>
        </w:rPr>
      </w:pPr>
      <w:r w:rsidRPr="00543963">
        <w:rPr>
          <w:rFonts w:ascii="Arial" w:hAnsi="Arial" w:cs="Arial"/>
          <w:sz w:val="24"/>
          <w:szCs w:val="24"/>
        </w:rPr>
        <w:t xml:space="preserve">Digital health </w:t>
      </w:r>
      <w:r w:rsidR="00807D67">
        <w:rPr>
          <w:rFonts w:ascii="Arial" w:hAnsi="Arial" w:cs="Arial"/>
          <w:sz w:val="24"/>
          <w:szCs w:val="24"/>
        </w:rPr>
        <w:t>Interventions</w:t>
      </w:r>
      <w:r w:rsidRPr="00543963">
        <w:rPr>
          <w:rFonts w:ascii="Arial" w:hAnsi="Arial" w:cs="Arial"/>
          <w:sz w:val="24"/>
          <w:szCs w:val="24"/>
        </w:rPr>
        <w:t xml:space="preserve"> have </w:t>
      </w:r>
      <w:r w:rsidR="00807D67" w:rsidRPr="00543963">
        <w:rPr>
          <w:rFonts w:ascii="Arial" w:hAnsi="Arial" w:cs="Arial"/>
          <w:sz w:val="24"/>
          <w:szCs w:val="24"/>
        </w:rPr>
        <w:t>progressively</w:t>
      </w:r>
      <w:r w:rsidRPr="00543963">
        <w:rPr>
          <w:rFonts w:ascii="Arial" w:hAnsi="Arial" w:cs="Arial"/>
          <w:sz w:val="24"/>
          <w:szCs w:val="24"/>
        </w:rPr>
        <w:t xml:space="preserve"> been </w:t>
      </w:r>
      <w:r w:rsidR="00807D67" w:rsidRPr="00543963">
        <w:rPr>
          <w:rFonts w:ascii="Arial" w:hAnsi="Arial" w:cs="Arial"/>
          <w:sz w:val="24"/>
          <w:szCs w:val="24"/>
        </w:rPr>
        <w:t>documented</w:t>
      </w:r>
      <w:r w:rsidRPr="00543963">
        <w:rPr>
          <w:rFonts w:ascii="Arial" w:hAnsi="Arial" w:cs="Arial"/>
          <w:sz w:val="24"/>
          <w:szCs w:val="24"/>
        </w:rPr>
        <w:t xml:space="preserve"> as promising </w:t>
      </w:r>
      <w:r w:rsidR="00807D67" w:rsidRPr="00543963">
        <w:rPr>
          <w:rFonts w:ascii="Arial" w:hAnsi="Arial" w:cs="Arial"/>
          <w:sz w:val="24"/>
          <w:szCs w:val="24"/>
        </w:rPr>
        <w:t>apparatus</w:t>
      </w:r>
      <w:r w:rsidRPr="00543963">
        <w:rPr>
          <w:rFonts w:ascii="Arial" w:hAnsi="Arial" w:cs="Arial"/>
          <w:sz w:val="24"/>
          <w:szCs w:val="24"/>
        </w:rPr>
        <w:t xml:space="preserve"> for supporting dementia prevention and promoting cognitive health among </w:t>
      </w:r>
      <w:r w:rsidRPr="00543963">
        <w:rPr>
          <w:rFonts w:ascii="Arial" w:hAnsi="Arial" w:cs="Arial"/>
          <w:sz w:val="24"/>
          <w:szCs w:val="24"/>
        </w:rPr>
        <w:lastRenderedPageBreak/>
        <w:t>older adults (Essery et al., 2021). These technologies include mobile health applications, wearable devices, telehealth platforms, digital coaching programmes, and online cognitive training interventions designed to encourage healthier lifestyles and support self-management (Essery et al., 2021; Coley et al., 2022). Recent studies have demonstrated that digital interventions can improve awareness of dementia risk factors, increase physical activity, promote healthier behaviours, and support cognitive engagement among older populations (Coley et al., 2022; Bunyan et al., 2024; Rosenberg et al., 2024). Furthermore, digital coaching and multimodal lifestyle interventions have shown potential for reducing modifiable dementia risk factors through personalised behavioural support (Riera et al., 2025; Bunyan et al., 2025).</w:t>
      </w:r>
    </w:p>
    <w:p w14:paraId="6A99E729" w14:textId="77777777" w:rsidR="005A1CD3" w:rsidRPr="00543963" w:rsidRDefault="005A1CD3" w:rsidP="005A1CD3">
      <w:pPr>
        <w:spacing w:line="360" w:lineRule="auto"/>
        <w:jc w:val="both"/>
        <w:rPr>
          <w:rFonts w:ascii="Arial" w:hAnsi="Arial" w:cs="Arial"/>
          <w:sz w:val="24"/>
          <w:szCs w:val="24"/>
        </w:rPr>
      </w:pPr>
      <w:r w:rsidRPr="00543963">
        <w:rPr>
          <w:rFonts w:ascii="Arial" w:hAnsi="Arial" w:cs="Arial"/>
          <w:sz w:val="24"/>
          <w:szCs w:val="24"/>
        </w:rPr>
        <w:t>Digital technologies may also contribute to cognitive health through cognitive training, remote monitoring, and health education interventions. Studies by Glenn et al. (2019) and Fishman et al. (2025) reported improvements in cognitive health awareness and engagement with brain health promotion activities, while Peng et al. (2024) identified an association between technology use and lower dementia risk. These findings suggest that digital technologies may support both direct cognitive stimulation and indirect lifestyle-related pathways associated with healthy ageing and dementia prevention.</w:t>
      </w:r>
    </w:p>
    <w:p w14:paraId="2D460190" w14:textId="40C5249A" w:rsidR="005A1CD3" w:rsidRPr="00543963" w:rsidRDefault="005A1CD3" w:rsidP="005A1CD3">
      <w:pPr>
        <w:spacing w:line="360" w:lineRule="auto"/>
        <w:jc w:val="both"/>
        <w:rPr>
          <w:rFonts w:ascii="Arial" w:hAnsi="Arial" w:cs="Arial"/>
          <w:sz w:val="24"/>
          <w:szCs w:val="24"/>
        </w:rPr>
      </w:pPr>
      <w:r w:rsidRPr="00543963">
        <w:rPr>
          <w:rFonts w:ascii="Arial" w:hAnsi="Arial" w:cs="Arial"/>
          <w:sz w:val="24"/>
          <w:szCs w:val="24"/>
        </w:rPr>
        <w:t xml:space="preserve">Despite these potential benefits, engagement with digital health technologies remains inconsistent among older adults. Research has identified barriers including limited digital literacy, low confidence, usability challenges, cognitive impairment, and concerns relating to privacy and trust (Money et al., 2024; Kebede et al., 2022; Schmidt et al., 2025). Age-related changes such as reduced vision, dexterity, and memory may further influence technology adoption and sustained use (Panzavolta et al., 2025; Da et al., 2025). Consequently, </w:t>
      </w:r>
      <w:r w:rsidR="003A5EDD" w:rsidRPr="00543963">
        <w:rPr>
          <w:rFonts w:ascii="Arial" w:hAnsi="Arial" w:cs="Arial"/>
          <w:sz w:val="24"/>
          <w:szCs w:val="24"/>
        </w:rPr>
        <w:t>insight</w:t>
      </w:r>
      <w:r w:rsidRPr="00543963">
        <w:rPr>
          <w:rFonts w:ascii="Arial" w:hAnsi="Arial" w:cs="Arial"/>
          <w:sz w:val="24"/>
          <w:szCs w:val="24"/>
        </w:rPr>
        <w:t xml:space="preserve"> the factors that influence engagement with digital health technologies is essential for improving their accessibility, effectiveness, and long-term use among older adults.</w:t>
      </w:r>
    </w:p>
    <w:p w14:paraId="5A2D7509" w14:textId="77777777" w:rsidR="002F18E6" w:rsidRPr="00543963" w:rsidRDefault="002F18E6" w:rsidP="00543963">
      <w:pPr>
        <w:pStyle w:val="Heading2"/>
        <w:rPr>
          <w:rFonts w:ascii="Arial" w:hAnsi="Arial" w:cs="Arial"/>
          <w:b/>
          <w:bCs/>
          <w:sz w:val="28"/>
          <w:szCs w:val="28"/>
        </w:rPr>
      </w:pPr>
      <w:bookmarkStart w:id="9" w:name="_Toc232034591"/>
      <w:r w:rsidRPr="00543963">
        <w:rPr>
          <w:rFonts w:ascii="Arial" w:hAnsi="Arial" w:cs="Arial"/>
          <w:b/>
          <w:bCs/>
          <w:sz w:val="28"/>
          <w:szCs w:val="28"/>
        </w:rPr>
        <w:t>1.3 Research Question</w:t>
      </w:r>
      <w:bookmarkEnd w:id="9"/>
    </w:p>
    <w:p w14:paraId="374CD4C3" w14:textId="057CAB1D" w:rsidR="002F18E6" w:rsidRPr="00543963" w:rsidRDefault="002F18E6" w:rsidP="00BB400C">
      <w:pPr>
        <w:spacing w:line="360" w:lineRule="auto"/>
        <w:jc w:val="both"/>
        <w:rPr>
          <w:rFonts w:ascii="Arial" w:hAnsi="Arial" w:cs="Arial"/>
        </w:rPr>
      </w:pPr>
      <w:r w:rsidRPr="00543963">
        <w:rPr>
          <w:rFonts w:ascii="Arial" w:hAnsi="Arial" w:cs="Arial"/>
        </w:rPr>
        <w:t>How do older adults engage with digital health interventions for dementia prevention and support in the United Kingdom, and how can these technologies be improved to enhance accessibility and effectiveness?</w:t>
      </w:r>
    </w:p>
    <w:p w14:paraId="198B05AC" w14:textId="77777777" w:rsidR="002F18E6" w:rsidRPr="00543963" w:rsidRDefault="002F18E6" w:rsidP="00543963">
      <w:pPr>
        <w:pStyle w:val="Heading2"/>
        <w:rPr>
          <w:rFonts w:ascii="Arial" w:hAnsi="Arial" w:cs="Arial"/>
          <w:b/>
          <w:bCs/>
        </w:rPr>
      </w:pPr>
      <w:bookmarkStart w:id="10" w:name="_Toc232034592"/>
      <w:r w:rsidRPr="00543963">
        <w:rPr>
          <w:rFonts w:ascii="Arial" w:hAnsi="Arial" w:cs="Arial"/>
          <w:b/>
          <w:bCs/>
          <w:sz w:val="28"/>
          <w:szCs w:val="28"/>
        </w:rPr>
        <w:lastRenderedPageBreak/>
        <w:t>1.4 Research Aim and Objectives</w:t>
      </w:r>
      <w:bookmarkEnd w:id="10"/>
    </w:p>
    <w:p w14:paraId="0565603E" w14:textId="77777777" w:rsidR="002F18E6" w:rsidRPr="00543963" w:rsidRDefault="002F18E6" w:rsidP="00BB400C">
      <w:pPr>
        <w:spacing w:line="360" w:lineRule="auto"/>
        <w:jc w:val="both"/>
        <w:rPr>
          <w:rFonts w:ascii="Arial" w:hAnsi="Arial" w:cs="Arial"/>
        </w:rPr>
      </w:pPr>
      <w:r w:rsidRPr="00543963">
        <w:rPr>
          <w:rFonts w:ascii="Arial" w:hAnsi="Arial" w:cs="Arial"/>
        </w:rPr>
        <w:t>The aim of this study is to critically examine how older adults in the United Kingdom engage with digital health interventions designed for dementia prevention, early detection, and ongoing support and to explore how these technologies can be improved to enhance accessibility and effectiveness.</w:t>
      </w:r>
    </w:p>
    <w:p w14:paraId="1D29EC50" w14:textId="77777777" w:rsidR="002F18E6" w:rsidRPr="00543963" w:rsidRDefault="002F18E6" w:rsidP="00543963">
      <w:pPr>
        <w:pStyle w:val="Heading3"/>
        <w:rPr>
          <w:rFonts w:ascii="Arial" w:hAnsi="Arial" w:cs="Arial"/>
          <w:b/>
          <w:bCs/>
          <w:sz w:val="24"/>
          <w:szCs w:val="24"/>
        </w:rPr>
      </w:pPr>
      <w:bookmarkStart w:id="11" w:name="_Toc232034593"/>
      <w:r w:rsidRPr="00543963">
        <w:rPr>
          <w:rFonts w:ascii="Arial" w:hAnsi="Arial" w:cs="Arial"/>
          <w:b/>
          <w:bCs/>
          <w:sz w:val="24"/>
          <w:szCs w:val="24"/>
        </w:rPr>
        <w:t>Objectives</w:t>
      </w:r>
      <w:bookmarkEnd w:id="11"/>
    </w:p>
    <w:p w14:paraId="0D22DBFE" w14:textId="0A3947CE" w:rsidR="002F18E6" w:rsidRPr="00543963" w:rsidRDefault="002F18E6" w:rsidP="008B5723">
      <w:pPr>
        <w:spacing w:line="360" w:lineRule="auto"/>
        <w:rPr>
          <w:rFonts w:ascii="Arial" w:hAnsi="Arial" w:cs="Arial"/>
        </w:rPr>
      </w:pPr>
      <w:r w:rsidRPr="00543963">
        <w:rPr>
          <w:rFonts w:ascii="Arial" w:hAnsi="Arial" w:cs="Arial"/>
        </w:rPr>
        <w:t>• To identify and examine existing digital health interventions used for dementia prevention, early detection, and support among older adults.</w:t>
      </w:r>
      <w:r w:rsidRPr="00543963">
        <w:rPr>
          <w:rFonts w:ascii="Arial" w:hAnsi="Arial" w:cs="Arial"/>
        </w:rPr>
        <w:br/>
        <w:t>• To examine patterns of engagement mentioned in the literature among older adults using digital health technologies for dementia prevention and support.</w:t>
      </w:r>
      <w:r w:rsidRPr="00543963">
        <w:rPr>
          <w:rFonts w:ascii="Arial" w:hAnsi="Arial" w:cs="Arial"/>
        </w:rPr>
        <w:br/>
        <w:t>• To identify barriers and facilitators influencing older adults’ engagement with digital health interventions.</w:t>
      </w:r>
      <w:r w:rsidRPr="00543963">
        <w:rPr>
          <w:rFonts w:ascii="Arial" w:hAnsi="Arial" w:cs="Arial"/>
        </w:rPr>
        <w:br/>
        <w:t>• To explore the role of digital health technologies in improving dementia prevention and care and propose recommendations to enhance their accessibility for older adults.</w:t>
      </w:r>
    </w:p>
    <w:p w14:paraId="46C019BC" w14:textId="4068EC99" w:rsidR="005A1CD3" w:rsidRPr="00543963" w:rsidRDefault="005A1CD3" w:rsidP="00543963">
      <w:pPr>
        <w:pStyle w:val="Heading2"/>
        <w:rPr>
          <w:rFonts w:ascii="Arial" w:hAnsi="Arial" w:cs="Arial"/>
          <w:b/>
          <w:bCs/>
          <w:sz w:val="28"/>
          <w:szCs w:val="28"/>
        </w:rPr>
      </w:pPr>
      <w:bookmarkStart w:id="12" w:name="_Toc232034594"/>
      <w:r w:rsidRPr="00543963">
        <w:rPr>
          <w:rFonts w:ascii="Arial" w:hAnsi="Arial" w:cs="Arial"/>
          <w:b/>
          <w:bCs/>
          <w:sz w:val="28"/>
          <w:szCs w:val="28"/>
        </w:rPr>
        <w:t>1.5 Overview</w:t>
      </w:r>
      <w:bookmarkEnd w:id="12"/>
      <w:r w:rsidRPr="00543963">
        <w:rPr>
          <w:rFonts w:ascii="Arial" w:hAnsi="Arial" w:cs="Arial"/>
          <w:b/>
          <w:bCs/>
          <w:sz w:val="28"/>
          <w:szCs w:val="28"/>
        </w:rPr>
        <w:t xml:space="preserve"> </w:t>
      </w:r>
    </w:p>
    <w:p w14:paraId="750EA627" w14:textId="6279AD15" w:rsidR="008172AC" w:rsidRPr="008172AC" w:rsidRDefault="005A1CD3" w:rsidP="008172AC">
      <w:pPr>
        <w:spacing w:line="360" w:lineRule="auto"/>
        <w:rPr>
          <w:rFonts w:ascii="Arial" w:hAnsi="Arial" w:cs="Arial"/>
        </w:rPr>
      </w:pPr>
      <w:r w:rsidRPr="00543963">
        <w:rPr>
          <w:rFonts w:ascii="Arial" w:hAnsi="Arial" w:cs="Arial"/>
        </w:rPr>
        <w:t xml:space="preserve">This dissertation is </w:t>
      </w:r>
      <w:r w:rsidR="003A5EDD" w:rsidRPr="00543963">
        <w:rPr>
          <w:rFonts w:ascii="Arial" w:hAnsi="Arial" w:cs="Arial"/>
        </w:rPr>
        <w:t>shaped</w:t>
      </w:r>
      <w:r w:rsidRPr="00543963">
        <w:rPr>
          <w:rFonts w:ascii="Arial" w:hAnsi="Arial" w:cs="Arial"/>
        </w:rPr>
        <w:t xml:space="preserve"> into six chapters. Chapter 1 </w:t>
      </w:r>
      <w:r w:rsidR="003A5EDD" w:rsidRPr="003A5EDD">
        <w:rPr>
          <w:rFonts w:ascii="Arial" w:hAnsi="Arial" w:cs="Arial"/>
        </w:rPr>
        <w:t>outlines the research focus, presents the contextual background, and establishes the rationale underpinning the study</w:t>
      </w:r>
      <w:r w:rsidRPr="00543963">
        <w:rPr>
          <w:rFonts w:ascii="Arial" w:hAnsi="Arial" w:cs="Arial"/>
        </w:rPr>
        <w:t xml:space="preserve">. Chapter 2 presents a critical review of the literature relating to dementia prevention, digital health interventions, and factors influencing engagement among older adults. Chapter 3 outlines the research methodology, including the systematic literature review approach, search strategy, and data analysis methods. </w:t>
      </w:r>
      <w:r w:rsidR="003A5EDD" w:rsidRPr="003A5EDD">
        <w:rPr>
          <w:rFonts w:ascii="Arial" w:hAnsi="Arial" w:cs="Arial"/>
        </w:rPr>
        <w:t>Chapter 4 reports the findings derived from the thematic synthesis of the included studies, whereas Chapter 5 interprets and critically evaluates these findings in relation to the wider body of literature</w:t>
      </w:r>
      <w:r w:rsidRPr="00543963">
        <w:rPr>
          <w:rFonts w:ascii="Arial" w:hAnsi="Arial" w:cs="Arial"/>
        </w:rPr>
        <w:t xml:space="preserve">, theoretical frameworks, and implications for practice and policy. Finally, Chapter 6 provides the overall </w:t>
      </w:r>
      <w:r w:rsidR="003A5EDD" w:rsidRPr="003A5EDD">
        <w:rPr>
          <w:rFonts w:ascii="Arial" w:hAnsi="Arial" w:cs="Arial"/>
        </w:rPr>
        <w:t xml:space="preserve">conclusion, the principal findings are </w:t>
      </w:r>
      <w:r w:rsidR="00FE1995" w:rsidRPr="003A5EDD">
        <w:rPr>
          <w:rFonts w:ascii="Arial" w:hAnsi="Arial" w:cs="Arial"/>
        </w:rPr>
        <w:t>synthesised</w:t>
      </w:r>
      <w:r w:rsidR="00FE1995" w:rsidRPr="00543963">
        <w:rPr>
          <w:rFonts w:ascii="Arial" w:hAnsi="Arial" w:cs="Arial"/>
        </w:rPr>
        <w:t xml:space="preserve"> and</w:t>
      </w:r>
      <w:r w:rsidRPr="00543963">
        <w:rPr>
          <w:rFonts w:ascii="Arial" w:hAnsi="Arial" w:cs="Arial"/>
        </w:rPr>
        <w:t xml:space="preserve"> highlights </w:t>
      </w:r>
      <w:r w:rsidR="008172AC" w:rsidRPr="008172AC">
        <w:rPr>
          <w:rFonts w:ascii="Arial" w:hAnsi="Arial" w:cs="Arial"/>
        </w:rPr>
        <w:t>the study’s contribution to digital health and dementia prevention.</w:t>
      </w:r>
    </w:p>
    <w:p w14:paraId="0542D09F" w14:textId="4E092D0A" w:rsidR="005A1CD3" w:rsidRPr="00543963" w:rsidRDefault="005A1CD3" w:rsidP="008B5723">
      <w:pPr>
        <w:spacing w:line="360" w:lineRule="auto"/>
        <w:rPr>
          <w:rFonts w:ascii="Arial" w:hAnsi="Arial" w:cs="Arial"/>
        </w:rPr>
      </w:pPr>
    </w:p>
    <w:p w14:paraId="6F9ADAD4" w14:textId="77777777" w:rsidR="0044789D" w:rsidRPr="00543963" w:rsidRDefault="0044789D" w:rsidP="008B5723">
      <w:pPr>
        <w:spacing w:line="360" w:lineRule="auto"/>
        <w:rPr>
          <w:rFonts w:ascii="Arial" w:hAnsi="Arial" w:cs="Arial"/>
        </w:rPr>
      </w:pPr>
    </w:p>
    <w:p w14:paraId="39B92A1C" w14:textId="77777777" w:rsidR="0044789D" w:rsidRPr="00543963" w:rsidRDefault="0044789D" w:rsidP="008B5723">
      <w:pPr>
        <w:spacing w:line="360" w:lineRule="auto"/>
        <w:rPr>
          <w:rFonts w:ascii="Arial" w:hAnsi="Arial" w:cs="Arial"/>
        </w:rPr>
      </w:pPr>
    </w:p>
    <w:p w14:paraId="66E87E7A" w14:textId="77777777" w:rsidR="00543963" w:rsidRPr="00543963" w:rsidRDefault="00543963" w:rsidP="00543963"/>
    <w:p w14:paraId="4806EFAE" w14:textId="30006DD4" w:rsidR="004836AB" w:rsidRPr="00543963" w:rsidRDefault="004836AB" w:rsidP="00543963">
      <w:pPr>
        <w:pStyle w:val="Heading1"/>
        <w:rPr>
          <w:rFonts w:ascii="Arial" w:hAnsi="Arial" w:cs="Arial"/>
          <w:b/>
          <w:bCs/>
          <w:sz w:val="28"/>
          <w:szCs w:val="28"/>
        </w:rPr>
      </w:pPr>
      <w:bookmarkStart w:id="13" w:name="_Toc232034595"/>
      <w:r w:rsidRPr="00543963">
        <w:rPr>
          <w:rFonts w:ascii="Arial" w:hAnsi="Arial" w:cs="Arial"/>
          <w:b/>
          <w:bCs/>
          <w:sz w:val="28"/>
          <w:szCs w:val="28"/>
        </w:rPr>
        <w:lastRenderedPageBreak/>
        <w:t>Chapter 2: Literature Review</w:t>
      </w:r>
      <w:bookmarkEnd w:id="13"/>
    </w:p>
    <w:p w14:paraId="26D974F8" w14:textId="77777777" w:rsidR="00677FAD" w:rsidRPr="00543963" w:rsidRDefault="00677FAD" w:rsidP="00543963">
      <w:pPr>
        <w:pStyle w:val="Heading2"/>
        <w:rPr>
          <w:rFonts w:ascii="Arial" w:hAnsi="Arial" w:cs="Arial"/>
          <w:b/>
          <w:bCs/>
          <w:sz w:val="24"/>
          <w:szCs w:val="24"/>
        </w:rPr>
      </w:pPr>
      <w:bookmarkStart w:id="14" w:name="_Toc232034596"/>
      <w:r w:rsidRPr="00543963">
        <w:rPr>
          <w:rFonts w:ascii="Arial" w:hAnsi="Arial" w:cs="Arial"/>
          <w:b/>
          <w:bCs/>
          <w:sz w:val="24"/>
          <w:szCs w:val="24"/>
        </w:rPr>
        <w:t>2.1 Introduction</w:t>
      </w:r>
      <w:bookmarkEnd w:id="14"/>
    </w:p>
    <w:p w14:paraId="2759D51C" w14:textId="476DE6DA" w:rsidR="00785D60" w:rsidRPr="00543963" w:rsidRDefault="00BB5986" w:rsidP="00BB400C">
      <w:pPr>
        <w:spacing w:line="360" w:lineRule="auto"/>
        <w:jc w:val="both"/>
        <w:rPr>
          <w:rFonts w:ascii="Arial" w:hAnsi="Arial" w:cs="Arial"/>
        </w:rPr>
      </w:pPr>
      <w:r w:rsidRPr="00BB5986">
        <w:rPr>
          <w:rFonts w:ascii="Arial" w:hAnsi="Arial" w:cs="Arial"/>
        </w:rPr>
        <w:t xml:space="preserve">This chapter critically reviews and synthesises contemporary evidence relating to digital health interventions and their role in dementia prevention among older adults. Particular attention is given to patterns of engagement, barriers and facilitators to technology use, and the potential contribution of digital interventions to cognitive health promotion and dementia risk reduction. </w:t>
      </w:r>
      <w:r w:rsidR="00785D60" w:rsidRPr="00543963">
        <w:rPr>
          <w:rFonts w:ascii="Arial" w:hAnsi="Arial" w:cs="Arial"/>
        </w:rPr>
        <w:t xml:space="preserve">(Essery et al., 2021; Coley et al., 2022). Dementia continues to represent a significant and growing public health concern, particularly in the context of global population ageing (World Health Organization, 2023). As highlighted in Chapter 1, </w:t>
      </w:r>
      <w:r w:rsidR="003A5EDD" w:rsidRPr="003A5EDD">
        <w:rPr>
          <w:rFonts w:ascii="Arial" w:hAnsi="Arial" w:cs="Arial"/>
        </w:rPr>
        <w:t>the rising prevalence of dementia</w:t>
      </w:r>
      <w:r w:rsidR="003A5EDD">
        <w:rPr>
          <w:rFonts w:ascii="Arial" w:hAnsi="Arial" w:cs="Arial"/>
        </w:rPr>
        <w:t xml:space="preserve"> </w:t>
      </w:r>
      <w:r w:rsidR="00785D60" w:rsidRPr="00543963">
        <w:rPr>
          <w:rFonts w:ascii="Arial" w:hAnsi="Arial" w:cs="Arial"/>
        </w:rPr>
        <w:t>and the absence of curative treatments have shifted attention towards prevention strategies and innovative approaches to long-term management (World Health Organization, 2023; Livingston et al., 2020).</w:t>
      </w:r>
    </w:p>
    <w:p w14:paraId="3C516A2A" w14:textId="0B602A5F" w:rsidR="00785D60" w:rsidRPr="00543963" w:rsidRDefault="00785D60" w:rsidP="00BB400C">
      <w:pPr>
        <w:spacing w:line="360" w:lineRule="auto"/>
        <w:jc w:val="both"/>
        <w:rPr>
          <w:rFonts w:ascii="Arial" w:hAnsi="Arial" w:cs="Arial"/>
        </w:rPr>
      </w:pPr>
      <w:r w:rsidRPr="00543963">
        <w:rPr>
          <w:rFonts w:ascii="Arial" w:hAnsi="Arial" w:cs="Arial"/>
        </w:rPr>
        <w:t xml:space="preserve">In response to these </w:t>
      </w:r>
      <w:r w:rsidR="00CC6A5A" w:rsidRPr="00543963">
        <w:rPr>
          <w:rFonts w:ascii="Arial" w:hAnsi="Arial" w:cs="Arial"/>
        </w:rPr>
        <w:t>experiments</w:t>
      </w:r>
      <w:r w:rsidRPr="00543963">
        <w:rPr>
          <w:rFonts w:ascii="Arial" w:hAnsi="Arial" w:cs="Arial"/>
        </w:rPr>
        <w:t xml:space="preserve">, digital health technologies have </w:t>
      </w:r>
      <w:r w:rsidR="00FE1995" w:rsidRPr="00543963">
        <w:rPr>
          <w:rFonts w:ascii="Arial" w:hAnsi="Arial" w:cs="Arial"/>
        </w:rPr>
        <w:t>begun</w:t>
      </w:r>
      <w:r w:rsidRPr="00543963">
        <w:rPr>
          <w:rFonts w:ascii="Arial" w:hAnsi="Arial" w:cs="Arial"/>
        </w:rPr>
        <w:t xml:space="preserve"> as promising tools to support healthy ageing and promote behaviours associated with reduced dementia risk (Essery et al., 2021). These technologies offer scalable, cost-effective, and potentially personalised solutions that can support self-management, health monitoring, and cognitive engagement among older populations (Coley et al., 2022). However, despite their potential, engagement with digital health interventions remains inconsistent, with many older adults facing barriers that limit adoption and sustained use (Madeira et al., 2025; Hilberger et al., 2025).</w:t>
      </w:r>
    </w:p>
    <w:p w14:paraId="1A62A2AE" w14:textId="6CA7C0DC" w:rsidR="00785D60" w:rsidRPr="00543963" w:rsidRDefault="00CC6A5A" w:rsidP="00BB400C">
      <w:pPr>
        <w:spacing w:line="360" w:lineRule="auto"/>
        <w:jc w:val="both"/>
        <w:rPr>
          <w:rFonts w:ascii="Arial" w:hAnsi="Arial" w:cs="Arial"/>
        </w:rPr>
      </w:pPr>
      <w:r w:rsidRPr="00CC6A5A">
        <w:rPr>
          <w:rFonts w:ascii="Arial" w:hAnsi="Arial" w:cs="Arial"/>
        </w:rPr>
        <w:t>This literature review seeks to extend beyond a descriptive account of existing research through the critical evaluation and synthesis of current evidence</w:t>
      </w:r>
      <w:r>
        <w:rPr>
          <w:rFonts w:ascii="Arial" w:hAnsi="Arial" w:cs="Arial"/>
        </w:rPr>
        <w:t xml:space="preserve"> </w:t>
      </w:r>
      <w:r w:rsidR="00785D60" w:rsidRPr="00543963">
        <w:rPr>
          <w:rFonts w:ascii="Arial" w:hAnsi="Arial" w:cs="Arial"/>
        </w:rPr>
        <w:t>adopting a more analytical and discursive approach (Coley et al., 2022). It explores key themes within the literature, including the types of digital health interventions available, patterns of engagement among older adults, and the factors influencing their use (Madeira et al., 2025; Essery et al., 2021). In doing so, it highlights both the opportunities and limitations associated with digital health technologies in the context of dementia prevention (Essery et al., 2021).</w:t>
      </w:r>
    </w:p>
    <w:p w14:paraId="1A8388AE" w14:textId="77777777" w:rsidR="00CC6A5A" w:rsidRPr="00CC6A5A" w:rsidRDefault="00785D60" w:rsidP="00CC6A5A">
      <w:pPr>
        <w:spacing w:line="360" w:lineRule="auto"/>
        <w:jc w:val="both"/>
        <w:rPr>
          <w:rFonts w:ascii="Arial" w:hAnsi="Arial" w:cs="Arial"/>
        </w:rPr>
      </w:pPr>
      <w:r w:rsidRPr="00543963">
        <w:rPr>
          <w:rFonts w:ascii="Arial" w:hAnsi="Arial" w:cs="Arial"/>
        </w:rPr>
        <w:t xml:space="preserve">To provide a structured and comprehensive analysis, this chapter is guided by the Social Ecological Model (SEM) (Bronfenbrenner, 1977; McLeroy et al., 1988). The SEM </w:t>
      </w:r>
      <w:r w:rsidR="00CC6A5A" w:rsidRPr="00543963">
        <w:rPr>
          <w:rFonts w:ascii="Arial" w:hAnsi="Arial" w:cs="Arial"/>
        </w:rPr>
        <w:t>assists</w:t>
      </w:r>
      <w:r w:rsidRPr="00543963">
        <w:rPr>
          <w:rFonts w:ascii="Arial" w:hAnsi="Arial" w:cs="Arial"/>
        </w:rPr>
        <w:t xml:space="preserve"> an exploration of </w:t>
      </w:r>
      <w:r w:rsidR="00CC6A5A" w:rsidRPr="00CC6A5A">
        <w:rPr>
          <w:rFonts w:ascii="Arial" w:hAnsi="Arial" w:cs="Arial"/>
        </w:rPr>
        <w:t>how interactions across individual, interpersonal, organisational, community, and policy domains influence engagement with digital health interventions</w:t>
      </w:r>
      <w:r w:rsidRPr="00543963">
        <w:rPr>
          <w:rFonts w:ascii="Arial" w:hAnsi="Arial" w:cs="Arial"/>
        </w:rPr>
        <w:t xml:space="preserve"> (McLeroy et al., 1988). </w:t>
      </w:r>
      <w:r w:rsidR="00CC6A5A" w:rsidRPr="00CC6A5A">
        <w:rPr>
          <w:rFonts w:ascii="Arial" w:hAnsi="Arial" w:cs="Arial"/>
        </w:rPr>
        <w:t>This framework highlights that technology adoption is shaped by social, environmental, and systemic influences beyond individual choice (Bronfenbrenner, 1977).</w:t>
      </w:r>
    </w:p>
    <w:p w14:paraId="4E1F7056" w14:textId="431F4743" w:rsidR="00FB3058" w:rsidRPr="009B1523" w:rsidRDefault="00FB3058" w:rsidP="009B1523">
      <w:pPr>
        <w:pStyle w:val="Heading2"/>
        <w:rPr>
          <w:rFonts w:ascii="Arial" w:hAnsi="Arial" w:cs="Arial"/>
          <w:b/>
          <w:bCs/>
          <w:sz w:val="24"/>
          <w:szCs w:val="24"/>
        </w:rPr>
      </w:pPr>
      <w:bookmarkStart w:id="15" w:name="_Toc232034597"/>
      <w:r w:rsidRPr="009B1523">
        <w:rPr>
          <w:rFonts w:ascii="Arial" w:hAnsi="Arial" w:cs="Arial"/>
          <w:b/>
          <w:bCs/>
          <w:sz w:val="24"/>
          <w:szCs w:val="24"/>
        </w:rPr>
        <w:lastRenderedPageBreak/>
        <w:t>2.2 Dementia as a Global Public Health Challenge</w:t>
      </w:r>
      <w:bookmarkEnd w:id="15"/>
      <w:r w:rsidRPr="009B1523">
        <w:rPr>
          <w:rFonts w:ascii="Arial" w:hAnsi="Arial" w:cs="Arial"/>
          <w:b/>
          <w:bCs/>
          <w:sz w:val="24"/>
          <w:szCs w:val="24"/>
        </w:rPr>
        <w:t xml:space="preserve"> </w:t>
      </w:r>
    </w:p>
    <w:p w14:paraId="27256763" w14:textId="77777777" w:rsidR="00FB3058" w:rsidRPr="00543963" w:rsidRDefault="00FB3058" w:rsidP="00BB400C">
      <w:pPr>
        <w:spacing w:line="360" w:lineRule="auto"/>
        <w:jc w:val="both"/>
        <w:rPr>
          <w:rFonts w:ascii="Arial" w:hAnsi="Arial" w:cs="Arial"/>
        </w:rPr>
      </w:pPr>
      <w:r w:rsidRPr="00543963">
        <w:rPr>
          <w:rFonts w:ascii="Arial" w:hAnsi="Arial" w:cs="Arial"/>
        </w:rPr>
        <w:t>Dementia is increasingly recognised as a complex and multifaceted public health challenge, extending beyond its clinical definition to encompass significant social, economic, and healthcare implications (World Health Organization, 2023; Livingston et al., 2020). While Chapter 1 outlined the scale of the condition, the literature further emphasises that dementia represents a growing global burden requiring coordinated public health responses (Livingston et al., 2020).</w:t>
      </w:r>
    </w:p>
    <w:p w14:paraId="60FC1A21" w14:textId="05C0C906" w:rsidR="00FB3058" w:rsidRPr="00543963" w:rsidRDefault="00FB3058" w:rsidP="00BB400C">
      <w:pPr>
        <w:spacing w:line="360" w:lineRule="auto"/>
        <w:jc w:val="both"/>
        <w:rPr>
          <w:rFonts w:ascii="Arial" w:hAnsi="Arial" w:cs="Arial"/>
        </w:rPr>
      </w:pPr>
      <w:r w:rsidRPr="00543963">
        <w:rPr>
          <w:rFonts w:ascii="Arial" w:hAnsi="Arial" w:cs="Arial"/>
        </w:rPr>
        <w:t xml:space="preserve">One of the defining characteristics of dementia as a public health issue is its strong association with population ageing (World Health Organization, 2023). </w:t>
      </w:r>
      <w:r w:rsidR="00CC6A5A" w:rsidRPr="00CC6A5A">
        <w:rPr>
          <w:rFonts w:ascii="Arial" w:hAnsi="Arial" w:cs="Arial"/>
        </w:rPr>
        <w:t>As longevity rises</w:t>
      </w:r>
      <w:r w:rsidR="00CC6A5A">
        <w:rPr>
          <w:rFonts w:ascii="Arial" w:hAnsi="Arial" w:cs="Arial"/>
        </w:rPr>
        <w:t xml:space="preserve"> </w:t>
      </w:r>
      <w:r w:rsidRPr="00543963">
        <w:rPr>
          <w:rFonts w:ascii="Arial" w:hAnsi="Arial" w:cs="Arial"/>
        </w:rPr>
        <w:t xml:space="preserve">globally, the number of individuals living with dementia is </w:t>
      </w:r>
      <w:r w:rsidR="003E7F60" w:rsidRPr="003E7F60">
        <w:rPr>
          <w:rFonts w:ascii="Arial" w:hAnsi="Arial" w:cs="Arial"/>
        </w:rPr>
        <w:t>forecast to grow</w:t>
      </w:r>
      <w:r w:rsidRPr="00543963">
        <w:rPr>
          <w:rFonts w:ascii="Arial" w:hAnsi="Arial" w:cs="Arial"/>
        </w:rPr>
        <w:t xml:space="preserve"> substantially, placing increasing pressure on healthcare systems and long-term care </w:t>
      </w:r>
      <w:r w:rsidR="003E7F60">
        <w:rPr>
          <w:rFonts w:ascii="Arial" w:hAnsi="Arial" w:cs="Arial"/>
        </w:rPr>
        <w:t>provision</w:t>
      </w:r>
      <w:r w:rsidRPr="00543963">
        <w:rPr>
          <w:rFonts w:ascii="Arial" w:hAnsi="Arial" w:cs="Arial"/>
        </w:rPr>
        <w:t xml:space="preserve"> (Livingston et al., 2020). However, this burden is not evenly distributed, with disparities evident across socioeconomic groups and geographic regions, reflecting inequalities in healthcare access and preventive resources (World Health Organization, 2023).</w:t>
      </w:r>
    </w:p>
    <w:p w14:paraId="428343AC" w14:textId="4466FB01" w:rsidR="00FB3058" w:rsidRDefault="00FB3058" w:rsidP="00BB400C">
      <w:pPr>
        <w:spacing w:line="360" w:lineRule="auto"/>
        <w:jc w:val="both"/>
        <w:rPr>
          <w:rFonts w:ascii="Arial" w:hAnsi="Arial" w:cs="Arial"/>
        </w:rPr>
      </w:pPr>
      <w:r w:rsidRPr="00543963">
        <w:rPr>
          <w:rFonts w:ascii="Arial" w:hAnsi="Arial" w:cs="Arial"/>
        </w:rPr>
        <w:t xml:space="preserve">From a public health </w:t>
      </w:r>
      <w:r w:rsidR="003E7F60" w:rsidRPr="00543963">
        <w:rPr>
          <w:rFonts w:ascii="Arial" w:hAnsi="Arial" w:cs="Arial"/>
        </w:rPr>
        <w:t>side</w:t>
      </w:r>
      <w:r w:rsidRPr="00543963">
        <w:rPr>
          <w:rFonts w:ascii="Arial" w:hAnsi="Arial" w:cs="Arial"/>
        </w:rPr>
        <w:t>, dementia contributes significantly to both mortality and long-term disability, making it a major contributor to overall disease burden (Livingston et al., 2020). Unlike acute conditions, dementia is characterised by prolonged progression, meaning individuals often live with the condition for many years, requiring continuous care and support (World Health Organization, 2023). This long-term nature increases demand not only for formal healthcare services but also for informal caregiving, which can place substantial emotional and financial strain on families (Livingston et al., 2020).</w:t>
      </w:r>
    </w:p>
    <w:p w14:paraId="121B80F5" w14:textId="6AFEA128" w:rsidR="001279CB" w:rsidRPr="00543963" w:rsidRDefault="001279CB" w:rsidP="00BB400C">
      <w:pPr>
        <w:spacing w:line="360" w:lineRule="auto"/>
        <w:jc w:val="both"/>
        <w:rPr>
          <w:rFonts w:ascii="Arial" w:hAnsi="Arial" w:cs="Arial"/>
        </w:rPr>
      </w:pPr>
      <w:r w:rsidRPr="001279CB">
        <w:rPr>
          <w:rFonts w:ascii="Arial" w:hAnsi="Arial" w:cs="Arial"/>
        </w:rPr>
        <w:t>Although substantial evidence links dementia to modifiable risk factors, the extent to which risk reduction interventions can prevent dementia remains contested. While Livingston et al. (2020) estimated that approximately 40% of dementia cases may be attributable to modifiable factors, translating this evidence into sustained behavioural change at population level remains a significant public health challenge.</w:t>
      </w:r>
    </w:p>
    <w:p w14:paraId="40C7F59A" w14:textId="6E1A2133" w:rsidR="00FB3058" w:rsidRPr="00543963" w:rsidRDefault="00FB3058" w:rsidP="00BB400C">
      <w:pPr>
        <w:spacing w:line="360" w:lineRule="auto"/>
        <w:jc w:val="both"/>
        <w:rPr>
          <w:rFonts w:ascii="Arial" w:hAnsi="Arial" w:cs="Arial"/>
        </w:rPr>
      </w:pPr>
      <w:r w:rsidRPr="00543963">
        <w:rPr>
          <w:rFonts w:ascii="Arial" w:hAnsi="Arial" w:cs="Arial"/>
        </w:rPr>
        <w:t xml:space="preserve">A key shift within the literature is the increasing recognition of dementia as a partially preventable condition (Livingston et al., 2020). Evidence suggests that </w:t>
      </w:r>
      <w:r w:rsidR="003E7F60">
        <w:rPr>
          <w:rFonts w:ascii="Arial" w:hAnsi="Arial" w:cs="Arial"/>
        </w:rPr>
        <w:t>m</w:t>
      </w:r>
      <w:r w:rsidR="003E7F60" w:rsidRPr="003E7F60">
        <w:rPr>
          <w:rFonts w:ascii="Arial" w:hAnsi="Arial" w:cs="Arial"/>
        </w:rPr>
        <w:t xml:space="preserve">any cases are linked to potentially modifiable risk </w:t>
      </w:r>
      <w:r w:rsidR="00FE1995" w:rsidRPr="003E7F60">
        <w:rPr>
          <w:rFonts w:ascii="Arial" w:hAnsi="Arial" w:cs="Arial"/>
        </w:rPr>
        <w:t>factors</w:t>
      </w:r>
      <w:r w:rsidR="00FE1995">
        <w:rPr>
          <w:rFonts w:ascii="Arial" w:hAnsi="Arial" w:cs="Arial"/>
        </w:rPr>
        <w:t>,</w:t>
      </w:r>
      <w:r w:rsidR="003E7F60">
        <w:rPr>
          <w:rFonts w:ascii="Arial" w:hAnsi="Arial" w:cs="Arial"/>
        </w:rPr>
        <w:t xml:space="preserve"> </w:t>
      </w:r>
      <w:r w:rsidRPr="00543963">
        <w:rPr>
          <w:rFonts w:ascii="Arial" w:hAnsi="Arial" w:cs="Arial"/>
        </w:rPr>
        <w:t xml:space="preserve">including lifestyle behaviours, cardiovascular health, and social engagement (Livingston et al., 2020). This has led to a growing emphasis on prevention strategies aimed at reducing risk </w:t>
      </w:r>
      <w:r w:rsidR="003E7F60" w:rsidRPr="003E7F60">
        <w:rPr>
          <w:rFonts w:ascii="Arial" w:hAnsi="Arial" w:cs="Arial"/>
        </w:rPr>
        <w:t>throughout the lifespan</w:t>
      </w:r>
      <w:r w:rsidR="003E7F60">
        <w:rPr>
          <w:rFonts w:ascii="Arial" w:hAnsi="Arial" w:cs="Arial"/>
        </w:rPr>
        <w:t xml:space="preserve"> </w:t>
      </w:r>
      <w:r w:rsidRPr="00543963">
        <w:rPr>
          <w:rFonts w:ascii="Arial" w:hAnsi="Arial" w:cs="Arial"/>
        </w:rPr>
        <w:t>(World Health Organization, 2023).</w:t>
      </w:r>
    </w:p>
    <w:p w14:paraId="08C14257" w14:textId="77777777" w:rsidR="003E7F60" w:rsidRPr="003E7F60" w:rsidRDefault="00FB3058" w:rsidP="003E7F60">
      <w:pPr>
        <w:spacing w:line="360" w:lineRule="auto"/>
        <w:jc w:val="both"/>
        <w:rPr>
          <w:rFonts w:ascii="Arial" w:hAnsi="Arial" w:cs="Arial"/>
        </w:rPr>
      </w:pPr>
      <w:r w:rsidRPr="00543963">
        <w:rPr>
          <w:rFonts w:ascii="Arial" w:hAnsi="Arial" w:cs="Arial"/>
        </w:rPr>
        <w:t xml:space="preserve">However, translating this evidence into effective public health interventions remains challenging (World Health Organization, 2023). Behaviour change is complex and </w:t>
      </w:r>
      <w:r w:rsidR="003E7F60">
        <w:rPr>
          <w:rFonts w:ascii="Arial" w:hAnsi="Arial" w:cs="Arial"/>
        </w:rPr>
        <w:t>affected by various</w:t>
      </w:r>
      <w:r w:rsidRPr="00543963">
        <w:rPr>
          <w:rFonts w:ascii="Arial" w:hAnsi="Arial" w:cs="Arial"/>
        </w:rPr>
        <w:t xml:space="preserve"> factors, </w:t>
      </w:r>
      <w:r w:rsidR="003E7F60" w:rsidRPr="00543963">
        <w:rPr>
          <w:rFonts w:ascii="Arial" w:hAnsi="Arial" w:cs="Arial"/>
        </w:rPr>
        <w:t>involving</w:t>
      </w:r>
      <w:r w:rsidRPr="00543963">
        <w:rPr>
          <w:rFonts w:ascii="Arial" w:hAnsi="Arial" w:cs="Arial"/>
        </w:rPr>
        <w:t xml:space="preserve"> individual motivation, social support, environmental conditions, and </w:t>
      </w:r>
      <w:r w:rsidRPr="00543963">
        <w:rPr>
          <w:rFonts w:ascii="Arial" w:hAnsi="Arial" w:cs="Arial"/>
        </w:rPr>
        <w:lastRenderedPageBreak/>
        <w:t xml:space="preserve">access to resources (Livingston et al., 2020). </w:t>
      </w:r>
      <w:r w:rsidR="003E7F60" w:rsidRPr="003E7F60">
        <w:rPr>
          <w:rFonts w:ascii="Arial" w:hAnsi="Arial" w:cs="Arial"/>
        </w:rPr>
        <w:t>This highlights the need for scalable approaches that promote sustained healthy behaviours.</w:t>
      </w:r>
    </w:p>
    <w:p w14:paraId="1207808F" w14:textId="791ACB02" w:rsidR="00FB3058" w:rsidRPr="00543963" w:rsidRDefault="00FB3058" w:rsidP="00BB400C">
      <w:pPr>
        <w:spacing w:line="360" w:lineRule="auto"/>
        <w:jc w:val="both"/>
        <w:rPr>
          <w:rFonts w:ascii="Arial" w:hAnsi="Arial" w:cs="Arial"/>
        </w:rPr>
      </w:pPr>
      <w:r w:rsidRPr="00543963">
        <w:rPr>
          <w:rFonts w:ascii="Arial" w:hAnsi="Arial" w:cs="Arial"/>
        </w:rPr>
        <w:t>In this context, digital health technologies have emerged as potential tools to support dementia prevention and health promotion (Essery et al., 2021). These technologies offer opportunities to address modifiable risk factors through monitoring, personalised feedback, and remote support (Coley et al., 2022). However, their effectiveness is closely linked to user engagement, which remains inconsistent among older adults (Madeira et al., 2025).</w:t>
      </w:r>
    </w:p>
    <w:p w14:paraId="0318D493" w14:textId="6A0DBBDF" w:rsidR="00C37839" w:rsidRPr="00543963" w:rsidRDefault="00C37839" w:rsidP="00543963">
      <w:pPr>
        <w:pStyle w:val="Heading2"/>
        <w:rPr>
          <w:rFonts w:ascii="Arial" w:hAnsi="Arial" w:cs="Arial"/>
          <w:b/>
          <w:bCs/>
        </w:rPr>
      </w:pPr>
      <w:bookmarkStart w:id="16" w:name="_Toc232034598"/>
      <w:r w:rsidRPr="00543963">
        <w:rPr>
          <w:rFonts w:ascii="Arial" w:hAnsi="Arial" w:cs="Arial"/>
          <w:b/>
          <w:bCs/>
          <w:sz w:val="24"/>
          <w:szCs w:val="24"/>
        </w:rPr>
        <w:t>2.3 Digital Health Interventions for Dementia Prevention</w:t>
      </w:r>
      <w:bookmarkEnd w:id="16"/>
      <w:r w:rsidRPr="00543963">
        <w:rPr>
          <w:rFonts w:ascii="Arial" w:hAnsi="Arial" w:cs="Arial"/>
          <w:b/>
          <w:bCs/>
          <w:sz w:val="24"/>
          <w:szCs w:val="24"/>
        </w:rPr>
        <w:t xml:space="preserve"> </w:t>
      </w:r>
    </w:p>
    <w:p w14:paraId="6A9FC146" w14:textId="77777777" w:rsidR="00C37839" w:rsidRPr="00543963" w:rsidRDefault="00C37839" w:rsidP="00BB400C">
      <w:pPr>
        <w:spacing w:line="360" w:lineRule="auto"/>
        <w:jc w:val="both"/>
        <w:rPr>
          <w:rFonts w:ascii="Arial" w:hAnsi="Arial" w:cs="Arial"/>
        </w:rPr>
      </w:pPr>
      <w:r w:rsidRPr="00543963">
        <w:rPr>
          <w:rFonts w:ascii="Arial" w:hAnsi="Arial" w:cs="Arial"/>
        </w:rPr>
        <w:t>Digital health interventions have gained increasing prominence as tools for health promotion, disease prevention, and long-term condition management (Essery et al., 2021). In the context of dementia, these technologies are particularly relevant due to the growing emphasis on prevention and risk reduction (World Health Organization, 2023; Livingston et al., 2020). As a significant proportion of dementia cases are linked to modifiable lifestyle factors, digital technologies offer scalable and potentially cost-effective approaches to supporting behaviour change (Coley et al., 2022).</w:t>
      </w:r>
    </w:p>
    <w:p w14:paraId="0DC68B47" w14:textId="02BF35B8" w:rsidR="00C37839" w:rsidRDefault="003E7F60" w:rsidP="00BB400C">
      <w:pPr>
        <w:spacing w:line="360" w:lineRule="auto"/>
        <w:jc w:val="both"/>
        <w:rPr>
          <w:rFonts w:ascii="Arial" w:hAnsi="Arial" w:cs="Arial"/>
        </w:rPr>
      </w:pPr>
      <w:r w:rsidRPr="003E7F60">
        <w:rPr>
          <w:rFonts w:ascii="Arial" w:hAnsi="Arial" w:cs="Arial"/>
        </w:rPr>
        <w:t>Digital health interventions incorporate diverse technologies, such as mobile applications and wearable devices</w:t>
      </w:r>
      <w:r w:rsidR="00C37839" w:rsidRPr="00543963">
        <w:rPr>
          <w:rFonts w:ascii="Arial" w:hAnsi="Arial" w:cs="Arial"/>
        </w:rPr>
        <w:t xml:space="preserve">, telehealth </w:t>
      </w:r>
      <w:r w:rsidRPr="00543963">
        <w:rPr>
          <w:rFonts w:ascii="Arial" w:hAnsi="Arial" w:cs="Arial"/>
        </w:rPr>
        <w:t>programs</w:t>
      </w:r>
      <w:r w:rsidR="00C37839" w:rsidRPr="00543963">
        <w:rPr>
          <w:rFonts w:ascii="Arial" w:hAnsi="Arial" w:cs="Arial"/>
        </w:rPr>
        <w:t xml:space="preserve">, and digital cognitive training </w:t>
      </w:r>
      <w:r w:rsidR="00B62A3E">
        <w:rPr>
          <w:rFonts w:ascii="Arial" w:hAnsi="Arial" w:cs="Arial"/>
        </w:rPr>
        <w:t>interventions</w:t>
      </w:r>
      <w:r w:rsidR="00C37839" w:rsidRPr="00543963">
        <w:rPr>
          <w:rFonts w:ascii="Arial" w:hAnsi="Arial" w:cs="Arial"/>
        </w:rPr>
        <w:t xml:space="preserve"> (Essery et al., 2021). While these tools share the aim of promoting health and wellbeing, they differ in functionality and user engagement requirements (Coley et al., 2022).</w:t>
      </w:r>
    </w:p>
    <w:p w14:paraId="54C56F51" w14:textId="2B52AED6" w:rsidR="001279CB" w:rsidRPr="00543963" w:rsidRDefault="001279CB" w:rsidP="00BB400C">
      <w:pPr>
        <w:spacing w:line="360" w:lineRule="auto"/>
        <w:jc w:val="both"/>
        <w:rPr>
          <w:rFonts w:ascii="Arial" w:hAnsi="Arial" w:cs="Arial"/>
        </w:rPr>
      </w:pPr>
      <w:r w:rsidRPr="001279CB">
        <w:rPr>
          <w:rFonts w:ascii="Arial" w:hAnsi="Arial" w:cs="Arial"/>
        </w:rPr>
        <w:t>Collectively, the evidence suggests that digital health interventions offer diverse mechanisms for supporting dementia prevention. However, considerable heterogeneity exists regarding intervention design, duration, outcome measures, and participant characteristics. Consequently, direct comparison between studies remains difficult, limiting conclusions regarding which intervention type is most effective.</w:t>
      </w:r>
    </w:p>
    <w:p w14:paraId="14D9DC0B" w14:textId="77777777" w:rsidR="00C37839" w:rsidRPr="00543963" w:rsidRDefault="00C37839" w:rsidP="00543963">
      <w:pPr>
        <w:pStyle w:val="Heading3"/>
        <w:rPr>
          <w:rFonts w:ascii="Arial" w:hAnsi="Arial" w:cs="Arial"/>
          <w:b/>
          <w:bCs/>
          <w:sz w:val="24"/>
          <w:szCs w:val="24"/>
        </w:rPr>
      </w:pPr>
      <w:bookmarkStart w:id="17" w:name="_Toc232034599"/>
      <w:r w:rsidRPr="00543963">
        <w:rPr>
          <w:rFonts w:ascii="Arial" w:hAnsi="Arial" w:cs="Arial"/>
          <w:b/>
          <w:bCs/>
          <w:sz w:val="24"/>
          <w:szCs w:val="24"/>
        </w:rPr>
        <w:t>2.3.1 Mobile Health Applications</w:t>
      </w:r>
      <w:bookmarkEnd w:id="17"/>
    </w:p>
    <w:p w14:paraId="04DB3CC9" w14:textId="77777777" w:rsidR="00C37839" w:rsidRPr="00543963" w:rsidRDefault="00C37839" w:rsidP="00BB400C">
      <w:pPr>
        <w:spacing w:line="360" w:lineRule="auto"/>
        <w:jc w:val="both"/>
        <w:rPr>
          <w:rFonts w:ascii="Arial" w:hAnsi="Arial" w:cs="Arial"/>
        </w:rPr>
      </w:pPr>
      <w:r w:rsidRPr="00543963">
        <w:rPr>
          <w:rFonts w:ascii="Arial" w:hAnsi="Arial" w:cs="Arial"/>
        </w:rPr>
        <w:t>Mobile health (mHealth) applications provide accessible platforms for monitoring and behaviour change (Essery et al., 2021). These tools enable users to track lifestyle behaviours associated with dementia risk, including physical activity and diet (Coley et al., 2022).</w:t>
      </w:r>
    </w:p>
    <w:p w14:paraId="42A77290" w14:textId="0A77F1A9" w:rsidR="00C37839" w:rsidRPr="00543963" w:rsidRDefault="00B62A3E" w:rsidP="00BB400C">
      <w:pPr>
        <w:spacing w:line="360" w:lineRule="auto"/>
        <w:jc w:val="both"/>
        <w:rPr>
          <w:rFonts w:ascii="Arial" w:hAnsi="Arial" w:cs="Arial"/>
        </w:rPr>
      </w:pPr>
      <w:r w:rsidRPr="00B62A3E">
        <w:rPr>
          <w:rFonts w:ascii="Arial" w:hAnsi="Arial" w:cs="Arial"/>
        </w:rPr>
        <w:t>mHealth applications support self-monitoring, which may strengthen users’ awareness of health behaviours and encourage greater accountability.</w:t>
      </w:r>
      <w:r w:rsidR="00C37839" w:rsidRPr="00543963">
        <w:rPr>
          <w:rFonts w:ascii="Arial" w:hAnsi="Arial" w:cs="Arial"/>
        </w:rPr>
        <w:t xml:space="preserve"> (Coley et al., 2022). Features such as goal setting and reminders may encourage healthier behaviours (Essery et al., 2021). However, their effectiveness depends on sustained engagement, which may be limited by usability challenges among older adults (Madeira et al., 2025; Hilberger et al., 2025).</w:t>
      </w:r>
    </w:p>
    <w:p w14:paraId="2CE2C772" w14:textId="77777777" w:rsidR="00C37839" w:rsidRPr="00543963" w:rsidRDefault="00C37839" w:rsidP="00543963">
      <w:pPr>
        <w:pStyle w:val="Heading3"/>
        <w:rPr>
          <w:rFonts w:ascii="Arial" w:hAnsi="Arial" w:cs="Arial"/>
          <w:b/>
          <w:bCs/>
        </w:rPr>
      </w:pPr>
      <w:bookmarkStart w:id="18" w:name="_Toc232034600"/>
      <w:r w:rsidRPr="00543963">
        <w:rPr>
          <w:rFonts w:ascii="Arial" w:hAnsi="Arial" w:cs="Arial"/>
          <w:b/>
          <w:bCs/>
          <w:sz w:val="24"/>
          <w:szCs w:val="24"/>
        </w:rPr>
        <w:lastRenderedPageBreak/>
        <w:t>2.3.2 Wearable Devices</w:t>
      </w:r>
      <w:bookmarkEnd w:id="18"/>
    </w:p>
    <w:p w14:paraId="130A1EAF" w14:textId="694D1319" w:rsidR="00C37839" w:rsidRPr="00543963" w:rsidRDefault="00B62A3E" w:rsidP="00BB400C">
      <w:pPr>
        <w:spacing w:line="360" w:lineRule="auto"/>
        <w:jc w:val="both"/>
        <w:rPr>
          <w:rFonts w:ascii="Arial" w:hAnsi="Arial" w:cs="Arial"/>
        </w:rPr>
      </w:pPr>
      <w:r w:rsidRPr="00B62A3E">
        <w:rPr>
          <w:rFonts w:ascii="Arial" w:hAnsi="Arial" w:cs="Arial"/>
        </w:rPr>
        <w:t>Wearable devices, such as smartwatches and fitness trackers, support ongoing health monitoring</w:t>
      </w:r>
      <w:r>
        <w:rPr>
          <w:rFonts w:ascii="Arial" w:hAnsi="Arial" w:cs="Arial"/>
        </w:rPr>
        <w:t xml:space="preserve"> </w:t>
      </w:r>
      <w:r w:rsidR="00C37839" w:rsidRPr="00543963">
        <w:rPr>
          <w:rFonts w:ascii="Arial" w:hAnsi="Arial" w:cs="Arial"/>
        </w:rPr>
        <w:t xml:space="preserve">of health behaviours (Essery et al., 2021). </w:t>
      </w:r>
      <w:r w:rsidR="00B273DC" w:rsidRPr="00B273DC">
        <w:rPr>
          <w:rFonts w:ascii="Arial" w:hAnsi="Arial" w:cs="Arial"/>
        </w:rPr>
        <w:t>These devices generate real-time data on physical activity and sleep patterns</w:t>
      </w:r>
      <w:r w:rsidR="00C37839" w:rsidRPr="00543963">
        <w:rPr>
          <w:rFonts w:ascii="Arial" w:hAnsi="Arial" w:cs="Arial"/>
        </w:rPr>
        <w:t xml:space="preserve"> both of which are associated with cognitive health (Coley et al., 2022).</w:t>
      </w:r>
    </w:p>
    <w:p w14:paraId="0C250F26" w14:textId="207FDCF2" w:rsidR="00C37839" w:rsidRPr="00543963" w:rsidRDefault="00C37839" w:rsidP="00BB400C">
      <w:pPr>
        <w:spacing w:line="360" w:lineRule="auto"/>
        <w:jc w:val="both"/>
        <w:rPr>
          <w:rFonts w:ascii="Arial" w:hAnsi="Arial" w:cs="Arial"/>
        </w:rPr>
      </w:pPr>
      <w:r w:rsidRPr="00543963">
        <w:rPr>
          <w:rFonts w:ascii="Arial" w:hAnsi="Arial" w:cs="Arial"/>
        </w:rPr>
        <w:t>The passive nature of data collection may improve accessibility for older adults (Essery et al., 2021). However, issues related to cost, usability, and long-term adherence may limit their effectiveness (Madeira et al., 2025). Additionally, interpreting health data may require external support (Hilberger et al., 2025).</w:t>
      </w:r>
    </w:p>
    <w:p w14:paraId="04C2DC41" w14:textId="77777777" w:rsidR="00C37839" w:rsidRPr="00543963" w:rsidRDefault="00C37839" w:rsidP="00543963">
      <w:pPr>
        <w:pStyle w:val="Heading3"/>
        <w:rPr>
          <w:rFonts w:ascii="Arial" w:hAnsi="Arial" w:cs="Arial"/>
          <w:b/>
          <w:bCs/>
          <w:sz w:val="24"/>
          <w:szCs w:val="24"/>
        </w:rPr>
      </w:pPr>
      <w:bookmarkStart w:id="19" w:name="_Toc232034601"/>
      <w:r w:rsidRPr="00543963">
        <w:rPr>
          <w:rFonts w:ascii="Arial" w:hAnsi="Arial" w:cs="Arial"/>
          <w:b/>
          <w:bCs/>
          <w:sz w:val="24"/>
          <w:szCs w:val="24"/>
        </w:rPr>
        <w:t>2.3.3 Telehealth and Remote Care</w:t>
      </w:r>
      <w:bookmarkEnd w:id="19"/>
    </w:p>
    <w:p w14:paraId="42886CF9" w14:textId="77777777" w:rsidR="00C37839" w:rsidRPr="00543963" w:rsidRDefault="00C37839" w:rsidP="00BB400C">
      <w:pPr>
        <w:spacing w:line="360" w:lineRule="auto"/>
        <w:jc w:val="both"/>
        <w:rPr>
          <w:rFonts w:ascii="Arial" w:hAnsi="Arial" w:cs="Arial"/>
        </w:rPr>
      </w:pPr>
      <w:r w:rsidRPr="00543963">
        <w:rPr>
          <w:rFonts w:ascii="Arial" w:hAnsi="Arial" w:cs="Arial"/>
        </w:rPr>
        <w:t>Telehealth platforms facilitate remote access to healthcare services, reducing barriers related to mobility and location (World Health Organization, 2023). These technologies support early detection and management of dementia risk factors through remote consultations and monitoring (Coley et al., 2022).</w:t>
      </w:r>
    </w:p>
    <w:p w14:paraId="79184FC0" w14:textId="01AC43C1" w:rsidR="00C37839" w:rsidRPr="00543963" w:rsidRDefault="00C37839" w:rsidP="00BB400C">
      <w:pPr>
        <w:spacing w:line="360" w:lineRule="auto"/>
        <w:jc w:val="both"/>
        <w:rPr>
          <w:rFonts w:ascii="Arial" w:hAnsi="Arial" w:cs="Arial"/>
        </w:rPr>
      </w:pPr>
      <w:r w:rsidRPr="00543963">
        <w:rPr>
          <w:rFonts w:ascii="Arial" w:hAnsi="Arial" w:cs="Arial"/>
        </w:rPr>
        <w:t>However, engagement with telehealth depends on digital access, connectivity, and user confidence, which vary among older populations (Madeira et al., 2025; Hilberger et al., 2025).</w:t>
      </w:r>
    </w:p>
    <w:p w14:paraId="34B87009" w14:textId="77777777" w:rsidR="00C37839" w:rsidRPr="00543963" w:rsidRDefault="00C37839" w:rsidP="00543963">
      <w:pPr>
        <w:pStyle w:val="Heading3"/>
        <w:rPr>
          <w:rFonts w:ascii="Arial" w:hAnsi="Arial" w:cs="Arial"/>
          <w:b/>
          <w:bCs/>
          <w:sz w:val="24"/>
          <w:szCs w:val="24"/>
        </w:rPr>
      </w:pPr>
      <w:bookmarkStart w:id="20" w:name="_Toc232034602"/>
      <w:r w:rsidRPr="00543963">
        <w:rPr>
          <w:rFonts w:ascii="Arial" w:hAnsi="Arial" w:cs="Arial"/>
          <w:b/>
          <w:bCs/>
          <w:sz w:val="24"/>
          <w:szCs w:val="24"/>
        </w:rPr>
        <w:t>2.3.4 Digital Cognitive Training</w:t>
      </w:r>
      <w:bookmarkEnd w:id="20"/>
    </w:p>
    <w:p w14:paraId="22AEE9B4" w14:textId="77777777" w:rsidR="00C37839" w:rsidRPr="00543963" w:rsidRDefault="00C37839" w:rsidP="00BB400C">
      <w:pPr>
        <w:spacing w:line="360" w:lineRule="auto"/>
        <w:jc w:val="both"/>
        <w:rPr>
          <w:rFonts w:ascii="Arial" w:hAnsi="Arial" w:cs="Arial"/>
        </w:rPr>
      </w:pPr>
      <w:r w:rsidRPr="00543963">
        <w:rPr>
          <w:rFonts w:ascii="Arial" w:hAnsi="Arial" w:cs="Arial"/>
        </w:rPr>
        <w:t>Digital cognitive training programmes aim to support cognitive functioning through structured exercises targeting memory and attention (Singh et al., 2024). Some studies report short-term cognitive improvements associated with regular use (Coley et al., 2022).</w:t>
      </w:r>
    </w:p>
    <w:p w14:paraId="22432829" w14:textId="75C4CAC6" w:rsidR="001279CB" w:rsidRPr="00543963" w:rsidRDefault="001279CB" w:rsidP="00BB400C">
      <w:pPr>
        <w:spacing w:line="360" w:lineRule="auto"/>
        <w:jc w:val="both"/>
        <w:rPr>
          <w:rFonts w:ascii="Arial" w:hAnsi="Arial" w:cs="Arial"/>
        </w:rPr>
      </w:pPr>
      <w:r w:rsidRPr="001279CB">
        <w:rPr>
          <w:rFonts w:ascii="Arial" w:hAnsi="Arial" w:cs="Arial"/>
        </w:rPr>
        <w:t>Although digital cognitive training programmes have demonstrated improvements in memory, attention, and processing speed, evidence regarding their capacity to prevent dementia remains inconclusive. Critics argue that improvements observed in trained tasks may not necessarily translate into meaningful real-world cognitive benefits or reductions in dementia incidence.</w:t>
      </w:r>
      <w:r>
        <w:rPr>
          <w:rFonts w:ascii="Arial" w:hAnsi="Arial" w:cs="Arial"/>
        </w:rPr>
        <w:t xml:space="preserve"> </w:t>
      </w:r>
      <w:r w:rsidRPr="00543963">
        <w:rPr>
          <w:rFonts w:ascii="Arial" w:hAnsi="Arial" w:cs="Arial"/>
        </w:rPr>
        <w:t>(Livingston et al., 2020</w:t>
      </w:r>
      <w:r>
        <w:rPr>
          <w:rFonts w:ascii="Arial" w:hAnsi="Arial" w:cs="Arial"/>
        </w:rPr>
        <w:t xml:space="preserve">; </w:t>
      </w:r>
      <w:r w:rsidRPr="00543963">
        <w:rPr>
          <w:rFonts w:ascii="Arial" w:hAnsi="Arial" w:cs="Arial"/>
        </w:rPr>
        <w:t>Singh et al., 2024).</w:t>
      </w:r>
    </w:p>
    <w:p w14:paraId="47551CFE" w14:textId="77777777" w:rsidR="00C37839" w:rsidRPr="00543963" w:rsidRDefault="00C37839" w:rsidP="00543963">
      <w:pPr>
        <w:pStyle w:val="Heading3"/>
        <w:rPr>
          <w:rFonts w:ascii="Arial" w:hAnsi="Arial" w:cs="Arial"/>
          <w:b/>
          <w:bCs/>
          <w:sz w:val="24"/>
          <w:szCs w:val="24"/>
        </w:rPr>
      </w:pPr>
      <w:bookmarkStart w:id="21" w:name="_Toc232034603"/>
      <w:r w:rsidRPr="00543963">
        <w:rPr>
          <w:rFonts w:ascii="Arial" w:hAnsi="Arial" w:cs="Arial"/>
          <w:b/>
          <w:bCs/>
          <w:sz w:val="24"/>
          <w:szCs w:val="24"/>
        </w:rPr>
        <w:t>2.3.5 Personalisation and Scalability</w:t>
      </w:r>
      <w:bookmarkEnd w:id="21"/>
    </w:p>
    <w:p w14:paraId="27460508" w14:textId="77777777" w:rsidR="00C37839" w:rsidRPr="00543963" w:rsidRDefault="00C37839" w:rsidP="00BB400C">
      <w:pPr>
        <w:spacing w:line="360" w:lineRule="auto"/>
        <w:jc w:val="both"/>
        <w:rPr>
          <w:rFonts w:ascii="Arial" w:hAnsi="Arial" w:cs="Arial"/>
        </w:rPr>
      </w:pPr>
      <w:r w:rsidRPr="00543963">
        <w:rPr>
          <w:rFonts w:ascii="Arial" w:hAnsi="Arial" w:cs="Arial"/>
        </w:rPr>
        <w:t>Digital health interventions offer personalised support through tailored feedback and behavioural prompts (Essery et al., 2021). These features may enhance motivation and engagement (Coley et al., 2022).</w:t>
      </w:r>
    </w:p>
    <w:p w14:paraId="441C0392" w14:textId="1B33181A" w:rsidR="00C37839" w:rsidRPr="00543963" w:rsidRDefault="00C37839" w:rsidP="00BB400C">
      <w:pPr>
        <w:spacing w:line="360" w:lineRule="auto"/>
        <w:jc w:val="both"/>
        <w:rPr>
          <w:rFonts w:ascii="Arial" w:hAnsi="Arial" w:cs="Arial"/>
        </w:rPr>
      </w:pPr>
      <w:r w:rsidRPr="00543963">
        <w:rPr>
          <w:rFonts w:ascii="Arial" w:hAnsi="Arial" w:cs="Arial"/>
        </w:rPr>
        <w:t>From a public health perspective, digital interventions are scalable and can reach large populations at relatively low cost (World Health Organization, 2023). However, their effectiveness depends on real-world use, including engagement, accessibility, and integration within healthcare systems (Madeira et al., 2025).</w:t>
      </w:r>
    </w:p>
    <w:p w14:paraId="01C1E3F1" w14:textId="77777777" w:rsidR="00C37839" w:rsidRPr="00543963" w:rsidRDefault="00C37839" w:rsidP="00543963">
      <w:pPr>
        <w:pStyle w:val="Heading3"/>
        <w:rPr>
          <w:rFonts w:ascii="Arial" w:hAnsi="Arial" w:cs="Arial"/>
          <w:b/>
          <w:bCs/>
          <w:sz w:val="24"/>
          <w:szCs w:val="24"/>
        </w:rPr>
      </w:pPr>
      <w:bookmarkStart w:id="22" w:name="_Toc232034604"/>
      <w:r w:rsidRPr="00543963">
        <w:rPr>
          <w:rFonts w:ascii="Arial" w:hAnsi="Arial" w:cs="Arial"/>
          <w:b/>
          <w:bCs/>
          <w:sz w:val="24"/>
          <w:szCs w:val="24"/>
        </w:rPr>
        <w:lastRenderedPageBreak/>
        <w:t>Critical Perspective</w:t>
      </w:r>
      <w:bookmarkEnd w:id="22"/>
    </w:p>
    <w:p w14:paraId="0652373F" w14:textId="28629E71" w:rsidR="00C37839" w:rsidRPr="00543963" w:rsidRDefault="00C37839" w:rsidP="00BB400C">
      <w:pPr>
        <w:spacing w:line="360" w:lineRule="auto"/>
        <w:jc w:val="both"/>
        <w:rPr>
          <w:rFonts w:ascii="Arial" w:hAnsi="Arial" w:cs="Arial"/>
        </w:rPr>
      </w:pPr>
      <w:r w:rsidRPr="00543963">
        <w:rPr>
          <w:rFonts w:ascii="Arial" w:hAnsi="Arial" w:cs="Arial"/>
        </w:rPr>
        <w:t xml:space="preserve">Despite their potential, digital health interventions show mixed effectiveness in practice (Coley et al., 2022; Madeira et al., 2025). While they can support behaviour change, sustained engagement remains a key challenge, </w:t>
      </w:r>
      <w:r w:rsidR="00B273DC" w:rsidRPr="00B273DC">
        <w:rPr>
          <w:rFonts w:ascii="Arial" w:hAnsi="Arial" w:cs="Arial"/>
        </w:rPr>
        <w:t>particularly among older adults with low levels of digital literacy.</w:t>
      </w:r>
      <w:r w:rsidRPr="00543963">
        <w:rPr>
          <w:rFonts w:ascii="Arial" w:hAnsi="Arial" w:cs="Arial"/>
        </w:rPr>
        <w:t xml:space="preserve"> (Kebede et al., 2022).</w:t>
      </w:r>
    </w:p>
    <w:p w14:paraId="1B1E2330" w14:textId="77777777" w:rsidR="00C37839" w:rsidRPr="00543963" w:rsidRDefault="00C37839" w:rsidP="00BB400C">
      <w:pPr>
        <w:spacing w:line="360" w:lineRule="auto"/>
        <w:jc w:val="both"/>
        <w:rPr>
          <w:rFonts w:ascii="Arial" w:hAnsi="Arial" w:cs="Arial"/>
        </w:rPr>
      </w:pPr>
      <w:r w:rsidRPr="00543963">
        <w:rPr>
          <w:rFonts w:ascii="Arial" w:hAnsi="Arial" w:cs="Arial"/>
        </w:rPr>
        <w:t>Evidence suggests that initial adoption does not always lead to long-term use, indicating that technological availability alone is insufficient (Deng et al., 2025). User-related factors such as motivation, confidence, and perceived relevance play a crucial role (Panzavolta et al., 2025).</w:t>
      </w:r>
    </w:p>
    <w:p w14:paraId="04D32A50" w14:textId="2CC56E73" w:rsidR="00C37839" w:rsidRPr="00543963" w:rsidRDefault="00C37839" w:rsidP="00543963">
      <w:pPr>
        <w:pStyle w:val="Heading2"/>
        <w:rPr>
          <w:rFonts w:ascii="Arial" w:hAnsi="Arial" w:cs="Arial"/>
          <w:b/>
          <w:bCs/>
          <w:sz w:val="28"/>
          <w:szCs w:val="28"/>
        </w:rPr>
      </w:pPr>
      <w:bookmarkStart w:id="23" w:name="_Toc232034605"/>
      <w:r w:rsidRPr="00543963">
        <w:rPr>
          <w:rFonts w:ascii="Arial" w:hAnsi="Arial" w:cs="Arial"/>
          <w:b/>
          <w:bCs/>
          <w:sz w:val="28"/>
          <w:szCs w:val="28"/>
        </w:rPr>
        <w:t>2.4 Facilitators of Engagement with Digital Health Technologies</w:t>
      </w:r>
      <w:bookmarkEnd w:id="23"/>
    </w:p>
    <w:p w14:paraId="48F9AFD6" w14:textId="1BFD45E5" w:rsidR="00C37839" w:rsidRPr="00543963" w:rsidRDefault="00C37839" w:rsidP="00BB400C">
      <w:pPr>
        <w:spacing w:line="360" w:lineRule="auto"/>
        <w:jc w:val="both"/>
        <w:rPr>
          <w:rFonts w:ascii="Arial" w:hAnsi="Arial" w:cs="Arial"/>
        </w:rPr>
      </w:pPr>
      <w:r w:rsidRPr="00543963">
        <w:rPr>
          <w:rFonts w:ascii="Arial" w:hAnsi="Arial" w:cs="Arial"/>
        </w:rPr>
        <w:t xml:space="preserve">Engagement with digital health technologies among older adults is not solely determined by </w:t>
      </w:r>
      <w:r w:rsidR="005A7ACF" w:rsidRPr="00543963">
        <w:rPr>
          <w:rFonts w:ascii="Arial" w:hAnsi="Arial" w:cs="Arial"/>
        </w:rPr>
        <w:t>barriers but</w:t>
      </w:r>
      <w:r w:rsidRPr="00543963">
        <w:rPr>
          <w:rFonts w:ascii="Arial" w:hAnsi="Arial" w:cs="Arial"/>
        </w:rPr>
        <w:t xml:space="preserve"> is also significantly influenced by a range of facilitators that support adoption and sustained use (Kebede et al., 2022). Understanding these enabling factors is essential for </w:t>
      </w:r>
      <w:r w:rsidR="00B273DC" w:rsidRPr="00B273DC">
        <w:rPr>
          <w:rFonts w:ascii="Arial" w:hAnsi="Arial" w:cs="Arial"/>
        </w:rPr>
        <w:t xml:space="preserve">designing </w:t>
      </w:r>
      <w:r w:rsidRPr="00543963">
        <w:rPr>
          <w:rFonts w:ascii="Arial" w:hAnsi="Arial" w:cs="Arial"/>
        </w:rPr>
        <w:t>effective and inclusive digital health interventions.</w:t>
      </w:r>
    </w:p>
    <w:p w14:paraId="5893EBCD" w14:textId="6BD4023F" w:rsidR="00C37839" w:rsidRPr="00543963" w:rsidRDefault="00C37839" w:rsidP="00BB400C">
      <w:pPr>
        <w:spacing w:line="360" w:lineRule="auto"/>
        <w:jc w:val="both"/>
        <w:rPr>
          <w:rFonts w:ascii="Arial" w:hAnsi="Arial" w:cs="Arial"/>
        </w:rPr>
      </w:pPr>
      <w:r w:rsidRPr="00543963">
        <w:rPr>
          <w:rFonts w:ascii="Arial" w:hAnsi="Arial" w:cs="Arial"/>
        </w:rPr>
        <w:t xml:space="preserve">One of the most important facilitators identified in the literature is digital literacy and training (Coley et al., 2022). Older adults who receive structured guidance and support are more likely to develop confidence in using digital technologies, which can enhance both initial adoption and long-term engagement (Madeira et al., 2025). Training programmes </w:t>
      </w:r>
      <w:r w:rsidR="00B273DC" w:rsidRPr="00B273DC">
        <w:rPr>
          <w:rFonts w:ascii="Arial" w:hAnsi="Arial" w:cs="Arial"/>
        </w:rPr>
        <w:t>suggests that interventions designed around the needs of older populations can improve usability and minimise anxiety.</w:t>
      </w:r>
      <w:r w:rsidR="00B273DC">
        <w:rPr>
          <w:rFonts w:ascii="Arial" w:hAnsi="Arial" w:cs="Arial"/>
        </w:rPr>
        <w:t xml:space="preserve"> </w:t>
      </w:r>
      <w:r w:rsidRPr="00543963">
        <w:rPr>
          <w:rFonts w:ascii="Arial" w:hAnsi="Arial" w:cs="Arial"/>
        </w:rPr>
        <w:t>Social support also plays a critical role in facilitating engagement (Deng et al., 2025). Family members, caregivers, and healthcare professionals can provide encouragement, technical assistance, and motivation, which can significantly increase users’ willingness to adopt digital tools (Panzavolta et al., 2025). In some cases, shared use of technology can also enhance engagement by reducing feelings of isolation and increasing confidence.</w:t>
      </w:r>
    </w:p>
    <w:p w14:paraId="3DC9F0DD" w14:textId="77777777" w:rsidR="00C37839" w:rsidRPr="00543963" w:rsidRDefault="00C37839" w:rsidP="00BB400C">
      <w:pPr>
        <w:spacing w:line="360" w:lineRule="auto"/>
        <w:jc w:val="both"/>
        <w:rPr>
          <w:rFonts w:ascii="Arial" w:hAnsi="Arial" w:cs="Arial"/>
        </w:rPr>
      </w:pPr>
      <w:r w:rsidRPr="00543963">
        <w:rPr>
          <w:rFonts w:ascii="Arial" w:hAnsi="Arial" w:cs="Arial"/>
        </w:rPr>
        <w:t>Another key facilitator is the design and usability of digital technologies (Kebede et al., 2022). Applications that are simple, intuitive, and tailored to the cognitive and physical needs of older adults are more likely to be adopted and used consistently (Madeira et al., 2025). Features such as large fonts, clear navigation, and personalised feedback can improve accessibility and user experience.</w:t>
      </w:r>
    </w:p>
    <w:p w14:paraId="072A1C84" w14:textId="46419BF2" w:rsidR="00C37839" w:rsidRPr="00543963" w:rsidRDefault="00C37839" w:rsidP="00BB400C">
      <w:pPr>
        <w:spacing w:line="360" w:lineRule="auto"/>
        <w:jc w:val="both"/>
        <w:rPr>
          <w:rFonts w:ascii="Arial" w:hAnsi="Arial" w:cs="Arial"/>
        </w:rPr>
      </w:pPr>
      <w:r w:rsidRPr="00543963">
        <w:rPr>
          <w:rFonts w:ascii="Arial" w:hAnsi="Arial" w:cs="Arial"/>
        </w:rPr>
        <w:t xml:space="preserve">Personalisation and relevance are also important factors influencing engagement (Coley et al., 2022). Digital health interventions that provide tailored recommendations and feedback based on individual needs and preferences are more likely to maintain user interest and motivation. </w:t>
      </w:r>
      <w:r w:rsidR="008172AC" w:rsidRPr="008172AC">
        <w:rPr>
          <w:rFonts w:ascii="Arial" w:hAnsi="Arial" w:cs="Arial"/>
        </w:rPr>
        <w:t>This is especially important within the context of</w:t>
      </w:r>
      <w:r w:rsidR="008172AC">
        <w:rPr>
          <w:rFonts w:ascii="Arial" w:hAnsi="Arial" w:cs="Arial"/>
        </w:rPr>
        <w:t xml:space="preserve"> </w:t>
      </w:r>
      <w:r w:rsidRPr="00543963">
        <w:rPr>
          <w:rFonts w:ascii="Arial" w:hAnsi="Arial" w:cs="Arial"/>
        </w:rPr>
        <w:t>dementia prevention, where behaviour change requires sustained effort over time.</w:t>
      </w:r>
    </w:p>
    <w:p w14:paraId="75949957" w14:textId="6E87ECB5" w:rsidR="00C37839" w:rsidRPr="00543963" w:rsidRDefault="00C37839" w:rsidP="00BB400C">
      <w:pPr>
        <w:spacing w:line="360" w:lineRule="auto"/>
        <w:jc w:val="both"/>
        <w:rPr>
          <w:rFonts w:ascii="Arial" w:hAnsi="Arial" w:cs="Arial"/>
        </w:rPr>
      </w:pPr>
      <w:r w:rsidRPr="00543963">
        <w:rPr>
          <w:rFonts w:ascii="Arial" w:hAnsi="Arial" w:cs="Arial"/>
        </w:rPr>
        <w:lastRenderedPageBreak/>
        <w:t xml:space="preserve">Finally, integration with healthcare systems can enhance engagement by increasing trust and legitimacy (Essery et al., 2021). </w:t>
      </w:r>
    </w:p>
    <w:p w14:paraId="3C34A63B" w14:textId="6472A036" w:rsidR="00B04DA7" w:rsidRPr="00543963" w:rsidRDefault="00B04DA7" w:rsidP="00543963">
      <w:pPr>
        <w:pStyle w:val="Heading2"/>
        <w:rPr>
          <w:rFonts w:ascii="Arial" w:hAnsi="Arial" w:cs="Arial"/>
          <w:b/>
          <w:bCs/>
          <w:sz w:val="24"/>
          <w:szCs w:val="24"/>
        </w:rPr>
      </w:pPr>
      <w:bookmarkStart w:id="24" w:name="_Toc232034606"/>
      <w:r w:rsidRPr="00543963">
        <w:rPr>
          <w:rFonts w:ascii="Arial" w:hAnsi="Arial" w:cs="Arial"/>
          <w:b/>
          <w:bCs/>
          <w:sz w:val="24"/>
          <w:szCs w:val="24"/>
        </w:rPr>
        <w:t>2.</w:t>
      </w:r>
      <w:r w:rsidR="00C37839" w:rsidRPr="00543963">
        <w:rPr>
          <w:rFonts w:ascii="Arial" w:hAnsi="Arial" w:cs="Arial"/>
          <w:b/>
          <w:bCs/>
          <w:sz w:val="24"/>
          <w:szCs w:val="24"/>
        </w:rPr>
        <w:t>5</w:t>
      </w:r>
      <w:r w:rsidRPr="00543963">
        <w:rPr>
          <w:rFonts w:ascii="Arial" w:hAnsi="Arial" w:cs="Arial"/>
          <w:b/>
          <w:bCs/>
          <w:sz w:val="24"/>
          <w:szCs w:val="24"/>
        </w:rPr>
        <w:t xml:space="preserve"> Social Ecological Model as the Theoretical Framework</w:t>
      </w:r>
      <w:bookmarkEnd w:id="24"/>
    </w:p>
    <w:p w14:paraId="4AD9E7E5" w14:textId="0776FC2E" w:rsidR="00B04DA7" w:rsidRPr="00543963" w:rsidRDefault="00B04DA7" w:rsidP="00BB400C">
      <w:pPr>
        <w:spacing w:line="360" w:lineRule="auto"/>
        <w:jc w:val="both"/>
        <w:rPr>
          <w:rFonts w:ascii="Arial" w:hAnsi="Arial" w:cs="Arial"/>
        </w:rPr>
      </w:pPr>
      <w:r w:rsidRPr="00543963">
        <w:rPr>
          <w:rFonts w:ascii="Arial" w:hAnsi="Arial" w:cs="Arial"/>
        </w:rPr>
        <w:t xml:space="preserve">The Social Ecological Model (SEM) provides a comprehensive framework for </w:t>
      </w:r>
      <w:r w:rsidR="00EE61DC">
        <w:rPr>
          <w:rFonts w:ascii="Arial" w:hAnsi="Arial" w:cs="Arial"/>
        </w:rPr>
        <w:t>examine</w:t>
      </w:r>
      <w:r w:rsidRPr="00543963">
        <w:rPr>
          <w:rFonts w:ascii="Arial" w:hAnsi="Arial" w:cs="Arial"/>
        </w:rPr>
        <w:t xml:space="preserve"> the complex and multi-layered </w:t>
      </w:r>
      <w:r w:rsidR="00EE61DC">
        <w:rPr>
          <w:rFonts w:ascii="Arial" w:hAnsi="Arial" w:cs="Arial"/>
        </w:rPr>
        <w:t>determinants of</w:t>
      </w:r>
      <w:r w:rsidRPr="00543963">
        <w:rPr>
          <w:rFonts w:ascii="Arial" w:hAnsi="Arial" w:cs="Arial"/>
        </w:rPr>
        <w:t xml:space="preserve"> engagement with digital health technologies among older adults (Bronfenbrenner, 1977; McLeroy et al., 1988). Rather than viewing health behaviours as solely individual choices, the SEM emphasises that behaviours are </w:t>
      </w:r>
      <w:r w:rsidR="00EE61DC">
        <w:rPr>
          <w:rFonts w:ascii="Arial" w:hAnsi="Arial" w:cs="Arial"/>
        </w:rPr>
        <w:t xml:space="preserve">formed </w:t>
      </w:r>
      <w:r w:rsidR="008172AC" w:rsidRPr="008172AC">
        <w:rPr>
          <w:rFonts w:ascii="Arial" w:hAnsi="Arial" w:cs="Arial"/>
        </w:rPr>
        <w:t>through interactions between individuals and their wider environment</w:t>
      </w:r>
      <w:r w:rsidRPr="00543963">
        <w:rPr>
          <w:rFonts w:ascii="Arial" w:hAnsi="Arial" w:cs="Arial"/>
        </w:rPr>
        <w:t xml:space="preserve">, and policy </w:t>
      </w:r>
      <w:r w:rsidR="00EE61DC">
        <w:rPr>
          <w:rFonts w:ascii="Arial" w:hAnsi="Arial" w:cs="Arial"/>
        </w:rPr>
        <w:t>measures</w:t>
      </w:r>
      <w:r w:rsidRPr="00543963">
        <w:rPr>
          <w:rFonts w:ascii="Arial" w:hAnsi="Arial" w:cs="Arial"/>
        </w:rPr>
        <w:t xml:space="preserve"> (McLeroy et al., 1988).</w:t>
      </w:r>
    </w:p>
    <w:p w14:paraId="3723AC06" w14:textId="628F407C" w:rsidR="008D1123" w:rsidRDefault="00B04DA7" w:rsidP="00BB400C">
      <w:pPr>
        <w:spacing w:line="360" w:lineRule="auto"/>
        <w:jc w:val="both"/>
        <w:rPr>
          <w:rFonts w:ascii="Arial" w:hAnsi="Arial" w:cs="Arial"/>
        </w:rPr>
      </w:pPr>
      <w:r w:rsidRPr="00543963">
        <w:rPr>
          <w:rFonts w:ascii="Arial" w:hAnsi="Arial" w:cs="Arial"/>
        </w:rPr>
        <w:t xml:space="preserve">In the context of dementia prevention, the SEM is particularly valuable as it enables a more holistic </w:t>
      </w:r>
      <w:r w:rsidR="00EE61DC" w:rsidRPr="00EE61DC">
        <w:rPr>
          <w:rFonts w:ascii="Arial" w:hAnsi="Arial" w:cs="Arial"/>
        </w:rPr>
        <w:t>insight into how and why older adults</w:t>
      </w:r>
      <w:r w:rsidRPr="00543963">
        <w:rPr>
          <w:rFonts w:ascii="Arial" w:hAnsi="Arial" w:cs="Arial"/>
        </w:rPr>
        <w:t xml:space="preserve"> engage with digital health interventions (Essery et al., 2021). Engagement is not determined by a single factor, but by a combination of personal capabilities, social influences, access to resources, and wider structural conditions (McLeroy et al., 1988; Madeira et al., 2025). Applying the SEM allows this review to move beyond individual-level explanations and consider the broader determinants that shape technology adoption and sustained use (Bronfenbrenner, 1977).</w:t>
      </w:r>
    </w:p>
    <w:p w14:paraId="36528A8D" w14:textId="752E8D56" w:rsidR="00890F44" w:rsidRDefault="00890F44" w:rsidP="00BB400C">
      <w:pPr>
        <w:spacing w:line="360" w:lineRule="auto"/>
        <w:jc w:val="both"/>
        <w:rPr>
          <w:rFonts w:ascii="Arial" w:hAnsi="Arial" w:cs="Arial"/>
        </w:rPr>
      </w:pPr>
      <w:r w:rsidRPr="00890F44">
        <w:rPr>
          <w:rFonts w:ascii="Arial" w:hAnsi="Arial" w:cs="Arial"/>
        </w:rPr>
        <w:t xml:space="preserve">The Social Ecological Model (SEM) </w:t>
      </w:r>
      <w:r w:rsidR="00EE61DC" w:rsidRPr="00EE61DC">
        <w:rPr>
          <w:rFonts w:ascii="Arial" w:hAnsi="Arial" w:cs="Arial"/>
        </w:rPr>
        <w:t>informed the theoretical underpinning of this study owing to its capacity to</w:t>
      </w:r>
      <w:r w:rsidRPr="00890F44">
        <w:rPr>
          <w:rFonts w:ascii="Arial" w:hAnsi="Arial" w:cs="Arial"/>
        </w:rPr>
        <w:t xml:space="preserve"> recognises that engagement with digital health interventions is influenced by multiple interacting levels of factors rather than individual behaviour alone. As shown in Figure </w:t>
      </w:r>
      <w:r>
        <w:rPr>
          <w:rFonts w:ascii="Arial" w:hAnsi="Arial" w:cs="Arial"/>
        </w:rPr>
        <w:t>1</w:t>
      </w:r>
      <w:r w:rsidRPr="00890F44">
        <w:rPr>
          <w:rFonts w:ascii="Arial" w:hAnsi="Arial" w:cs="Arial"/>
        </w:rPr>
        <w:t>, individual characteristics, social relationships, community resources, organisational support, and policy environments collectively shape older adults' engagement with digital health technologies for dementia prevention.</w:t>
      </w:r>
    </w:p>
    <w:p w14:paraId="52A6D149" w14:textId="77777777" w:rsidR="00890F44" w:rsidRDefault="00890F44" w:rsidP="00BB400C">
      <w:pPr>
        <w:spacing w:line="360" w:lineRule="auto"/>
        <w:jc w:val="both"/>
        <w:rPr>
          <w:rFonts w:ascii="Arial" w:hAnsi="Arial" w:cs="Arial"/>
        </w:rPr>
      </w:pPr>
    </w:p>
    <w:p w14:paraId="01EDBB7C" w14:textId="77777777" w:rsidR="00890F44" w:rsidRDefault="00890F44" w:rsidP="00890F44">
      <w:pPr>
        <w:keepNext/>
        <w:spacing w:line="360" w:lineRule="auto"/>
        <w:jc w:val="both"/>
      </w:pPr>
      <w:r>
        <w:rPr>
          <w:noProof/>
        </w:rPr>
        <w:lastRenderedPageBreak/>
        <w:drawing>
          <wp:inline distT="0" distB="0" distL="0" distR="0" wp14:anchorId="3E5931A2" wp14:editId="25AF0BB1">
            <wp:extent cx="5731510" cy="4144645"/>
            <wp:effectExtent l="0" t="0" r="2540" b="8255"/>
            <wp:docPr id="769869621" name="Picture 2" descr="Decision-making preferences and risk factors regarding early adolescent pregnancy in Ghana: stakeholders’ and adolescents’ perspectives from a vignette-based qualitative study | Reproductive Health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ision-making preferences and risk factors regarding early adolescent pregnancy in Ghana: stakeholders’ and adolescents’ perspectives from a vignette-based qualitative study | Reproductive Health | Springer Nature Lin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144645"/>
                    </a:xfrm>
                    <a:prstGeom prst="rect">
                      <a:avLst/>
                    </a:prstGeom>
                    <a:noFill/>
                    <a:ln>
                      <a:noFill/>
                    </a:ln>
                  </pic:spPr>
                </pic:pic>
              </a:graphicData>
            </a:graphic>
          </wp:inline>
        </w:drawing>
      </w:r>
    </w:p>
    <w:p w14:paraId="787D8505" w14:textId="42B1B35D" w:rsidR="00890F44" w:rsidRPr="00890F44" w:rsidRDefault="00890F44" w:rsidP="00890F44">
      <w:pPr>
        <w:pStyle w:val="Caption"/>
        <w:jc w:val="both"/>
        <w:rPr>
          <w:rFonts w:ascii="Arial" w:hAnsi="Arial" w:cs="Arial"/>
          <w:sz w:val="22"/>
          <w:szCs w:val="22"/>
        </w:rPr>
      </w:pPr>
      <w:bookmarkStart w:id="25" w:name="_Toc231943616"/>
      <w:r w:rsidRPr="00890F44">
        <w:rPr>
          <w:rFonts w:ascii="Arial" w:hAnsi="Arial" w:cs="Arial"/>
          <w:sz w:val="22"/>
          <w:szCs w:val="22"/>
        </w:rPr>
        <w:t xml:space="preserve">Figure </w:t>
      </w:r>
      <w:r w:rsidRPr="00890F44">
        <w:rPr>
          <w:rFonts w:ascii="Arial" w:hAnsi="Arial" w:cs="Arial"/>
          <w:sz w:val="22"/>
          <w:szCs w:val="22"/>
        </w:rPr>
        <w:fldChar w:fldCharType="begin"/>
      </w:r>
      <w:r w:rsidRPr="00890F44">
        <w:rPr>
          <w:rFonts w:ascii="Arial" w:hAnsi="Arial" w:cs="Arial"/>
          <w:sz w:val="22"/>
          <w:szCs w:val="22"/>
        </w:rPr>
        <w:instrText xml:space="preserve"> SEQ Figure \* ARABIC </w:instrText>
      </w:r>
      <w:r w:rsidRPr="00890F44">
        <w:rPr>
          <w:rFonts w:ascii="Arial" w:hAnsi="Arial" w:cs="Arial"/>
          <w:sz w:val="22"/>
          <w:szCs w:val="22"/>
        </w:rPr>
        <w:fldChar w:fldCharType="separate"/>
      </w:r>
      <w:r>
        <w:rPr>
          <w:rFonts w:ascii="Arial" w:hAnsi="Arial" w:cs="Arial"/>
          <w:noProof/>
          <w:sz w:val="22"/>
          <w:szCs w:val="22"/>
        </w:rPr>
        <w:t>1</w:t>
      </w:r>
      <w:r w:rsidRPr="00890F44">
        <w:rPr>
          <w:rFonts w:ascii="Arial" w:hAnsi="Arial" w:cs="Arial"/>
          <w:sz w:val="22"/>
          <w:szCs w:val="22"/>
        </w:rPr>
        <w:fldChar w:fldCharType="end"/>
      </w:r>
      <w:r w:rsidRPr="00890F44">
        <w:rPr>
          <w:rFonts w:ascii="Arial" w:hAnsi="Arial" w:cs="Arial"/>
          <w:sz w:val="22"/>
          <w:szCs w:val="22"/>
          <w:lang w:val="en-US"/>
        </w:rPr>
        <w:t xml:space="preserve"> Social Ecological Model illustrating the multiple levels of influence on health behaviours, including individual, interpersonal, community, organisational, and policy factors (adapted from McLeroy et al., 1988).</w:t>
      </w:r>
      <w:bookmarkEnd w:id="25"/>
    </w:p>
    <w:p w14:paraId="458E28B4" w14:textId="6D9F3027" w:rsidR="00B04DA7" w:rsidRPr="00543963" w:rsidRDefault="00B04DA7" w:rsidP="00543963">
      <w:pPr>
        <w:pStyle w:val="Heading3"/>
        <w:rPr>
          <w:rFonts w:ascii="Arial" w:hAnsi="Arial" w:cs="Arial"/>
          <w:b/>
          <w:bCs/>
          <w:sz w:val="24"/>
          <w:szCs w:val="24"/>
        </w:rPr>
      </w:pPr>
      <w:bookmarkStart w:id="26" w:name="_Toc232034607"/>
      <w:r w:rsidRPr="00543963">
        <w:rPr>
          <w:rFonts w:ascii="Arial" w:hAnsi="Arial" w:cs="Arial"/>
          <w:b/>
          <w:bCs/>
          <w:sz w:val="24"/>
          <w:szCs w:val="24"/>
        </w:rPr>
        <w:t>2.</w:t>
      </w:r>
      <w:r w:rsidR="00C37839" w:rsidRPr="00543963">
        <w:rPr>
          <w:rFonts w:ascii="Arial" w:hAnsi="Arial" w:cs="Arial"/>
          <w:b/>
          <w:bCs/>
          <w:sz w:val="24"/>
          <w:szCs w:val="24"/>
        </w:rPr>
        <w:t>5</w:t>
      </w:r>
      <w:r w:rsidRPr="00543963">
        <w:rPr>
          <w:rFonts w:ascii="Arial" w:hAnsi="Arial" w:cs="Arial"/>
          <w:b/>
          <w:bCs/>
          <w:sz w:val="24"/>
          <w:szCs w:val="24"/>
        </w:rPr>
        <w:t>.1 Individual Level</w:t>
      </w:r>
      <w:bookmarkEnd w:id="26"/>
    </w:p>
    <w:p w14:paraId="79BC65B7" w14:textId="265444AF" w:rsidR="00B04DA7" w:rsidRPr="00543963" w:rsidRDefault="00B04DA7" w:rsidP="00BB400C">
      <w:pPr>
        <w:spacing w:line="360" w:lineRule="auto"/>
        <w:jc w:val="both"/>
        <w:rPr>
          <w:rFonts w:ascii="Arial" w:hAnsi="Arial" w:cs="Arial"/>
        </w:rPr>
      </w:pPr>
      <w:r w:rsidRPr="00543963">
        <w:rPr>
          <w:rFonts w:ascii="Arial" w:hAnsi="Arial" w:cs="Arial"/>
        </w:rPr>
        <w:t xml:space="preserve">At the individual level, engagement with digital health interventions is influenced by factors such as digital literacy, cognitive ability, motivation, and attitudes towards technology (Madeira et al., 2025). Older adults with higher levels of digital competence are </w:t>
      </w:r>
      <w:r w:rsidR="00335F4F">
        <w:rPr>
          <w:rFonts w:ascii="Arial" w:hAnsi="Arial" w:cs="Arial"/>
        </w:rPr>
        <w:t xml:space="preserve">more </w:t>
      </w:r>
      <w:r w:rsidR="00335F4F" w:rsidRPr="00335F4F">
        <w:rPr>
          <w:rFonts w:ascii="Arial" w:hAnsi="Arial" w:cs="Arial"/>
        </w:rPr>
        <w:t>receptive</w:t>
      </w:r>
      <w:r w:rsidR="00335F4F">
        <w:rPr>
          <w:rFonts w:ascii="Arial" w:hAnsi="Arial" w:cs="Arial"/>
        </w:rPr>
        <w:t xml:space="preserve"> to</w:t>
      </w:r>
      <w:r w:rsidRPr="00543963">
        <w:rPr>
          <w:rFonts w:ascii="Arial" w:hAnsi="Arial" w:cs="Arial"/>
        </w:rPr>
        <w:t xml:space="preserve"> and effectively use digital tools, as they possess the necessary skills to navigate applications and interpret health-related information (Madeira et al., 2025).</w:t>
      </w:r>
    </w:p>
    <w:p w14:paraId="4B972600" w14:textId="733C005F" w:rsidR="00B04DA7" w:rsidRPr="00543963" w:rsidRDefault="00B04DA7" w:rsidP="00BB400C">
      <w:pPr>
        <w:spacing w:line="360" w:lineRule="auto"/>
        <w:jc w:val="both"/>
        <w:rPr>
          <w:rFonts w:ascii="Arial" w:hAnsi="Arial" w:cs="Arial"/>
        </w:rPr>
      </w:pPr>
      <w:r w:rsidRPr="00543963">
        <w:rPr>
          <w:rFonts w:ascii="Arial" w:hAnsi="Arial" w:cs="Arial"/>
        </w:rPr>
        <w:t xml:space="preserve">However, age-related cognitive decline, reduced memory, and lower confidence in using technology may act as barriers to engagement (Hilberger et al., 2025). </w:t>
      </w:r>
      <w:r w:rsidR="00335F4F" w:rsidRPr="00335F4F">
        <w:rPr>
          <w:rFonts w:ascii="Arial" w:hAnsi="Arial" w:cs="Arial"/>
        </w:rPr>
        <w:t>This is especially relevant in relation to dementi</w:t>
      </w:r>
      <w:r w:rsidR="00335F4F">
        <w:rPr>
          <w:rFonts w:ascii="Arial" w:hAnsi="Arial" w:cs="Arial"/>
        </w:rPr>
        <w:t xml:space="preserve">a </w:t>
      </w:r>
      <w:r w:rsidRPr="00543963">
        <w:rPr>
          <w:rFonts w:ascii="Arial" w:hAnsi="Arial" w:cs="Arial"/>
        </w:rPr>
        <w:t>prevention, where individuals may already experience mild cognitive impairment (Livingston et al., 2020). Additionally, personal beliefs about the usefulness and relevance of digital health technologies can significantly influence motivation to engage (Coley et al., 2022).</w:t>
      </w:r>
    </w:p>
    <w:p w14:paraId="2183B7E2" w14:textId="6FDBF1A3" w:rsidR="00B04DA7" w:rsidRPr="00543963" w:rsidRDefault="00B04DA7" w:rsidP="00BB400C">
      <w:pPr>
        <w:spacing w:line="360" w:lineRule="auto"/>
        <w:jc w:val="both"/>
        <w:rPr>
          <w:rFonts w:ascii="Arial" w:hAnsi="Arial" w:cs="Arial"/>
        </w:rPr>
      </w:pPr>
      <w:r w:rsidRPr="00543963">
        <w:rPr>
          <w:rFonts w:ascii="Arial" w:hAnsi="Arial" w:cs="Arial"/>
        </w:rPr>
        <w:t>This highlights that digital health interventions must be</w:t>
      </w:r>
      <w:r w:rsidR="00335F4F">
        <w:rPr>
          <w:rFonts w:ascii="Arial" w:hAnsi="Arial" w:cs="Arial"/>
        </w:rPr>
        <w:t xml:space="preserve"> developed </w:t>
      </w:r>
      <w:r w:rsidRPr="00543963">
        <w:rPr>
          <w:rFonts w:ascii="Arial" w:hAnsi="Arial" w:cs="Arial"/>
        </w:rPr>
        <w:t xml:space="preserve">with the cognitive and </w:t>
      </w:r>
      <w:r w:rsidR="00335F4F" w:rsidRPr="00335F4F">
        <w:rPr>
          <w:rFonts w:ascii="Arial" w:hAnsi="Arial" w:cs="Arial"/>
        </w:rPr>
        <w:t>the cognitive and functional needs of older adults</w:t>
      </w:r>
      <w:r w:rsidRPr="00543963">
        <w:rPr>
          <w:rFonts w:ascii="Arial" w:hAnsi="Arial" w:cs="Arial"/>
        </w:rPr>
        <w:t xml:space="preserve"> (Madeira et al., 2025). Simplified interfaces, </w:t>
      </w:r>
      <w:r w:rsidRPr="00543963">
        <w:rPr>
          <w:rFonts w:ascii="Arial" w:hAnsi="Arial" w:cs="Arial"/>
        </w:rPr>
        <w:lastRenderedPageBreak/>
        <w:t>clear instructions, and user-friendly designs are essential to support engagement at the individual level (Essery et al., 2021).</w:t>
      </w:r>
    </w:p>
    <w:p w14:paraId="5532224F" w14:textId="24ACBF0E" w:rsidR="00B04DA7" w:rsidRPr="00543963" w:rsidRDefault="00B04DA7" w:rsidP="00543963">
      <w:pPr>
        <w:pStyle w:val="Heading3"/>
        <w:rPr>
          <w:rFonts w:ascii="Arial" w:hAnsi="Arial" w:cs="Arial"/>
          <w:b/>
          <w:bCs/>
          <w:sz w:val="24"/>
          <w:szCs w:val="24"/>
        </w:rPr>
      </w:pPr>
      <w:bookmarkStart w:id="27" w:name="_Toc232034608"/>
      <w:r w:rsidRPr="00543963">
        <w:rPr>
          <w:rFonts w:ascii="Arial" w:hAnsi="Arial" w:cs="Arial"/>
          <w:b/>
          <w:bCs/>
          <w:sz w:val="24"/>
          <w:szCs w:val="24"/>
        </w:rPr>
        <w:t>2.</w:t>
      </w:r>
      <w:r w:rsidR="00C37839" w:rsidRPr="00543963">
        <w:rPr>
          <w:rFonts w:ascii="Arial" w:hAnsi="Arial" w:cs="Arial"/>
          <w:b/>
          <w:bCs/>
          <w:sz w:val="24"/>
          <w:szCs w:val="24"/>
        </w:rPr>
        <w:t>5</w:t>
      </w:r>
      <w:r w:rsidRPr="00543963">
        <w:rPr>
          <w:rFonts w:ascii="Arial" w:hAnsi="Arial" w:cs="Arial"/>
          <w:b/>
          <w:bCs/>
          <w:sz w:val="24"/>
          <w:szCs w:val="24"/>
        </w:rPr>
        <w:t>.2 Interpersonal Level</w:t>
      </w:r>
      <w:bookmarkEnd w:id="27"/>
    </w:p>
    <w:p w14:paraId="7F5B016E" w14:textId="77777777" w:rsidR="00B04DA7" w:rsidRPr="00543963" w:rsidRDefault="00B04DA7" w:rsidP="00BB400C">
      <w:pPr>
        <w:spacing w:line="360" w:lineRule="auto"/>
        <w:jc w:val="both"/>
        <w:rPr>
          <w:rFonts w:ascii="Arial" w:hAnsi="Arial" w:cs="Arial"/>
        </w:rPr>
      </w:pPr>
      <w:r w:rsidRPr="00543963">
        <w:rPr>
          <w:rFonts w:ascii="Arial" w:hAnsi="Arial" w:cs="Arial"/>
        </w:rPr>
        <w:t>At the interpersonal level, social relationships play a crucial role in shaping engagement with digital health technologies (Brill et al., 2025). Support from family members, caregivers, and healthcare professionals can significantly enhance confidence and facilitate technology use (Brill et al., 2025).</w:t>
      </w:r>
    </w:p>
    <w:p w14:paraId="6152E17B" w14:textId="77777777" w:rsidR="00B04DA7" w:rsidRPr="00543963" w:rsidRDefault="00B04DA7" w:rsidP="00BB400C">
      <w:pPr>
        <w:spacing w:line="360" w:lineRule="auto"/>
        <w:jc w:val="both"/>
        <w:rPr>
          <w:rFonts w:ascii="Arial" w:hAnsi="Arial" w:cs="Arial"/>
        </w:rPr>
      </w:pPr>
      <w:r w:rsidRPr="00543963">
        <w:rPr>
          <w:rFonts w:ascii="Arial" w:hAnsi="Arial" w:cs="Arial"/>
        </w:rPr>
        <w:t>For example, family members may assist older adults in setting up and navigating digital applications, while healthcare professionals can recommend and reinforce the use of specific interventions (Coley et al., 2022). Social encouragement and shared use of technology can also increase motivation and reduce anxiety associated with digital tools (Madeira et al., 2025).</w:t>
      </w:r>
    </w:p>
    <w:p w14:paraId="1318BA75" w14:textId="4155D408" w:rsidR="00B04DA7" w:rsidRPr="00543963" w:rsidRDefault="00B04DA7" w:rsidP="00BB400C">
      <w:pPr>
        <w:spacing w:line="360" w:lineRule="auto"/>
        <w:jc w:val="both"/>
        <w:rPr>
          <w:rFonts w:ascii="Arial" w:hAnsi="Arial" w:cs="Arial"/>
        </w:rPr>
      </w:pPr>
      <w:r w:rsidRPr="00543963">
        <w:rPr>
          <w:rFonts w:ascii="Arial" w:hAnsi="Arial" w:cs="Arial"/>
        </w:rPr>
        <w:t>Conversely, a lack of social support may contribute to disengagement, particularly among individuals who feel isolated or lack access to assistance (Hilberger et al., 2025). This suggests that digital health interventions should not be viewed as purely individual tools, but as part of a broader support network that includes caregivers and healthcare providers (Brill et al., 2025).</w:t>
      </w:r>
    </w:p>
    <w:p w14:paraId="36B5E3B6" w14:textId="7A29F98E" w:rsidR="00B04DA7" w:rsidRPr="00543963" w:rsidRDefault="00B04DA7" w:rsidP="00543963">
      <w:pPr>
        <w:pStyle w:val="Heading3"/>
        <w:rPr>
          <w:rFonts w:ascii="Arial" w:hAnsi="Arial" w:cs="Arial"/>
          <w:b/>
          <w:bCs/>
          <w:sz w:val="24"/>
          <w:szCs w:val="24"/>
        </w:rPr>
      </w:pPr>
      <w:bookmarkStart w:id="28" w:name="_Toc232034609"/>
      <w:r w:rsidRPr="00543963">
        <w:rPr>
          <w:rFonts w:ascii="Arial" w:hAnsi="Arial" w:cs="Arial"/>
          <w:b/>
          <w:bCs/>
          <w:sz w:val="24"/>
          <w:szCs w:val="24"/>
        </w:rPr>
        <w:t>2.</w:t>
      </w:r>
      <w:r w:rsidR="00C37839" w:rsidRPr="00543963">
        <w:rPr>
          <w:rFonts w:ascii="Arial" w:hAnsi="Arial" w:cs="Arial"/>
          <w:b/>
          <w:bCs/>
          <w:sz w:val="24"/>
          <w:szCs w:val="24"/>
        </w:rPr>
        <w:t>5</w:t>
      </w:r>
      <w:r w:rsidRPr="00543963">
        <w:rPr>
          <w:rFonts w:ascii="Arial" w:hAnsi="Arial" w:cs="Arial"/>
          <w:b/>
          <w:bCs/>
          <w:sz w:val="24"/>
          <w:szCs w:val="24"/>
        </w:rPr>
        <w:t>.3 Organisational and Community Level</w:t>
      </w:r>
      <w:bookmarkEnd w:id="28"/>
    </w:p>
    <w:p w14:paraId="7AED8259" w14:textId="77777777" w:rsidR="00B04DA7" w:rsidRPr="00543963" w:rsidRDefault="00B04DA7" w:rsidP="00BB400C">
      <w:pPr>
        <w:spacing w:line="360" w:lineRule="auto"/>
        <w:jc w:val="both"/>
        <w:rPr>
          <w:rFonts w:ascii="Arial" w:hAnsi="Arial" w:cs="Arial"/>
        </w:rPr>
      </w:pPr>
      <w:r w:rsidRPr="00543963">
        <w:rPr>
          <w:rFonts w:ascii="Arial" w:hAnsi="Arial" w:cs="Arial"/>
        </w:rPr>
        <w:t>At the organisational and community level, factors such as access to digital infrastructure, availability of support services, and integration within healthcare systems play a significant role in influencing engagement (Essery et al., 2021). Access to reliable internet connectivity, availability of digital devices, and community-based training programmes are essential for enabling participation in digital health interventions (World Health Organization, 2023).</w:t>
      </w:r>
    </w:p>
    <w:p w14:paraId="04AE8A3F" w14:textId="5B3AF333" w:rsidR="00B04DA7" w:rsidRPr="00543963" w:rsidRDefault="00B04DA7" w:rsidP="00BB400C">
      <w:pPr>
        <w:spacing w:line="360" w:lineRule="auto"/>
        <w:jc w:val="both"/>
        <w:rPr>
          <w:rFonts w:ascii="Arial" w:hAnsi="Arial" w:cs="Arial"/>
        </w:rPr>
      </w:pPr>
      <w:r w:rsidRPr="00543963">
        <w:rPr>
          <w:rFonts w:ascii="Arial" w:hAnsi="Arial" w:cs="Arial"/>
        </w:rPr>
        <w:t xml:space="preserve">For example, community centres and local organisations can provide digital literacy training and support for older adults, thereby improving confidence and accessibility (Madeira et al., 2025). Within healthcare systems, </w:t>
      </w:r>
      <w:r w:rsidR="00FE1995" w:rsidRPr="004738A6">
        <w:rPr>
          <w:rFonts w:ascii="Arial" w:hAnsi="Arial" w:cs="Arial"/>
        </w:rPr>
        <w:t>integrating</w:t>
      </w:r>
      <w:r w:rsidR="004738A6" w:rsidRPr="004738A6">
        <w:rPr>
          <w:rFonts w:ascii="Arial" w:hAnsi="Arial" w:cs="Arial"/>
        </w:rPr>
        <w:t xml:space="preserve"> digital health technologies into routine care may further enhance uptake.</w:t>
      </w:r>
      <w:r w:rsidRPr="00543963">
        <w:rPr>
          <w:rFonts w:ascii="Arial" w:hAnsi="Arial" w:cs="Arial"/>
        </w:rPr>
        <w:t xml:space="preserve"> (Essery et al., 2021).</w:t>
      </w:r>
    </w:p>
    <w:p w14:paraId="36FA3461" w14:textId="77777777" w:rsidR="00B04DA7" w:rsidRPr="00543963" w:rsidRDefault="00B04DA7" w:rsidP="00BB400C">
      <w:pPr>
        <w:spacing w:line="360" w:lineRule="auto"/>
        <w:jc w:val="both"/>
        <w:rPr>
          <w:rFonts w:ascii="Arial" w:hAnsi="Arial" w:cs="Arial"/>
        </w:rPr>
      </w:pPr>
      <w:r w:rsidRPr="00543963">
        <w:rPr>
          <w:rFonts w:ascii="Arial" w:hAnsi="Arial" w:cs="Arial"/>
        </w:rPr>
        <w:t>For instance, recommendations from general practitioners or incorporation into NHS services may increase trust and legitimacy (NHS England, 2022). However, disparities in access to resources and infrastructure can create inequalities in engagement, particularly among socioeconomically disadvantaged groups (World Health Organization, 2023).</w:t>
      </w:r>
    </w:p>
    <w:p w14:paraId="34A82F23" w14:textId="712D4BF8" w:rsidR="00B04DA7" w:rsidRPr="00543963" w:rsidRDefault="00B04DA7" w:rsidP="00BB400C">
      <w:pPr>
        <w:spacing w:line="360" w:lineRule="auto"/>
        <w:jc w:val="both"/>
        <w:rPr>
          <w:rFonts w:ascii="Arial" w:hAnsi="Arial" w:cs="Arial"/>
        </w:rPr>
      </w:pPr>
      <w:r w:rsidRPr="00543963">
        <w:rPr>
          <w:rFonts w:ascii="Arial" w:hAnsi="Arial" w:cs="Arial"/>
        </w:rPr>
        <w:t xml:space="preserve">This </w:t>
      </w:r>
      <w:r w:rsidR="004738A6" w:rsidRPr="004738A6">
        <w:rPr>
          <w:rFonts w:ascii="Arial" w:hAnsi="Arial" w:cs="Arial"/>
        </w:rPr>
        <w:t xml:space="preserve">emphasises the need to address </w:t>
      </w:r>
      <w:r w:rsidRPr="00543963">
        <w:rPr>
          <w:rFonts w:ascii="Arial" w:hAnsi="Arial" w:cs="Arial"/>
        </w:rPr>
        <w:t xml:space="preserve">the broader environmental and structural factors that influence digital health use, </w:t>
      </w:r>
      <w:r w:rsidR="004738A6" w:rsidRPr="004738A6">
        <w:rPr>
          <w:rFonts w:ascii="Arial" w:hAnsi="Arial" w:cs="Arial"/>
        </w:rPr>
        <w:t xml:space="preserve">beyond an exclusive focus on individual behaviours </w:t>
      </w:r>
      <w:r w:rsidRPr="00543963">
        <w:rPr>
          <w:rFonts w:ascii="Arial" w:hAnsi="Arial" w:cs="Arial"/>
        </w:rPr>
        <w:t>(McLeroy et al., 1988).</w:t>
      </w:r>
    </w:p>
    <w:p w14:paraId="332512C1" w14:textId="3B48CAAF" w:rsidR="00B04DA7" w:rsidRPr="00543963" w:rsidRDefault="00B04DA7" w:rsidP="00543963">
      <w:pPr>
        <w:pStyle w:val="Heading3"/>
        <w:rPr>
          <w:rFonts w:ascii="Arial" w:hAnsi="Arial" w:cs="Arial"/>
          <w:b/>
          <w:bCs/>
          <w:sz w:val="24"/>
          <w:szCs w:val="24"/>
        </w:rPr>
      </w:pPr>
      <w:bookmarkStart w:id="29" w:name="_Toc232034610"/>
      <w:r w:rsidRPr="00543963">
        <w:rPr>
          <w:rFonts w:ascii="Arial" w:hAnsi="Arial" w:cs="Arial"/>
          <w:b/>
          <w:bCs/>
          <w:sz w:val="24"/>
          <w:szCs w:val="24"/>
        </w:rPr>
        <w:lastRenderedPageBreak/>
        <w:t>2.</w:t>
      </w:r>
      <w:r w:rsidR="00C37839" w:rsidRPr="00543963">
        <w:rPr>
          <w:rFonts w:ascii="Arial" w:hAnsi="Arial" w:cs="Arial"/>
          <w:b/>
          <w:bCs/>
          <w:sz w:val="24"/>
          <w:szCs w:val="24"/>
        </w:rPr>
        <w:t>5</w:t>
      </w:r>
      <w:r w:rsidRPr="00543963">
        <w:rPr>
          <w:rFonts w:ascii="Arial" w:hAnsi="Arial" w:cs="Arial"/>
          <w:b/>
          <w:bCs/>
          <w:sz w:val="24"/>
          <w:szCs w:val="24"/>
        </w:rPr>
        <w:t>.4 Policy Level</w:t>
      </w:r>
      <w:bookmarkEnd w:id="29"/>
    </w:p>
    <w:p w14:paraId="304D4311" w14:textId="77777777" w:rsidR="00B04DA7" w:rsidRPr="00543963" w:rsidRDefault="00B04DA7" w:rsidP="00BB400C">
      <w:pPr>
        <w:spacing w:line="360" w:lineRule="auto"/>
        <w:jc w:val="both"/>
        <w:rPr>
          <w:rFonts w:ascii="Arial" w:hAnsi="Arial" w:cs="Arial"/>
        </w:rPr>
      </w:pPr>
      <w:r w:rsidRPr="00543963">
        <w:rPr>
          <w:rFonts w:ascii="Arial" w:hAnsi="Arial" w:cs="Arial"/>
        </w:rPr>
        <w:t>At the policy level, national strategies and regulatory frameworks play a critical role in shaping the availability, accessibility, and adoption of digital health interventions (World Health Organization, 2023). Government initiatives aimed at promoting digital inclusion, innovation in healthcare, and support for ageing populations can significantly influence engagement among older adults (World Health Organization, 2023).</w:t>
      </w:r>
    </w:p>
    <w:p w14:paraId="1F12AB8F" w14:textId="77777777" w:rsidR="00B04DA7" w:rsidRPr="00543963" w:rsidRDefault="00B04DA7" w:rsidP="00BB400C">
      <w:pPr>
        <w:spacing w:line="360" w:lineRule="auto"/>
        <w:jc w:val="both"/>
        <w:rPr>
          <w:rFonts w:ascii="Arial" w:hAnsi="Arial" w:cs="Arial"/>
        </w:rPr>
      </w:pPr>
      <w:r w:rsidRPr="00543963">
        <w:rPr>
          <w:rFonts w:ascii="Arial" w:hAnsi="Arial" w:cs="Arial"/>
        </w:rPr>
        <w:t>In the UK context, policies related to digital transformation within the NHS and public health strategies focused on dementia prevention are particularly relevant (NHS England, 2022). These policies can facilitate the development and implementation of digital tools, as well as provide funding and support for digital literacy programmes (NHS England, 2022).</w:t>
      </w:r>
    </w:p>
    <w:p w14:paraId="4CFC887D" w14:textId="1A8AA2AA" w:rsidR="00B04DA7" w:rsidRPr="00543963" w:rsidRDefault="00B04DA7" w:rsidP="00BB400C">
      <w:pPr>
        <w:spacing w:line="360" w:lineRule="auto"/>
        <w:jc w:val="both"/>
        <w:rPr>
          <w:rFonts w:ascii="Arial" w:hAnsi="Arial" w:cs="Arial"/>
        </w:rPr>
      </w:pPr>
      <w:r w:rsidRPr="00543963">
        <w:rPr>
          <w:rFonts w:ascii="Arial" w:hAnsi="Arial" w:cs="Arial"/>
        </w:rPr>
        <w:t>However, gaps in policy implementation and unequal distribution of resources may limit the effectiveness of these initiatives (World Health Organization, 2023). Ensuring equitable access to digital health technologies requires coordinated efforts at the policy level to address issues such as affordability, infrastructure, and digital inclusion (World Health Organization, 2023).</w:t>
      </w:r>
    </w:p>
    <w:p w14:paraId="0F0D0D70" w14:textId="46493F95" w:rsidR="00B04DA7" w:rsidRPr="00543963" w:rsidRDefault="00B04DA7" w:rsidP="00543963">
      <w:pPr>
        <w:pStyle w:val="Heading3"/>
        <w:rPr>
          <w:rFonts w:ascii="Arial" w:hAnsi="Arial" w:cs="Arial"/>
          <w:b/>
          <w:bCs/>
          <w:sz w:val="24"/>
          <w:szCs w:val="24"/>
        </w:rPr>
      </w:pPr>
      <w:bookmarkStart w:id="30" w:name="_Toc232034611"/>
      <w:r w:rsidRPr="00543963">
        <w:rPr>
          <w:rFonts w:ascii="Arial" w:hAnsi="Arial" w:cs="Arial"/>
          <w:b/>
          <w:bCs/>
          <w:sz w:val="24"/>
          <w:szCs w:val="24"/>
        </w:rPr>
        <w:t>2.</w:t>
      </w:r>
      <w:r w:rsidR="00C37839" w:rsidRPr="00543963">
        <w:rPr>
          <w:rFonts w:ascii="Arial" w:hAnsi="Arial" w:cs="Arial"/>
          <w:b/>
          <w:bCs/>
          <w:sz w:val="24"/>
          <w:szCs w:val="24"/>
        </w:rPr>
        <w:t>5</w:t>
      </w:r>
      <w:r w:rsidRPr="00543963">
        <w:rPr>
          <w:rFonts w:ascii="Arial" w:hAnsi="Arial" w:cs="Arial"/>
          <w:b/>
          <w:bCs/>
          <w:sz w:val="24"/>
          <w:szCs w:val="24"/>
        </w:rPr>
        <w:t>.5 Summary of SEM Application</w:t>
      </w:r>
      <w:bookmarkEnd w:id="30"/>
    </w:p>
    <w:p w14:paraId="02C935FE" w14:textId="77777777" w:rsidR="00B04DA7" w:rsidRPr="00543963" w:rsidRDefault="00B04DA7" w:rsidP="00BB400C">
      <w:pPr>
        <w:spacing w:line="360" w:lineRule="auto"/>
        <w:jc w:val="both"/>
        <w:rPr>
          <w:rFonts w:ascii="Arial" w:hAnsi="Arial" w:cs="Arial"/>
        </w:rPr>
      </w:pPr>
      <w:r w:rsidRPr="00543963">
        <w:rPr>
          <w:rFonts w:ascii="Arial" w:hAnsi="Arial" w:cs="Arial"/>
        </w:rPr>
        <w:t>Overall, the Social Ecological Model highlights that engagement with digital health interventions is shaped by interconnected factors across multiple levels (McLeroy et al., 1988). This reinforces the idea that improving engagement among older adults requires a multi-level approach that addresses not only individual capabilities, but also social support systems, organisational structures, and policy environments (Bronfenbrenner, 1977).</w:t>
      </w:r>
    </w:p>
    <w:p w14:paraId="7C28FC81" w14:textId="4B959C7B" w:rsidR="00B04DA7" w:rsidRPr="00543963" w:rsidRDefault="00B04DA7" w:rsidP="00BB400C">
      <w:pPr>
        <w:spacing w:line="360" w:lineRule="auto"/>
        <w:jc w:val="both"/>
        <w:rPr>
          <w:rFonts w:ascii="Arial" w:hAnsi="Arial" w:cs="Arial"/>
        </w:rPr>
      </w:pPr>
      <w:r w:rsidRPr="00543963">
        <w:rPr>
          <w:rFonts w:ascii="Arial" w:hAnsi="Arial" w:cs="Arial"/>
        </w:rPr>
        <w:t xml:space="preserve">By applying the SEM, this review </w:t>
      </w:r>
      <w:r w:rsidR="004738A6">
        <w:rPr>
          <w:rFonts w:ascii="Arial" w:hAnsi="Arial" w:cs="Arial"/>
        </w:rPr>
        <w:t xml:space="preserve">offers </w:t>
      </w:r>
      <w:r w:rsidRPr="00543963">
        <w:rPr>
          <w:rFonts w:ascii="Arial" w:hAnsi="Arial" w:cs="Arial"/>
        </w:rPr>
        <w:t xml:space="preserve">a more comprehensive </w:t>
      </w:r>
      <w:r w:rsidR="004738A6">
        <w:rPr>
          <w:rFonts w:ascii="Arial" w:hAnsi="Arial" w:cs="Arial"/>
        </w:rPr>
        <w:t xml:space="preserve">insight into the </w:t>
      </w:r>
      <w:r w:rsidRPr="00543963">
        <w:rPr>
          <w:rFonts w:ascii="Arial" w:hAnsi="Arial" w:cs="Arial"/>
        </w:rPr>
        <w:t>complexities surrounding digital health adoption, which is essential for developing effective and inclusive dementia prevention strategies (Essery et al., 2021).</w:t>
      </w:r>
    </w:p>
    <w:p w14:paraId="6E4C2D30" w14:textId="62FA79ED" w:rsidR="00B04DA7" w:rsidRPr="00543963" w:rsidRDefault="00B04DA7" w:rsidP="00543963">
      <w:pPr>
        <w:pStyle w:val="Heading3"/>
        <w:rPr>
          <w:rFonts w:ascii="Arial" w:hAnsi="Arial" w:cs="Arial"/>
          <w:b/>
          <w:bCs/>
          <w:sz w:val="24"/>
          <w:szCs w:val="24"/>
        </w:rPr>
      </w:pPr>
      <w:bookmarkStart w:id="31" w:name="_Toc232034612"/>
      <w:r w:rsidRPr="00543963">
        <w:rPr>
          <w:rFonts w:ascii="Arial" w:hAnsi="Arial" w:cs="Arial"/>
          <w:b/>
          <w:bCs/>
          <w:sz w:val="24"/>
          <w:szCs w:val="24"/>
        </w:rPr>
        <w:t>2.</w:t>
      </w:r>
      <w:r w:rsidR="00C26C62" w:rsidRPr="00543963">
        <w:rPr>
          <w:rFonts w:ascii="Arial" w:hAnsi="Arial" w:cs="Arial"/>
          <w:b/>
          <w:bCs/>
          <w:sz w:val="24"/>
          <w:szCs w:val="24"/>
        </w:rPr>
        <w:t>6</w:t>
      </w:r>
      <w:r w:rsidRPr="00543963">
        <w:rPr>
          <w:rFonts w:ascii="Arial" w:hAnsi="Arial" w:cs="Arial"/>
          <w:b/>
          <w:bCs/>
          <w:sz w:val="24"/>
          <w:szCs w:val="24"/>
        </w:rPr>
        <w:t xml:space="preserve"> Research Gap</w:t>
      </w:r>
      <w:bookmarkEnd w:id="31"/>
    </w:p>
    <w:p w14:paraId="7B6E8518" w14:textId="2F8DE817" w:rsidR="00B04DA7" w:rsidRPr="00543963" w:rsidRDefault="004738A6" w:rsidP="00BB400C">
      <w:pPr>
        <w:spacing w:line="360" w:lineRule="auto"/>
        <w:jc w:val="both"/>
        <w:rPr>
          <w:rFonts w:ascii="Arial" w:hAnsi="Arial" w:cs="Arial"/>
        </w:rPr>
      </w:pPr>
      <w:r w:rsidRPr="004738A6">
        <w:rPr>
          <w:rFonts w:ascii="Arial" w:hAnsi="Arial" w:cs="Arial"/>
        </w:rPr>
        <w:t>Notwithstanding the expanding body of literature</w:t>
      </w:r>
      <w:r>
        <w:rPr>
          <w:rFonts w:ascii="Arial" w:hAnsi="Arial" w:cs="Arial"/>
        </w:rPr>
        <w:t xml:space="preserve"> </w:t>
      </w:r>
      <w:r w:rsidR="00B04DA7" w:rsidRPr="00543963">
        <w:rPr>
          <w:rFonts w:ascii="Arial" w:hAnsi="Arial" w:cs="Arial"/>
        </w:rPr>
        <w:t xml:space="preserve">on digital health interventions, </w:t>
      </w:r>
      <w:r w:rsidR="00322BA1" w:rsidRPr="00322BA1">
        <w:rPr>
          <w:rFonts w:ascii="Arial" w:hAnsi="Arial" w:cs="Arial"/>
        </w:rPr>
        <w:t>several significant gaps persist</w:t>
      </w:r>
      <w:r w:rsidR="00B04DA7" w:rsidRPr="00543963">
        <w:rPr>
          <w:rFonts w:ascii="Arial" w:hAnsi="Arial" w:cs="Arial"/>
        </w:rPr>
        <w:t xml:space="preserve"> in understanding how older adults engage </w:t>
      </w:r>
      <w:r w:rsidR="00F7186B" w:rsidRPr="00F7186B">
        <w:rPr>
          <w:rFonts w:ascii="Arial" w:hAnsi="Arial" w:cs="Arial"/>
        </w:rPr>
        <w:t>with digital health technologies for dementia prevention</w:t>
      </w:r>
      <w:r w:rsidR="00F7186B">
        <w:rPr>
          <w:rFonts w:ascii="Arial" w:hAnsi="Arial" w:cs="Arial"/>
        </w:rPr>
        <w:t xml:space="preserve"> </w:t>
      </w:r>
      <w:r w:rsidR="00B04DA7" w:rsidRPr="00543963">
        <w:rPr>
          <w:rFonts w:ascii="Arial" w:hAnsi="Arial" w:cs="Arial"/>
        </w:rPr>
        <w:t>(Madeira et al., 2025; Essery et al., 2021). While existing research has largely focused on the development, functionality, and short-term effectiveness of digital tools,</w:t>
      </w:r>
      <w:r w:rsidR="00B04DA7" w:rsidRPr="00B04DA7">
        <w:rPr>
          <w:rFonts w:ascii="Arial" w:hAnsi="Arial" w:cs="Arial"/>
        </w:rPr>
        <w:t xml:space="preserve"> </w:t>
      </w:r>
      <w:r w:rsidR="00B04DA7" w:rsidRPr="00543963">
        <w:rPr>
          <w:rFonts w:ascii="Arial" w:hAnsi="Arial" w:cs="Arial"/>
        </w:rPr>
        <w:t xml:space="preserve">there is comparatively limited evidence exploring long-term engagement </w:t>
      </w:r>
      <w:r w:rsidR="00322BA1" w:rsidRPr="00322BA1">
        <w:rPr>
          <w:rFonts w:ascii="Arial" w:hAnsi="Arial" w:cs="Arial"/>
        </w:rPr>
        <w:t xml:space="preserve">and </w:t>
      </w:r>
      <w:r w:rsidR="00F7186B">
        <w:rPr>
          <w:rFonts w:ascii="Arial" w:hAnsi="Arial" w:cs="Arial"/>
        </w:rPr>
        <w:t>sustained</w:t>
      </w:r>
      <w:r w:rsidR="00322BA1" w:rsidRPr="00322BA1">
        <w:rPr>
          <w:rFonts w:ascii="Arial" w:hAnsi="Arial" w:cs="Arial"/>
        </w:rPr>
        <w:t xml:space="preserve"> utilisation in real-world settings.</w:t>
      </w:r>
      <w:r w:rsidR="00322BA1">
        <w:rPr>
          <w:rFonts w:ascii="Arial" w:hAnsi="Arial" w:cs="Arial"/>
        </w:rPr>
        <w:t xml:space="preserve"> </w:t>
      </w:r>
      <w:r w:rsidR="00B04DA7" w:rsidRPr="00543963">
        <w:rPr>
          <w:rFonts w:ascii="Arial" w:hAnsi="Arial" w:cs="Arial"/>
        </w:rPr>
        <w:t>(Madeira et al., 2025).</w:t>
      </w:r>
    </w:p>
    <w:p w14:paraId="59F4D0E5" w14:textId="7174F6F5" w:rsidR="00B04DA7" w:rsidRPr="00543963" w:rsidRDefault="00B04DA7" w:rsidP="00BB400C">
      <w:pPr>
        <w:spacing w:line="360" w:lineRule="auto"/>
        <w:jc w:val="both"/>
        <w:rPr>
          <w:rFonts w:ascii="Arial" w:hAnsi="Arial" w:cs="Arial"/>
        </w:rPr>
      </w:pPr>
      <w:r w:rsidRPr="00543963">
        <w:rPr>
          <w:rFonts w:ascii="Arial" w:hAnsi="Arial" w:cs="Arial"/>
        </w:rPr>
        <w:t xml:space="preserve">A significant limitation within the literature is the reliance on controlled or experimental study designs, </w:t>
      </w:r>
      <w:r w:rsidR="00F7186B" w:rsidRPr="00F7186B">
        <w:rPr>
          <w:rFonts w:ascii="Arial" w:hAnsi="Arial" w:cs="Arial"/>
        </w:rPr>
        <w:t>which may not fully reflect the lived experiences of older adults</w:t>
      </w:r>
      <w:r w:rsidR="00F7186B">
        <w:rPr>
          <w:rFonts w:ascii="Arial" w:hAnsi="Arial" w:cs="Arial"/>
        </w:rPr>
        <w:t xml:space="preserve"> </w:t>
      </w:r>
      <w:r w:rsidRPr="00543963">
        <w:rPr>
          <w:rFonts w:ascii="Arial" w:hAnsi="Arial" w:cs="Arial"/>
        </w:rPr>
        <w:t xml:space="preserve">(Coley et al., 2022). These settings often fail to capture the practical challenges associated with technology use, such as usability issues, environmental constraints, and varying levels of support (Hilberger </w:t>
      </w:r>
      <w:r w:rsidRPr="00543963">
        <w:rPr>
          <w:rFonts w:ascii="Arial" w:hAnsi="Arial" w:cs="Arial"/>
        </w:rPr>
        <w:lastRenderedPageBreak/>
        <w:t>et al., 2025; Madeira et al., 2025). As a result, findings may lack generalisability to broader populations (Coley et al., 2022).</w:t>
      </w:r>
    </w:p>
    <w:p w14:paraId="1FFEBFAE" w14:textId="2E740775" w:rsidR="00B04DA7" w:rsidRPr="00543963" w:rsidRDefault="00B04DA7" w:rsidP="00BB400C">
      <w:pPr>
        <w:spacing w:line="360" w:lineRule="auto"/>
        <w:jc w:val="both"/>
        <w:rPr>
          <w:rFonts w:ascii="Arial" w:hAnsi="Arial" w:cs="Arial"/>
        </w:rPr>
      </w:pPr>
      <w:r w:rsidRPr="00543963">
        <w:rPr>
          <w:rFonts w:ascii="Arial" w:hAnsi="Arial" w:cs="Arial"/>
        </w:rPr>
        <w:t xml:space="preserve">Furthermore, there is a lack of research that adopts a comprehensive, multi-level perspective when examining </w:t>
      </w:r>
      <w:r w:rsidR="00F7186B">
        <w:rPr>
          <w:rFonts w:ascii="Arial" w:hAnsi="Arial" w:cs="Arial"/>
        </w:rPr>
        <w:t>uptake of</w:t>
      </w:r>
      <w:r w:rsidRPr="00543963">
        <w:rPr>
          <w:rFonts w:ascii="Arial" w:hAnsi="Arial" w:cs="Arial"/>
        </w:rPr>
        <w:t xml:space="preserve"> digital health interventions (McLeroy et al., 1988; Madeira et al., 2025). Although individual-level factors such as digital literacy are frequently discussed, less attention is given to the influence of interpersonal relationships, organisational support, and policy-level factors (Brill et al., 2025; Essery et al., 2021). This highlights a gap in applying theoretical frameworks, such as the Social Ecological Model, to fully understand the complexity of technology adoption among older adults (Bronfenbrenner, 1977; McLeroy et al., 1988).</w:t>
      </w:r>
    </w:p>
    <w:p w14:paraId="0B0C2B90" w14:textId="77777777" w:rsidR="00B04DA7" w:rsidRPr="00543963" w:rsidRDefault="00B04DA7" w:rsidP="00BB400C">
      <w:pPr>
        <w:spacing w:line="360" w:lineRule="auto"/>
        <w:jc w:val="both"/>
        <w:rPr>
          <w:rFonts w:ascii="Arial" w:hAnsi="Arial" w:cs="Arial"/>
        </w:rPr>
      </w:pPr>
      <w:r w:rsidRPr="00543963">
        <w:rPr>
          <w:rFonts w:ascii="Arial" w:hAnsi="Arial" w:cs="Arial"/>
        </w:rPr>
        <w:t>In addition, there is limited UK-specific research examining how digital health interventions are used within existing healthcare systems and how they align with national dementia prevention strategies (NHS England, 2022; World Health Organization, 2023). Given the unique structure of the UK healthcare system and ongoing digital transformation within the NHS, this represents an important area for further investigation (NHS England, 2022).</w:t>
      </w:r>
    </w:p>
    <w:p w14:paraId="6CEFF360" w14:textId="443B2AA7" w:rsidR="00B04DA7" w:rsidRPr="00543963" w:rsidRDefault="00F7186B" w:rsidP="00BB400C">
      <w:pPr>
        <w:spacing w:line="360" w:lineRule="auto"/>
        <w:jc w:val="both"/>
        <w:rPr>
          <w:rFonts w:ascii="Arial" w:hAnsi="Arial" w:cs="Arial"/>
        </w:rPr>
      </w:pPr>
      <w:r w:rsidRPr="00F7186B">
        <w:rPr>
          <w:rFonts w:ascii="Arial" w:hAnsi="Arial" w:cs="Arial"/>
        </w:rPr>
        <w:t>This study addresses these gaps by exploring older adults’ engagement with digital health interventions for dementia prevention in real-world settings</w:t>
      </w:r>
      <w:r w:rsidR="00B04DA7" w:rsidRPr="00543963">
        <w:rPr>
          <w:rFonts w:ascii="Arial" w:hAnsi="Arial" w:cs="Arial"/>
        </w:rPr>
        <w:t>, using the Social Ecological Model to examine the multi-level factors influencing engagement (Bronfenbrenner, 1977; McLeroy et al., 1988). By doing so, it seeks to contribute to the development of more accessible, inclusive, and effective digital health solutions for ageing populations (Essery et al., 2021; World Health Organization, 2023).</w:t>
      </w:r>
    </w:p>
    <w:p w14:paraId="048FE00F" w14:textId="77777777" w:rsidR="00F7186B" w:rsidRDefault="00C9329C" w:rsidP="00F7186B">
      <w:pPr>
        <w:pStyle w:val="Heading2"/>
        <w:rPr>
          <w:rFonts w:ascii="Arial" w:hAnsi="Arial" w:cs="Arial"/>
          <w:b/>
          <w:bCs/>
          <w:sz w:val="24"/>
          <w:szCs w:val="24"/>
        </w:rPr>
      </w:pPr>
      <w:bookmarkStart w:id="32" w:name="_Toc232034613"/>
      <w:r w:rsidRPr="00543963">
        <w:rPr>
          <w:rFonts w:ascii="Arial" w:hAnsi="Arial" w:cs="Arial"/>
          <w:b/>
          <w:bCs/>
          <w:sz w:val="24"/>
          <w:szCs w:val="24"/>
        </w:rPr>
        <w:t>2.</w:t>
      </w:r>
      <w:r w:rsidR="00C26C62" w:rsidRPr="00543963">
        <w:rPr>
          <w:rFonts w:ascii="Arial" w:hAnsi="Arial" w:cs="Arial"/>
          <w:b/>
          <w:bCs/>
          <w:sz w:val="24"/>
          <w:szCs w:val="24"/>
        </w:rPr>
        <w:t>7</w:t>
      </w:r>
      <w:r w:rsidRPr="00543963">
        <w:rPr>
          <w:rFonts w:ascii="Arial" w:hAnsi="Arial" w:cs="Arial"/>
          <w:b/>
          <w:bCs/>
          <w:sz w:val="24"/>
          <w:szCs w:val="24"/>
        </w:rPr>
        <w:t xml:space="preserve"> </w:t>
      </w:r>
      <w:r w:rsidR="00F7186B" w:rsidRPr="00F7186B">
        <w:rPr>
          <w:rFonts w:ascii="Arial" w:hAnsi="Arial" w:cs="Arial"/>
          <w:b/>
          <w:bCs/>
          <w:sz w:val="24"/>
          <w:szCs w:val="24"/>
        </w:rPr>
        <w:t>Digital Disparities in Older Adult Populations</w:t>
      </w:r>
      <w:bookmarkEnd w:id="32"/>
    </w:p>
    <w:p w14:paraId="09BCB758" w14:textId="5F4C135E" w:rsidR="00C9329C" w:rsidRPr="00F7186B" w:rsidRDefault="00C9329C" w:rsidP="00F7186B">
      <w:pPr>
        <w:spacing w:line="360" w:lineRule="auto"/>
        <w:rPr>
          <w:rFonts w:ascii="Arial" w:hAnsi="Arial" w:cs="Arial"/>
        </w:rPr>
      </w:pPr>
      <w:r w:rsidRPr="00F7186B">
        <w:rPr>
          <w:rFonts w:ascii="Arial" w:hAnsi="Arial" w:cs="Arial"/>
        </w:rPr>
        <w:t>Inequalities in access to digital technologies present a significant challenge to the implementation of digital health interventions among older adults (Kebede et al., 2022). Although these technologies offer potential benefits for dementia prevention, access and engagement are not equally distributed.</w:t>
      </w:r>
    </w:p>
    <w:p w14:paraId="27D25D8C" w14:textId="77777777" w:rsidR="00C9329C" w:rsidRPr="00543963" w:rsidRDefault="00C9329C" w:rsidP="00BB400C">
      <w:pPr>
        <w:spacing w:line="360" w:lineRule="auto"/>
        <w:jc w:val="both"/>
        <w:rPr>
          <w:rFonts w:ascii="Arial" w:hAnsi="Arial" w:cs="Arial"/>
        </w:rPr>
      </w:pPr>
      <w:r w:rsidRPr="00543963">
        <w:rPr>
          <w:rFonts w:ascii="Arial" w:hAnsi="Arial" w:cs="Arial"/>
        </w:rPr>
        <w:t>Socioeconomic status is a key determinant of digital engagement (Deng et al., 2025). Older adults from lower-income backgrounds may face financial barriers to accessing digital devices and internet services, limiting their ability to engage with digital interventions (Panzavolta et al., 2025). Educational level also influences digital literacy, affecting confidence and ability to use technology effectively (Kebede et al., 2022).</w:t>
      </w:r>
    </w:p>
    <w:p w14:paraId="4C5B8EA3" w14:textId="77777777" w:rsidR="00C9329C" w:rsidRPr="00543963" w:rsidRDefault="00C9329C" w:rsidP="00BB400C">
      <w:pPr>
        <w:spacing w:line="360" w:lineRule="auto"/>
        <w:jc w:val="both"/>
        <w:rPr>
          <w:rFonts w:ascii="Arial" w:hAnsi="Arial" w:cs="Arial"/>
        </w:rPr>
      </w:pPr>
      <w:r w:rsidRPr="00543963">
        <w:rPr>
          <w:rFonts w:ascii="Arial" w:hAnsi="Arial" w:cs="Arial"/>
        </w:rPr>
        <w:t>Geographical disparities further contribute to inequality, particularly in rural or underserved areas where digital infrastructure may be limited (World Health Organization, 2023). Poor connectivity can restrict access to telehealth and other digital services.</w:t>
      </w:r>
    </w:p>
    <w:p w14:paraId="6F7BE7B1" w14:textId="77777777" w:rsidR="00C9329C" w:rsidRPr="00543963" w:rsidRDefault="00C9329C" w:rsidP="00BB400C">
      <w:pPr>
        <w:spacing w:line="360" w:lineRule="auto"/>
        <w:jc w:val="both"/>
        <w:rPr>
          <w:rFonts w:ascii="Arial" w:hAnsi="Arial" w:cs="Arial"/>
        </w:rPr>
      </w:pPr>
      <w:r w:rsidRPr="00543963">
        <w:rPr>
          <w:rFonts w:ascii="Arial" w:hAnsi="Arial" w:cs="Arial"/>
        </w:rPr>
        <w:lastRenderedPageBreak/>
        <w:t>In addition, age-related factors may intersect with social inequalities, creating compounded disadvantage (Madeira et al., 2025). Individuals experiencing cognitive decline, physical limitations, or social isolation may face additional barriers to engagement.</w:t>
      </w:r>
    </w:p>
    <w:p w14:paraId="7F746164" w14:textId="77777777" w:rsidR="00C9329C" w:rsidRPr="00543963" w:rsidRDefault="00C9329C" w:rsidP="00BB400C">
      <w:pPr>
        <w:spacing w:line="360" w:lineRule="auto"/>
        <w:jc w:val="both"/>
        <w:rPr>
          <w:rFonts w:ascii="Arial" w:hAnsi="Arial" w:cs="Arial"/>
        </w:rPr>
      </w:pPr>
      <w:r w:rsidRPr="00543963">
        <w:rPr>
          <w:rFonts w:ascii="Arial" w:hAnsi="Arial" w:cs="Arial"/>
        </w:rPr>
        <w:t>Importantly, digital health interventions may risk widening existing health inequalities if these issues are not addressed (Deng et al., 2025). Those with limited access or skills may be excluded from the benefits of digital innovation.</w:t>
      </w:r>
    </w:p>
    <w:p w14:paraId="2EC92F57" w14:textId="77777777" w:rsidR="00C9329C" w:rsidRPr="00543963" w:rsidRDefault="00C9329C" w:rsidP="00BB400C">
      <w:pPr>
        <w:spacing w:line="360" w:lineRule="auto"/>
        <w:jc w:val="both"/>
        <w:rPr>
          <w:rFonts w:ascii="Arial" w:hAnsi="Arial" w:cs="Arial"/>
        </w:rPr>
      </w:pPr>
      <w:r w:rsidRPr="00543963">
        <w:rPr>
          <w:rFonts w:ascii="Arial" w:hAnsi="Arial" w:cs="Arial"/>
        </w:rPr>
        <w:t>Addressing the digital divide requires improving infrastructure, ensuring affordability, and providing targeted digital literacy support (Kebede et al., 2022). Such measures are essential to ensure equitable access to digital health interventions.</w:t>
      </w:r>
    </w:p>
    <w:p w14:paraId="67535D94" w14:textId="7572AC70" w:rsidR="00F518DD" w:rsidRPr="00F518DD" w:rsidRDefault="00C9329C" w:rsidP="00F518DD">
      <w:pPr>
        <w:pStyle w:val="Heading2"/>
        <w:rPr>
          <w:rFonts w:ascii="Arial" w:hAnsi="Arial" w:cs="Arial"/>
          <w:b/>
          <w:bCs/>
          <w:sz w:val="24"/>
          <w:szCs w:val="24"/>
        </w:rPr>
      </w:pPr>
      <w:bookmarkStart w:id="33" w:name="_Toc232034614"/>
      <w:r w:rsidRPr="00543963">
        <w:rPr>
          <w:rFonts w:ascii="Arial" w:hAnsi="Arial" w:cs="Arial"/>
          <w:b/>
          <w:bCs/>
          <w:sz w:val="24"/>
          <w:szCs w:val="24"/>
        </w:rPr>
        <w:t>2.</w:t>
      </w:r>
      <w:r w:rsidR="00543963" w:rsidRPr="00543963">
        <w:rPr>
          <w:rFonts w:ascii="Arial" w:hAnsi="Arial" w:cs="Arial"/>
          <w:b/>
          <w:bCs/>
          <w:sz w:val="24"/>
          <w:szCs w:val="24"/>
        </w:rPr>
        <w:t xml:space="preserve">8 </w:t>
      </w:r>
      <w:r w:rsidRPr="00543963">
        <w:rPr>
          <w:rFonts w:ascii="Arial" w:hAnsi="Arial" w:cs="Arial"/>
          <w:b/>
          <w:bCs/>
          <w:sz w:val="24"/>
          <w:szCs w:val="24"/>
        </w:rPr>
        <w:t>Application of the Social Ecological Model (SEM)</w:t>
      </w:r>
      <w:bookmarkEnd w:id="33"/>
      <w:r w:rsidRPr="00543963">
        <w:rPr>
          <w:rFonts w:ascii="Arial" w:hAnsi="Arial" w:cs="Arial"/>
          <w:b/>
          <w:bCs/>
          <w:sz w:val="24"/>
          <w:szCs w:val="24"/>
        </w:rPr>
        <w:t xml:space="preserve"> </w:t>
      </w:r>
    </w:p>
    <w:p w14:paraId="0439DB53" w14:textId="77777777" w:rsidR="00F518DD" w:rsidRPr="00F518DD" w:rsidRDefault="00F518DD" w:rsidP="00F518DD">
      <w:pPr>
        <w:spacing w:line="360" w:lineRule="auto"/>
        <w:jc w:val="both"/>
        <w:rPr>
          <w:rFonts w:ascii="Arial" w:hAnsi="Arial" w:cs="Arial"/>
        </w:rPr>
      </w:pPr>
      <w:r w:rsidRPr="00F518DD">
        <w:rPr>
          <w:rFonts w:ascii="Arial" w:hAnsi="Arial" w:cs="Arial"/>
        </w:rPr>
        <w:t>The Social Ecological Model (SEM) provides a valuable framework for interpreting the factors influencing older adults’ engagement with digital health interventions for dementia prevention. Findings from the literature indicate that engagement is shaped by multiple interacting influences operating across individual, interpersonal, organisational, and policy levels.</w:t>
      </w:r>
    </w:p>
    <w:p w14:paraId="3A9FA97D" w14:textId="77777777" w:rsidR="00F518DD" w:rsidRPr="00F518DD" w:rsidRDefault="00F518DD" w:rsidP="00F518DD">
      <w:pPr>
        <w:spacing w:line="360" w:lineRule="auto"/>
        <w:jc w:val="both"/>
        <w:rPr>
          <w:rFonts w:ascii="Arial" w:hAnsi="Arial" w:cs="Arial"/>
        </w:rPr>
      </w:pPr>
      <w:r w:rsidRPr="00F518DD">
        <w:rPr>
          <w:rFonts w:ascii="Arial" w:hAnsi="Arial" w:cs="Arial"/>
        </w:rPr>
        <w:t>At the individual level, factors such as digital literacy, cognitive ability, confidence, and motivation influence technology adoption and continued use (Madeira et al., 2025; Kebede et al., 2022). At the interpersonal level, support from family members, caregivers, and healthcare professionals can facilitate engagement and enhance confidence in using digital technologies (Brill et al., 2025).</w:t>
      </w:r>
    </w:p>
    <w:p w14:paraId="1A35EBF1" w14:textId="77777777" w:rsidR="00F518DD" w:rsidRPr="00F518DD" w:rsidRDefault="00F518DD" w:rsidP="00F518DD">
      <w:pPr>
        <w:spacing w:line="360" w:lineRule="auto"/>
        <w:jc w:val="both"/>
        <w:rPr>
          <w:rFonts w:ascii="Arial" w:hAnsi="Arial" w:cs="Arial"/>
        </w:rPr>
      </w:pPr>
      <w:r w:rsidRPr="00F518DD">
        <w:rPr>
          <w:rFonts w:ascii="Arial" w:hAnsi="Arial" w:cs="Arial"/>
        </w:rPr>
        <w:t>Organisational and community factors, including access to digital infrastructure, training opportunities, and integration of digital interventions within healthcare services, further influence participation (Essery et al., 2021). At the policy level, national strategies promoting digital inclusion and healthy ageing may shape access to and implementation of digital health technologies (World Health Organization, 2023).</w:t>
      </w:r>
    </w:p>
    <w:p w14:paraId="21A933A0" w14:textId="77777777" w:rsidR="00F518DD" w:rsidRPr="00F518DD" w:rsidRDefault="00F518DD" w:rsidP="00F518DD">
      <w:pPr>
        <w:spacing w:line="360" w:lineRule="auto"/>
        <w:jc w:val="both"/>
        <w:rPr>
          <w:rFonts w:ascii="Arial" w:hAnsi="Arial" w:cs="Arial"/>
        </w:rPr>
      </w:pPr>
      <w:r w:rsidRPr="00F518DD">
        <w:rPr>
          <w:rFonts w:ascii="Arial" w:hAnsi="Arial" w:cs="Arial"/>
        </w:rPr>
        <w:t>Importantly, these factors do not operate independently. Rather, engagement is influenced by interactions between personal capabilities, social support, service provision, and wider policy environments. The SEM therefore provides a useful framework for understanding the complex determinants of digital health engagement and informs the interpretation of findings presented in subsequent chapters.</w:t>
      </w:r>
    </w:p>
    <w:p w14:paraId="4DA6D4EC" w14:textId="77777777" w:rsidR="008A2500" w:rsidRPr="00543963" w:rsidRDefault="008A2500" w:rsidP="00BB400C">
      <w:pPr>
        <w:spacing w:line="360" w:lineRule="auto"/>
        <w:jc w:val="both"/>
        <w:rPr>
          <w:rFonts w:ascii="Arial" w:hAnsi="Arial" w:cs="Arial"/>
          <w:b/>
          <w:bCs/>
          <w:sz w:val="24"/>
          <w:szCs w:val="24"/>
        </w:rPr>
      </w:pPr>
      <w:r w:rsidRPr="00543963">
        <w:rPr>
          <w:rFonts w:ascii="Arial" w:hAnsi="Arial" w:cs="Arial"/>
          <w:b/>
          <w:bCs/>
          <w:sz w:val="24"/>
          <w:szCs w:val="24"/>
        </w:rPr>
        <w:br w:type="page"/>
      </w:r>
    </w:p>
    <w:p w14:paraId="2BAD6287" w14:textId="2449B184" w:rsidR="00B730A2" w:rsidRPr="00543963" w:rsidRDefault="00B730A2" w:rsidP="00543963">
      <w:pPr>
        <w:pStyle w:val="Heading1"/>
        <w:rPr>
          <w:rFonts w:ascii="Arial" w:hAnsi="Arial" w:cs="Arial"/>
          <w:b/>
          <w:bCs/>
          <w:sz w:val="28"/>
          <w:szCs w:val="28"/>
        </w:rPr>
      </w:pPr>
      <w:bookmarkStart w:id="34" w:name="_Toc232034615"/>
      <w:r w:rsidRPr="00543963">
        <w:rPr>
          <w:rFonts w:ascii="Arial" w:hAnsi="Arial" w:cs="Arial"/>
          <w:b/>
          <w:bCs/>
          <w:sz w:val="28"/>
          <w:szCs w:val="28"/>
        </w:rPr>
        <w:lastRenderedPageBreak/>
        <w:t xml:space="preserve">Chapter </w:t>
      </w:r>
      <w:r w:rsidR="00926005" w:rsidRPr="00543963">
        <w:rPr>
          <w:rFonts w:ascii="Arial" w:hAnsi="Arial" w:cs="Arial"/>
          <w:b/>
          <w:bCs/>
          <w:sz w:val="28"/>
          <w:szCs w:val="28"/>
        </w:rPr>
        <w:t>-</w:t>
      </w:r>
      <w:r w:rsidRPr="00543963">
        <w:rPr>
          <w:rFonts w:ascii="Arial" w:hAnsi="Arial" w:cs="Arial"/>
          <w:b/>
          <w:bCs/>
          <w:sz w:val="28"/>
          <w:szCs w:val="28"/>
        </w:rPr>
        <w:t xml:space="preserve"> 3 Methodology.</w:t>
      </w:r>
      <w:bookmarkEnd w:id="34"/>
    </w:p>
    <w:p w14:paraId="1C497421" w14:textId="1BBBEA2D" w:rsidR="00B730A2" w:rsidRPr="00543963" w:rsidRDefault="00B730A2" w:rsidP="00543963">
      <w:pPr>
        <w:pStyle w:val="Heading2"/>
        <w:rPr>
          <w:rFonts w:ascii="Arial" w:hAnsi="Arial" w:cs="Arial"/>
          <w:b/>
          <w:bCs/>
          <w:sz w:val="24"/>
          <w:szCs w:val="24"/>
        </w:rPr>
      </w:pPr>
      <w:bookmarkStart w:id="35" w:name="_Toc232034616"/>
      <w:r w:rsidRPr="00543963">
        <w:rPr>
          <w:rFonts w:ascii="Arial" w:hAnsi="Arial" w:cs="Arial"/>
          <w:b/>
          <w:bCs/>
          <w:sz w:val="24"/>
          <w:szCs w:val="24"/>
        </w:rPr>
        <w:t>3.1 Introduction</w:t>
      </w:r>
      <w:bookmarkEnd w:id="35"/>
      <w:r w:rsidRPr="00543963">
        <w:rPr>
          <w:rFonts w:ascii="Arial" w:hAnsi="Arial" w:cs="Arial"/>
          <w:b/>
          <w:bCs/>
          <w:sz w:val="24"/>
          <w:szCs w:val="24"/>
        </w:rPr>
        <w:t xml:space="preserve"> </w:t>
      </w:r>
    </w:p>
    <w:p w14:paraId="48F8CAD0" w14:textId="69871C94" w:rsidR="00B730A2" w:rsidRPr="00543963" w:rsidRDefault="00644D11" w:rsidP="00BB400C">
      <w:pPr>
        <w:spacing w:line="360" w:lineRule="auto"/>
        <w:jc w:val="both"/>
        <w:rPr>
          <w:rFonts w:ascii="Arial" w:hAnsi="Arial" w:cs="Arial"/>
        </w:rPr>
      </w:pPr>
      <w:r w:rsidRPr="00644D11">
        <w:rPr>
          <w:rFonts w:ascii="Arial" w:hAnsi="Arial" w:cs="Arial"/>
        </w:rPr>
        <w:t>This chapter outlines the methodology used to explore the use and accessibility of digital health interventions among older adults for dementia prevention and support in the United Kingdom.</w:t>
      </w:r>
      <w:r>
        <w:rPr>
          <w:rFonts w:ascii="Arial" w:hAnsi="Arial" w:cs="Arial"/>
        </w:rPr>
        <w:t xml:space="preserve"> </w:t>
      </w:r>
      <w:r w:rsidR="00B730A2" w:rsidRPr="00543963">
        <w:rPr>
          <w:rFonts w:ascii="Arial" w:hAnsi="Arial" w:cs="Arial"/>
        </w:rPr>
        <w:t xml:space="preserve">It provides a detailed account of </w:t>
      </w:r>
      <w:r w:rsidR="00845AE2" w:rsidRPr="00845AE2">
        <w:rPr>
          <w:rFonts w:ascii="Arial" w:hAnsi="Arial" w:cs="Arial"/>
        </w:rPr>
        <w:t>the research design, search methodology, eligibility criteria, study selection procedures,</w:t>
      </w:r>
      <w:r w:rsidR="00845AE2">
        <w:rPr>
          <w:rFonts w:ascii="Arial" w:hAnsi="Arial" w:cs="Arial"/>
        </w:rPr>
        <w:t xml:space="preserve"> </w:t>
      </w:r>
      <w:r w:rsidR="00B730A2" w:rsidRPr="00543963">
        <w:rPr>
          <w:rFonts w:ascii="Arial" w:hAnsi="Arial" w:cs="Arial"/>
        </w:rPr>
        <w:t xml:space="preserve">data extraction procedures, and data analysis methods. In addition, </w:t>
      </w:r>
      <w:r w:rsidR="00845AE2" w:rsidRPr="00845AE2">
        <w:rPr>
          <w:rFonts w:ascii="Arial" w:hAnsi="Arial" w:cs="Arial"/>
        </w:rPr>
        <w:t>Ethical and methodological considerations are examined to ensure research rigour and credibility.</w:t>
      </w:r>
      <w:r w:rsidR="00845AE2">
        <w:rPr>
          <w:rFonts w:ascii="Arial" w:hAnsi="Arial" w:cs="Arial"/>
        </w:rPr>
        <w:t xml:space="preserve"> </w:t>
      </w:r>
      <w:r w:rsidR="00B730A2" w:rsidRPr="00543963">
        <w:rPr>
          <w:rFonts w:ascii="Arial" w:hAnsi="Arial" w:cs="Arial"/>
        </w:rPr>
        <w:t>(Resnik, 2018).</w:t>
      </w:r>
    </w:p>
    <w:p w14:paraId="7CE0C692" w14:textId="206B0312" w:rsidR="00B730A2" w:rsidRPr="00543963" w:rsidRDefault="00B730A2" w:rsidP="00543963">
      <w:pPr>
        <w:pStyle w:val="Heading2"/>
        <w:rPr>
          <w:rFonts w:ascii="Arial" w:hAnsi="Arial" w:cs="Arial"/>
          <w:b/>
          <w:bCs/>
          <w:sz w:val="24"/>
          <w:szCs w:val="24"/>
        </w:rPr>
      </w:pPr>
      <w:bookmarkStart w:id="36" w:name="_Toc232034617"/>
      <w:r w:rsidRPr="00543963">
        <w:rPr>
          <w:rFonts w:ascii="Arial" w:hAnsi="Arial" w:cs="Arial"/>
          <w:b/>
          <w:bCs/>
          <w:sz w:val="24"/>
          <w:szCs w:val="24"/>
        </w:rPr>
        <w:t>3.2 Research Design</w:t>
      </w:r>
      <w:bookmarkEnd w:id="36"/>
      <w:r w:rsidRPr="00543963">
        <w:rPr>
          <w:rFonts w:ascii="Arial" w:hAnsi="Arial" w:cs="Arial"/>
          <w:b/>
          <w:bCs/>
          <w:sz w:val="24"/>
          <w:szCs w:val="24"/>
        </w:rPr>
        <w:t xml:space="preserve"> </w:t>
      </w:r>
    </w:p>
    <w:p w14:paraId="63390CDE" w14:textId="77777777" w:rsidR="00BB400C" w:rsidRPr="00543963" w:rsidRDefault="000347A4" w:rsidP="00BB400C">
      <w:pPr>
        <w:spacing w:line="360" w:lineRule="auto"/>
        <w:jc w:val="both"/>
        <w:rPr>
          <w:rFonts w:ascii="Arial" w:hAnsi="Arial" w:cs="Arial"/>
        </w:rPr>
      </w:pPr>
      <w:r w:rsidRPr="00543963">
        <w:rPr>
          <w:rFonts w:ascii="Arial" w:hAnsi="Arial" w:cs="Arial"/>
        </w:rPr>
        <w:t xml:space="preserve">This study adopts a systematic literature review design, enabling the identification, appraisal, and synthesis of relevant studies in a structured and transparent manner (Page et al., 2021). </w:t>
      </w:r>
      <w:r w:rsidR="00BB400C" w:rsidRPr="00543963">
        <w:rPr>
          <w:rFonts w:ascii="Arial" w:hAnsi="Arial" w:cs="Arial"/>
        </w:rPr>
        <w:t>Systematic reviews follow predefined protocols that enhance transparency, replicability, reliability, and reduce bias, distinguishing them from narrative reviews (Petticrew and Roberts, 2006; Moher et al., 2009; Page et al., 2021).</w:t>
      </w:r>
    </w:p>
    <w:p w14:paraId="664A223D" w14:textId="1EAF807C" w:rsidR="000347A4" w:rsidRPr="00543963" w:rsidRDefault="000347A4" w:rsidP="00BB400C">
      <w:pPr>
        <w:spacing w:line="360" w:lineRule="auto"/>
        <w:jc w:val="both"/>
        <w:rPr>
          <w:rFonts w:ascii="Arial" w:hAnsi="Arial" w:cs="Arial"/>
        </w:rPr>
      </w:pPr>
      <w:r w:rsidRPr="00543963">
        <w:rPr>
          <w:rFonts w:ascii="Arial" w:hAnsi="Arial" w:cs="Arial"/>
        </w:rPr>
        <w:t>This design is appropriate for examining digital health interventions for dementia prevention, as it provides a comprehensive overview of existing evidence and supports evidence</w:t>
      </w:r>
      <w:r w:rsidRPr="00543963">
        <w:rPr>
          <w:rFonts w:ascii="Arial" w:hAnsi="Arial" w:cs="Arial"/>
        </w:rPr>
        <w:noBreakHyphen/>
        <w:t xml:space="preserve">based practice (Booth et al., 2016). </w:t>
      </w:r>
    </w:p>
    <w:p w14:paraId="4510712D" w14:textId="77777777" w:rsidR="000347A4" w:rsidRPr="00543963" w:rsidRDefault="000347A4" w:rsidP="00BB400C">
      <w:pPr>
        <w:spacing w:line="360" w:lineRule="auto"/>
        <w:jc w:val="both"/>
        <w:rPr>
          <w:rFonts w:ascii="Arial" w:hAnsi="Arial" w:cs="Arial"/>
        </w:rPr>
      </w:pPr>
      <w:r w:rsidRPr="00543963">
        <w:rPr>
          <w:rFonts w:ascii="Arial" w:hAnsi="Arial" w:cs="Arial"/>
        </w:rPr>
        <w:t>The study relies on secondary data from peer</w:t>
      </w:r>
      <w:r w:rsidRPr="00543963">
        <w:rPr>
          <w:rFonts w:ascii="Arial" w:hAnsi="Arial" w:cs="Arial"/>
        </w:rPr>
        <w:noBreakHyphen/>
        <w:t>reviewed journal articles, allowing exploration of a broad evidence base and identification of patterns across diverse contexts (Grant and Booth, 2009; Snyder, 2019).</w:t>
      </w:r>
    </w:p>
    <w:p w14:paraId="69B158D3" w14:textId="08714B6E" w:rsidR="00B730A2" w:rsidRPr="00543963" w:rsidRDefault="00B730A2" w:rsidP="00543963">
      <w:pPr>
        <w:pStyle w:val="Heading2"/>
        <w:rPr>
          <w:rFonts w:ascii="Arial" w:hAnsi="Arial" w:cs="Arial"/>
          <w:b/>
          <w:bCs/>
          <w:sz w:val="24"/>
          <w:szCs w:val="24"/>
        </w:rPr>
      </w:pPr>
      <w:bookmarkStart w:id="37" w:name="_Toc232034618"/>
      <w:r w:rsidRPr="00543963">
        <w:rPr>
          <w:rFonts w:ascii="Arial" w:hAnsi="Arial" w:cs="Arial"/>
          <w:b/>
          <w:bCs/>
          <w:sz w:val="24"/>
          <w:szCs w:val="24"/>
        </w:rPr>
        <w:t>3.3 Research Approach</w:t>
      </w:r>
      <w:bookmarkEnd w:id="37"/>
      <w:r w:rsidRPr="00543963">
        <w:rPr>
          <w:rFonts w:ascii="Arial" w:hAnsi="Arial" w:cs="Arial"/>
          <w:b/>
          <w:bCs/>
          <w:sz w:val="24"/>
          <w:szCs w:val="24"/>
        </w:rPr>
        <w:t xml:space="preserve"> </w:t>
      </w:r>
    </w:p>
    <w:p w14:paraId="61CE5AAD" w14:textId="271874EC" w:rsidR="000347A4" w:rsidRPr="00543963" w:rsidRDefault="000347A4" w:rsidP="00BB400C">
      <w:pPr>
        <w:spacing w:line="360" w:lineRule="auto"/>
        <w:jc w:val="both"/>
        <w:rPr>
          <w:rFonts w:ascii="Arial" w:hAnsi="Arial" w:cs="Arial"/>
        </w:rPr>
      </w:pPr>
      <w:r w:rsidRPr="00543963">
        <w:rPr>
          <w:rFonts w:ascii="Arial" w:hAnsi="Arial" w:cs="Arial"/>
        </w:rPr>
        <w:t xml:space="preserve">A qualitative interpretive approach was adopted to analyse the selected literature, focusing on identifying themes related to engagement, barriers, and facilitators of digital health use among older adults (Braun and Clarke, 2006). </w:t>
      </w:r>
      <w:r w:rsidR="00ED4AC6" w:rsidRPr="00ED4AC6">
        <w:rPr>
          <w:rFonts w:ascii="Arial" w:hAnsi="Arial" w:cs="Arial"/>
        </w:rPr>
        <w:t>Thematic analysis was selected due to its flexibility and systematic approach to</w:t>
      </w:r>
      <w:r w:rsidR="00ED4AC6">
        <w:rPr>
          <w:rFonts w:ascii="Arial" w:hAnsi="Arial" w:cs="Arial"/>
        </w:rPr>
        <w:t xml:space="preserve"> </w:t>
      </w:r>
      <w:r w:rsidRPr="00543963">
        <w:rPr>
          <w:rFonts w:ascii="Arial" w:hAnsi="Arial" w:cs="Arial"/>
        </w:rPr>
        <w:t>for examining patterns within qualitative data and is widely used in health</w:t>
      </w:r>
      <w:r w:rsidRPr="00543963">
        <w:rPr>
          <w:rFonts w:ascii="Arial" w:hAnsi="Arial" w:cs="Arial"/>
        </w:rPr>
        <w:noBreakHyphen/>
        <w:t>related research (Braun and Clarke, 2006; Nowell et al., 2017).</w:t>
      </w:r>
    </w:p>
    <w:p w14:paraId="3D50AB07" w14:textId="77777777" w:rsidR="00751C51" w:rsidRPr="00543963" w:rsidRDefault="00751C51" w:rsidP="00BB400C">
      <w:pPr>
        <w:spacing w:line="360" w:lineRule="auto"/>
        <w:jc w:val="both"/>
        <w:rPr>
          <w:rFonts w:ascii="Arial" w:hAnsi="Arial" w:cs="Arial"/>
        </w:rPr>
      </w:pPr>
      <w:r w:rsidRPr="00543963">
        <w:rPr>
          <w:rFonts w:ascii="Arial" w:hAnsi="Arial" w:cs="Arial"/>
        </w:rPr>
        <w:t>This qualitative approach is suited to exploring complex behavioural and social factors influencing engagement with digital health interventions (Braun and Clarke, 2006; Snyder, 2019).</w:t>
      </w:r>
    </w:p>
    <w:p w14:paraId="51E44CA5" w14:textId="5E5C670F" w:rsidR="00ED4AC6" w:rsidRPr="00ED4AC6" w:rsidRDefault="000347A4" w:rsidP="00ED4AC6">
      <w:pPr>
        <w:spacing w:line="360" w:lineRule="auto"/>
        <w:jc w:val="both"/>
        <w:rPr>
          <w:rFonts w:ascii="Arial" w:hAnsi="Arial" w:cs="Arial"/>
        </w:rPr>
      </w:pPr>
      <w:r w:rsidRPr="00543963">
        <w:rPr>
          <w:rFonts w:ascii="Arial" w:hAnsi="Arial" w:cs="Arial"/>
        </w:rPr>
        <w:t xml:space="preserve">The research approach is also informed by the </w:t>
      </w:r>
      <w:r w:rsidR="00AD621A" w:rsidRPr="00AD621A">
        <w:rPr>
          <w:rFonts w:ascii="Arial" w:hAnsi="Arial" w:cs="Arial"/>
        </w:rPr>
        <w:t>Social Ecological Model (SEM), which acknowledges that health behaviours are shaped by</w:t>
      </w:r>
      <w:r w:rsidR="00AD621A">
        <w:rPr>
          <w:rFonts w:ascii="Arial" w:hAnsi="Arial" w:cs="Arial"/>
        </w:rPr>
        <w:t xml:space="preserve"> </w:t>
      </w:r>
      <w:r w:rsidR="00ED4AC6" w:rsidRPr="00ED4AC6">
        <w:rPr>
          <w:rFonts w:ascii="Arial" w:hAnsi="Arial" w:cs="Arial"/>
        </w:rPr>
        <w:t>interacting individual, interpersonal, and structural factors.</w:t>
      </w:r>
      <w:r w:rsidRPr="00543963">
        <w:rPr>
          <w:rFonts w:ascii="Arial" w:hAnsi="Arial" w:cs="Arial"/>
        </w:rPr>
        <w:t xml:space="preserve"> (McLeroy et al., 1988; Bronfenbrenner, 1977). Integrating SEM supports a more comprehensive </w:t>
      </w:r>
      <w:r w:rsidR="00ED4AC6" w:rsidRPr="00ED4AC6">
        <w:rPr>
          <w:rFonts w:ascii="Arial" w:hAnsi="Arial" w:cs="Arial"/>
        </w:rPr>
        <w:t>insight into how older adults engage with digital health technologies across diverse contexts.</w:t>
      </w:r>
    </w:p>
    <w:p w14:paraId="63F73F24" w14:textId="3E5D2597" w:rsidR="00B730A2" w:rsidRPr="009B1523" w:rsidRDefault="00B730A2" w:rsidP="009B1523">
      <w:pPr>
        <w:pStyle w:val="Heading2"/>
        <w:rPr>
          <w:rFonts w:ascii="Arial" w:hAnsi="Arial" w:cs="Arial"/>
          <w:b/>
          <w:bCs/>
          <w:sz w:val="24"/>
          <w:szCs w:val="24"/>
        </w:rPr>
      </w:pPr>
      <w:bookmarkStart w:id="38" w:name="_Toc232034619"/>
      <w:r w:rsidRPr="009B1523">
        <w:rPr>
          <w:rFonts w:ascii="Arial" w:hAnsi="Arial" w:cs="Arial"/>
          <w:b/>
          <w:bCs/>
          <w:sz w:val="24"/>
          <w:szCs w:val="24"/>
        </w:rPr>
        <w:lastRenderedPageBreak/>
        <w:t>3.4 Search Strategy</w:t>
      </w:r>
      <w:bookmarkEnd w:id="38"/>
      <w:r w:rsidRPr="009B1523">
        <w:rPr>
          <w:rFonts w:ascii="Arial" w:hAnsi="Arial" w:cs="Arial"/>
          <w:b/>
          <w:bCs/>
          <w:sz w:val="24"/>
          <w:szCs w:val="24"/>
        </w:rPr>
        <w:t xml:space="preserve"> </w:t>
      </w:r>
    </w:p>
    <w:p w14:paraId="677E87AF" w14:textId="7975D3B6" w:rsidR="00CC45B9" w:rsidRPr="00543963" w:rsidRDefault="00F574F4" w:rsidP="00BB400C">
      <w:pPr>
        <w:spacing w:line="360" w:lineRule="auto"/>
        <w:jc w:val="both"/>
        <w:rPr>
          <w:rFonts w:ascii="Arial" w:hAnsi="Arial" w:cs="Arial"/>
        </w:rPr>
      </w:pPr>
      <w:r w:rsidRPr="00F574F4">
        <w:rPr>
          <w:rFonts w:ascii="Arial" w:hAnsi="Arial" w:cs="Arial"/>
        </w:rPr>
        <w:t>A systematic search strategy was employed to identify relevant literature across multiple academic databases.</w:t>
      </w:r>
      <w:r w:rsidR="00CC45B9" w:rsidRPr="00543963">
        <w:rPr>
          <w:rFonts w:ascii="Arial" w:hAnsi="Arial" w:cs="Arial"/>
        </w:rPr>
        <w:t xml:space="preserve"> The selection of databases was informed by their relevance to public health and healthcare research (Gusenbauer and Haddaway, 2020; Booth et al., 2016).</w:t>
      </w:r>
    </w:p>
    <w:p w14:paraId="7C282707" w14:textId="37986714" w:rsidR="00CC45B9" w:rsidRPr="00543963" w:rsidRDefault="00CC45B9" w:rsidP="00BB400C">
      <w:pPr>
        <w:spacing w:line="360" w:lineRule="auto"/>
        <w:jc w:val="both"/>
        <w:rPr>
          <w:rFonts w:ascii="Arial" w:hAnsi="Arial" w:cs="Arial"/>
        </w:rPr>
      </w:pPr>
      <w:r w:rsidRPr="00543963">
        <w:rPr>
          <w:rFonts w:ascii="Arial" w:hAnsi="Arial" w:cs="Arial"/>
        </w:rPr>
        <w:t xml:space="preserve">The databases searched included PubMed, CINAHL, Google Scholar, ScienceDirect, and the UWTSD online library. </w:t>
      </w:r>
      <w:r w:rsidR="00F574F4" w:rsidRPr="00F574F4">
        <w:rPr>
          <w:rFonts w:ascii="Arial" w:hAnsi="Arial" w:cs="Arial"/>
        </w:rPr>
        <w:t>These databases were chosen to ensure comprehensive coverage of</w:t>
      </w:r>
      <w:r w:rsidR="00F574F4">
        <w:rPr>
          <w:rFonts w:ascii="Arial" w:hAnsi="Arial" w:cs="Arial"/>
        </w:rPr>
        <w:t xml:space="preserve"> </w:t>
      </w:r>
      <w:r w:rsidRPr="00543963">
        <w:rPr>
          <w:rFonts w:ascii="Arial" w:hAnsi="Arial" w:cs="Arial"/>
        </w:rPr>
        <w:t>interdisciplinary research, including both medical and social science perspectives (Gusenbauer and Haddaway, 2020).</w:t>
      </w:r>
    </w:p>
    <w:p w14:paraId="2B6E2B4F" w14:textId="76963C97" w:rsidR="00CC45B9" w:rsidRPr="00543963" w:rsidRDefault="00F574F4" w:rsidP="00BB400C">
      <w:pPr>
        <w:spacing w:line="360" w:lineRule="auto"/>
        <w:jc w:val="both"/>
        <w:rPr>
          <w:rFonts w:ascii="Arial" w:hAnsi="Arial" w:cs="Arial"/>
        </w:rPr>
      </w:pPr>
      <w:r w:rsidRPr="00F574F4">
        <w:rPr>
          <w:rFonts w:ascii="Arial" w:hAnsi="Arial" w:cs="Arial"/>
        </w:rPr>
        <w:t xml:space="preserve">Relevant studies were identified using a combination of keywords and search terms, </w:t>
      </w:r>
      <w:r w:rsidR="00FE1995" w:rsidRPr="00F574F4">
        <w:rPr>
          <w:rFonts w:ascii="Arial" w:hAnsi="Arial" w:cs="Arial"/>
        </w:rPr>
        <w:t>including</w:t>
      </w:r>
      <w:r w:rsidR="00FE1995">
        <w:rPr>
          <w:rFonts w:ascii="Arial" w:hAnsi="Arial" w:cs="Arial"/>
        </w:rPr>
        <w:t xml:space="preserve"> </w:t>
      </w:r>
      <w:r w:rsidR="00FE1995" w:rsidRPr="00543963">
        <w:rPr>
          <w:rFonts w:ascii="Arial" w:hAnsi="Arial" w:cs="Arial"/>
        </w:rPr>
        <w:t>“</w:t>
      </w:r>
      <w:r w:rsidR="00CC45B9" w:rsidRPr="00543963">
        <w:rPr>
          <w:rFonts w:ascii="Arial" w:hAnsi="Arial" w:cs="Arial"/>
        </w:rPr>
        <w:t>dementia prevention,” “digital health interventions,” “older adults,” “technology engagement,” “mHealth,” “telehealth,” “cognitive training,” and “digital literacy.” Boolean operators (AND, OR) were used to refine the search and improve precision (Briner and Denyer, 2012).</w:t>
      </w:r>
    </w:p>
    <w:p w14:paraId="7A7949E0" w14:textId="0C6A494C" w:rsidR="00CC45B9" w:rsidRPr="00543963" w:rsidRDefault="00751C51" w:rsidP="00BB400C">
      <w:pPr>
        <w:spacing w:line="360" w:lineRule="auto"/>
        <w:jc w:val="both"/>
        <w:rPr>
          <w:rFonts w:ascii="Arial" w:hAnsi="Arial" w:cs="Arial"/>
        </w:rPr>
      </w:pPr>
      <w:r w:rsidRPr="00543963">
        <w:rPr>
          <w:rFonts w:ascii="Arial" w:hAnsi="Arial" w:cs="Arial"/>
        </w:rPr>
        <w:t xml:space="preserve">Search terms included “dementia prevention”, “digital health interventions”, “older adults”, “technology engagement”, “mHealth”, “telehealth”, “cognitive training”, and “digital literacy”, combined using Boolean operators (AND, OR) to improve search precision (Briner and Denyer, 2012). </w:t>
      </w:r>
      <w:r w:rsidR="00CC45B9" w:rsidRPr="00543963">
        <w:rPr>
          <w:rFonts w:ascii="Arial" w:hAnsi="Arial" w:cs="Arial"/>
        </w:rPr>
        <w:t>were applied to ensure relevance to the research question. The use of multiple structured search strings enhances transparency and reproducibility in systematic reviews (Page et al., 2021; Moher et al., 2009).</w:t>
      </w:r>
    </w:p>
    <w:p w14:paraId="4E28F1B6" w14:textId="60931194" w:rsidR="00B730A2" w:rsidRPr="00543963" w:rsidRDefault="00B730A2" w:rsidP="00543963">
      <w:pPr>
        <w:pStyle w:val="Heading2"/>
        <w:rPr>
          <w:rFonts w:ascii="Arial" w:hAnsi="Arial" w:cs="Arial"/>
          <w:b/>
          <w:bCs/>
          <w:sz w:val="24"/>
          <w:szCs w:val="24"/>
        </w:rPr>
      </w:pPr>
      <w:bookmarkStart w:id="39" w:name="_Toc232034620"/>
      <w:r w:rsidRPr="00543963">
        <w:rPr>
          <w:rFonts w:ascii="Arial" w:hAnsi="Arial" w:cs="Arial"/>
          <w:b/>
          <w:bCs/>
          <w:sz w:val="24"/>
          <w:szCs w:val="24"/>
        </w:rPr>
        <w:t>3.5 Inclusion and Exclusion Criteria</w:t>
      </w:r>
      <w:bookmarkEnd w:id="39"/>
      <w:r w:rsidRPr="00543963">
        <w:rPr>
          <w:rFonts w:ascii="Arial" w:hAnsi="Arial" w:cs="Arial"/>
          <w:b/>
          <w:bCs/>
          <w:sz w:val="24"/>
          <w:szCs w:val="24"/>
        </w:rPr>
        <w:t xml:space="preserve"> </w:t>
      </w:r>
    </w:p>
    <w:p w14:paraId="0552479B" w14:textId="630B12DB" w:rsidR="000178E2" w:rsidRPr="000178E2" w:rsidRDefault="000178E2" w:rsidP="000178E2">
      <w:pPr>
        <w:pStyle w:val="Caption"/>
        <w:keepNext/>
        <w:rPr>
          <w:rFonts w:ascii="Arial" w:hAnsi="Arial" w:cs="Arial"/>
          <w:i w:val="0"/>
          <w:iCs w:val="0"/>
          <w:sz w:val="16"/>
          <w:szCs w:val="16"/>
        </w:rPr>
      </w:pPr>
      <w:bookmarkStart w:id="40" w:name="_Toc231944275"/>
      <w:r w:rsidRPr="000178E2">
        <w:rPr>
          <w:rFonts w:ascii="Arial" w:hAnsi="Arial" w:cs="Arial"/>
          <w:i w:val="0"/>
          <w:iCs w:val="0"/>
          <w:sz w:val="20"/>
          <w:szCs w:val="20"/>
        </w:rPr>
        <w:t xml:space="preserve">Table </w:t>
      </w:r>
      <w:r w:rsidRPr="000178E2">
        <w:rPr>
          <w:rFonts w:ascii="Arial" w:hAnsi="Arial" w:cs="Arial"/>
          <w:i w:val="0"/>
          <w:iCs w:val="0"/>
          <w:sz w:val="20"/>
          <w:szCs w:val="20"/>
        </w:rPr>
        <w:fldChar w:fldCharType="begin"/>
      </w:r>
      <w:r w:rsidRPr="000178E2">
        <w:rPr>
          <w:rFonts w:ascii="Arial" w:hAnsi="Arial" w:cs="Arial"/>
          <w:i w:val="0"/>
          <w:iCs w:val="0"/>
          <w:sz w:val="20"/>
          <w:szCs w:val="20"/>
        </w:rPr>
        <w:instrText xml:space="preserve"> SEQ Table \* ARABIC </w:instrText>
      </w:r>
      <w:r w:rsidRPr="000178E2">
        <w:rPr>
          <w:rFonts w:ascii="Arial" w:hAnsi="Arial" w:cs="Arial"/>
          <w:i w:val="0"/>
          <w:iCs w:val="0"/>
          <w:sz w:val="20"/>
          <w:szCs w:val="20"/>
        </w:rPr>
        <w:fldChar w:fldCharType="separate"/>
      </w:r>
      <w:r>
        <w:rPr>
          <w:rFonts w:ascii="Arial" w:hAnsi="Arial" w:cs="Arial"/>
          <w:i w:val="0"/>
          <w:iCs w:val="0"/>
          <w:noProof/>
          <w:sz w:val="20"/>
          <w:szCs w:val="20"/>
        </w:rPr>
        <w:t>1</w:t>
      </w:r>
      <w:r w:rsidRPr="000178E2">
        <w:rPr>
          <w:rFonts w:ascii="Arial" w:hAnsi="Arial" w:cs="Arial"/>
          <w:i w:val="0"/>
          <w:iCs w:val="0"/>
          <w:sz w:val="20"/>
          <w:szCs w:val="20"/>
        </w:rPr>
        <w:fldChar w:fldCharType="end"/>
      </w:r>
      <w:r w:rsidRPr="000178E2">
        <w:rPr>
          <w:rFonts w:ascii="Arial" w:hAnsi="Arial" w:cs="Arial"/>
          <w:i w:val="0"/>
          <w:iCs w:val="0"/>
          <w:sz w:val="20"/>
          <w:szCs w:val="20"/>
          <w:lang w:val="en-US"/>
        </w:rPr>
        <w:t xml:space="preserve"> Inclusion-exclusion Criteria</w:t>
      </w:r>
      <w:bookmarkEnd w:id="40"/>
    </w:p>
    <w:tbl>
      <w:tblPr>
        <w:tblStyle w:val="TableGrid"/>
        <w:tblW w:w="9360" w:type="dxa"/>
        <w:tblLook w:val="04A0" w:firstRow="1" w:lastRow="0" w:firstColumn="1" w:lastColumn="0" w:noHBand="0" w:noVBand="1"/>
      </w:tblPr>
      <w:tblGrid>
        <w:gridCol w:w="1644"/>
        <w:gridCol w:w="4559"/>
        <w:gridCol w:w="3157"/>
      </w:tblGrid>
      <w:tr w:rsidR="00E15ECD" w:rsidRPr="00543963" w14:paraId="6AEEDD2C" w14:textId="77777777" w:rsidTr="00E15ECD">
        <w:tc>
          <w:tcPr>
            <w:tcW w:w="0" w:type="auto"/>
            <w:hideMark/>
          </w:tcPr>
          <w:p w14:paraId="34A35DF8" w14:textId="77777777" w:rsidR="00E15ECD" w:rsidRPr="00543963" w:rsidRDefault="00E15ECD" w:rsidP="00E15ECD">
            <w:pPr>
              <w:spacing w:after="160" w:line="360" w:lineRule="auto"/>
              <w:jc w:val="both"/>
              <w:rPr>
                <w:rFonts w:ascii="Arial" w:hAnsi="Arial" w:cs="Arial"/>
                <w:b/>
                <w:bCs/>
              </w:rPr>
            </w:pPr>
            <w:r w:rsidRPr="00543963">
              <w:rPr>
                <w:rFonts w:ascii="Arial" w:hAnsi="Arial" w:cs="Arial"/>
                <w:b/>
                <w:bCs/>
              </w:rPr>
              <w:t>Criteria</w:t>
            </w:r>
          </w:p>
        </w:tc>
        <w:tc>
          <w:tcPr>
            <w:tcW w:w="0" w:type="auto"/>
            <w:hideMark/>
          </w:tcPr>
          <w:p w14:paraId="7A58BF84" w14:textId="77777777" w:rsidR="00E15ECD" w:rsidRPr="00543963" w:rsidRDefault="00E15ECD" w:rsidP="00E15ECD">
            <w:pPr>
              <w:spacing w:after="160" w:line="360" w:lineRule="auto"/>
              <w:jc w:val="both"/>
              <w:rPr>
                <w:rFonts w:ascii="Arial" w:hAnsi="Arial" w:cs="Arial"/>
                <w:b/>
                <w:bCs/>
              </w:rPr>
            </w:pPr>
            <w:r w:rsidRPr="00543963">
              <w:rPr>
                <w:rFonts w:ascii="Arial" w:hAnsi="Arial" w:cs="Arial"/>
                <w:b/>
                <w:bCs/>
              </w:rPr>
              <w:t>Inclusion</w:t>
            </w:r>
          </w:p>
        </w:tc>
        <w:tc>
          <w:tcPr>
            <w:tcW w:w="0" w:type="auto"/>
            <w:hideMark/>
          </w:tcPr>
          <w:p w14:paraId="39B835A5" w14:textId="77777777" w:rsidR="00E15ECD" w:rsidRPr="00543963" w:rsidRDefault="00E15ECD" w:rsidP="00E15ECD">
            <w:pPr>
              <w:spacing w:after="160" w:line="360" w:lineRule="auto"/>
              <w:jc w:val="both"/>
              <w:rPr>
                <w:rFonts w:ascii="Arial" w:hAnsi="Arial" w:cs="Arial"/>
                <w:b/>
                <w:bCs/>
              </w:rPr>
            </w:pPr>
            <w:r w:rsidRPr="00543963">
              <w:rPr>
                <w:rFonts w:ascii="Arial" w:hAnsi="Arial" w:cs="Arial"/>
                <w:b/>
                <w:bCs/>
              </w:rPr>
              <w:t>Exclusion</w:t>
            </w:r>
          </w:p>
        </w:tc>
      </w:tr>
      <w:tr w:rsidR="00E15ECD" w:rsidRPr="00543963" w14:paraId="04D78B18" w14:textId="77777777" w:rsidTr="00E15ECD">
        <w:tc>
          <w:tcPr>
            <w:tcW w:w="0" w:type="auto"/>
            <w:hideMark/>
          </w:tcPr>
          <w:p w14:paraId="68A7BFD7" w14:textId="77777777" w:rsidR="00E15ECD" w:rsidRPr="00543963" w:rsidRDefault="00E15ECD" w:rsidP="00E15ECD">
            <w:pPr>
              <w:spacing w:after="160" w:line="360" w:lineRule="auto"/>
              <w:jc w:val="both"/>
              <w:rPr>
                <w:rFonts w:ascii="Arial" w:hAnsi="Arial" w:cs="Arial"/>
                <w:b/>
                <w:bCs/>
              </w:rPr>
            </w:pPr>
            <w:r w:rsidRPr="00543963">
              <w:rPr>
                <w:rFonts w:ascii="Arial" w:hAnsi="Arial" w:cs="Arial"/>
                <w:b/>
                <w:bCs/>
              </w:rPr>
              <w:t>Population</w:t>
            </w:r>
          </w:p>
        </w:tc>
        <w:tc>
          <w:tcPr>
            <w:tcW w:w="0" w:type="auto"/>
            <w:hideMark/>
          </w:tcPr>
          <w:p w14:paraId="067799D0" w14:textId="77777777" w:rsidR="00E15ECD" w:rsidRPr="00543963" w:rsidRDefault="00E15ECD" w:rsidP="00E15ECD">
            <w:pPr>
              <w:spacing w:after="160" w:line="360" w:lineRule="auto"/>
              <w:jc w:val="both"/>
              <w:rPr>
                <w:rFonts w:ascii="Arial" w:hAnsi="Arial" w:cs="Arial"/>
              </w:rPr>
            </w:pPr>
            <w:r w:rsidRPr="00543963">
              <w:rPr>
                <w:rFonts w:ascii="Arial" w:hAnsi="Arial" w:cs="Arial"/>
              </w:rPr>
              <w:t>Older adults, individuals at risk of dementia, people with Mild Cognitive Impairment (MCI), or dementia populations aged approximately 50 years and above</w:t>
            </w:r>
          </w:p>
        </w:tc>
        <w:tc>
          <w:tcPr>
            <w:tcW w:w="0" w:type="auto"/>
            <w:hideMark/>
          </w:tcPr>
          <w:p w14:paraId="355479F5" w14:textId="77777777" w:rsidR="00E15ECD" w:rsidRPr="00543963" w:rsidRDefault="00E15ECD" w:rsidP="00E15ECD">
            <w:pPr>
              <w:spacing w:after="160" w:line="360" w:lineRule="auto"/>
              <w:jc w:val="both"/>
              <w:rPr>
                <w:rFonts w:ascii="Arial" w:hAnsi="Arial" w:cs="Arial"/>
              </w:rPr>
            </w:pPr>
            <w:r w:rsidRPr="00543963">
              <w:rPr>
                <w:rFonts w:ascii="Arial" w:hAnsi="Arial" w:cs="Arial"/>
              </w:rPr>
              <w:t>Studies focusing primarily on younger populations</w:t>
            </w:r>
          </w:p>
        </w:tc>
      </w:tr>
      <w:tr w:rsidR="00E15ECD" w:rsidRPr="00543963" w14:paraId="021D6006" w14:textId="77777777" w:rsidTr="00E15ECD">
        <w:tc>
          <w:tcPr>
            <w:tcW w:w="0" w:type="auto"/>
            <w:hideMark/>
          </w:tcPr>
          <w:p w14:paraId="5BFFB816" w14:textId="77777777" w:rsidR="00E15ECD" w:rsidRPr="00543963" w:rsidRDefault="00E15ECD" w:rsidP="00E15ECD">
            <w:pPr>
              <w:spacing w:after="160" w:line="360" w:lineRule="auto"/>
              <w:jc w:val="both"/>
              <w:rPr>
                <w:rFonts w:ascii="Arial" w:hAnsi="Arial" w:cs="Arial"/>
                <w:b/>
                <w:bCs/>
              </w:rPr>
            </w:pPr>
            <w:r w:rsidRPr="00543963">
              <w:rPr>
                <w:rFonts w:ascii="Arial" w:hAnsi="Arial" w:cs="Arial"/>
                <w:b/>
                <w:bCs/>
              </w:rPr>
              <w:t>Topic</w:t>
            </w:r>
          </w:p>
        </w:tc>
        <w:tc>
          <w:tcPr>
            <w:tcW w:w="0" w:type="auto"/>
            <w:hideMark/>
          </w:tcPr>
          <w:p w14:paraId="7C460FD0" w14:textId="77777777" w:rsidR="00E15ECD" w:rsidRPr="00543963" w:rsidRDefault="00E15ECD" w:rsidP="00E15ECD">
            <w:pPr>
              <w:spacing w:after="160" w:line="360" w:lineRule="auto"/>
              <w:jc w:val="both"/>
              <w:rPr>
                <w:rFonts w:ascii="Arial" w:hAnsi="Arial" w:cs="Arial"/>
              </w:rPr>
            </w:pPr>
            <w:r w:rsidRPr="00543963">
              <w:rPr>
                <w:rFonts w:ascii="Arial" w:hAnsi="Arial" w:cs="Arial"/>
              </w:rPr>
              <w:t>Digital health technologies, digital interventions, digital engagement, cognitive health, or dementia prevention</w:t>
            </w:r>
          </w:p>
        </w:tc>
        <w:tc>
          <w:tcPr>
            <w:tcW w:w="0" w:type="auto"/>
            <w:hideMark/>
          </w:tcPr>
          <w:p w14:paraId="26D98704" w14:textId="77777777" w:rsidR="00E15ECD" w:rsidRPr="00543963" w:rsidRDefault="00E15ECD" w:rsidP="00E15ECD">
            <w:pPr>
              <w:spacing w:after="160" w:line="360" w:lineRule="auto"/>
              <w:jc w:val="both"/>
              <w:rPr>
                <w:rFonts w:ascii="Arial" w:hAnsi="Arial" w:cs="Arial"/>
              </w:rPr>
            </w:pPr>
            <w:r w:rsidRPr="00543963">
              <w:rPr>
                <w:rFonts w:ascii="Arial" w:hAnsi="Arial" w:cs="Arial"/>
              </w:rPr>
              <w:t>Studies unrelated to dementia prevention, cognitive health, or digital health technologies</w:t>
            </w:r>
          </w:p>
        </w:tc>
      </w:tr>
      <w:tr w:rsidR="00E15ECD" w:rsidRPr="00543963" w14:paraId="3CB72E3A" w14:textId="77777777" w:rsidTr="00E15ECD">
        <w:tc>
          <w:tcPr>
            <w:tcW w:w="0" w:type="auto"/>
            <w:hideMark/>
          </w:tcPr>
          <w:p w14:paraId="3BF9892B" w14:textId="77777777" w:rsidR="00E15ECD" w:rsidRPr="00543963" w:rsidRDefault="00E15ECD" w:rsidP="00E15ECD">
            <w:pPr>
              <w:spacing w:after="160" w:line="360" w:lineRule="auto"/>
              <w:jc w:val="both"/>
              <w:rPr>
                <w:rFonts w:ascii="Arial" w:hAnsi="Arial" w:cs="Arial"/>
                <w:b/>
                <w:bCs/>
              </w:rPr>
            </w:pPr>
            <w:r w:rsidRPr="00543963">
              <w:rPr>
                <w:rFonts w:ascii="Arial" w:hAnsi="Arial" w:cs="Arial"/>
                <w:b/>
                <w:bCs/>
              </w:rPr>
              <w:t>Study Type</w:t>
            </w:r>
          </w:p>
        </w:tc>
        <w:tc>
          <w:tcPr>
            <w:tcW w:w="0" w:type="auto"/>
            <w:hideMark/>
          </w:tcPr>
          <w:p w14:paraId="6F0FF8EF" w14:textId="77777777" w:rsidR="00E15ECD" w:rsidRPr="00543963" w:rsidRDefault="00E15ECD" w:rsidP="00E15ECD">
            <w:pPr>
              <w:spacing w:after="160" w:line="360" w:lineRule="auto"/>
              <w:jc w:val="both"/>
              <w:rPr>
                <w:rFonts w:ascii="Arial" w:hAnsi="Arial" w:cs="Arial"/>
              </w:rPr>
            </w:pPr>
            <w:r w:rsidRPr="00543963">
              <w:rPr>
                <w:rFonts w:ascii="Arial" w:hAnsi="Arial" w:cs="Arial"/>
              </w:rPr>
              <w:t>Peer-reviewed empirical studies, intervention studies, observational studies, reviews, evidence syntheses, and protocol studies</w:t>
            </w:r>
          </w:p>
        </w:tc>
        <w:tc>
          <w:tcPr>
            <w:tcW w:w="0" w:type="auto"/>
            <w:hideMark/>
          </w:tcPr>
          <w:p w14:paraId="52CDD026" w14:textId="77777777" w:rsidR="00E15ECD" w:rsidRPr="00543963" w:rsidRDefault="00E15ECD" w:rsidP="00E15ECD">
            <w:pPr>
              <w:spacing w:after="160" w:line="360" w:lineRule="auto"/>
              <w:jc w:val="both"/>
              <w:rPr>
                <w:rFonts w:ascii="Arial" w:hAnsi="Arial" w:cs="Arial"/>
              </w:rPr>
            </w:pPr>
            <w:r w:rsidRPr="00543963">
              <w:rPr>
                <w:rFonts w:ascii="Arial" w:hAnsi="Arial" w:cs="Arial"/>
              </w:rPr>
              <w:t>Non-peer-reviewed publications, editorials, opinion papers, conference commentaries</w:t>
            </w:r>
          </w:p>
        </w:tc>
      </w:tr>
      <w:tr w:rsidR="00E15ECD" w:rsidRPr="00543963" w14:paraId="08E1E6EB" w14:textId="77777777" w:rsidTr="00E15ECD">
        <w:tc>
          <w:tcPr>
            <w:tcW w:w="0" w:type="auto"/>
            <w:hideMark/>
          </w:tcPr>
          <w:p w14:paraId="5A753A8A" w14:textId="77777777" w:rsidR="00E15ECD" w:rsidRPr="00543963" w:rsidRDefault="00E15ECD" w:rsidP="00E15ECD">
            <w:pPr>
              <w:spacing w:after="160" w:line="360" w:lineRule="auto"/>
              <w:jc w:val="both"/>
              <w:rPr>
                <w:rFonts w:ascii="Arial" w:hAnsi="Arial" w:cs="Arial"/>
                <w:b/>
                <w:bCs/>
              </w:rPr>
            </w:pPr>
            <w:r w:rsidRPr="00543963">
              <w:rPr>
                <w:rFonts w:ascii="Arial" w:hAnsi="Arial" w:cs="Arial"/>
                <w:b/>
                <w:bCs/>
              </w:rPr>
              <w:lastRenderedPageBreak/>
              <w:t>Language</w:t>
            </w:r>
          </w:p>
        </w:tc>
        <w:tc>
          <w:tcPr>
            <w:tcW w:w="0" w:type="auto"/>
            <w:hideMark/>
          </w:tcPr>
          <w:p w14:paraId="5E53A74F" w14:textId="77777777" w:rsidR="00E15ECD" w:rsidRPr="00543963" w:rsidRDefault="00E15ECD" w:rsidP="00E15ECD">
            <w:pPr>
              <w:spacing w:after="160" w:line="360" w:lineRule="auto"/>
              <w:jc w:val="both"/>
              <w:rPr>
                <w:rFonts w:ascii="Arial" w:hAnsi="Arial" w:cs="Arial"/>
              </w:rPr>
            </w:pPr>
            <w:r w:rsidRPr="00543963">
              <w:rPr>
                <w:rFonts w:ascii="Arial" w:hAnsi="Arial" w:cs="Arial"/>
              </w:rPr>
              <w:t>English-language publications</w:t>
            </w:r>
          </w:p>
        </w:tc>
        <w:tc>
          <w:tcPr>
            <w:tcW w:w="0" w:type="auto"/>
            <w:hideMark/>
          </w:tcPr>
          <w:p w14:paraId="4A46601C" w14:textId="77777777" w:rsidR="00E15ECD" w:rsidRPr="00543963" w:rsidRDefault="00E15ECD" w:rsidP="00E15ECD">
            <w:pPr>
              <w:spacing w:after="160" w:line="360" w:lineRule="auto"/>
              <w:jc w:val="both"/>
              <w:rPr>
                <w:rFonts w:ascii="Arial" w:hAnsi="Arial" w:cs="Arial"/>
              </w:rPr>
            </w:pPr>
            <w:r w:rsidRPr="00543963">
              <w:rPr>
                <w:rFonts w:ascii="Arial" w:hAnsi="Arial" w:cs="Arial"/>
              </w:rPr>
              <w:t>Non-English publications</w:t>
            </w:r>
          </w:p>
        </w:tc>
      </w:tr>
      <w:tr w:rsidR="00E15ECD" w:rsidRPr="00543963" w14:paraId="4DE1FD0E" w14:textId="77777777" w:rsidTr="00E15ECD">
        <w:tc>
          <w:tcPr>
            <w:tcW w:w="0" w:type="auto"/>
            <w:hideMark/>
          </w:tcPr>
          <w:p w14:paraId="5D64898E" w14:textId="77777777" w:rsidR="00E15ECD" w:rsidRPr="00543963" w:rsidRDefault="00E15ECD" w:rsidP="00E15ECD">
            <w:pPr>
              <w:spacing w:after="160" w:line="360" w:lineRule="auto"/>
              <w:jc w:val="both"/>
              <w:rPr>
                <w:rFonts w:ascii="Arial" w:hAnsi="Arial" w:cs="Arial"/>
                <w:b/>
                <w:bCs/>
              </w:rPr>
            </w:pPr>
            <w:r w:rsidRPr="00543963">
              <w:rPr>
                <w:rFonts w:ascii="Arial" w:hAnsi="Arial" w:cs="Arial"/>
                <w:b/>
                <w:bCs/>
              </w:rPr>
              <w:t>Publication Date</w:t>
            </w:r>
          </w:p>
        </w:tc>
        <w:tc>
          <w:tcPr>
            <w:tcW w:w="0" w:type="auto"/>
            <w:hideMark/>
          </w:tcPr>
          <w:p w14:paraId="74FDF1A9" w14:textId="77777777" w:rsidR="00E15ECD" w:rsidRPr="00543963" w:rsidRDefault="00E15ECD" w:rsidP="00E15ECD">
            <w:pPr>
              <w:spacing w:after="160" w:line="360" w:lineRule="auto"/>
              <w:jc w:val="both"/>
              <w:rPr>
                <w:rFonts w:ascii="Arial" w:hAnsi="Arial" w:cs="Arial"/>
              </w:rPr>
            </w:pPr>
            <w:r w:rsidRPr="00543963">
              <w:rPr>
                <w:rFonts w:ascii="Arial" w:hAnsi="Arial" w:cs="Arial"/>
              </w:rPr>
              <w:t>Studies published between 2015 and 2025</w:t>
            </w:r>
          </w:p>
        </w:tc>
        <w:tc>
          <w:tcPr>
            <w:tcW w:w="0" w:type="auto"/>
            <w:hideMark/>
          </w:tcPr>
          <w:p w14:paraId="4D2CE1DF" w14:textId="77777777" w:rsidR="00E15ECD" w:rsidRPr="00543963" w:rsidRDefault="00E15ECD" w:rsidP="00E15ECD">
            <w:pPr>
              <w:spacing w:after="160" w:line="360" w:lineRule="auto"/>
              <w:jc w:val="both"/>
              <w:rPr>
                <w:rFonts w:ascii="Arial" w:hAnsi="Arial" w:cs="Arial"/>
              </w:rPr>
            </w:pPr>
            <w:r w:rsidRPr="00543963">
              <w:rPr>
                <w:rFonts w:ascii="Arial" w:hAnsi="Arial" w:cs="Arial"/>
              </w:rPr>
              <w:t>Studies published before 2015 or after 2025</w:t>
            </w:r>
          </w:p>
        </w:tc>
      </w:tr>
      <w:tr w:rsidR="00E15ECD" w:rsidRPr="00543963" w14:paraId="14A38FEF" w14:textId="77777777" w:rsidTr="00E15ECD">
        <w:tc>
          <w:tcPr>
            <w:tcW w:w="0" w:type="auto"/>
            <w:hideMark/>
          </w:tcPr>
          <w:p w14:paraId="71B5E224" w14:textId="77777777" w:rsidR="00E15ECD" w:rsidRPr="00543963" w:rsidRDefault="00E15ECD" w:rsidP="00E15ECD">
            <w:pPr>
              <w:spacing w:after="160" w:line="360" w:lineRule="auto"/>
              <w:jc w:val="both"/>
              <w:rPr>
                <w:rFonts w:ascii="Arial" w:hAnsi="Arial" w:cs="Arial"/>
                <w:b/>
                <w:bCs/>
              </w:rPr>
            </w:pPr>
            <w:r w:rsidRPr="00543963">
              <w:rPr>
                <w:rFonts w:ascii="Arial" w:hAnsi="Arial" w:cs="Arial"/>
                <w:b/>
                <w:bCs/>
              </w:rPr>
              <w:t>Accessibility</w:t>
            </w:r>
          </w:p>
        </w:tc>
        <w:tc>
          <w:tcPr>
            <w:tcW w:w="0" w:type="auto"/>
            <w:hideMark/>
          </w:tcPr>
          <w:p w14:paraId="69B17A09" w14:textId="77777777" w:rsidR="00E15ECD" w:rsidRPr="00543963" w:rsidRDefault="00E15ECD" w:rsidP="00E15ECD">
            <w:pPr>
              <w:spacing w:after="160" w:line="360" w:lineRule="auto"/>
              <w:jc w:val="both"/>
              <w:rPr>
                <w:rFonts w:ascii="Arial" w:hAnsi="Arial" w:cs="Arial"/>
              </w:rPr>
            </w:pPr>
            <w:r w:rsidRPr="00543963">
              <w:rPr>
                <w:rFonts w:ascii="Arial" w:hAnsi="Arial" w:cs="Arial"/>
              </w:rPr>
              <w:t>Full-text articles available</w:t>
            </w:r>
          </w:p>
        </w:tc>
        <w:tc>
          <w:tcPr>
            <w:tcW w:w="0" w:type="auto"/>
            <w:hideMark/>
          </w:tcPr>
          <w:p w14:paraId="58A387F4" w14:textId="77777777" w:rsidR="00E15ECD" w:rsidRPr="00543963" w:rsidRDefault="00E15ECD" w:rsidP="00E15ECD">
            <w:pPr>
              <w:spacing w:after="160" w:line="360" w:lineRule="auto"/>
              <w:jc w:val="both"/>
              <w:rPr>
                <w:rFonts w:ascii="Arial" w:hAnsi="Arial" w:cs="Arial"/>
              </w:rPr>
            </w:pPr>
            <w:r w:rsidRPr="00543963">
              <w:rPr>
                <w:rFonts w:ascii="Arial" w:hAnsi="Arial" w:cs="Arial"/>
              </w:rPr>
              <w:t>Articles without full-text access</w:t>
            </w:r>
          </w:p>
        </w:tc>
      </w:tr>
    </w:tbl>
    <w:p w14:paraId="75FB89D8" w14:textId="457D8A96" w:rsidR="00CC45B9" w:rsidRPr="00543963" w:rsidRDefault="00F574F4" w:rsidP="00BB400C">
      <w:pPr>
        <w:spacing w:line="360" w:lineRule="auto"/>
        <w:jc w:val="both"/>
        <w:rPr>
          <w:rFonts w:ascii="Arial" w:hAnsi="Arial" w:cs="Arial"/>
        </w:rPr>
      </w:pPr>
      <w:r w:rsidRPr="00F574F4">
        <w:rPr>
          <w:rFonts w:ascii="Arial" w:hAnsi="Arial" w:cs="Arial"/>
        </w:rPr>
        <w:t>The inclusion and exclusion criteria ensured the selection of relevant, current, and</w:t>
      </w:r>
      <w:r>
        <w:rPr>
          <w:rFonts w:ascii="Arial" w:hAnsi="Arial" w:cs="Arial"/>
        </w:rPr>
        <w:t xml:space="preserve"> </w:t>
      </w:r>
      <w:r w:rsidR="00CC45B9" w:rsidRPr="00543963">
        <w:rPr>
          <w:rFonts w:ascii="Arial" w:hAnsi="Arial" w:cs="Arial"/>
        </w:rPr>
        <w:t>of sufficient academic quality to address the research objectives (Snyder, 2019; Booth et al., 2016).</w:t>
      </w:r>
    </w:p>
    <w:p w14:paraId="3A6A0DFD" w14:textId="180FB91E" w:rsidR="00B730A2" w:rsidRPr="00543963" w:rsidRDefault="00B730A2" w:rsidP="00543963">
      <w:pPr>
        <w:pStyle w:val="Heading2"/>
        <w:rPr>
          <w:rFonts w:ascii="Arial" w:hAnsi="Arial" w:cs="Arial"/>
          <w:b/>
          <w:bCs/>
          <w:sz w:val="24"/>
          <w:szCs w:val="24"/>
        </w:rPr>
      </w:pPr>
      <w:bookmarkStart w:id="41" w:name="_Toc232034621"/>
      <w:r w:rsidRPr="00543963">
        <w:rPr>
          <w:rFonts w:ascii="Arial" w:hAnsi="Arial" w:cs="Arial"/>
          <w:b/>
          <w:bCs/>
          <w:sz w:val="24"/>
          <w:szCs w:val="24"/>
        </w:rPr>
        <w:t xml:space="preserve">3.6 Study </w:t>
      </w:r>
      <w:r w:rsidR="008A2500" w:rsidRPr="00543963">
        <w:rPr>
          <w:rFonts w:ascii="Arial" w:hAnsi="Arial" w:cs="Arial"/>
          <w:b/>
          <w:bCs/>
          <w:sz w:val="24"/>
          <w:szCs w:val="24"/>
        </w:rPr>
        <w:t xml:space="preserve">Screening and </w:t>
      </w:r>
      <w:r w:rsidRPr="00543963">
        <w:rPr>
          <w:rFonts w:ascii="Arial" w:hAnsi="Arial" w:cs="Arial"/>
          <w:b/>
          <w:bCs/>
          <w:sz w:val="24"/>
          <w:szCs w:val="24"/>
        </w:rPr>
        <w:t>Selection Process</w:t>
      </w:r>
      <w:bookmarkEnd w:id="41"/>
      <w:r w:rsidRPr="00543963">
        <w:rPr>
          <w:rFonts w:ascii="Arial" w:hAnsi="Arial" w:cs="Arial"/>
          <w:b/>
          <w:bCs/>
          <w:sz w:val="24"/>
          <w:szCs w:val="24"/>
        </w:rPr>
        <w:t xml:space="preserve"> </w:t>
      </w:r>
    </w:p>
    <w:p w14:paraId="7413C979" w14:textId="77777777" w:rsidR="0089675C" w:rsidRPr="00543963" w:rsidRDefault="0089675C" w:rsidP="00BB400C">
      <w:pPr>
        <w:spacing w:line="360" w:lineRule="auto"/>
        <w:jc w:val="both"/>
        <w:rPr>
          <w:rFonts w:ascii="Arial" w:hAnsi="Arial" w:cs="Arial"/>
        </w:rPr>
      </w:pPr>
      <w:r w:rsidRPr="00543963">
        <w:rPr>
          <w:rFonts w:ascii="Arial" w:hAnsi="Arial" w:cs="Arial"/>
        </w:rPr>
        <w:t>A total of 684 records were initially identified across all databases during the search process, reflecting the broad and interdisciplinary nature of digital health and dementia-related research (Page et al., 2021). After removing 146 duplicate records, 538 unique studies remained for screening, ensuring that only original sources were assessed (Moher et al., 2009).</w:t>
      </w:r>
    </w:p>
    <w:p w14:paraId="36251C12" w14:textId="3F0D959E" w:rsidR="0089675C" w:rsidRPr="00543963" w:rsidRDefault="00F574F4" w:rsidP="00BB400C">
      <w:pPr>
        <w:spacing w:line="360" w:lineRule="auto"/>
        <w:jc w:val="both"/>
        <w:rPr>
          <w:rFonts w:ascii="Arial" w:hAnsi="Arial" w:cs="Arial"/>
        </w:rPr>
      </w:pPr>
      <w:r w:rsidRPr="00F574F4">
        <w:rPr>
          <w:rFonts w:ascii="Arial" w:hAnsi="Arial" w:cs="Arial"/>
        </w:rPr>
        <w:t>During title and abstract screening, 472 studies were excluded for failing to meet the inclusion criteria</w:t>
      </w:r>
      <w:r w:rsidR="0089675C" w:rsidRPr="00543963">
        <w:rPr>
          <w:rFonts w:ascii="Arial" w:hAnsi="Arial" w:cs="Arial"/>
        </w:rPr>
        <w:t>, such as focusing on non-digital interventions, younger populations, unrelated health conditions, or lacking relevance to dementia prevention (Snyder, 2019). This left 66 full-text articles for detailed eligibility assessment, allowing for a more rigorous evaluation of methodological relevance and quality (Booth et al., 2016).</w:t>
      </w:r>
    </w:p>
    <w:p w14:paraId="48B2B4C8" w14:textId="1EE1A98D" w:rsidR="0089675C" w:rsidRPr="00543963" w:rsidRDefault="0089675C" w:rsidP="00BB400C">
      <w:pPr>
        <w:spacing w:line="360" w:lineRule="auto"/>
        <w:jc w:val="both"/>
        <w:rPr>
          <w:rFonts w:ascii="Arial" w:hAnsi="Arial" w:cs="Arial"/>
        </w:rPr>
      </w:pPr>
      <w:r w:rsidRPr="00543963">
        <w:rPr>
          <w:rFonts w:ascii="Arial" w:hAnsi="Arial" w:cs="Arial"/>
        </w:rPr>
        <w:t xml:space="preserve">Following full-text review, </w:t>
      </w:r>
      <w:r w:rsidR="005C14E5" w:rsidRPr="00543963">
        <w:rPr>
          <w:rFonts w:ascii="Arial" w:hAnsi="Arial" w:cs="Arial"/>
        </w:rPr>
        <w:t>50</w:t>
      </w:r>
      <w:r w:rsidRPr="00543963">
        <w:rPr>
          <w:rFonts w:ascii="Arial" w:hAnsi="Arial" w:cs="Arial"/>
        </w:rPr>
        <w:t xml:space="preserve"> studies were excluded for reasons including insufficient focus on older adults, absence of digital health components, lack of dementia-related outcomes, duplication of findings, or unavailability of full-text access (Petticrew and Roberts, 2006).</w:t>
      </w:r>
    </w:p>
    <w:p w14:paraId="477D207C" w14:textId="10A69E02" w:rsidR="008B5723" w:rsidRPr="00543963" w:rsidRDefault="008B5723" w:rsidP="008B5723">
      <w:pPr>
        <w:spacing w:line="360" w:lineRule="auto"/>
        <w:jc w:val="both"/>
        <w:rPr>
          <w:rFonts w:ascii="Arial" w:hAnsi="Arial" w:cs="Arial"/>
        </w:rPr>
      </w:pPr>
      <w:r w:rsidRPr="00543963">
        <w:rPr>
          <w:rFonts w:ascii="Arial" w:hAnsi="Arial" w:cs="Arial"/>
        </w:rPr>
        <w:t xml:space="preserve">The final 16 studies examined a range of digital health interventions, including lifestyle programmes, telehealth, mHealth applications, cognitive training, digital monitoring, and technology-supported care, providing evidence on engagement, barriers, facilitators, and dementia prevention outcomes among older adults (Grant and Booth, 2009). This multi-stage selection process aligns with the PRISMA framework, which emphasises transparency, replicability, and systematic reporting in literature reviews (Moher et al., 2009; Page et al., 2021). A PRISMA flow diagram </w:t>
      </w:r>
      <w:r w:rsidR="00F574F4" w:rsidRPr="00F574F4">
        <w:rPr>
          <w:rFonts w:ascii="Arial" w:hAnsi="Arial" w:cs="Arial"/>
        </w:rPr>
        <w:t xml:space="preserve">illustrates </w:t>
      </w:r>
      <w:r w:rsidRPr="00543963">
        <w:rPr>
          <w:rFonts w:ascii="Arial" w:hAnsi="Arial" w:cs="Arial"/>
        </w:rPr>
        <w:t xml:space="preserve">summarises </w:t>
      </w:r>
      <w:r w:rsidR="00F574F4" w:rsidRPr="00F574F4">
        <w:rPr>
          <w:rFonts w:ascii="Arial" w:hAnsi="Arial" w:cs="Arial"/>
        </w:rPr>
        <w:t>the study screening and selection process</w:t>
      </w:r>
      <w:r w:rsidRPr="00543963">
        <w:rPr>
          <w:rFonts w:ascii="Arial" w:hAnsi="Arial" w:cs="Arial"/>
        </w:rPr>
        <w:t>, demonstrating how the final sample of 16 studies was derived.</w:t>
      </w:r>
    </w:p>
    <w:p w14:paraId="454D748D" w14:textId="77777777" w:rsidR="008B5723" w:rsidRPr="00543963" w:rsidRDefault="008B5723" w:rsidP="00BB400C">
      <w:pPr>
        <w:spacing w:line="360" w:lineRule="auto"/>
        <w:jc w:val="both"/>
        <w:rPr>
          <w:rFonts w:ascii="Arial" w:hAnsi="Arial" w:cs="Arial"/>
        </w:rPr>
      </w:pPr>
    </w:p>
    <w:p w14:paraId="02CD46C7" w14:textId="77777777" w:rsidR="00890F44" w:rsidRDefault="005C14E5" w:rsidP="00890F44">
      <w:pPr>
        <w:keepNext/>
        <w:spacing w:line="360" w:lineRule="auto"/>
        <w:jc w:val="both"/>
      </w:pPr>
      <w:r w:rsidRPr="00543963">
        <w:rPr>
          <w:rFonts w:ascii="Arial" w:hAnsi="Arial" w:cs="Arial"/>
          <w:noProof/>
        </w:rPr>
        <w:lastRenderedPageBreak/>
        <w:drawing>
          <wp:inline distT="0" distB="0" distL="0" distR="0" wp14:anchorId="169626D1" wp14:editId="13EB9AE3">
            <wp:extent cx="5731510" cy="6574155"/>
            <wp:effectExtent l="0" t="0" r="0" b="0"/>
            <wp:docPr id="61998461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574155"/>
                    </a:xfrm>
                    <a:prstGeom prst="rect">
                      <a:avLst/>
                    </a:prstGeom>
                    <a:noFill/>
                    <a:ln>
                      <a:noFill/>
                    </a:ln>
                  </pic:spPr>
                </pic:pic>
              </a:graphicData>
            </a:graphic>
          </wp:inline>
        </w:drawing>
      </w:r>
    </w:p>
    <w:p w14:paraId="7FC27978" w14:textId="0B24CA67" w:rsidR="00365065" w:rsidRPr="00890F44" w:rsidRDefault="00890F44" w:rsidP="00890F44">
      <w:pPr>
        <w:pStyle w:val="Caption"/>
        <w:jc w:val="both"/>
        <w:rPr>
          <w:rFonts w:ascii="Arial" w:hAnsi="Arial" w:cs="Arial"/>
          <w:b/>
          <w:bCs/>
          <w:i w:val="0"/>
          <w:iCs w:val="0"/>
          <w:sz w:val="22"/>
          <w:szCs w:val="22"/>
        </w:rPr>
      </w:pPr>
      <w:bookmarkStart w:id="42" w:name="_Toc231943617"/>
      <w:r w:rsidRPr="00890F44">
        <w:rPr>
          <w:rFonts w:ascii="Arial" w:hAnsi="Arial" w:cs="Arial"/>
          <w:b/>
          <w:bCs/>
          <w:i w:val="0"/>
          <w:iCs w:val="0"/>
          <w:sz w:val="22"/>
          <w:szCs w:val="22"/>
        </w:rPr>
        <w:t xml:space="preserve">Figure </w:t>
      </w:r>
      <w:r w:rsidRPr="00890F44">
        <w:rPr>
          <w:rFonts w:ascii="Arial" w:hAnsi="Arial" w:cs="Arial"/>
          <w:b/>
          <w:bCs/>
          <w:i w:val="0"/>
          <w:iCs w:val="0"/>
          <w:sz w:val="22"/>
          <w:szCs w:val="22"/>
        </w:rPr>
        <w:fldChar w:fldCharType="begin"/>
      </w:r>
      <w:r w:rsidRPr="00890F44">
        <w:rPr>
          <w:rFonts w:ascii="Arial" w:hAnsi="Arial" w:cs="Arial"/>
          <w:b/>
          <w:bCs/>
          <w:i w:val="0"/>
          <w:iCs w:val="0"/>
          <w:sz w:val="22"/>
          <w:szCs w:val="22"/>
        </w:rPr>
        <w:instrText xml:space="preserve"> SEQ Figure \* ARABIC </w:instrText>
      </w:r>
      <w:r w:rsidRPr="00890F44">
        <w:rPr>
          <w:rFonts w:ascii="Arial" w:hAnsi="Arial" w:cs="Arial"/>
          <w:b/>
          <w:bCs/>
          <w:i w:val="0"/>
          <w:iCs w:val="0"/>
          <w:sz w:val="22"/>
          <w:szCs w:val="22"/>
        </w:rPr>
        <w:fldChar w:fldCharType="separate"/>
      </w:r>
      <w:r w:rsidRPr="00890F44">
        <w:rPr>
          <w:rFonts w:ascii="Arial" w:hAnsi="Arial" w:cs="Arial"/>
          <w:b/>
          <w:bCs/>
          <w:i w:val="0"/>
          <w:iCs w:val="0"/>
          <w:noProof/>
          <w:sz w:val="22"/>
          <w:szCs w:val="22"/>
        </w:rPr>
        <w:t>2</w:t>
      </w:r>
      <w:r w:rsidRPr="00890F44">
        <w:rPr>
          <w:rFonts w:ascii="Arial" w:hAnsi="Arial" w:cs="Arial"/>
          <w:b/>
          <w:bCs/>
          <w:i w:val="0"/>
          <w:iCs w:val="0"/>
          <w:sz w:val="22"/>
          <w:szCs w:val="22"/>
        </w:rPr>
        <w:fldChar w:fldCharType="end"/>
      </w:r>
      <w:r w:rsidRPr="00890F44">
        <w:rPr>
          <w:rFonts w:ascii="Arial" w:hAnsi="Arial" w:cs="Arial"/>
          <w:b/>
          <w:bCs/>
          <w:i w:val="0"/>
          <w:iCs w:val="0"/>
          <w:sz w:val="22"/>
          <w:szCs w:val="22"/>
          <w:lang w:val="en-US"/>
        </w:rPr>
        <w:t xml:space="preserve"> PRISMA diagram (</w:t>
      </w:r>
      <w:r w:rsidR="00FE1995" w:rsidRPr="00890F44">
        <w:rPr>
          <w:rFonts w:ascii="Arial" w:hAnsi="Arial" w:cs="Arial"/>
          <w:b/>
          <w:bCs/>
          <w:i w:val="0"/>
          <w:iCs w:val="0"/>
          <w:sz w:val="22"/>
          <w:szCs w:val="22"/>
          <w:lang w:val="en-US"/>
        </w:rPr>
        <w:t>self-Developed</w:t>
      </w:r>
      <w:r w:rsidRPr="00890F44">
        <w:rPr>
          <w:rFonts w:ascii="Arial" w:hAnsi="Arial" w:cs="Arial"/>
          <w:b/>
          <w:bCs/>
          <w:i w:val="0"/>
          <w:iCs w:val="0"/>
          <w:sz w:val="22"/>
          <w:szCs w:val="22"/>
          <w:lang w:val="en-US"/>
        </w:rPr>
        <w:t>)</w:t>
      </w:r>
      <w:bookmarkEnd w:id="42"/>
    </w:p>
    <w:p w14:paraId="596DF97F" w14:textId="6FC0015D" w:rsidR="000F77AC" w:rsidRPr="00543963" w:rsidRDefault="00BA2E3C" w:rsidP="00543963">
      <w:pPr>
        <w:pStyle w:val="Heading2"/>
        <w:rPr>
          <w:rFonts w:ascii="Arial" w:hAnsi="Arial" w:cs="Arial"/>
          <w:b/>
          <w:bCs/>
          <w:sz w:val="16"/>
          <w:szCs w:val="16"/>
        </w:rPr>
      </w:pPr>
      <w:bookmarkStart w:id="43" w:name="_Toc232034622"/>
      <w:r w:rsidRPr="00543963">
        <w:rPr>
          <w:rFonts w:ascii="Arial" w:hAnsi="Arial" w:cs="Arial"/>
          <w:b/>
          <w:bCs/>
          <w:noProof/>
          <w:sz w:val="16"/>
          <w:szCs w:val="16"/>
        </w:rPr>
        <mc:AlternateContent>
          <mc:Choice Requires="wpi">
            <w:drawing>
              <wp:anchor distT="0" distB="0" distL="114300" distR="114300" simplePos="0" relativeHeight="251666432" behindDoc="0" locked="0" layoutInCell="1" allowOverlap="1" wp14:anchorId="3F0D4AA3" wp14:editId="4618D4A8">
                <wp:simplePos x="0" y="0"/>
                <wp:positionH relativeFrom="column">
                  <wp:posOffset>2535660</wp:posOffset>
                </wp:positionH>
                <wp:positionV relativeFrom="paragraph">
                  <wp:posOffset>1235160</wp:posOffset>
                </wp:positionV>
                <wp:extent cx="95760" cy="157320"/>
                <wp:effectExtent l="76200" t="114300" r="76200" b="109855"/>
                <wp:wrapNone/>
                <wp:docPr id="1809083189"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95760" cy="157320"/>
                      </w14:xfrm>
                    </w14:contentPart>
                  </a:graphicData>
                </a:graphic>
              </wp:anchor>
            </w:drawing>
          </mc:Choice>
          <mc:Fallback>
            <w:pict>
              <v:shapetype w14:anchorId="70C9777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96.8pt;margin-top:91.6pt;width:13.25pt;height:23.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">
                <v:imagedata r:id="rId12" o:title=""/>
              </v:shape>
            </w:pict>
          </mc:Fallback>
        </mc:AlternateContent>
      </w:r>
      <w:r w:rsidRPr="00543963">
        <w:rPr>
          <w:rFonts w:ascii="Arial" w:hAnsi="Arial" w:cs="Arial"/>
          <w:b/>
          <w:bCs/>
          <w:noProof/>
          <w:sz w:val="16"/>
          <w:szCs w:val="16"/>
        </w:rPr>
        <mc:AlternateContent>
          <mc:Choice Requires="wpi">
            <w:drawing>
              <wp:anchor distT="0" distB="0" distL="114300" distR="114300" simplePos="0" relativeHeight="251665408" behindDoc="0" locked="0" layoutInCell="1" allowOverlap="1" wp14:anchorId="07BEC98E" wp14:editId="3D46F9C5">
                <wp:simplePos x="0" y="0"/>
                <wp:positionH relativeFrom="column">
                  <wp:posOffset>2552580</wp:posOffset>
                </wp:positionH>
                <wp:positionV relativeFrom="paragraph">
                  <wp:posOffset>1318320</wp:posOffset>
                </wp:positionV>
                <wp:extent cx="83880" cy="15480"/>
                <wp:effectExtent l="76200" t="114300" r="87630" b="118110"/>
                <wp:wrapNone/>
                <wp:docPr id="1523117736"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83880" cy="15480"/>
                      </w14:xfrm>
                    </w14:contentPart>
                  </a:graphicData>
                </a:graphic>
              </wp:anchor>
            </w:drawing>
          </mc:Choice>
          <mc:Fallback>
            <w:pict>
              <v:shape w14:anchorId="217A30A7" id="Ink 3" o:spid="_x0000_s1026" type="#_x0000_t75" style="position:absolute;margin-left:198.15pt;margin-top:98.15pt;width:12.25pt;height:12.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">
                <v:imagedata r:id="rId14" o:title=""/>
              </v:shape>
            </w:pict>
          </mc:Fallback>
        </mc:AlternateContent>
      </w:r>
      <w:r w:rsidRPr="00543963">
        <w:rPr>
          <w:rFonts w:ascii="Arial" w:hAnsi="Arial" w:cs="Arial"/>
          <w:b/>
          <w:bCs/>
          <w:noProof/>
          <w:sz w:val="16"/>
          <w:szCs w:val="16"/>
        </w:rPr>
        <mc:AlternateContent>
          <mc:Choice Requires="wpi">
            <w:drawing>
              <wp:anchor distT="0" distB="0" distL="114300" distR="114300" simplePos="0" relativeHeight="251664384" behindDoc="0" locked="0" layoutInCell="1" allowOverlap="1" wp14:anchorId="66E8C258" wp14:editId="0A74AAA0">
                <wp:simplePos x="0" y="0"/>
                <wp:positionH relativeFrom="column">
                  <wp:posOffset>2552580</wp:posOffset>
                </wp:positionH>
                <wp:positionV relativeFrom="paragraph">
                  <wp:posOffset>1333440</wp:posOffset>
                </wp:positionV>
                <wp:extent cx="360" cy="360"/>
                <wp:effectExtent l="76200" t="114300" r="76200" b="114300"/>
                <wp:wrapNone/>
                <wp:docPr id="659687512"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1B3738A2" id="Ink 2" o:spid="_x0000_s1026" type="#_x0000_t75" style="position:absolute;margin-left:198.15pt;margin-top:99.35pt;width:5.7pt;height:11.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">
                <v:imagedata r:id="rId16" o:title=""/>
              </v:shape>
            </w:pict>
          </mc:Fallback>
        </mc:AlternateContent>
      </w:r>
      <w:r w:rsidRPr="00543963">
        <w:rPr>
          <w:rFonts w:ascii="Arial" w:hAnsi="Arial" w:cs="Arial"/>
          <w:b/>
          <w:bCs/>
          <w:noProof/>
          <w:sz w:val="16"/>
          <w:szCs w:val="16"/>
        </w:rPr>
        <mc:AlternateContent>
          <mc:Choice Requires="wpi">
            <w:drawing>
              <wp:anchor distT="0" distB="0" distL="114300" distR="114300" simplePos="0" relativeHeight="251663360" behindDoc="0" locked="0" layoutInCell="1" allowOverlap="1" wp14:anchorId="38C26AE2" wp14:editId="158B20C5">
                <wp:simplePos x="0" y="0"/>
                <wp:positionH relativeFrom="column">
                  <wp:posOffset>2514420</wp:posOffset>
                </wp:positionH>
                <wp:positionV relativeFrom="paragraph">
                  <wp:posOffset>1333080</wp:posOffset>
                </wp:positionV>
                <wp:extent cx="28080" cy="8280"/>
                <wp:effectExtent l="76200" t="114300" r="86360" b="125095"/>
                <wp:wrapNone/>
                <wp:docPr id="272017779"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28080" cy="8280"/>
                      </w14:xfrm>
                    </w14:contentPart>
                  </a:graphicData>
                </a:graphic>
              </wp:anchor>
            </w:drawing>
          </mc:Choice>
          <mc:Fallback>
            <w:pict>
              <v:shape w14:anchorId="1AFB599E" id="Ink 1" o:spid="_x0000_s1026" type="#_x0000_t75" style="position:absolute;margin-left:195.15pt;margin-top:99pt;width:7.85pt;height:1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">
                <v:imagedata r:id="rId18" o:title=""/>
              </v:shape>
            </w:pict>
          </mc:Fallback>
        </mc:AlternateContent>
      </w:r>
      <w:r w:rsidR="000F77AC" w:rsidRPr="00543963">
        <w:rPr>
          <w:rFonts w:ascii="Arial" w:hAnsi="Arial" w:cs="Arial"/>
          <w:b/>
          <w:bCs/>
          <w:sz w:val="24"/>
          <w:szCs w:val="24"/>
        </w:rPr>
        <w:t>3.7 Data Extraction and Critical Appraisal</w:t>
      </w:r>
      <w:bookmarkEnd w:id="43"/>
    </w:p>
    <w:p w14:paraId="171CA90A" w14:textId="623038C5" w:rsidR="00DF5F56" w:rsidRPr="00543963" w:rsidRDefault="00751C51" w:rsidP="00BB400C">
      <w:pPr>
        <w:spacing w:line="360" w:lineRule="auto"/>
        <w:jc w:val="both"/>
        <w:rPr>
          <w:rFonts w:ascii="Arial" w:hAnsi="Arial" w:cs="Arial"/>
        </w:rPr>
      </w:pPr>
      <w:r w:rsidRPr="00543963">
        <w:rPr>
          <w:rFonts w:ascii="Arial" w:hAnsi="Arial" w:cs="Arial"/>
        </w:rPr>
        <w:t xml:space="preserve">A structured data extraction template was used to collect study design, sample characteristics, intervention type, outcomes, and reported barriers and facilitators, ensuring consistency and transparency across studies (Page et al., 2021; Snyder, 2019). </w:t>
      </w:r>
      <w:r w:rsidR="00F574F4" w:rsidRPr="00F574F4">
        <w:rPr>
          <w:rFonts w:ascii="Arial" w:hAnsi="Arial" w:cs="Arial"/>
        </w:rPr>
        <w:t>A summary of the extracted data is provided in Appendix 1, offering an overview of the study characteristics</w:t>
      </w:r>
      <w:r w:rsidR="00F574F4">
        <w:rPr>
          <w:rFonts w:ascii="Arial" w:hAnsi="Arial" w:cs="Arial"/>
        </w:rPr>
        <w:t xml:space="preserve"> </w:t>
      </w:r>
      <w:r w:rsidR="0089675C" w:rsidRPr="00543963">
        <w:rPr>
          <w:rFonts w:ascii="Arial" w:hAnsi="Arial" w:cs="Arial"/>
        </w:rPr>
        <w:t>and findings of the 1</w:t>
      </w:r>
      <w:r w:rsidR="005C14E5" w:rsidRPr="00543963">
        <w:rPr>
          <w:rFonts w:ascii="Arial" w:hAnsi="Arial" w:cs="Arial"/>
        </w:rPr>
        <w:t>6</w:t>
      </w:r>
      <w:r w:rsidR="0089675C" w:rsidRPr="00543963">
        <w:rPr>
          <w:rFonts w:ascii="Arial" w:hAnsi="Arial" w:cs="Arial"/>
        </w:rPr>
        <w:t xml:space="preserve"> included studies. </w:t>
      </w:r>
      <w:r w:rsidR="00DF5F56" w:rsidRPr="00543963">
        <w:rPr>
          <w:rFonts w:ascii="Arial" w:hAnsi="Arial" w:cs="Arial"/>
        </w:rPr>
        <w:t xml:space="preserve">To assess the methodological quality of the included studies, a formal critical appraisal process was conducted using two established tools: the Critical </w:t>
      </w:r>
      <w:r w:rsidR="00DF5F56" w:rsidRPr="00543963">
        <w:rPr>
          <w:rFonts w:ascii="Arial" w:hAnsi="Arial" w:cs="Arial"/>
        </w:rPr>
        <w:lastRenderedPageBreak/>
        <w:t>Appraisal Skills Programme (CASP, 2018) checklist for qualitative studies and the Joanna Briggs Institute (JBI) appraisal tools for quantitative and mixed</w:t>
      </w:r>
      <w:r w:rsidR="00DF5F56" w:rsidRPr="00543963">
        <w:rPr>
          <w:rFonts w:ascii="Arial" w:hAnsi="Arial" w:cs="Arial"/>
        </w:rPr>
        <w:noBreakHyphen/>
        <w:t>methods studies. These tools are widely recognised for evaluating research quality and ensuring that evidence is trustworthy, credible, and relevant (JBI, 2017).</w:t>
      </w:r>
    </w:p>
    <w:p w14:paraId="418DA093" w14:textId="0D5B5F53" w:rsidR="00DF5F56" w:rsidRPr="00543963" w:rsidRDefault="00DF5F56" w:rsidP="00BB400C">
      <w:pPr>
        <w:spacing w:line="360" w:lineRule="auto"/>
        <w:jc w:val="both"/>
        <w:rPr>
          <w:rFonts w:ascii="Arial" w:hAnsi="Arial" w:cs="Arial"/>
        </w:rPr>
      </w:pPr>
      <w:r w:rsidRPr="00543963">
        <w:rPr>
          <w:rFonts w:ascii="Arial" w:hAnsi="Arial" w:cs="Arial"/>
        </w:rPr>
        <w:t xml:space="preserve">The CASP checklist was used to evaluate qualitative studies by examining clarity of </w:t>
      </w:r>
      <w:r w:rsidR="00F574F4" w:rsidRPr="00F574F4">
        <w:rPr>
          <w:rFonts w:ascii="Arial" w:hAnsi="Arial" w:cs="Arial"/>
        </w:rPr>
        <w:t>research aims, methodological suitability, recruitment strategy, data collection methods, ethical considerations, and analytical rigour</w:t>
      </w:r>
      <w:r w:rsidRPr="00543963">
        <w:rPr>
          <w:rFonts w:ascii="Arial" w:hAnsi="Arial" w:cs="Arial"/>
        </w:rPr>
        <w:t xml:space="preserve"> (CASP, 2018). Each qualitative study was assessed against these criteria to determine its strengths and limitations, ensuring that only methodologically sound evidence contributed to the thematic synthesis (Nowell et al., 2017).</w:t>
      </w:r>
    </w:p>
    <w:p w14:paraId="71560D3A" w14:textId="431E7858" w:rsidR="00DF5F56" w:rsidRPr="00543963" w:rsidRDefault="00DF5F56" w:rsidP="00BB400C">
      <w:pPr>
        <w:spacing w:line="360" w:lineRule="auto"/>
        <w:jc w:val="both"/>
        <w:rPr>
          <w:rFonts w:ascii="Arial" w:hAnsi="Arial" w:cs="Arial"/>
        </w:rPr>
      </w:pPr>
      <w:r w:rsidRPr="00543963">
        <w:rPr>
          <w:rFonts w:ascii="Arial" w:hAnsi="Arial" w:cs="Arial"/>
        </w:rPr>
        <w:t>For quantitative and mixed</w:t>
      </w:r>
      <w:r w:rsidRPr="00543963">
        <w:rPr>
          <w:rFonts w:ascii="Arial" w:hAnsi="Arial" w:cs="Arial"/>
        </w:rPr>
        <w:noBreakHyphen/>
        <w:t xml:space="preserve">methods studies, the JBI appraisal tools were applied to assess aspects such as sample adequacy, validity of measurement tools, reliability of results, and appropriateness of statistical analysis (JBI, 2017). This ensured that studies with methodological </w:t>
      </w:r>
      <w:r w:rsidR="00FE1995" w:rsidRPr="00543963">
        <w:rPr>
          <w:rFonts w:ascii="Arial" w:hAnsi="Arial" w:cs="Arial"/>
        </w:rPr>
        <w:t>weaknesses,</w:t>
      </w:r>
      <w:r w:rsidRPr="00543963">
        <w:rPr>
          <w:rFonts w:ascii="Arial" w:hAnsi="Arial" w:cs="Arial"/>
        </w:rPr>
        <w:t xml:space="preserve"> such as small sample sizes, unclear intervention protocols, or insufficient reporting were identified and interpreted cautiously during synthesis (Booth et al., 2016).</w:t>
      </w:r>
    </w:p>
    <w:p w14:paraId="228D7590" w14:textId="2C68DD2D" w:rsidR="000F77AC" w:rsidRPr="00543963" w:rsidRDefault="00F574F4" w:rsidP="00BB400C">
      <w:pPr>
        <w:spacing w:line="360" w:lineRule="auto"/>
        <w:jc w:val="both"/>
        <w:rPr>
          <w:rFonts w:ascii="Arial" w:hAnsi="Arial" w:cs="Arial"/>
        </w:rPr>
      </w:pPr>
      <w:r w:rsidRPr="00F574F4">
        <w:rPr>
          <w:rFonts w:ascii="Arial" w:hAnsi="Arial" w:cs="Arial"/>
        </w:rPr>
        <w:t>Most of the 16 included studies were rated as moderate to high quality, although limitations included small sample sizes, brief follow-up periods, and a lack of control groups</w:t>
      </w:r>
      <w:r w:rsidR="0089675C" w:rsidRPr="00543963">
        <w:rPr>
          <w:rFonts w:ascii="Arial" w:hAnsi="Arial" w:cs="Arial"/>
        </w:rPr>
        <w:t xml:space="preserve">, or potential selection bias (Petticrew and Roberts, 2006). </w:t>
      </w:r>
      <w:r w:rsidR="00DF5F56" w:rsidRPr="00543963">
        <w:rPr>
          <w:rFonts w:ascii="Arial" w:hAnsi="Arial" w:cs="Arial"/>
        </w:rPr>
        <w:t>By systematically applying CASP and JBI tools, the review ensured that the final synthesis was based on robust and credible evidence, thereby strengthening the validity and reliability of the overall findings (Page et al., 2021).</w:t>
      </w:r>
    </w:p>
    <w:p w14:paraId="29FEBB33" w14:textId="77777777" w:rsidR="000F77AC" w:rsidRPr="00543963" w:rsidRDefault="000F77AC" w:rsidP="00543963">
      <w:pPr>
        <w:pStyle w:val="Heading2"/>
        <w:rPr>
          <w:rFonts w:ascii="Arial" w:hAnsi="Arial" w:cs="Arial"/>
          <w:b/>
          <w:bCs/>
          <w:sz w:val="24"/>
          <w:szCs w:val="24"/>
        </w:rPr>
      </w:pPr>
      <w:bookmarkStart w:id="44" w:name="_Toc232034623"/>
      <w:r w:rsidRPr="00543963">
        <w:rPr>
          <w:rFonts w:ascii="Arial" w:hAnsi="Arial" w:cs="Arial"/>
          <w:b/>
          <w:bCs/>
          <w:sz w:val="24"/>
          <w:szCs w:val="24"/>
        </w:rPr>
        <w:t>3.8 Data Analysis</w:t>
      </w:r>
      <w:bookmarkEnd w:id="44"/>
    </w:p>
    <w:p w14:paraId="58333845" w14:textId="387CA001" w:rsidR="000347A4" w:rsidRPr="00543963" w:rsidRDefault="00AD621A" w:rsidP="00BB400C">
      <w:pPr>
        <w:spacing w:line="360" w:lineRule="auto"/>
        <w:jc w:val="both"/>
        <w:rPr>
          <w:rFonts w:ascii="Arial" w:hAnsi="Arial" w:cs="Arial"/>
        </w:rPr>
      </w:pPr>
      <w:r w:rsidRPr="00AD621A">
        <w:rPr>
          <w:rFonts w:ascii="Arial" w:hAnsi="Arial" w:cs="Arial"/>
        </w:rPr>
        <w:t>The extracted data were analysed using thematic analysis based on Braun and Clarke’s (2006) six-phase framework, a systematic and adaptable approach for identifying patterns within qualitative data.</w:t>
      </w:r>
      <w:r>
        <w:rPr>
          <w:rFonts w:ascii="Arial" w:hAnsi="Arial" w:cs="Arial"/>
        </w:rPr>
        <w:t xml:space="preserve"> </w:t>
      </w:r>
      <w:r w:rsidR="000347A4" w:rsidRPr="00543963">
        <w:rPr>
          <w:rFonts w:ascii="Arial" w:hAnsi="Arial" w:cs="Arial"/>
        </w:rPr>
        <w:t>This approach is widely used in health and social research because it supports the synthesis of findings across diverse study designs (Nowell et al., 2017).</w:t>
      </w:r>
    </w:p>
    <w:p w14:paraId="4C393559" w14:textId="77777777" w:rsidR="00751C51" w:rsidRPr="00543963" w:rsidRDefault="00751C51" w:rsidP="00BB400C">
      <w:pPr>
        <w:spacing w:line="360" w:lineRule="auto"/>
        <w:jc w:val="both"/>
        <w:rPr>
          <w:rFonts w:ascii="Arial" w:hAnsi="Arial" w:cs="Arial"/>
        </w:rPr>
      </w:pPr>
      <w:r w:rsidRPr="00543963">
        <w:rPr>
          <w:rFonts w:ascii="Arial" w:hAnsi="Arial" w:cs="Arial"/>
        </w:rPr>
        <w:t>Phase 1: Familiarisation – Included studies were read repeatedly to identify key concepts and patterns (Braun and Clarke, 2006).</w:t>
      </w:r>
    </w:p>
    <w:p w14:paraId="3CD4F7BF" w14:textId="2321369F" w:rsidR="000347A4" w:rsidRPr="00543963" w:rsidRDefault="000347A4" w:rsidP="00BB400C">
      <w:pPr>
        <w:spacing w:line="360" w:lineRule="auto"/>
        <w:jc w:val="both"/>
        <w:rPr>
          <w:rFonts w:ascii="Arial" w:hAnsi="Arial" w:cs="Arial"/>
        </w:rPr>
      </w:pPr>
      <w:r w:rsidRPr="00543963">
        <w:rPr>
          <w:rFonts w:ascii="Arial" w:hAnsi="Arial" w:cs="Arial"/>
        </w:rPr>
        <w:t>Phase 2: Generating Initial Codes Relevant data were systematically coded to capture features such as usability, accessibility, motivation, and digital literacy, enabling the organisation of findings into meaningful segments (Braun and Clarke, 2006).</w:t>
      </w:r>
    </w:p>
    <w:p w14:paraId="51312DC8" w14:textId="13DAE130" w:rsidR="000347A4" w:rsidRPr="00543963" w:rsidRDefault="000347A4" w:rsidP="00BB400C">
      <w:pPr>
        <w:spacing w:line="360" w:lineRule="auto"/>
        <w:jc w:val="both"/>
        <w:rPr>
          <w:rFonts w:ascii="Arial" w:hAnsi="Arial" w:cs="Arial"/>
        </w:rPr>
      </w:pPr>
      <w:r w:rsidRPr="00543963">
        <w:rPr>
          <w:rFonts w:ascii="Arial" w:hAnsi="Arial" w:cs="Arial"/>
        </w:rPr>
        <w:t>Phase 3: Searching for Themes Codes were grouped into broader categories to develop initial themes, allowing the identification of shared issues across the 1</w:t>
      </w:r>
      <w:r w:rsidR="005C14E5" w:rsidRPr="00543963">
        <w:rPr>
          <w:rFonts w:ascii="Arial" w:hAnsi="Arial" w:cs="Arial"/>
        </w:rPr>
        <w:t xml:space="preserve">6 </w:t>
      </w:r>
      <w:r w:rsidRPr="00543963">
        <w:rPr>
          <w:rFonts w:ascii="Arial" w:hAnsi="Arial" w:cs="Arial"/>
        </w:rPr>
        <w:t>included studies (Page et al., 2021).</w:t>
      </w:r>
    </w:p>
    <w:p w14:paraId="66B631DD" w14:textId="3238A8C6" w:rsidR="000347A4" w:rsidRPr="00543963" w:rsidRDefault="000347A4" w:rsidP="00BB400C">
      <w:pPr>
        <w:spacing w:line="360" w:lineRule="auto"/>
        <w:jc w:val="both"/>
        <w:rPr>
          <w:rFonts w:ascii="Arial" w:hAnsi="Arial" w:cs="Arial"/>
        </w:rPr>
      </w:pPr>
      <w:r w:rsidRPr="00543963">
        <w:rPr>
          <w:rFonts w:ascii="Arial" w:hAnsi="Arial" w:cs="Arial"/>
        </w:rPr>
        <w:lastRenderedPageBreak/>
        <w:t>Phase 4: Reviewing Themes were refined to ensure coherence and accurate representation of the data, with attention to consistency across studies (Nowell et al., 2017).</w:t>
      </w:r>
    </w:p>
    <w:p w14:paraId="76A3CDD0" w14:textId="77777777" w:rsidR="000347A4" w:rsidRPr="00543963" w:rsidRDefault="000347A4" w:rsidP="00BB400C">
      <w:pPr>
        <w:spacing w:line="360" w:lineRule="auto"/>
        <w:jc w:val="both"/>
        <w:rPr>
          <w:rFonts w:ascii="Arial" w:hAnsi="Arial" w:cs="Arial"/>
        </w:rPr>
      </w:pPr>
      <w:r w:rsidRPr="00543963">
        <w:rPr>
          <w:rFonts w:ascii="Arial" w:hAnsi="Arial" w:cs="Arial"/>
        </w:rPr>
        <w:t>Phase 5: Defining and Naming Themes Each theme was clearly defined and labelled to reflect its relevance to the research objectives and its contribution to understanding digital health engagement (Braun and Clarke, 2006).</w:t>
      </w:r>
    </w:p>
    <w:p w14:paraId="07764389" w14:textId="77777777" w:rsidR="00644D11" w:rsidRDefault="00644D11" w:rsidP="00BB400C">
      <w:pPr>
        <w:spacing w:line="360" w:lineRule="auto"/>
        <w:jc w:val="both"/>
        <w:rPr>
          <w:rFonts w:ascii="Arial" w:hAnsi="Arial" w:cs="Arial"/>
        </w:rPr>
      </w:pPr>
      <w:r w:rsidRPr="00644D11">
        <w:rPr>
          <w:rFonts w:ascii="Arial" w:hAnsi="Arial" w:cs="Arial"/>
        </w:rPr>
        <w:t>Phase 6: Producing the Report – The refined themes were synthesised and presented in a coherent narrative within Chapter 4, ensuring that the findings were clearly communicated and remained closely aligned with the study’s research aims and objectives (Braun and Clarke, 2006).</w:t>
      </w:r>
    </w:p>
    <w:p w14:paraId="59B4D64F" w14:textId="44FBB5B2" w:rsidR="00DF5F56" w:rsidRPr="00543963" w:rsidRDefault="000347A4" w:rsidP="00BB400C">
      <w:pPr>
        <w:spacing w:line="360" w:lineRule="auto"/>
        <w:jc w:val="both"/>
        <w:rPr>
          <w:rFonts w:ascii="Arial" w:hAnsi="Arial" w:cs="Arial"/>
        </w:rPr>
      </w:pPr>
      <w:r w:rsidRPr="00543963">
        <w:rPr>
          <w:rFonts w:ascii="Arial" w:hAnsi="Arial" w:cs="Arial"/>
        </w:rPr>
        <w:t>To enhance analytical depth, the thematic findings were interpreted using the Social Ecological Model (SEM), which highlights the multi</w:t>
      </w:r>
      <w:r w:rsidRPr="00543963">
        <w:rPr>
          <w:rFonts w:ascii="Arial" w:hAnsi="Arial" w:cs="Arial"/>
        </w:rPr>
        <w:noBreakHyphen/>
        <w:t>level influences on health behaviours (McLeroy et al., 1988). SEM enabled the categorisation of themes across individual, interpersonal, community, and structural levels, providing a comprehensive understanding of the factors shaping older adults’ engagement with digital health interventions (Bronfenbrenner, 1977).</w:t>
      </w:r>
    </w:p>
    <w:p w14:paraId="6651B04A" w14:textId="77777777" w:rsidR="00CC45B9" w:rsidRPr="00543963" w:rsidRDefault="00CC45B9" w:rsidP="00543963">
      <w:pPr>
        <w:pStyle w:val="Heading2"/>
        <w:rPr>
          <w:rFonts w:ascii="Arial" w:hAnsi="Arial" w:cs="Arial"/>
          <w:b/>
          <w:bCs/>
          <w:sz w:val="24"/>
          <w:szCs w:val="24"/>
        </w:rPr>
      </w:pPr>
      <w:bookmarkStart w:id="45" w:name="_Toc232034624"/>
      <w:r w:rsidRPr="00543963">
        <w:rPr>
          <w:rFonts w:ascii="Arial" w:hAnsi="Arial" w:cs="Arial"/>
          <w:b/>
          <w:bCs/>
          <w:sz w:val="24"/>
          <w:szCs w:val="24"/>
        </w:rPr>
        <w:t>3.9 Ethical Considerations</w:t>
      </w:r>
      <w:bookmarkEnd w:id="45"/>
    </w:p>
    <w:p w14:paraId="66E4E823" w14:textId="77777777" w:rsidR="00CC45B9" w:rsidRPr="00543963" w:rsidRDefault="00CC45B9" w:rsidP="00BB400C">
      <w:pPr>
        <w:spacing w:line="360" w:lineRule="auto"/>
        <w:jc w:val="both"/>
        <w:rPr>
          <w:rFonts w:ascii="Arial" w:hAnsi="Arial" w:cs="Arial"/>
        </w:rPr>
      </w:pPr>
      <w:r w:rsidRPr="00543963">
        <w:rPr>
          <w:rFonts w:ascii="Arial" w:hAnsi="Arial" w:cs="Arial"/>
        </w:rPr>
        <w:t>As this study is based on secondary data, formal ethical approval from external organisations was not required. However, ethical approval was sought and obtained through the University of Wales Trinity Saint David (UWTSD) in accordance with institutional research governance procedures.</w:t>
      </w:r>
    </w:p>
    <w:p w14:paraId="7F6BFC15" w14:textId="77777777" w:rsidR="00751C51" w:rsidRPr="00543963" w:rsidRDefault="00751C51" w:rsidP="00BB400C">
      <w:pPr>
        <w:spacing w:line="360" w:lineRule="auto"/>
        <w:jc w:val="both"/>
        <w:rPr>
          <w:rFonts w:ascii="Arial" w:hAnsi="Arial" w:cs="Arial"/>
        </w:rPr>
      </w:pPr>
      <w:r w:rsidRPr="00543963">
        <w:rPr>
          <w:rFonts w:ascii="Arial" w:hAnsi="Arial" w:cs="Arial"/>
        </w:rPr>
        <w:t>Ethical principles of integrity, transparency, responsible data use, and academic honesty were maintained throughout the study through the use of publicly available sources and appropriate referencing practices (Resnik, 2018).</w:t>
      </w:r>
    </w:p>
    <w:p w14:paraId="4A32A9B6" w14:textId="0D3683D3" w:rsidR="00B730A2" w:rsidRPr="00543963" w:rsidRDefault="00B730A2" w:rsidP="00543963">
      <w:pPr>
        <w:pStyle w:val="Heading2"/>
        <w:rPr>
          <w:rFonts w:ascii="Arial" w:hAnsi="Arial" w:cs="Arial"/>
          <w:b/>
          <w:bCs/>
          <w:sz w:val="24"/>
          <w:szCs w:val="24"/>
        </w:rPr>
      </w:pPr>
      <w:bookmarkStart w:id="46" w:name="_Toc232034625"/>
      <w:r w:rsidRPr="00543963">
        <w:rPr>
          <w:rFonts w:ascii="Arial" w:hAnsi="Arial" w:cs="Arial"/>
          <w:b/>
          <w:bCs/>
          <w:sz w:val="24"/>
          <w:szCs w:val="24"/>
        </w:rPr>
        <w:t>3.10 Limitations</w:t>
      </w:r>
      <w:bookmarkEnd w:id="46"/>
      <w:r w:rsidRPr="00543963">
        <w:rPr>
          <w:rFonts w:ascii="Arial" w:hAnsi="Arial" w:cs="Arial"/>
          <w:b/>
          <w:bCs/>
          <w:sz w:val="24"/>
          <w:szCs w:val="24"/>
        </w:rPr>
        <w:t xml:space="preserve"> </w:t>
      </w:r>
    </w:p>
    <w:p w14:paraId="064A63C9" w14:textId="1CE19B33" w:rsidR="00DF5F56" w:rsidRPr="00543963" w:rsidRDefault="00DF5F56" w:rsidP="00BB400C">
      <w:pPr>
        <w:spacing w:line="360" w:lineRule="auto"/>
        <w:jc w:val="both"/>
        <w:rPr>
          <w:rFonts w:ascii="Arial" w:hAnsi="Arial" w:cs="Arial"/>
        </w:rPr>
      </w:pPr>
      <w:r w:rsidRPr="00543963">
        <w:rPr>
          <w:rFonts w:ascii="Arial" w:hAnsi="Arial" w:cs="Arial"/>
        </w:rPr>
        <w:t>Despite its strengths, the systematic review approach presents several limitations</w:t>
      </w:r>
      <w:r w:rsidR="00751C51" w:rsidRPr="00543963">
        <w:rPr>
          <w:rFonts w:ascii="Arial" w:hAnsi="Arial" w:cs="Arial"/>
        </w:rPr>
        <w:t>.</w:t>
      </w:r>
      <w:r w:rsidRPr="00543963">
        <w:rPr>
          <w:rFonts w:ascii="Arial" w:hAnsi="Arial" w:cs="Arial"/>
        </w:rPr>
        <w:t xml:space="preserve"> The reliance on secondary data means that the researcher has limited control over the methodological quality, sample characteristics, and reporting standards of the included studies, which may influence the robustness of the findings (Petticrew and Roberts, 2006).</w:t>
      </w:r>
    </w:p>
    <w:p w14:paraId="6EE2B736" w14:textId="2599B1C2" w:rsidR="00DF5F56" w:rsidRPr="00543963" w:rsidRDefault="00AD621A" w:rsidP="00BB400C">
      <w:pPr>
        <w:spacing w:line="360" w:lineRule="auto"/>
        <w:jc w:val="both"/>
        <w:rPr>
          <w:rFonts w:ascii="Arial" w:hAnsi="Arial" w:cs="Arial"/>
        </w:rPr>
      </w:pPr>
      <w:r w:rsidRPr="00AD621A">
        <w:rPr>
          <w:rFonts w:ascii="Arial" w:hAnsi="Arial" w:cs="Arial"/>
        </w:rPr>
        <w:t>Publication bias constitutes a potential limitation, as studies reporting positive</w:t>
      </w:r>
      <w:r>
        <w:rPr>
          <w:rFonts w:ascii="Arial" w:hAnsi="Arial" w:cs="Arial"/>
        </w:rPr>
        <w:t xml:space="preserve"> </w:t>
      </w:r>
      <w:r w:rsidR="00D107A8" w:rsidRPr="00D107A8">
        <w:rPr>
          <w:rFonts w:ascii="Arial" w:hAnsi="Arial" w:cs="Arial"/>
        </w:rPr>
        <w:t>or significant findings are more likely to be published</w:t>
      </w:r>
      <w:r w:rsidR="00DF5F56" w:rsidRPr="00543963">
        <w:rPr>
          <w:rFonts w:ascii="Arial" w:hAnsi="Arial" w:cs="Arial"/>
        </w:rPr>
        <w:t>, potentially skewing the evidence base and limiting the representativeness of the findings (Page et al., 2021). Additionally, variations in study design, intervention types, and outcome measures across the included studies may reduce comparability and complicate synthesis, which is a common challenge in systematic reviews (Snyder, 2019).</w:t>
      </w:r>
    </w:p>
    <w:p w14:paraId="0A9B7E5E" w14:textId="77777777" w:rsidR="00DF5F56" w:rsidRPr="00543963" w:rsidRDefault="00DF5F56" w:rsidP="00BB400C">
      <w:pPr>
        <w:spacing w:line="360" w:lineRule="auto"/>
        <w:jc w:val="both"/>
        <w:rPr>
          <w:rFonts w:ascii="Arial" w:hAnsi="Arial" w:cs="Arial"/>
        </w:rPr>
      </w:pPr>
      <w:r w:rsidRPr="00543963">
        <w:rPr>
          <w:rFonts w:ascii="Arial" w:hAnsi="Arial" w:cs="Arial"/>
        </w:rPr>
        <w:lastRenderedPageBreak/>
        <w:t>A further limitation relates to the limited availability of UK</w:t>
      </w:r>
      <w:r w:rsidRPr="00543963">
        <w:rPr>
          <w:rFonts w:ascii="Arial" w:hAnsi="Arial" w:cs="Arial"/>
        </w:rPr>
        <w:noBreakHyphen/>
        <w:t>specific research on digital health interventions for dementia prevention, which may affect the generalisability of the findings to the UK context (Booth et al., 2016). Despite these limitations, the systematic review approach remains a rigorous and credible method for synthesising existing evidence, particularly when supported by transparent reporting and structured appraisal processes (Page et al., 2021).</w:t>
      </w:r>
    </w:p>
    <w:p w14:paraId="115F5F3B" w14:textId="3EF159C5" w:rsidR="00B730A2" w:rsidRPr="00543963" w:rsidRDefault="00B730A2" w:rsidP="00543963">
      <w:pPr>
        <w:pStyle w:val="Heading2"/>
        <w:rPr>
          <w:rFonts w:ascii="Arial" w:hAnsi="Arial" w:cs="Arial"/>
          <w:b/>
          <w:bCs/>
          <w:sz w:val="24"/>
          <w:szCs w:val="24"/>
        </w:rPr>
      </w:pPr>
      <w:bookmarkStart w:id="47" w:name="_Toc232034626"/>
      <w:r w:rsidRPr="00543963">
        <w:rPr>
          <w:rFonts w:ascii="Arial" w:hAnsi="Arial" w:cs="Arial"/>
          <w:b/>
          <w:bCs/>
          <w:sz w:val="24"/>
          <w:szCs w:val="24"/>
        </w:rPr>
        <w:t>3.1</w:t>
      </w:r>
      <w:r w:rsidR="006D75DD" w:rsidRPr="00543963">
        <w:rPr>
          <w:rFonts w:ascii="Arial" w:hAnsi="Arial" w:cs="Arial"/>
          <w:b/>
          <w:bCs/>
          <w:sz w:val="24"/>
          <w:szCs w:val="24"/>
        </w:rPr>
        <w:t>1</w:t>
      </w:r>
      <w:r w:rsidRPr="00543963">
        <w:rPr>
          <w:rFonts w:ascii="Arial" w:hAnsi="Arial" w:cs="Arial"/>
          <w:b/>
          <w:bCs/>
          <w:sz w:val="24"/>
          <w:szCs w:val="24"/>
        </w:rPr>
        <w:t xml:space="preserve"> Use of PRISMA Framework</w:t>
      </w:r>
      <w:bookmarkEnd w:id="47"/>
    </w:p>
    <w:p w14:paraId="2EC3494F" w14:textId="6C22C356" w:rsidR="008B5723" w:rsidRPr="00543963" w:rsidRDefault="008B5723" w:rsidP="00BB400C">
      <w:pPr>
        <w:spacing w:line="360" w:lineRule="auto"/>
        <w:jc w:val="both"/>
        <w:rPr>
          <w:rFonts w:ascii="Arial" w:hAnsi="Arial" w:cs="Arial"/>
        </w:rPr>
      </w:pPr>
      <w:r w:rsidRPr="00543963">
        <w:rPr>
          <w:rFonts w:ascii="Arial" w:hAnsi="Arial" w:cs="Arial"/>
        </w:rPr>
        <w:t xml:space="preserve">The review followed the PRISMA (Preferred Reporting Items for Systematic Reviews and Meta-Analyses) framework to ensure transparency and consistency throughout the study selection process (Moher et al., 2009; Page et al., 2021). PRISMA guided the identification, screening, eligibility, and inclusion stages, enabling systematic documentation of study selection decisions. Following database searches and </w:t>
      </w:r>
      <w:r w:rsidR="0074181C" w:rsidRPr="0074181C">
        <w:rPr>
          <w:rFonts w:ascii="Arial" w:hAnsi="Arial" w:cs="Arial"/>
        </w:rPr>
        <w:t>application of the eligibility criteria,</w:t>
      </w:r>
      <w:r w:rsidR="0074181C">
        <w:rPr>
          <w:rFonts w:ascii="Arial" w:hAnsi="Arial" w:cs="Arial"/>
        </w:rPr>
        <w:t xml:space="preserve"> </w:t>
      </w:r>
      <w:r w:rsidRPr="00543963">
        <w:rPr>
          <w:rFonts w:ascii="Arial" w:hAnsi="Arial" w:cs="Arial"/>
        </w:rPr>
        <w:t>16 studies were retained for the final review. Adherence to the PRISMA framework enhanced the transparency, reproducibility, and methodological rigour of the review process.</w:t>
      </w:r>
    </w:p>
    <w:p w14:paraId="651FEC84" w14:textId="3B07A149" w:rsidR="00B730A2" w:rsidRPr="00543963" w:rsidRDefault="00B730A2" w:rsidP="00543963">
      <w:pPr>
        <w:pStyle w:val="Heading2"/>
        <w:rPr>
          <w:rFonts w:ascii="Arial" w:hAnsi="Arial" w:cs="Arial"/>
          <w:b/>
          <w:bCs/>
          <w:sz w:val="24"/>
          <w:szCs w:val="24"/>
        </w:rPr>
      </w:pPr>
      <w:bookmarkStart w:id="48" w:name="_Toc232034627"/>
      <w:r w:rsidRPr="00543963">
        <w:rPr>
          <w:rFonts w:ascii="Arial" w:hAnsi="Arial" w:cs="Arial"/>
          <w:b/>
          <w:bCs/>
          <w:sz w:val="24"/>
          <w:szCs w:val="24"/>
        </w:rPr>
        <w:t>3.1</w:t>
      </w:r>
      <w:r w:rsidR="006D75DD" w:rsidRPr="00543963">
        <w:rPr>
          <w:rFonts w:ascii="Arial" w:hAnsi="Arial" w:cs="Arial"/>
          <w:b/>
          <w:bCs/>
          <w:sz w:val="24"/>
          <w:szCs w:val="24"/>
        </w:rPr>
        <w:t>2</w:t>
      </w:r>
      <w:r w:rsidRPr="00543963">
        <w:rPr>
          <w:rFonts w:ascii="Arial" w:hAnsi="Arial" w:cs="Arial"/>
          <w:b/>
          <w:bCs/>
          <w:sz w:val="24"/>
          <w:szCs w:val="24"/>
        </w:rPr>
        <w:t xml:space="preserve"> Evaluation of Methodological Approach</w:t>
      </w:r>
      <w:bookmarkEnd w:id="48"/>
    </w:p>
    <w:p w14:paraId="03DA1D69" w14:textId="42DBB4C1" w:rsidR="00365065" w:rsidRPr="00543963" w:rsidRDefault="00644D11" w:rsidP="00BB400C">
      <w:pPr>
        <w:spacing w:line="360" w:lineRule="auto"/>
        <w:jc w:val="both"/>
        <w:rPr>
          <w:rFonts w:ascii="Arial" w:hAnsi="Arial" w:cs="Arial"/>
        </w:rPr>
      </w:pPr>
      <w:r w:rsidRPr="00644D11">
        <w:rPr>
          <w:rFonts w:ascii="Arial" w:hAnsi="Arial" w:cs="Arial"/>
        </w:rPr>
        <w:t>The approach adopted in this study was appropriate for examining the research aim, as it enabled a structured and comprehensive analysis of the existing evidence base.</w:t>
      </w:r>
      <w:r>
        <w:rPr>
          <w:rFonts w:ascii="Arial" w:hAnsi="Arial" w:cs="Arial"/>
        </w:rPr>
        <w:t xml:space="preserve"> </w:t>
      </w:r>
      <w:r w:rsidR="008B5723" w:rsidRPr="00543963">
        <w:rPr>
          <w:rFonts w:ascii="Arial" w:hAnsi="Arial" w:cs="Arial"/>
        </w:rPr>
        <w:t>The systematic literature review provided a structured method for synthesising existing evidence, while thematic analysis enabled the identification of key patterns across studies (Braun and Clarke, 2006; Page et al., 2021). The Social Ecological Model further supported interpretation by considering influences at individual, interpersonal, and structural levels. Although reliance on secondary data and variation in study designs may affect the strength of conclusions, the overall approach provided a robust and theoretically informed framework for examining digital health engagement in dementia prevention.</w:t>
      </w:r>
    </w:p>
    <w:p w14:paraId="5F96A6AC" w14:textId="77777777" w:rsidR="00365065" w:rsidRPr="00543963" w:rsidRDefault="00365065" w:rsidP="00BB400C">
      <w:pPr>
        <w:spacing w:line="360" w:lineRule="auto"/>
        <w:jc w:val="both"/>
        <w:rPr>
          <w:rFonts w:ascii="Arial" w:hAnsi="Arial" w:cs="Arial"/>
        </w:rPr>
      </w:pPr>
    </w:p>
    <w:p w14:paraId="54307264" w14:textId="77777777" w:rsidR="00365065" w:rsidRDefault="00365065" w:rsidP="00BB400C">
      <w:pPr>
        <w:spacing w:line="360" w:lineRule="auto"/>
        <w:jc w:val="both"/>
        <w:rPr>
          <w:rFonts w:ascii="Arial" w:hAnsi="Arial" w:cs="Arial"/>
        </w:rPr>
      </w:pPr>
    </w:p>
    <w:p w14:paraId="04E4E3BE" w14:textId="77777777" w:rsidR="00365065" w:rsidRDefault="00365065" w:rsidP="00BB400C">
      <w:pPr>
        <w:spacing w:line="360" w:lineRule="auto"/>
        <w:jc w:val="both"/>
        <w:rPr>
          <w:rFonts w:ascii="Arial" w:hAnsi="Arial" w:cs="Arial"/>
        </w:rPr>
      </w:pPr>
    </w:p>
    <w:p w14:paraId="48A9324C" w14:textId="77777777" w:rsidR="00416651" w:rsidRDefault="00416651" w:rsidP="00BB400C">
      <w:pPr>
        <w:spacing w:line="360" w:lineRule="auto"/>
        <w:jc w:val="both"/>
        <w:rPr>
          <w:rFonts w:ascii="Arial" w:hAnsi="Arial" w:cs="Arial"/>
        </w:rPr>
      </w:pPr>
    </w:p>
    <w:p w14:paraId="538DF7FD" w14:textId="77777777" w:rsidR="00416651" w:rsidRDefault="00416651" w:rsidP="00BB400C">
      <w:pPr>
        <w:spacing w:line="360" w:lineRule="auto"/>
        <w:jc w:val="both"/>
        <w:rPr>
          <w:rFonts w:ascii="Arial" w:hAnsi="Arial" w:cs="Arial"/>
        </w:rPr>
      </w:pPr>
    </w:p>
    <w:p w14:paraId="3883BBBE" w14:textId="77777777" w:rsidR="00416651" w:rsidRDefault="00416651" w:rsidP="00BB400C">
      <w:pPr>
        <w:spacing w:line="360" w:lineRule="auto"/>
        <w:jc w:val="both"/>
        <w:rPr>
          <w:rFonts w:ascii="Arial" w:hAnsi="Arial" w:cs="Arial"/>
        </w:rPr>
      </w:pPr>
    </w:p>
    <w:p w14:paraId="54B6AFFE" w14:textId="77777777" w:rsidR="0074181C" w:rsidRDefault="0074181C" w:rsidP="00BB400C">
      <w:pPr>
        <w:spacing w:line="360" w:lineRule="auto"/>
        <w:jc w:val="both"/>
        <w:rPr>
          <w:rFonts w:ascii="Arial" w:hAnsi="Arial" w:cs="Arial"/>
        </w:rPr>
      </w:pPr>
    </w:p>
    <w:p w14:paraId="6161A52F" w14:textId="04680073" w:rsidR="009A1720" w:rsidRPr="00543963" w:rsidRDefault="008617D5" w:rsidP="00543963">
      <w:pPr>
        <w:pStyle w:val="Heading1"/>
        <w:rPr>
          <w:rFonts w:ascii="Arial" w:hAnsi="Arial" w:cs="Arial"/>
          <w:b/>
          <w:bCs/>
          <w:sz w:val="28"/>
          <w:szCs w:val="28"/>
        </w:rPr>
      </w:pPr>
      <w:bookmarkStart w:id="49" w:name="_Toc232034628"/>
      <w:r w:rsidRPr="00543963">
        <w:rPr>
          <w:rFonts w:ascii="Arial" w:hAnsi="Arial" w:cs="Arial"/>
          <w:b/>
          <w:bCs/>
          <w:sz w:val="28"/>
          <w:szCs w:val="28"/>
        </w:rPr>
        <w:lastRenderedPageBreak/>
        <w:t>Chapter 4</w:t>
      </w:r>
      <w:r w:rsidR="00805335" w:rsidRPr="00543963">
        <w:rPr>
          <w:rFonts w:ascii="Arial" w:hAnsi="Arial" w:cs="Arial"/>
          <w:b/>
          <w:bCs/>
          <w:sz w:val="28"/>
          <w:szCs w:val="28"/>
        </w:rPr>
        <w:t xml:space="preserve"> </w:t>
      </w:r>
      <w:r w:rsidR="00416651" w:rsidRPr="00543963">
        <w:rPr>
          <w:rFonts w:ascii="Arial" w:hAnsi="Arial" w:cs="Arial"/>
          <w:b/>
          <w:bCs/>
          <w:sz w:val="28"/>
          <w:szCs w:val="28"/>
        </w:rPr>
        <w:t>Result</w:t>
      </w:r>
      <w:bookmarkEnd w:id="49"/>
    </w:p>
    <w:p w14:paraId="290DFB37" w14:textId="77777777" w:rsidR="00805335" w:rsidRPr="00543963" w:rsidRDefault="00805335" w:rsidP="00543963">
      <w:pPr>
        <w:pStyle w:val="Heading2"/>
        <w:rPr>
          <w:rFonts w:ascii="Arial" w:hAnsi="Arial" w:cs="Arial"/>
          <w:b/>
          <w:bCs/>
          <w:sz w:val="24"/>
          <w:szCs w:val="24"/>
        </w:rPr>
      </w:pPr>
      <w:bookmarkStart w:id="50" w:name="_Toc232034629"/>
      <w:r w:rsidRPr="00543963">
        <w:rPr>
          <w:rFonts w:ascii="Arial" w:hAnsi="Arial" w:cs="Arial"/>
          <w:b/>
          <w:bCs/>
          <w:sz w:val="24"/>
          <w:szCs w:val="24"/>
        </w:rPr>
        <w:t>4.1 Introduction</w:t>
      </w:r>
      <w:bookmarkEnd w:id="50"/>
    </w:p>
    <w:p w14:paraId="186B452C" w14:textId="0AAA5BAD" w:rsidR="00805335" w:rsidRPr="00A012FA" w:rsidRDefault="0074181C" w:rsidP="00805335">
      <w:pPr>
        <w:spacing w:line="360" w:lineRule="auto"/>
        <w:jc w:val="both"/>
        <w:rPr>
          <w:rFonts w:ascii="Arial" w:hAnsi="Arial" w:cs="Arial"/>
        </w:rPr>
      </w:pPr>
      <w:r w:rsidRPr="00A012FA">
        <w:rPr>
          <w:rFonts w:ascii="Arial" w:hAnsi="Arial" w:cs="Arial"/>
        </w:rPr>
        <w:t xml:space="preserve">This chapter presents the findings of the systematic literature review on the role of digital health interventions </w:t>
      </w:r>
      <w:r w:rsidR="00805335" w:rsidRPr="00A012FA">
        <w:rPr>
          <w:rFonts w:ascii="Arial" w:hAnsi="Arial" w:cs="Arial"/>
        </w:rPr>
        <w:t>in dementia prevention among older adults. Sixteen studies were included, encompassing a range of methodologies such as randomised controlled trials, intervention studies, observational research, qualitative studies, and scoping reviews. Together, these studies provided evidence on digital interventions designed to support dementia prevention, promote cognitive health, and encourage behaviour change among older populations.</w:t>
      </w:r>
    </w:p>
    <w:p w14:paraId="66497ACE" w14:textId="0F5CF679" w:rsidR="00805335" w:rsidRPr="00A012FA" w:rsidRDefault="00805335" w:rsidP="00805335">
      <w:pPr>
        <w:spacing w:line="360" w:lineRule="auto"/>
        <w:jc w:val="both"/>
        <w:rPr>
          <w:rFonts w:ascii="Arial" w:hAnsi="Arial" w:cs="Arial"/>
        </w:rPr>
      </w:pPr>
      <w:r w:rsidRPr="00A012FA">
        <w:rPr>
          <w:rFonts w:ascii="Arial" w:hAnsi="Arial" w:cs="Arial"/>
        </w:rPr>
        <w:t xml:space="preserve">Thematic synthesis identified four key themes aligned with the review objectives: (1) digital health interventions for dementia prevention, (2) digital engagement and adherence, (3) </w:t>
      </w:r>
      <w:r w:rsidR="00A012FA" w:rsidRPr="00A012FA">
        <w:rPr>
          <w:rFonts w:ascii="Arial" w:hAnsi="Arial" w:cs="Arial"/>
        </w:rPr>
        <w:t>factors enabling and hindering digital health engagement</w:t>
      </w:r>
      <w:r w:rsidRPr="00A012FA">
        <w:rPr>
          <w:rFonts w:ascii="Arial" w:hAnsi="Arial" w:cs="Arial"/>
        </w:rPr>
        <w:t xml:space="preserve">, and (4) </w:t>
      </w:r>
      <w:r w:rsidR="00A012FA" w:rsidRPr="00A012FA">
        <w:rPr>
          <w:rFonts w:ascii="Arial" w:hAnsi="Arial" w:cs="Arial"/>
        </w:rPr>
        <w:t>the influence of digital health technologies on</w:t>
      </w:r>
      <w:r w:rsidR="00A012FA">
        <w:rPr>
          <w:rFonts w:ascii="Arial" w:hAnsi="Arial" w:cs="Arial"/>
        </w:rPr>
        <w:t xml:space="preserve"> </w:t>
      </w:r>
      <w:r w:rsidRPr="00A012FA">
        <w:rPr>
          <w:rFonts w:ascii="Arial" w:hAnsi="Arial" w:cs="Arial"/>
        </w:rPr>
        <w:t>cognitive health and dementia risk. The findings are presented according to these themes to highlight common patterns, differences, and evidence gaps across the literature, providing a structured understanding of how digital technologies may contribute to dementia prevention and healthy ageing.</w:t>
      </w:r>
    </w:p>
    <w:p w14:paraId="0E54E8A5" w14:textId="123A27D2" w:rsidR="00416651" w:rsidRPr="00543963" w:rsidRDefault="00416651" w:rsidP="00543963">
      <w:pPr>
        <w:pStyle w:val="Heading2"/>
        <w:rPr>
          <w:rFonts w:ascii="Arial" w:hAnsi="Arial" w:cs="Arial"/>
          <w:b/>
          <w:bCs/>
          <w:sz w:val="24"/>
          <w:szCs w:val="24"/>
        </w:rPr>
      </w:pPr>
      <w:bookmarkStart w:id="51" w:name="_Toc232034630"/>
      <w:r w:rsidRPr="00543963">
        <w:rPr>
          <w:rFonts w:ascii="Arial" w:hAnsi="Arial" w:cs="Arial"/>
          <w:b/>
          <w:bCs/>
          <w:sz w:val="24"/>
          <w:szCs w:val="24"/>
        </w:rPr>
        <w:t>4.2 Characteristics of Included Studies</w:t>
      </w:r>
      <w:bookmarkEnd w:id="51"/>
    </w:p>
    <w:p w14:paraId="3C4F3BF9" w14:textId="5C16520B" w:rsidR="009A1720" w:rsidRPr="00543963" w:rsidRDefault="00416651" w:rsidP="00BB400C">
      <w:pPr>
        <w:spacing w:line="360" w:lineRule="auto"/>
        <w:jc w:val="both"/>
        <w:rPr>
          <w:rFonts w:ascii="Arial" w:hAnsi="Arial" w:cs="Arial"/>
        </w:rPr>
      </w:pPr>
      <w:r w:rsidRPr="00543963">
        <w:rPr>
          <w:rFonts w:ascii="Arial" w:hAnsi="Arial" w:cs="Arial"/>
        </w:rPr>
        <w:t>The characteristics of the included studies are summarised in Table 4.1.</w:t>
      </w:r>
    </w:p>
    <w:p w14:paraId="2EBCE6A8" w14:textId="5A003910" w:rsidR="000178E2" w:rsidRPr="000178E2" w:rsidRDefault="000178E2" w:rsidP="000178E2">
      <w:pPr>
        <w:pStyle w:val="Caption"/>
        <w:keepNext/>
        <w:rPr>
          <w:rFonts w:ascii="Arial" w:hAnsi="Arial" w:cs="Arial"/>
        </w:rPr>
      </w:pPr>
      <w:bookmarkStart w:id="52" w:name="_Toc231944276"/>
      <w:r w:rsidRPr="000178E2">
        <w:rPr>
          <w:rFonts w:ascii="Arial" w:hAnsi="Arial" w:cs="Arial"/>
        </w:rPr>
        <w:t xml:space="preserve">Table </w:t>
      </w:r>
      <w:r w:rsidRPr="000178E2">
        <w:rPr>
          <w:rFonts w:ascii="Arial" w:hAnsi="Arial" w:cs="Arial"/>
        </w:rPr>
        <w:fldChar w:fldCharType="begin"/>
      </w:r>
      <w:r w:rsidRPr="000178E2">
        <w:rPr>
          <w:rFonts w:ascii="Arial" w:hAnsi="Arial" w:cs="Arial"/>
        </w:rPr>
        <w:instrText xml:space="preserve"> SEQ Table \* ARABIC </w:instrText>
      </w:r>
      <w:r w:rsidRPr="000178E2">
        <w:rPr>
          <w:rFonts w:ascii="Arial" w:hAnsi="Arial" w:cs="Arial"/>
        </w:rPr>
        <w:fldChar w:fldCharType="separate"/>
      </w:r>
      <w:r>
        <w:rPr>
          <w:rFonts w:ascii="Arial" w:hAnsi="Arial" w:cs="Arial"/>
          <w:noProof/>
        </w:rPr>
        <w:t>2</w:t>
      </w:r>
      <w:r w:rsidRPr="000178E2">
        <w:rPr>
          <w:rFonts w:ascii="Arial" w:hAnsi="Arial" w:cs="Arial"/>
        </w:rPr>
        <w:fldChar w:fldCharType="end"/>
      </w:r>
      <w:r w:rsidRPr="000178E2">
        <w:rPr>
          <w:rFonts w:ascii="Arial" w:hAnsi="Arial" w:cs="Arial"/>
          <w:lang w:val="en-US"/>
        </w:rPr>
        <w:t xml:space="preserve"> Thematic Table</w:t>
      </w:r>
      <w:bookmarkEnd w:id="52"/>
    </w:p>
    <w:tbl>
      <w:tblPr>
        <w:tblStyle w:val="TableGrid"/>
        <w:tblpPr w:leftFromText="180" w:rightFromText="180" w:vertAnchor="text" w:horzAnchor="margin" w:tblpY="1939"/>
        <w:tblW w:w="9067" w:type="dxa"/>
        <w:tblLook w:val="04A0" w:firstRow="1" w:lastRow="0" w:firstColumn="1" w:lastColumn="0" w:noHBand="0" w:noVBand="1"/>
      </w:tblPr>
      <w:tblGrid>
        <w:gridCol w:w="2345"/>
        <w:gridCol w:w="3211"/>
        <w:gridCol w:w="3511"/>
      </w:tblGrid>
      <w:tr w:rsidR="00805335" w:rsidRPr="00543963" w14:paraId="65324575" w14:textId="77777777" w:rsidTr="00416651">
        <w:tc>
          <w:tcPr>
            <w:tcW w:w="0" w:type="auto"/>
            <w:hideMark/>
          </w:tcPr>
          <w:p w14:paraId="251E3FF3" w14:textId="77777777" w:rsidR="00805335" w:rsidRPr="00543963" w:rsidRDefault="00805335" w:rsidP="00805335">
            <w:pPr>
              <w:spacing w:after="160" w:line="360" w:lineRule="auto"/>
              <w:jc w:val="both"/>
              <w:rPr>
                <w:rFonts w:ascii="Arial" w:hAnsi="Arial" w:cs="Arial"/>
                <w:b/>
                <w:bCs/>
              </w:rPr>
            </w:pPr>
            <w:r w:rsidRPr="00543963">
              <w:rPr>
                <w:rFonts w:ascii="Arial" w:hAnsi="Arial" w:cs="Arial"/>
                <w:b/>
                <w:bCs/>
              </w:rPr>
              <w:t>Theme</w:t>
            </w:r>
          </w:p>
        </w:tc>
        <w:tc>
          <w:tcPr>
            <w:tcW w:w="0" w:type="auto"/>
            <w:hideMark/>
          </w:tcPr>
          <w:p w14:paraId="14880793" w14:textId="1CC02CB7" w:rsidR="00805335" w:rsidRPr="00543963" w:rsidRDefault="00416651" w:rsidP="00805335">
            <w:pPr>
              <w:spacing w:after="160" w:line="360" w:lineRule="auto"/>
              <w:jc w:val="both"/>
              <w:rPr>
                <w:rFonts w:ascii="Arial" w:hAnsi="Arial" w:cs="Arial"/>
                <w:b/>
                <w:bCs/>
              </w:rPr>
            </w:pPr>
            <w:r w:rsidRPr="00543963">
              <w:rPr>
                <w:rFonts w:ascii="Arial" w:hAnsi="Arial" w:cs="Arial"/>
                <w:b/>
                <w:bCs/>
              </w:rPr>
              <w:t>Sub-theme</w:t>
            </w:r>
          </w:p>
        </w:tc>
        <w:tc>
          <w:tcPr>
            <w:tcW w:w="3511" w:type="dxa"/>
            <w:hideMark/>
          </w:tcPr>
          <w:p w14:paraId="41975204" w14:textId="77777777" w:rsidR="00805335" w:rsidRPr="00543963" w:rsidRDefault="00805335" w:rsidP="00805335">
            <w:pPr>
              <w:spacing w:after="160" w:line="360" w:lineRule="auto"/>
              <w:jc w:val="both"/>
              <w:rPr>
                <w:rFonts w:ascii="Arial" w:hAnsi="Arial" w:cs="Arial"/>
                <w:b/>
                <w:bCs/>
              </w:rPr>
            </w:pPr>
            <w:r w:rsidRPr="00543963">
              <w:rPr>
                <w:rFonts w:ascii="Arial" w:hAnsi="Arial" w:cs="Arial"/>
                <w:b/>
                <w:bCs/>
              </w:rPr>
              <w:t>Selected Key Studies</w:t>
            </w:r>
          </w:p>
        </w:tc>
      </w:tr>
      <w:tr w:rsidR="00805335" w:rsidRPr="00543963" w14:paraId="6ED09B4D" w14:textId="77777777" w:rsidTr="00416651">
        <w:tc>
          <w:tcPr>
            <w:tcW w:w="0" w:type="auto"/>
            <w:hideMark/>
          </w:tcPr>
          <w:p w14:paraId="549F89D2" w14:textId="05518CE9" w:rsidR="00805335" w:rsidRPr="00543963" w:rsidRDefault="00805335" w:rsidP="00416651">
            <w:pPr>
              <w:spacing w:after="160" w:line="360" w:lineRule="auto"/>
              <w:rPr>
                <w:rFonts w:ascii="Arial" w:hAnsi="Arial" w:cs="Arial"/>
              </w:rPr>
            </w:pPr>
            <w:r w:rsidRPr="00543963">
              <w:rPr>
                <w:rFonts w:ascii="Arial" w:hAnsi="Arial" w:cs="Arial"/>
              </w:rPr>
              <w:t xml:space="preserve"> </w:t>
            </w:r>
            <w:r w:rsidR="00416651" w:rsidRPr="00543963">
              <w:rPr>
                <w:rFonts w:ascii="Arial" w:hAnsi="Arial" w:cs="Arial"/>
              </w:rPr>
              <w:t xml:space="preserve">Theme: 1 </w:t>
            </w:r>
            <w:r w:rsidRPr="00543963">
              <w:rPr>
                <w:rFonts w:ascii="Arial" w:hAnsi="Arial" w:cs="Arial"/>
              </w:rPr>
              <w:t>Digital Health Interventions for Dementia Prevention</w:t>
            </w:r>
          </w:p>
        </w:tc>
        <w:tc>
          <w:tcPr>
            <w:tcW w:w="0" w:type="auto"/>
            <w:hideMark/>
          </w:tcPr>
          <w:p w14:paraId="077721D9" w14:textId="77777777" w:rsidR="00805335" w:rsidRPr="00543963" w:rsidRDefault="00805335" w:rsidP="00416651">
            <w:pPr>
              <w:spacing w:after="160" w:line="360" w:lineRule="auto"/>
              <w:rPr>
                <w:rFonts w:ascii="Arial" w:hAnsi="Arial" w:cs="Arial"/>
              </w:rPr>
            </w:pPr>
            <w:r w:rsidRPr="00543963">
              <w:rPr>
                <w:rFonts w:ascii="Arial" w:hAnsi="Arial" w:cs="Arial"/>
              </w:rPr>
              <w:t>Types of digital interventions, lifestyle programmes, eHealth, mHealth, cognitive health promotion, digital monitoring, dementia prevention strategies</w:t>
            </w:r>
          </w:p>
        </w:tc>
        <w:tc>
          <w:tcPr>
            <w:tcW w:w="3511" w:type="dxa"/>
            <w:hideMark/>
          </w:tcPr>
          <w:p w14:paraId="005A2C2C" w14:textId="0864ABEE" w:rsidR="00805335" w:rsidRPr="00543963" w:rsidRDefault="00805335" w:rsidP="00805335">
            <w:pPr>
              <w:spacing w:after="160" w:line="360" w:lineRule="auto"/>
              <w:jc w:val="both"/>
              <w:rPr>
                <w:rFonts w:ascii="Arial" w:hAnsi="Arial" w:cs="Arial"/>
              </w:rPr>
            </w:pPr>
            <w:r w:rsidRPr="00543963">
              <w:rPr>
                <w:rFonts w:ascii="Arial" w:hAnsi="Arial" w:cs="Arial"/>
              </w:rPr>
              <w:t>Coley et al. (2022); Bunyan et al. (2024</w:t>
            </w:r>
            <w:r w:rsidR="00FE1995" w:rsidRPr="00543963">
              <w:rPr>
                <w:rFonts w:ascii="Arial" w:hAnsi="Arial" w:cs="Arial"/>
              </w:rPr>
              <w:t>).</w:t>
            </w:r>
            <w:r w:rsidRPr="00543963">
              <w:rPr>
                <w:rFonts w:ascii="Arial" w:hAnsi="Arial" w:cs="Arial"/>
              </w:rPr>
              <w:t xml:space="preserve"> </w:t>
            </w:r>
          </w:p>
          <w:p w14:paraId="1E5D3927" w14:textId="27ABEDED" w:rsidR="00805335" w:rsidRPr="00543963" w:rsidRDefault="00805335" w:rsidP="00805335">
            <w:pPr>
              <w:spacing w:after="160" w:line="360" w:lineRule="auto"/>
              <w:jc w:val="both"/>
              <w:rPr>
                <w:rFonts w:ascii="Arial" w:hAnsi="Arial" w:cs="Arial"/>
              </w:rPr>
            </w:pPr>
            <w:r w:rsidRPr="00543963">
              <w:rPr>
                <w:rFonts w:ascii="Arial" w:hAnsi="Arial" w:cs="Arial"/>
              </w:rPr>
              <w:t>Rosenberg et al. (2024</w:t>
            </w:r>
            <w:r w:rsidR="00FE1995" w:rsidRPr="00543963">
              <w:rPr>
                <w:rFonts w:ascii="Arial" w:hAnsi="Arial" w:cs="Arial"/>
              </w:rPr>
              <w:t>).</w:t>
            </w:r>
            <w:r w:rsidRPr="00543963">
              <w:rPr>
                <w:rFonts w:ascii="Arial" w:hAnsi="Arial" w:cs="Arial"/>
              </w:rPr>
              <w:t xml:space="preserve"> </w:t>
            </w:r>
          </w:p>
          <w:p w14:paraId="7966443D" w14:textId="0B32B43A" w:rsidR="00805335" w:rsidRPr="00543963" w:rsidRDefault="00805335" w:rsidP="00805335">
            <w:pPr>
              <w:spacing w:after="160" w:line="360" w:lineRule="auto"/>
              <w:jc w:val="both"/>
              <w:rPr>
                <w:rFonts w:ascii="Arial" w:hAnsi="Arial" w:cs="Arial"/>
              </w:rPr>
            </w:pPr>
            <w:r w:rsidRPr="00543963">
              <w:rPr>
                <w:rFonts w:ascii="Arial" w:hAnsi="Arial" w:cs="Arial"/>
              </w:rPr>
              <w:t>Bott et al. (2018/VC Health Study</w:t>
            </w:r>
            <w:r w:rsidR="00FE1995" w:rsidRPr="00543963">
              <w:rPr>
                <w:rFonts w:ascii="Arial" w:hAnsi="Arial" w:cs="Arial"/>
              </w:rPr>
              <w:t>).</w:t>
            </w:r>
            <w:r w:rsidRPr="00543963">
              <w:rPr>
                <w:rFonts w:ascii="Arial" w:hAnsi="Arial" w:cs="Arial"/>
              </w:rPr>
              <w:t xml:space="preserve"> </w:t>
            </w:r>
          </w:p>
          <w:p w14:paraId="6354D3CA" w14:textId="27176614" w:rsidR="00805335" w:rsidRPr="00543963" w:rsidRDefault="00805335" w:rsidP="00805335">
            <w:pPr>
              <w:spacing w:after="160" w:line="360" w:lineRule="auto"/>
              <w:jc w:val="both"/>
              <w:rPr>
                <w:rFonts w:ascii="Arial" w:hAnsi="Arial" w:cs="Arial"/>
              </w:rPr>
            </w:pPr>
            <w:r w:rsidRPr="00543963">
              <w:rPr>
                <w:rFonts w:ascii="Arial" w:hAnsi="Arial" w:cs="Arial"/>
              </w:rPr>
              <w:t>Fishman et al. (2025</w:t>
            </w:r>
            <w:r w:rsidR="00FE1995" w:rsidRPr="00543963">
              <w:rPr>
                <w:rFonts w:ascii="Arial" w:hAnsi="Arial" w:cs="Arial"/>
              </w:rPr>
              <w:t>).</w:t>
            </w:r>
            <w:r w:rsidRPr="00543963">
              <w:rPr>
                <w:rFonts w:ascii="Arial" w:hAnsi="Arial" w:cs="Arial"/>
              </w:rPr>
              <w:t xml:space="preserve"> </w:t>
            </w:r>
          </w:p>
          <w:p w14:paraId="484DE17F" w14:textId="77777777" w:rsidR="00805335" w:rsidRPr="00543963" w:rsidRDefault="00805335" w:rsidP="00805335">
            <w:pPr>
              <w:spacing w:after="160" w:line="360" w:lineRule="auto"/>
              <w:jc w:val="both"/>
              <w:rPr>
                <w:rFonts w:ascii="Arial" w:hAnsi="Arial" w:cs="Arial"/>
              </w:rPr>
            </w:pPr>
            <w:r w:rsidRPr="00543963">
              <w:rPr>
                <w:rFonts w:ascii="Arial" w:hAnsi="Arial" w:cs="Arial"/>
              </w:rPr>
              <w:t>Riera et al. (2025)</w:t>
            </w:r>
          </w:p>
        </w:tc>
      </w:tr>
      <w:tr w:rsidR="00805335" w:rsidRPr="00543963" w14:paraId="43884754" w14:textId="77777777" w:rsidTr="00416651">
        <w:tc>
          <w:tcPr>
            <w:tcW w:w="0" w:type="auto"/>
            <w:hideMark/>
          </w:tcPr>
          <w:p w14:paraId="53E2D4D4" w14:textId="127FED5A" w:rsidR="00805335" w:rsidRPr="00543963" w:rsidRDefault="00FE1995" w:rsidP="00416651">
            <w:pPr>
              <w:spacing w:after="160" w:line="360" w:lineRule="auto"/>
              <w:rPr>
                <w:rFonts w:ascii="Arial" w:hAnsi="Arial" w:cs="Arial"/>
              </w:rPr>
            </w:pPr>
            <w:r w:rsidRPr="00543963">
              <w:rPr>
                <w:rFonts w:ascii="Arial" w:hAnsi="Arial" w:cs="Arial"/>
              </w:rPr>
              <w:lastRenderedPageBreak/>
              <w:t>Theme:</w:t>
            </w:r>
            <w:r w:rsidR="00416651" w:rsidRPr="00543963">
              <w:rPr>
                <w:rFonts w:ascii="Arial" w:hAnsi="Arial" w:cs="Arial"/>
              </w:rPr>
              <w:t xml:space="preserve"> </w:t>
            </w:r>
            <w:r w:rsidRPr="00543963">
              <w:rPr>
                <w:rFonts w:ascii="Arial" w:hAnsi="Arial" w:cs="Arial"/>
              </w:rPr>
              <w:t>2 Digital</w:t>
            </w:r>
            <w:r w:rsidR="00805335" w:rsidRPr="00543963">
              <w:rPr>
                <w:rFonts w:ascii="Arial" w:hAnsi="Arial" w:cs="Arial"/>
              </w:rPr>
              <w:t xml:space="preserve"> Engagement and Adherence</w:t>
            </w:r>
          </w:p>
        </w:tc>
        <w:tc>
          <w:tcPr>
            <w:tcW w:w="0" w:type="auto"/>
            <w:hideMark/>
          </w:tcPr>
          <w:p w14:paraId="400BAC98" w14:textId="77777777" w:rsidR="00805335" w:rsidRPr="00543963" w:rsidRDefault="00805335" w:rsidP="00416651">
            <w:pPr>
              <w:spacing w:after="160" w:line="360" w:lineRule="auto"/>
              <w:rPr>
                <w:rFonts w:ascii="Arial" w:hAnsi="Arial" w:cs="Arial"/>
              </w:rPr>
            </w:pPr>
            <w:r w:rsidRPr="00543963">
              <w:rPr>
                <w:rFonts w:ascii="Arial" w:hAnsi="Arial" w:cs="Arial"/>
              </w:rPr>
              <w:t>Uptake, participation, adherence, sustained use, user engagement, intervention utilisation, engagement patterns</w:t>
            </w:r>
          </w:p>
        </w:tc>
        <w:tc>
          <w:tcPr>
            <w:tcW w:w="3511" w:type="dxa"/>
            <w:hideMark/>
          </w:tcPr>
          <w:p w14:paraId="1AE92C6C" w14:textId="20C7FE2D" w:rsidR="00805335" w:rsidRPr="00543963" w:rsidRDefault="00805335" w:rsidP="00805335">
            <w:pPr>
              <w:spacing w:after="160" w:line="360" w:lineRule="auto"/>
              <w:jc w:val="both"/>
              <w:rPr>
                <w:rFonts w:ascii="Arial" w:hAnsi="Arial" w:cs="Arial"/>
              </w:rPr>
            </w:pPr>
            <w:r w:rsidRPr="00543963">
              <w:rPr>
                <w:rFonts w:ascii="Arial" w:hAnsi="Arial" w:cs="Arial"/>
              </w:rPr>
              <w:t>Coley et al. (2022); Bunyan et al. (2025</w:t>
            </w:r>
            <w:r w:rsidR="00FE1995" w:rsidRPr="00543963">
              <w:rPr>
                <w:rFonts w:ascii="Arial" w:hAnsi="Arial" w:cs="Arial"/>
              </w:rPr>
              <w:t>).</w:t>
            </w:r>
            <w:r w:rsidRPr="00543963">
              <w:rPr>
                <w:rFonts w:ascii="Arial" w:hAnsi="Arial" w:cs="Arial"/>
              </w:rPr>
              <w:t xml:space="preserve"> </w:t>
            </w:r>
          </w:p>
          <w:p w14:paraId="7E59DF9B" w14:textId="3E9C7121" w:rsidR="00805335" w:rsidRPr="00543963" w:rsidRDefault="00805335" w:rsidP="00805335">
            <w:pPr>
              <w:spacing w:after="160" w:line="360" w:lineRule="auto"/>
              <w:jc w:val="both"/>
              <w:rPr>
                <w:rFonts w:ascii="Arial" w:hAnsi="Arial" w:cs="Arial"/>
              </w:rPr>
            </w:pPr>
            <w:r w:rsidRPr="00543963">
              <w:rPr>
                <w:rFonts w:ascii="Arial" w:hAnsi="Arial" w:cs="Arial"/>
              </w:rPr>
              <w:t>Schroeder et al. (2025</w:t>
            </w:r>
            <w:r w:rsidR="00FE1995" w:rsidRPr="00543963">
              <w:rPr>
                <w:rFonts w:ascii="Arial" w:hAnsi="Arial" w:cs="Arial"/>
              </w:rPr>
              <w:t>).</w:t>
            </w:r>
            <w:r w:rsidRPr="00543963">
              <w:rPr>
                <w:rFonts w:ascii="Arial" w:hAnsi="Arial" w:cs="Arial"/>
              </w:rPr>
              <w:t xml:space="preserve"> </w:t>
            </w:r>
          </w:p>
          <w:p w14:paraId="58E43C3C" w14:textId="0A01A5F8" w:rsidR="00805335" w:rsidRPr="00543963" w:rsidRDefault="00805335" w:rsidP="00805335">
            <w:pPr>
              <w:spacing w:after="160" w:line="360" w:lineRule="auto"/>
              <w:jc w:val="both"/>
              <w:rPr>
                <w:rFonts w:ascii="Arial" w:hAnsi="Arial" w:cs="Arial"/>
              </w:rPr>
            </w:pPr>
            <w:r w:rsidRPr="00543963">
              <w:rPr>
                <w:rFonts w:ascii="Arial" w:hAnsi="Arial" w:cs="Arial"/>
              </w:rPr>
              <w:t>Essery et al. (2021</w:t>
            </w:r>
            <w:r w:rsidR="00FE1995" w:rsidRPr="00543963">
              <w:rPr>
                <w:rFonts w:ascii="Arial" w:hAnsi="Arial" w:cs="Arial"/>
              </w:rPr>
              <w:t>).</w:t>
            </w:r>
            <w:r w:rsidRPr="00543963">
              <w:rPr>
                <w:rFonts w:ascii="Arial" w:hAnsi="Arial" w:cs="Arial"/>
              </w:rPr>
              <w:t xml:space="preserve"> </w:t>
            </w:r>
          </w:p>
          <w:p w14:paraId="46E7BE9C" w14:textId="77777777" w:rsidR="00805335" w:rsidRPr="00543963" w:rsidRDefault="00805335" w:rsidP="00805335">
            <w:pPr>
              <w:spacing w:after="160" w:line="360" w:lineRule="auto"/>
              <w:jc w:val="both"/>
              <w:rPr>
                <w:rFonts w:ascii="Arial" w:hAnsi="Arial" w:cs="Arial"/>
              </w:rPr>
            </w:pPr>
            <w:r w:rsidRPr="00543963">
              <w:rPr>
                <w:rFonts w:ascii="Arial" w:hAnsi="Arial" w:cs="Arial"/>
              </w:rPr>
              <w:t>Peng et al. (2024)</w:t>
            </w:r>
          </w:p>
        </w:tc>
      </w:tr>
      <w:tr w:rsidR="00805335" w:rsidRPr="00543963" w14:paraId="5B185D27" w14:textId="77777777" w:rsidTr="00416651">
        <w:tc>
          <w:tcPr>
            <w:tcW w:w="0" w:type="auto"/>
            <w:hideMark/>
          </w:tcPr>
          <w:p w14:paraId="5E25477E" w14:textId="1206B33F" w:rsidR="00805335" w:rsidRPr="00543963" w:rsidRDefault="00FE1995" w:rsidP="00416651">
            <w:pPr>
              <w:spacing w:after="160" w:line="360" w:lineRule="auto"/>
              <w:rPr>
                <w:rFonts w:ascii="Arial" w:hAnsi="Arial" w:cs="Arial"/>
              </w:rPr>
            </w:pPr>
            <w:r w:rsidRPr="00543963">
              <w:rPr>
                <w:rFonts w:ascii="Arial" w:hAnsi="Arial" w:cs="Arial"/>
              </w:rPr>
              <w:t>Theme:</w:t>
            </w:r>
            <w:r w:rsidR="00416651" w:rsidRPr="00543963">
              <w:rPr>
                <w:rFonts w:ascii="Arial" w:hAnsi="Arial" w:cs="Arial"/>
              </w:rPr>
              <w:t xml:space="preserve"> 3 </w:t>
            </w:r>
            <w:r w:rsidR="00805335" w:rsidRPr="00543963">
              <w:rPr>
                <w:rFonts w:ascii="Arial" w:hAnsi="Arial" w:cs="Arial"/>
              </w:rPr>
              <w:t>Barriers and Facilitators Influencing Digital Health Engagement</w:t>
            </w:r>
          </w:p>
        </w:tc>
        <w:tc>
          <w:tcPr>
            <w:tcW w:w="0" w:type="auto"/>
            <w:hideMark/>
          </w:tcPr>
          <w:p w14:paraId="57348EC7" w14:textId="77777777" w:rsidR="00805335" w:rsidRPr="00543963" w:rsidRDefault="00805335" w:rsidP="00416651">
            <w:pPr>
              <w:spacing w:after="160" w:line="360" w:lineRule="auto"/>
              <w:rPr>
                <w:rFonts w:ascii="Arial" w:hAnsi="Arial" w:cs="Arial"/>
              </w:rPr>
            </w:pPr>
            <w:r w:rsidRPr="00543963">
              <w:rPr>
                <w:rFonts w:ascii="Arial" w:hAnsi="Arial" w:cs="Arial"/>
              </w:rPr>
              <w:t>Digital literacy, usability, accessibility, technology acceptance, motivation, confidence, cognitive barriers, implementation challenges</w:t>
            </w:r>
          </w:p>
        </w:tc>
        <w:tc>
          <w:tcPr>
            <w:tcW w:w="3511" w:type="dxa"/>
            <w:hideMark/>
          </w:tcPr>
          <w:p w14:paraId="1656589D" w14:textId="62CD561C" w:rsidR="00805335" w:rsidRPr="00543963" w:rsidRDefault="00805335" w:rsidP="00805335">
            <w:pPr>
              <w:spacing w:after="160" w:line="360" w:lineRule="auto"/>
              <w:jc w:val="both"/>
              <w:rPr>
                <w:rFonts w:ascii="Arial" w:hAnsi="Arial" w:cs="Arial"/>
              </w:rPr>
            </w:pPr>
            <w:r w:rsidRPr="00543963">
              <w:rPr>
                <w:rFonts w:ascii="Arial" w:hAnsi="Arial" w:cs="Arial"/>
              </w:rPr>
              <w:t>Money et al. (2024</w:t>
            </w:r>
            <w:r w:rsidR="00FE1995" w:rsidRPr="00543963">
              <w:rPr>
                <w:rFonts w:ascii="Arial" w:hAnsi="Arial" w:cs="Arial"/>
              </w:rPr>
              <w:t>).</w:t>
            </w:r>
            <w:r w:rsidRPr="00543963">
              <w:rPr>
                <w:rFonts w:ascii="Arial" w:hAnsi="Arial" w:cs="Arial"/>
              </w:rPr>
              <w:t xml:space="preserve"> </w:t>
            </w:r>
          </w:p>
          <w:p w14:paraId="09923D3B" w14:textId="5001CCA3" w:rsidR="00805335" w:rsidRPr="00543963" w:rsidRDefault="00805335" w:rsidP="00805335">
            <w:pPr>
              <w:spacing w:after="160" w:line="360" w:lineRule="auto"/>
              <w:jc w:val="both"/>
              <w:rPr>
                <w:rFonts w:ascii="Arial" w:hAnsi="Arial" w:cs="Arial"/>
              </w:rPr>
            </w:pPr>
            <w:r w:rsidRPr="00543963">
              <w:rPr>
                <w:rFonts w:ascii="Arial" w:hAnsi="Arial" w:cs="Arial"/>
              </w:rPr>
              <w:t>Kebede et al. (2022</w:t>
            </w:r>
            <w:r w:rsidR="00FE1995" w:rsidRPr="00543963">
              <w:rPr>
                <w:rFonts w:ascii="Arial" w:hAnsi="Arial" w:cs="Arial"/>
              </w:rPr>
              <w:t>).</w:t>
            </w:r>
            <w:r w:rsidRPr="00543963">
              <w:rPr>
                <w:rFonts w:ascii="Arial" w:hAnsi="Arial" w:cs="Arial"/>
              </w:rPr>
              <w:t xml:space="preserve"> </w:t>
            </w:r>
          </w:p>
          <w:p w14:paraId="4A43AAC5" w14:textId="5AD24E9E" w:rsidR="00805335" w:rsidRPr="00543963" w:rsidRDefault="00805335" w:rsidP="00805335">
            <w:pPr>
              <w:spacing w:after="160" w:line="360" w:lineRule="auto"/>
              <w:jc w:val="both"/>
              <w:rPr>
                <w:rFonts w:ascii="Arial" w:hAnsi="Arial" w:cs="Arial"/>
              </w:rPr>
            </w:pPr>
            <w:r w:rsidRPr="00543963">
              <w:rPr>
                <w:rFonts w:ascii="Arial" w:hAnsi="Arial" w:cs="Arial"/>
              </w:rPr>
              <w:t>Schmidt et al. (2025); Panzavolta et al. (2025</w:t>
            </w:r>
            <w:r w:rsidR="00FE1995" w:rsidRPr="00543963">
              <w:rPr>
                <w:rFonts w:ascii="Arial" w:hAnsi="Arial" w:cs="Arial"/>
              </w:rPr>
              <w:t>).</w:t>
            </w:r>
            <w:r w:rsidRPr="00543963">
              <w:rPr>
                <w:rFonts w:ascii="Arial" w:hAnsi="Arial" w:cs="Arial"/>
              </w:rPr>
              <w:t xml:space="preserve"> </w:t>
            </w:r>
          </w:p>
          <w:p w14:paraId="20FB1319" w14:textId="77777777" w:rsidR="00805335" w:rsidRPr="00543963" w:rsidRDefault="00805335" w:rsidP="00805335">
            <w:pPr>
              <w:spacing w:after="160" w:line="360" w:lineRule="auto"/>
              <w:jc w:val="both"/>
              <w:rPr>
                <w:rFonts w:ascii="Arial" w:hAnsi="Arial" w:cs="Arial"/>
              </w:rPr>
            </w:pPr>
            <w:r w:rsidRPr="00543963">
              <w:rPr>
                <w:rFonts w:ascii="Arial" w:hAnsi="Arial" w:cs="Arial"/>
              </w:rPr>
              <w:t>Da et al. (2025)</w:t>
            </w:r>
          </w:p>
        </w:tc>
      </w:tr>
      <w:tr w:rsidR="00805335" w:rsidRPr="00543963" w14:paraId="1808D330" w14:textId="77777777" w:rsidTr="00416651">
        <w:tc>
          <w:tcPr>
            <w:tcW w:w="0" w:type="auto"/>
            <w:hideMark/>
          </w:tcPr>
          <w:p w14:paraId="50BA8E6A" w14:textId="28A438A0" w:rsidR="00805335" w:rsidRPr="00543963" w:rsidRDefault="00FE1995" w:rsidP="00416651">
            <w:pPr>
              <w:spacing w:after="160" w:line="360" w:lineRule="auto"/>
              <w:rPr>
                <w:rFonts w:ascii="Arial" w:hAnsi="Arial" w:cs="Arial"/>
              </w:rPr>
            </w:pPr>
            <w:r w:rsidRPr="00543963">
              <w:rPr>
                <w:rFonts w:ascii="Arial" w:hAnsi="Arial" w:cs="Arial"/>
              </w:rPr>
              <w:t>Theme:</w:t>
            </w:r>
            <w:r w:rsidR="00416651" w:rsidRPr="00543963">
              <w:rPr>
                <w:rFonts w:ascii="Arial" w:hAnsi="Arial" w:cs="Arial"/>
              </w:rPr>
              <w:t xml:space="preserve"> 4 </w:t>
            </w:r>
            <w:r w:rsidR="00805335" w:rsidRPr="00543963">
              <w:rPr>
                <w:rFonts w:ascii="Arial" w:hAnsi="Arial" w:cs="Arial"/>
              </w:rPr>
              <w:t>Impact of Digital Health Technologies on Cognitive Health and Dementia Risk</w:t>
            </w:r>
          </w:p>
        </w:tc>
        <w:tc>
          <w:tcPr>
            <w:tcW w:w="0" w:type="auto"/>
            <w:hideMark/>
          </w:tcPr>
          <w:p w14:paraId="1FF64BE8" w14:textId="77777777" w:rsidR="00805335" w:rsidRPr="00543963" w:rsidRDefault="00805335" w:rsidP="00416651">
            <w:pPr>
              <w:spacing w:after="160" w:line="360" w:lineRule="auto"/>
              <w:rPr>
                <w:rFonts w:ascii="Arial" w:hAnsi="Arial" w:cs="Arial"/>
              </w:rPr>
            </w:pPr>
            <w:r w:rsidRPr="00543963">
              <w:rPr>
                <w:rFonts w:ascii="Arial" w:hAnsi="Arial" w:cs="Arial"/>
              </w:rPr>
              <w:t>Cognitive outcomes, behaviour change, dementia risk reduction, healthy ageing, self-management, quality of life, health improvement</w:t>
            </w:r>
          </w:p>
        </w:tc>
        <w:tc>
          <w:tcPr>
            <w:tcW w:w="3511" w:type="dxa"/>
            <w:hideMark/>
          </w:tcPr>
          <w:p w14:paraId="46CABD20" w14:textId="5C353F86" w:rsidR="00805335" w:rsidRPr="00543963" w:rsidRDefault="00805335" w:rsidP="00805335">
            <w:pPr>
              <w:spacing w:after="160" w:line="360" w:lineRule="auto"/>
              <w:jc w:val="both"/>
              <w:rPr>
                <w:rFonts w:ascii="Arial" w:hAnsi="Arial" w:cs="Arial"/>
              </w:rPr>
            </w:pPr>
            <w:r w:rsidRPr="00543963">
              <w:rPr>
                <w:rFonts w:ascii="Arial" w:hAnsi="Arial" w:cs="Arial"/>
              </w:rPr>
              <w:t>Coley et al. (2022</w:t>
            </w:r>
            <w:r w:rsidR="00FE1995" w:rsidRPr="00543963">
              <w:rPr>
                <w:rFonts w:ascii="Arial" w:hAnsi="Arial" w:cs="Arial"/>
              </w:rPr>
              <w:t>).</w:t>
            </w:r>
            <w:r w:rsidRPr="00543963">
              <w:rPr>
                <w:rFonts w:ascii="Arial" w:hAnsi="Arial" w:cs="Arial"/>
              </w:rPr>
              <w:t xml:space="preserve"> </w:t>
            </w:r>
          </w:p>
          <w:p w14:paraId="6AC65727" w14:textId="110A1DFD" w:rsidR="00805335" w:rsidRPr="00543963" w:rsidRDefault="00805335" w:rsidP="00805335">
            <w:pPr>
              <w:spacing w:after="160" w:line="360" w:lineRule="auto"/>
              <w:jc w:val="both"/>
              <w:rPr>
                <w:rFonts w:ascii="Arial" w:hAnsi="Arial" w:cs="Arial"/>
              </w:rPr>
            </w:pPr>
            <w:r w:rsidRPr="00543963">
              <w:rPr>
                <w:rFonts w:ascii="Arial" w:hAnsi="Arial" w:cs="Arial"/>
              </w:rPr>
              <w:t>Peng et al. (2024</w:t>
            </w:r>
            <w:r w:rsidR="00FE1995" w:rsidRPr="00543963">
              <w:rPr>
                <w:rFonts w:ascii="Arial" w:hAnsi="Arial" w:cs="Arial"/>
              </w:rPr>
              <w:t>).</w:t>
            </w:r>
            <w:r w:rsidRPr="00543963">
              <w:rPr>
                <w:rFonts w:ascii="Arial" w:hAnsi="Arial" w:cs="Arial"/>
              </w:rPr>
              <w:t xml:space="preserve"> </w:t>
            </w:r>
          </w:p>
          <w:p w14:paraId="560A6DE6" w14:textId="7E2EA9B8" w:rsidR="00805335" w:rsidRPr="00543963" w:rsidRDefault="00805335" w:rsidP="00805335">
            <w:pPr>
              <w:spacing w:after="160" w:line="360" w:lineRule="auto"/>
              <w:jc w:val="both"/>
              <w:rPr>
                <w:rFonts w:ascii="Arial" w:hAnsi="Arial" w:cs="Arial"/>
              </w:rPr>
            </w:pPr>
            <w:r w:rsidRPr="00543963">
              <w:rPr>
                <w:rFonts w:ascii="Arial" w:hAnsi="Arial" w:cs="Arial"/>
              </w:rPr>
              <w:t>Glenn et al. (2019</w:t>
            </w:r>
            <w:r w:rsidR="00FE1995" w:rsidRPr="00543963">
              <w:rPr>
                <w:rFonts w:ascii="Arial" w:hAnsi="Arial" w:cs="Arial"/>
              </w:rPr>
              <w:t>).</w:t>
            </w:r>
            <w:r w:rsidRPr="00543963">
              <w:rPr>
                <w:rFonts w:ascii="Arial" w:hAnsi="Arial" w:cs="Arial"/>
              </w:rPr>
              <w:t xml:space="preserve"> </w:t>
            </w:r>
          </w:p>
          <w:p w14:paraId="6926FEC6" w14:textId="77777777" w:rsidR="00805335" w:rsidRPr="00543963" w:rsidRDefault="00805335" w:rsidP="00805335">
            <w:pPr>
              <w:spacing w:after="160" w:line="360" w:lineRule="auto"/>
              <w:jc w:val="both"/>
              <w:rPr>
                <w:rFonts w:ascii="Arial" w:hAnsi="Arial" w:cs="Arial"/>
              </w:rPr>
            </w:pPr>
            <w:r w:rsidRPr="00543963">
              <w:rPr>
                <w:rFonts w:ascii="Arial" w:hAnsi="Arial" w:cs="Arial"/>
              </w:rPr>
              <w:t>Riera et al. (2025); Rosenberg et al. (2024)</w:t>
            </w:r>
          </w:p>
        </w:tc>
      </w:tr>
    </w:tbl>
    <w:p w14:paraId="43F5DF53" w14:textId="1992E6DE" w:rsidR="001A198F" w:rsidRPr="00543963" w:rsidRDefault="00FE1995" w:rsidP="00543963">
      <w:pPr>
        <w:pStyle w:val="Heading3"/>
        <w:rPr>
          <w:rFonts w:ascii="Arial" w:hAnsi="Arial" w:cs="Arial"/>
          <w:b/>
          <w:bCs/>
          <w:sz w:val="24"/>
          <w:szCs w:val="24"/>
        </w:rPr>
      </w:pPr>
      <w:bookmarkStart w:id="53" w:name="_Toc232034631"/>
      <w:r w:rsidRPr="00543963">
        <w:rPr>
          <w:rFonts w:ascii="Arial" w:hAnsi="Arial" w:cs="Arial"/>
          <w:b/>
          <w:bCs/>
          <w:sz w:val="24"/>
          <w:szCs w:val="24"/>
        </w:rPr>
        <w:t>4.2.1 Digital</w:t>
      </w:r>
      <w:r w:rsidR="001A198F" w:rsidRPr="00543963">
        <w:rPr>
          <w:rFonts w:ascii="Arial" w:hAnsi="Arial" w:cs="Arial"/>
          <w:b/>
          <w:bCs/>
          <w:sz w:val="24"/>
          <w:szCs w:val="24"/>
        </w:rPr>
        <w:t xml:space="preserve"> Health Interventions for Dementia Prevention</w:t>
      </w:r>
      <w:bookmarkEnd w:id="53"/>
    </w:p>
    <w:p w14:paraId="4A854606" w14:textId="77777777" w:rsidR="001A198F" w:rsidRPr="00193C17" w:rsidRDefault="001A198F" w:rsidP="001A198F">
      <w:pPr>
        <w:spacing w:line="360" w:lineRule="auto"/>
        <w:jc w:val="both"/>
        <w:rPr>
          <w:rFonts w:ascii="Arial" w:hAnsi="Arial" w:cs="Arial"/>
        </w:rPr>
      </w:pPr>
      <w:r w:rsidRPr="00193C17">
        <w:rPr>
          <w:rFonts w:ascii="Arial" w:hAnsi="Arial" w:cs="Arial"/>
        </w:rPr>
        <w:t>Digital health interventions for dementia prevention emerged as a major theme across the included studies. The evidence suggests that digital technologies can support lifestyle modification, health education, cognitive health promotion, and behavioural change among older adults. Several interventions were specifically designed to address modifiable dementia risk factors, including physical inactivity, poor diet, limited cognitive stimulation, and low engagement with preventive health behaviours.</w:t>
      </w:r>
    </w:p>
    <w:p w14:paraId="75DC29F8" w14:textId="7857C61C" w:rsidR="001A198F" w:rsidRPr="00543963" w:rsidRDefault="001A198F" w:rsidP="00543963">
      <w:pPr>
        <w:pStyle w:val="Heading4"/>
        <w:rPr>
          <w:rFonts w:ascii="Arial" w:hAnsi="Arial" w:cs="Arial"/>
          <w:b/>
          <w:bCs/>
        </w:rPr>
      </w:pPr>
      <w:r w:rsidRPr="00543963">
        <w:rPr>
          <w:rFonts w:ascii="Arial" w:hAnsi="Arial" w:cs="Arial"/>
          <w:b/>
          <w:bCs/>
        </w:rPr>
        <w:t>4.2.1.1 Lifestyle Behaviour Modification and Dementia Risk Reduction</w:t>
      </w:r>
    </w:p>
    <w:p w14:paraId="1A430E79" w14:textId="77777777" w:rsidR="001A198F" w:rsidRPr="00193C17" w:rsidRDefault="001A198F" w:rsidP="001A198F">
      <w:pPr>
        <w:spacing w:line="360" w:lineRule="auto"/>
        <w:jc w:val="both"/>
        <w:rPr>
          <w:rFonts w:ascii="Arial" w:hAnsi="Arial" w:cs="Arial"/>
        </w:rPr>
      </w:pPr>
      <w:r w:rsidRPr="00193C17">
        <w:rPr>
          <w:rFonts w:ascii="Arial" w:hAnsi="Arial" w:cs="Arial"/>
        </w:rPr>
        <w:t>Lifestyle modification was identified as a central mechanism through which digital interventions may contribute to dementia prevention. Coley et al. (2022) reported that participants who demonstrated higher levels of engagement with a coach-supported eHealth intervention showed greater improvements in lifestyle-related dementia risk factors compared with less engaged participants. Although the study primarily examined intervention engagement, the findings indicated that sustained participation was associated with healthier behavioural profiles and improved risk-factor management.</w:t>
      </w:r>
    </w:p>
    <w:p w14:paraId="198F09B5" w14:textId="29D8979F" w:rsidR="001A198F" w:rsidRPr="00193C17" w:rsidRDefault="001A198F" w:rsidP="001A198F">
      <w:pPr>
        <w:spacing w:line="360" w:lineRule="auto"/>
        <w:jc w:val="both"/>
        <w:rPr>
          <w:rFonts w:ascii="Arial" w:hAnsi="Arial" w:cs="Arial"/>
        </w:rPr>
      </w:pPr>
      <w:r w:rsidRPr="00193C17">
        <w:rPr>
          <w:rFonts w:ascii="Arial" w:hAnsi="Arial" w:cs="Arial"/>
        </w:rPr>
        <w:lastRenderedPageBreak/>
        <w:t>Similarly, Bunyan et al. (2024) evaluated the Five Lives digital dementia prevention programme among 154 cognitively healthy adults aged 50–69 years. Participants were allocated to a digital coaching intervention alone, digital coaching plus virtual clinician support, or a control condition. Mean engagement was reported at approximately 35 completed activities per participant per week, indicating a high level of intervention adherence. Statistical analysis demonstrated a significantly greater improvement in lifestyle scores within the intervention groups compared with controls (</w:t>
      </w:r>
      <w:r w:rsidR="00FE1995" w:rsidRPr="00193C17">
        <w:rPr>
          <w:rFonts w:ascii="Arial" w:hAnsi="Arial" w:cs="Arial"/>
        </w:rPr>
        <w:t>F (</w:t>
      </w:r>
      <w:r w:rsidRPr="00193C17">
        <w:rPr>
          <w:rFonts w:ascii="Arial" w:hAnsi="Arial" w:cs="Arial"/>
        </w:rPr>
        <w:t>1</w:t>
      </w:r>
      <w:r w:rsidR="00FE1995" w:rsidRPr="00193C17">
        <w:rPr>
          <w:rFonts w:ascii="Arial" w:hAnsi="Arial" w:cs="Arial"/>
        </w:rPr>
        <w:t>81) =</w:t>
      </w:r>
      <w:r w:rsidRPr="00193C17">
        <w:rPr>
          <w:rFonts w:ascii="Arial" w:hAnsi="Arial" w:cs="Arial"/>
        </w:rPr>
        <w:t>=3.10, p=0.049). Participants receiving the intervention showed improvements across several behavioural domains, including physical activity, diet, sleep quality, stress management, and mental stimulation. However, no statistically significant difference was observed between the digital coaching-only group and the digital coaching plus clinician-support group, suggesting that the digital intervention itself accounted for the majority of behavioural improvements.</w:t>
      </w:r>
    </w:p>
    <w:p w14:paraId="1F741EC0" w14:textId="0E830A4C" w:rsidR="001A198F" w:rsidRPr="00AD621A" w:rsidRDefault="00193C17" w:rsidP="001A198F">
      <w:pPr>
        <w:spacing w:line="360" w:lineRule="auto"/>
        <w:jc w:val="both"/>
        <w:rPr>
          <w:rFonts w:ascii="Arial" w:hAnsi="Arial" w:cs="Arial"/>
        </w:rPr>
      </w:pPr>
      <w:r w:rsidRPr="00193C17">
        <w:rPr>
          <w:rFonts w:ascii="Arial" w:hAnsi="Arial" w:cs="Arial"/>
        </w:rPr>
        <w:t xml:space="preserve">Additional evidence was reported by </w:t>
      </w:r>
      <w:r w:rsidR="001A198F" w:rsidRPr="00193C17">
        <w:rPr>
          <w:rFonts w:ascii="Arial" w:hAnsi="Arial" w:cs="Arial"/>
        </w:rPr>
        <w:t xml:space="preserve">Fishman et al. (2025), who evaluated a cognitive health promotion webinar intervention designed to improve dementia risk awareness and encourage behavioural change. </w:t>
      </w:r>
      <w:r w:rsidRPr="00193C17">
        <w:rPr>
          <w:rFonts w:ascii="Arial" w:hAnsi="Arial" w:cs="Arial"/>
          <w:sz w:val="20"/>
          <w:szCs w:val="20"/>
        </w:rPr>
        <w:t xml:space="preserve">The study found that approximately </w:t>
      </w:r>
      <w:r w:rsidR="001A198F" w:rsidRPr="00193C17">
        <w:rPr>
          <w:rFonts w:ascii="Arial" w:hAnsi="Arial" w:cs="Arial"/>
        </w:rPr>
        <w:t xml:space="preserve">90% of participants expressed motivation to adopt healthier behaviours following the intervention, while 74% reported implementing at least one positive behaviour change during follow-up. Additionally, more than four-fifths of participants indicated that the educational content improved their understanding of dementia risk factors. </w:t>
      </w:r>
      <w:r w:rsidR="00AD621A" w:rsidRPr="00AD621A">
        <w:rPr>
          <w:rFonts w:ascii="Arial" w:hAnsi="Arial" w:cs="Arial"/>
        </w:rPr>
        <w:t>These findings indicate that digital education interventions</w:t>
      </w:r>
      <w:r w:rsidR="00AD621A">
        <w:rPr>
          <w:rFonts w:ascii="Arial" w:hAnsi="Arial" w:cs="Arial"/>
        </w:rPr>
        <w:t xml:space="preserve"> </w:t>
      </w:r>
      <w:r w:rsidR="001A198F" w:rsidRPr="00193C17">
        <w:rPr>
          <w:rFonts w:ascii="Arial" w:hAnsi="Arial" w:cs="Arial"/>
        </w:rPr>
        <w:t>may increase awareness and promote behavioural intentions associated with dementia risk reduction.</w:t>
      </w:r>
    </w:p>
    <w:p w14:paraId="44CC75DB" w14:textId="77777777" w:rsidR="001A198F" w:rsidRPr="00193C17" w:rsidRDefault="001A198F" w:rsidP="001A198F">
      <w:pPr>
        <w:spacing w:line="360" w:lineRule="auto"/>
        <w:jc w:val="both"/>
        <w:rPr>
          <w:rFonts w:ascii="Arial" w:hAnsi="Arial" w:cs="Arial"/>
        </w:rPr>
      </w:pPr>
      <w:r w:rsidRPr="00193C17">
        <w:rPr>
          <w:rFonts w:ascii="Arial" w:hAnsi="Arial" w:cs="Arial"/>
        </w:rPr>
        <w:t>Collectively, the evidence indicates that digital lifestyle interventions can positively influence health behaviours associated with cognitive health. Across the studies, interventions targeting modifiable risk factors demonstrated favourable outcomes in physical activity, dietary behaviours, cognitive engagement, and health awareness. Importantly, participant engagement consistently emerged as a significant determinant of intervention effectiveness, with higher levels of participation associated with greater behavioural improvements.</w:t>
      </w:r>
    </w:p>
    <w:p w14:paraId="72D21EAF" w14:textId="385826FC" w:rsidR="001A198F" w:rsidRPr="00193C17" w:rsidRDefault="001A198F" w:rsidP="001A198F">
      <w:pPr>
        <w:spacing w:line="360" w:lineRule="auto"/>
        <w:jc w:val="both"/>
        <w:rPr>
          <w:rFonts w:ascii="Arial" w:hAnsi="Arial" w:cs="Arial"/>
        </w:rPr>
      </w:pPr>
      <w:r w:rsidRPr="00193C17">
        <w:rPr>
          <w:rFonts w:ascii="Arial" w:hAnsi="Arial" w:cs="Arial"/>
        </w:rPr>
        <w:t xml:space="preserve">Comparison across studies revealed both similarities and differences. While Bunyan et al. (2024) employed a structured digital coaching platform and reported statistically significant improvements in lifestyle scores, Fishman et al. (2025) utilised an educational approach focused on risk awareness and motivation. Despite these methodological differences, both studies demonstrated positive effects on behavioural outcomes associated with dementia prevention. However, neither study provided evidence regarding actual dementia incidence reduction, highlighting the need for </w:t>
      </w:r>
      <w:r w:rsidR="007207BC">
        <w:rPr>
          <w:rFonts w:ascii="Arial" w:hAnsi="Arial" w:cs="Arial"/>
        </w:rPr>
        <w:t>sustained</w:t>
      </w:r>
      <w:r w:rsidRPr="00193C17">
        <w:rPr>
          <w:rFonts w:ascii="Arial" w:hAnsi="Arial" w:cs="Arial"/>
        </w:rPr>
        <w:t xml:space="preserve"> longitudinal follow-up to determine whether behavioural improvements translate into measurable reductions in dementia risk.</w:t>
      </w:r>
    </w:p>
    <w:p w14:paraId="51EF0DB2" w14:textId="77777777" w:rsidR="007207BC" w:rsidRDefault="001A198F" w:rsidP="007207BC">
      <w:pPr>
        <w:spacing w:line="360" w:lineRule="auto"/>
        <w:jc w:val="both"/>
        <w:rPr>
          <w:rFonts w:ascii="Arial" w:hAnsi="Arial" w:cs="Arial"/>
        </w:rPr>
      </w:pPr>
      <w:r w:rsidRPr="00193C17">
        <w:rPr>
          <w:rFonts w:ascii="Arial" w:hAnsi="Arial" w:cs="Arial"/>
        </w:rPr>
        <w:lastRenderedPageBreak/>
        <w:t xml:space="preserve">Overall, the findings suggest that digital health interventions offer a promising and scalable strategy for promoting lifestyle changes associated with dementia prevention. Nevertheless, further large-scale randomised controlled trials with extended follow-up periods are required to establish </w:t>
      </w:r>
      <w:r w:rsidR="007207BC" w:rsidRPr="007207BC">
        <w:rPr>
          <w:rFonts w:ascii="Arial" w:hAnsi="Arial" w:cs="Arial"/>
        </w:rPr>
        <w:t>the long-term efficacy of these interventions and their potential effect on dementia incidence.</w:t>
      </w:r>
    </w:p>
    <w:p w14:paraId="20DD3244" w14:textId="615D4363" w:rsidR="001A198F" w:rsidRPr="007207BC" w:rsidRDefault="001A198F" w:rsidP="007207BC">
      <w:pPr>
        <w:pStyle w:val="Heading1"/>
        <w:rPr>
          <w:rFonts w:ascii="Arial" w:hAnsi="Arial" w:cs="Arial"/>
          <w:b/>
          <w:bCs/>
          <w:sz w:val="28"/>
          <w:szCs w:val="28"/>
        </w:rPr>
      </w:pPr>
      <w:bookmarkStart w:id="54" w:name="_Toc232034632"/>
      <w:r w:rsidRPr="007207BC">
        <w:rPr>
          <w:rFonts w:ascii="Arial" w:hAnsi="Arial" w:cs="Arial"/>
          <w:b/>
          <w:bCs/>
          <w:sz w:val="28"/>
          <w:szCs w:val="28"/>
        </w:rPr>
        <w:t>4.3 Digital Engagement and Adherence</w:t>
      </w:r>
      <w:bookmarkEnd w:id="54"/>
    </w:p>
    <w:p w14:paraId="60DE1A77" w14:textId="77777777" w:rsidR="001A198F" w:rsidRPr="00193C17" w:rsidRDefault="001A198F" w:rsidP="001A198F">
      <w:pPr>
        <w:spacing w:line="360" w:lineRule="auto"/>
        <w:jc w:val="both"/>
        <w:rPr>
          <w:rFonts w:ascii="Arial" w:hAnsi="Arial" w:cs="Arial"/>
        </w:rPr>
      </w:pPr>
      <w:r w:rsidRPr="00193C17">
        <w:rPr>
          <w:rFonts w:ascii="Arial" w:hAnsi="Arial" w:cs="Arial"/>
        </w:rPr>
        <w:t>Digital engagement and adherence emerged as a critical theme across the reviewed literature, as the effectiveness of digital dementia prevention interventions depends not only on intervention content but also on participants’ willingness and ability to engage consistently with the technology. Evidence from the included studies suggests that higher engagement levels are associated with more favourable behavioural and cognitive outcomes, highlighting adherence as a key determinant of intervention success.</w:t>
      </w:r>
    </w:p>
    <w:p w14:paraId="43AA372C" w14:textId="77777777" w:rsidR="001A198F" w:rsidRPr="00543963" w:rsidRDefault="001A198F" w:rsidP="00543963">
      <w:pPr>
        <w:pStyle w:val="Heading3"/>
        <w:rPr>
          <w:rFonts w:ascii="Arial" w:hAnsi="Arial" w:cs="Arial"/>
          <w:b/>
          <w:bCs/>
          <w:sz w:val="24"/>
          <w:szCs w:val="24"/>
        </w:rPr>
      </w:pPr>
      <w:bookmarkStart w:id="55" w:name="_Toc232034633"/>
      <w:r w:rsidRPr="00543963">
        <w:rPr>
          <w:rFonts w:ascii="Arial" w:hAnsi="Arial" w:cs="Arial"/>
          <w:b/>
          <w:bCs/>
          <w:sz w:val="24"/>
          <w:szCs w:val="24"/>
        </w:rPr>
        <w:t>4.3.1 Factors Influencing User Engagement</w:t>
      </w:r>
      <w:bookmarkEnd w:id="55"/>
    </w:p>
    <w:p w14:paraId="74137B0F" w14:textId="77777777" w:rsidR="001A198F" w:rsidRPr="00193C17" w:rsidRDefault="001A198F" w:rsidP="001A198F">
      <w:pPr>
        <w:spacing w:line="360" w:lineRule="auto"/>
        <w:jc w:val="both"/>
        <w:rPr>
          <w:rFonts w:ascii="Arial" w:hAnsi="Arial" w:cs="Arial"/>
        </w:rPr>
      </w:pPr>
      <w:r w:rsidRPr="00193C17">
        <w:rPr>
          <w:rFonts w:ascii="Arial" w:hAnsi="Arial" w:cs="Arial"/>
        </w:rPr>
        <w:t>A consistent finding across the reviewed studies was the relationship between intervention engagement and positive health outcomes. Coley et al. (2022) reported that participants demonstrating higher engagement with a coach-supported eHealth intervention achieved greater improvements in lifestyle-related dementia risk factors than those with lower engagement levels. These findings suggest that active participation may be necessary to realise the potential benefits of digital dementia prevention programmes.</w:t>
      </w:r>
    </w:p>
    <w:p w14:paraId="2A64D3C1" w14:textId="5C93A320" w:rsidR="001A198F" w:rsidRPr="00193C17" w:rsidRDefault="001A198F" w:rsidP="001A198F">
      <w:pPr>
        <w:spacing w:line="360" w:lineRule="auto"/>
        <w:jc w:val="both"/>
        <w:rPr>
          <w:rFonts w:ascii="Arial" w:hAnsi="Arial" w:cs="Arial"/>
        </w:rPr>
      </w:pPr>
      <w:r w:rsidRPr="00193C17">
        <w:rPr>
          <w:rFonts w:ascii="Arial" w:hAnsi="Arial" w:cs="Arial"/>
        </w:rPr>
        <w:t>Further evidence was reported by Bunyan et al. (2024), who evaluated the Five Lives digital intervention among 154 adults aged 50–69 years. Participants completed an average of approximately 35 digital activities per week, demonstrating a high level of engagement throughout the 12-week intervention period. Statistical analysis indicated that intervention participants achieved significantly greater lifestyle improvements compared with controls (</w:t>
      </w:r>
      <w:r w:rsidR="00FE1995" w:rsidRPr="00193C17">
        <w:rPr>
          <w:rFonts w:ascii="Arial" w:hAnsi="Arial" w:cs="Arial"/>
        </w:rPr>
        <w:t>F (</w:t>
      </w:r>
      <w:r w:rsidRPr="00193C17">
        <w:rPr>
          <w:rFonts w:ascii="Arial" w:hAnsi="Arial" w:cs="Arial"/>
        </w:rPr>
        <w:t>1,</w:t>
      </w:r>
      <w:r w:rsidR="00FE1995" w:rsidRPr="00193C17">
        <w:rPr>
          <w:rFonts w:ascii="Arial" w:hAnsi="Arial" w:cs="Arial"/>
        </w:rPr>
        <w:t>81) =</w:t>
      </w:r>
      <w:r w:rsidRPr="00193C17">
        <w:rPr>
          <w:rFonts w:ascii="Arial" w:hAnsi="Arial" w:cs="Arial"/>
        </w:rPr>
        <w:t>3.10, p=0.049), suggesting that sustained engagement with digital content may contribute directly to behavioural change and dementia risk reduction. Notably, total engagement alone was not found to predict lifestyle score improvement, indicating that the quality and relevance of intervention activities may be equally important as participation frequency.</w:t>
      </w:r>
    </w:p>
    <w:p w14:paraId="791C5CC4" w14:textId="03558844" w:rsidR="001A198F" w:rsidRPr="00193C17" w:rsidRDefault="001A198F" w:rsidP="001A198F">
      <w:pPr>
        <w:spacing w:line="360" w:lineRule="auto"/>
        <w:jc w:val="both"/>
        <w:rPr>
          <w:rFonts w:ascii="Arial" w:hAnsi="Arial" w:cs="Arial"/>
        </w:rPr>
      </w:pPr>
      <w:r w:rsidRPr="00193C17">
        <w:rPr>
          <w:rFonts w:ascii="Arial" w:hAnsi="Arial" w:cs="Arial"/>
        </w:rPr>
        <w:t xml:space="preserve">Schroeder et al. (2025) further </w:t>
      </w:r>
      <w:r w:rsidR="00AD484C" w:rsidRPr="00AD484C">
        <w:rPr>
          <w:rFonts w:ascii="Arial" w:hAnsi="Arial" w:cs="Arial"/>
        </w:rPr>
        <w:t>emphasised the importance of usability</w:t>
      </w:r>
      <w:r w:rsidRPr="00193C17">
        <w:rPr>
          <w:rFonts w:ascii="Arial" w:hAnsi="Arial" w:cs="Arial"/>
        </w:rPr>
        <w:t xml:space="preserve"> and perceived usefulness in determining adherence to digital monitoring technologies. Participants who considered the technology beneficial and easy to use demonstrated higher levels of sustained engagement. </w:t>
      </w:r>
      <w:r w:rsidR="009C4A87" w:rsidRPr="009C4A87">
        <w:rPr>
          <w:rFonts w:ascii="Arial" w:hAnsi="Arial" w:cs="Arial"/>
        </w:rPr>
        <w:t xml:space="preserve">These findings are consistent with technology acceptance models, which </w:t>
      </w:r>
      <w:r w:rsidR="009C4A87" w:rsidRPr="009C4A87">
        <w:rPr>
          <w:rFonts w:ascii="Arial" w:hAnsi="Arial" w:cs="Arial"/>
        </w:rPr>
        <w:lastRenderedPageBreak/>
        <w:t>identify perceived usefulness and ease of use as</w:t>
      </w:r>
      <w:r w:rsidR="009C4A87">
        <w:rPr>
          <w:rFonts w:ascii="Arial" w:hAnsi="Arial" w:cs="Arial"/>
        </w:rPr>
        <w:t xml:space="preserve"> </w:t>
      </w:r>
      <w:r w:rsidR="00254CC2">
        <w:rPr>
          <w:rFonts w:ascii="Arial" w:hAnsi="Arial" w:cs="Arial"/>
        </w:rPr>
        <w:t>P</w:t>
      </w:r>
      <w:r w:rsidR="00254CC2" w:rsidRPr="00193C17">
        <w:rPr>
          <w:rFonts w:ascii="Arial" w:hAnsi="Arial" w:cs="Arial"/>
        </w:rPr>
        <w:t>rimary</w:t>
      </w:r>
      <w:r w:rsidRPr="00193C17">
        <w:rPr>
          <w:rFonts w:ascii="Arial" w:hAnsi="Arial" w:cs="Arial"/>
        </w:rPr>
        <w:t xml:space="preserve"> predictors of technology adoption and continued utilisation among older adults.</w:t>
      </w:r>
    </w:p>
    <w:p w14:paraId="501FBA3F" w14:textId="77777777" w:rsidR="001A198F" w:rsidRPr="00193C17" w:rsidRDefault="001A198F" w:rsidP="001A198F">
      <w:pPr>
        <w:spacing w:line="360" w:lineRule="auto"/>
        <w:jc w:val="both"/>
        <w:rPr>
          <w:rFonts w:ascii="Arial" w:hAnsi="Arial" w:cs="Arial"/>
        </w:rPr>
      </w:pPr>
      <w:r w:rsidRPr="00193C17">
        <w:rPr>
          <w:rFonts w:ascii="Arial" w:hAnsi="Arial" w:cs="Arial"/>
        </w:rPr>
        <w:t>Comparison of these studies demonstrates that engagement is influenced by both individual motivation and technological design. While Coley et al. (2022) focused on behavioural engagement within a structured intervention programme, Bunyan et al. (2024) quantified participant interaction through weekly activity completion rates, and Schroeder et al. (2025) examined real-world technology adherence. Despite methodological differences, all studies emphasised that active and sustained participation is essential for achieving positive intervention outcomes.</w:t>
      </w:r>
    </w:p>
    <w:p w14:paraId="6C38E437" w14:textId="77777777" w:rsidR="001A198F" w:rsidRPr="00543963" w:rsidRDefault="001A198F" w:rsidP="00543963">
      <w:pPr>
        <w:pStyle w:val="Heading3"/>
        <w:rPr>
          <w:rFonts w:ascii="Arial" w:hAnsi="Arial" w:cs="Arial"/>
          <w:b/>
          <w:bCs/>
          <w:sz w:val="24"/>
          <w:szCs w:val="24"/>
        </w:rPr>
      </w:pPr>
      <w:bookmarkStart w:id="56" w:name="_Toc232034634"/>
      <w:r w:rsidRPr="00543963">
        <w:rPr>
          <w:rFonts w:ascii="Arial" w:hAnsi="Arial" w:cs="Arial"/>
          <w:b/>
          <w:bCs/>
          <w:sz w:val="24"/>
          <w:szCs w:val="24"/>
        </w:rPr>
        <w:t>4.3.2 Sustained Participation and Long-Term Adherence</w:t>
      </w:r>
      <w:bookmarkEnd w:id="56"/>
    </w:p>
    <w:p w14:paraId="5D98104F" w14:textId="77777777" w:rsidR="001A198F" w:rsidRPr="00193C17" w:rsidRDefault="001A198F" w:rsidP="001A198F">
      <w:pPr>
        <w:spacing w:line="360" w:lineRule="auto"/>
        <w:jc w:val="both"/>
        <w:rPr>
          <w:rFonts w:ascii="Arial" w:hAnsi="Arial" w:cs="Arial"/>
        </w:rPr>
      </w:pPr>
      <w:r w:rsidRPr="00193C17">
        <w:rPr>
          <w:rFonts w:ascii="Arial" w:hAnsi="Arial" w:cs="Arial"/>
        </w:rPr>
        <w:t>Maintaining engagement over time remains a significant challenge in digital dementia prevention interventions. Bunyan et al. (2025) investigated patterns of long-term participation and reported considerable variation in adherence among participants. While some individuals maintained consistent use throughout the intervention period, others demonstrated declining engagement over time. These findings suggest that individual characteristics, motivation, confidence, and personal circumstances may influence long-term participation.</w:t>
      </w:r>
    </w:p>
    <w:p w14:paraId="2DB68A21" w14:textId="77777777" w:rsidR="001A198F" w:rsidRPr="00193C17" w:rsidRDefault="001A198F" w:rsidP="001A198F">
      <w:pPr>
        <w:spacing w:line="360" w:lineRule="auto"/>
        <w:jc w:val="both"/>
        <w:rPr>
          <w:rFonts w:ascii="Arial" w:hAnsi="Arial" w:cs="Arial"/>
        </w:rPr>
      </w:pPr>
      <w:r w:rsidRPr="00193C17">
        <w:rPr>
          <w:rFonts w:ascii="Arial" w:hAnsi="Arial" w:cs="Arial"/>
        </w:rPr>
        <w:t>The importance of intervention design was emphasised by Essery et al. (2021), who developed the Active Brains intervention using behavioural science principles and a user-centred design approach. Rather than focusing solely on technological functionality, the intervention incorporated participant feedback, accessibility considerations, and behavioural change techniques intended to maximise engagement and adherence. The study highlighted the importance of tailoring interventions to older adults’ preferences and capabilities, thereby improving acceptability and increasing the likelihood of sustained use.</w:t>
      </w:r>
    </w:p>
    <w:p w14:paraId="4EDDEF40" w14:textId="77777777" w:rsidR="001A198F" w:rsidRPr="00193C17" w:rsidRDefault="001A198F" w:rsidP="001A198F">
      <w:pPr>
        <w:spacing w:line="360" w:lineRule="auto"/>
        <w:jc w:val="both"/>
        <w:rPr>
          <w:rFonts w:ascii="Arial" w:hAnsi="Arial" w:cs="Arial"/>
        </w:rPr>
      </w:pPr>
      <w:r w:rsidRPr="00193C17">
        <w:rPr>
          <w:rFonts w:ascii="Arial" w:hAnsi="Arial" w:cs="Arial"/>
        </w:rPr>
        <w:t>The findings suggest that adherence is shaped by both participant-related and intervention-related factors. Participant motivation, confidence in using technology, and perceived health benefits influence continued use, while intervention usability, accessibility, and relevance determine whether engagement can be maintained over extended periods. Importantly, attrition was identified as a recurring challenge across several studies, indicating that maintaining participation remains one of the most significant barriers to digital intervention effectiveness.</w:t>
      </w:r>
    </w:p>
    <w:p w14:paraId="33304D3B" w14:textId="77777777" w:rsidR="001A198F" w:rsidRPr="00543963" w:rsidRDefault="001A198F" w:rsidP="00543963">
      <w:pPr>
        <w:pStyle w:val="Heading3"/>
        <w:rPr>
          <w:rFonts w:ascii="Arial" w:hAnsi="Arial" w:cs="Arial"/>
          <w:b/>
          <w:bCs/>
          <w:sz w:val="24"/>
          <w:szCs w:val="24"/>
        </w:rPr>
      </w:pPr>
      <w:bookmarkStart w:id="57" w:name="_Toc232034635"/>
      <w:r w:rsidRPr="00543963">
        <w:rPr>
          <w:rFonts w:ascii="Arial" w:hAnsi="Arial" w:cs="Arial"/>
          <w:b/>
          <w:bCs/>
          <w:sz w:val="24"/>
          <w:szCs w:val="24"/>
        </w:rPr>
        <w:t>4.3.3 Synthesis of Digital Engagement and Adherence</w:t>
      </w:r>
      <w:bookmarkEnd w:id="57"/>
    </w:p>
    <w:p w14:paraId="5F0FA83F" w14:textId="77777777" w:rsidR="001A198F" w:rsidRPr="00193C17" w:rsidRDefault="001A198F" w:rsidP="001A198F">
      <w:pPr>
        <w:spacing w:line="360" w:lineRule="auto"/>
        <w:jc w:val="both"/>
        <w:rPr>
          <w:rFonts w:ascii="Arial" w:hAnsi="Arial" w:cs="Arial"/>
        </w:rPr>
      </w:pPr>
      <w:r w:rsidRPr="00193C17">
        <w:rPr>
          <w:rFonts w:ascii="Arial" w:hAnsi="Arial" w:cs="Arial"/>
        </w:rPr>
        <w:t xml:space="preserve">Collectively, the evidence demonstrates that engagement and adherence are fundamental components of successful digital dementia prevention interventions. Studies consistently showed that participants who engaged more actively with interventions achieved more favourable behavioural and health-related outcomes. For example, Bunyan et al. (2024) </w:t>
      </w:r>
      <w:r w:rsidRPr="00193C17">
        <w:rPr>
          <w:rFonts w:ascii="Arial" w:hAnsi="Arial" w:cs="Arial"/>
        </w:rPr>
        <w:lastRenderedPageBreak/>
        <w:t>demonstrated statistically significant lifestyle improvements among intervention participants (p=0.049) alongside high engagement levels averaging 35 activities per week, while Coley et al. (2022) reported stronger behavioural improvements among highly engaged users.</w:t>
      </w:r>
    </w:p>
    <w:p w14:paraId="76B67497" w14:textId="77777777" w:rsidR="001A198F" w:rsidRPr="00193C17" w:rsidRDefault="001A198F" w:rsidP="001A198F">
      <w:pPr>
        <w:spacing w:line="360" w:lineRule="auto"/>
        <w:jc w:val="both"/>
        <w:rPr>
          <w:rFonts w:ascii="Arial" w:hAnsi="Arial" w:cs="Arial"/>
        </w:rPr>
      </w:pPr>
      <w:r w:rsidRPr="00193C17">
        <w:rPr>
          <w:rFonts w:ascii="Arial" w:hAnsi="Arial" w:cs="Arial"/>
        </w:rPr>
        <w:t>Several facilitators of engagement were identified, including intervention usability, perceived usefulness, personal motivation, behavioural support, and user-centred design. Conversely, poor usability, limited confidence, declining motivation, and intervention burden were associated with reduced participation and higher attrition rates.</w:t>
      </w:r>
    </w:p>
    <w:p w14:paraId="50A3C0C9" w14:textId="77777777" w:rsidR="001A198F" w:rsidRPr="00193C17" w:rsidRDefault="001A198F" w:rsidP="001A198F">
      <w:pPr>
        <w:spacing w:line="360" w:lineRule="auto"/>
        <w:jc w:val="both"/>
        <w:rPr>
          <w:rFonts w:ascii="Arial" w:hAnsi="Arial" w:cs="Arial"/>
        </w:rPr>
      </w:pPr>
      <w:r w:rsidRPr="00193C17">
        <w:rPr>
          <w:rFonts w:ascii="Arial" w:hAnsi="Arial" w:cs="Arial"/>
        </w:rPr>
        <w:t>Overall, the findings suggest that digital dementia prevention programmes require more than effective content alone. Successful implementation depends upon maintaining participant engagement through accessible technology, personalised support, and intervention designs that address behavioural and motivational factors. Future research should prioritise long-term adherence outcomes and investigate strategies capable of sustaining engagement beyond the initial intervention period, as sustained participation appears essential for maximising dementia prevention benefits.</w:t>
      </w:r>
    </w:p>
    <w:p w14:paraId="41CC8BC1" w14:textId="77777777" w:rsidR="001A198F" w:rsidRPr="00543963" w:rsidRDefault="001A198F" w:rsidP="00543963">
      <w:pPr>
        <w:pStyle w:val="Heading2"/>
        <w:rPr>
          <w:rFonts w:ascii="Arial" w:hAnsi="Arial" w:cs="Arial"/>
          <w:b/>
          <w:bCs/>
          <w:sz w:val="24"/>
          <w:szCs w:val="24"/>
        </w:rPr>
      </w:pPr>
      <w:bookmarkStart w:id="58" w:name="_Toc232034636"/>
      <w:r w:rsidRPr="00543963">
        <w:rPr>
          <w:rFonts w:ascii="Arial" w:hAnsi="Arial" w:cs="Arial"/>
          <w:b/>
          <w:bCs/>
          <w:sz w:val="24"/>
          <w:szCs w:val="24"/>
        </w:rPr>
        <w:t>4.4 Barriers and Facilitators Influencing Digital Health Engagement</w:t>
      </w:r>
      <w:bookmarkEnd w:id="58"/>
    </w:p>
    <w:p w14:paraId="568C9E90" w14:textId="77777777" w:rsidR="00280C41" w:rsidRPr="00280C41" w:rsidRDefault="00AD484C" w:rsidP="00280C41">
      <w:pPr>
        <w:spacing w:line="360" w:lineRule="auto"/>
        <w:jc w:val="both"/>
        <w:rPr>
          <w:rFonts w:ascii="Arial" w:hAnsi="Arial" w:cs="Arial"/>
        </w:rPr>
      </w:pPr>
      <w:r w:rsidRPr="00AD484C">
        <w:rPr>
          <w:rFonts w:ascii="Arial" w:hAnsi="Arial" w:cs="Arial"/>
        </w:rPr>
        <w:t>Enablers and barriers</w:t>
      </w:r>
      <w:r>
        <w:rPr>
          <w:rFonts w:ascii="Arial" w:hAnsi="Arial" w:cs="Arial"/>
        </w:rPr>
        <w:t xml:space="preserve"> </w:t>
      </w:r>
      <w:r w:rsidR="001A198F" w:rsidRPr="00193C17">
        <w:rPr>
          <w:rFonts w:ascii="Arial" w:hAnsi="Arial" w:cs="Arial"/>
        </w:rPr>
        <w:t xml:space="preserve">influencing digital health engagement emerged as a significant theme within the reviewed literature. Although digital technologies offer considerable potential for dementia prevention and cognitive health promotion, successful implementation depends upon users’ ability, confidence, and willingness to engage with these technologies. The evidence suggests that digital literacy, confidence, motivation, usability, accessibility, and cognitive functioning play important roles in determining technology </w:t>
      </w:r>
      <w:r w:rsidR="00280C41" w:rsidRPr="00280C41">
        <w:rPr>
          <w:rFonts w:ascii="Arial" w:hAnsi="Arial" w:cs="Arial"/>
        </w:rPr>
        <w:t>uptake and continued utilisation among older adults.</w:t>
      </w:r>
    </w:p>
    <w:p w14:paraId="0FA2E17F" w14:textId="6BABDF63" w:rsidR="001A198F" w:rsidRPr="00280C41" w:rsidRDefault="001A198F" w:rsidP="00280C41">
      <w:pPr>
        <w:pStyle w:val="Heading3"/>
        <w:rPr>
          <w:rFonts w:ascii="Arial" w:hAnsi="Arial" w:cs="Arial"/>
          <w:b/>
          <w:bCs/>
          <w:sz w:val="22"/>
          <w:szCs w:val="22"/>
        </w:rPr>
      </w:pPr>
      <w:bookmarkStart w:id="59" w:name="_Toc232034637"/>
      <w:r w:rsidRPr="00280C41">
        <w:rPr>
          <w:rFonts w:ascii="Arial" w:hAnsi="Arial" w:cs="Arial"/>
          <w:b/>
          <w:bCs/>
          <w:sz w:val="22"/>
          <w:szCs w:val="22"/>
        </w:rPr>
        <w:t>4.4.1 Digital Literacy, Confidence and Motivation</w:t>
      </w:r>
      <w:bookmarkEnd w:id="59"/>
    </w:p>
    <w:p w14:paraId="76B16CD9" w14:textId="77777777" w:rsidR="001A198F" w:rsidRPr="00193C17" w:rsidRDefault="001A198F" w:rsidP="001A198F">
      <w:pPr>
        <w:spacing w:line="360" w:lineRule="auto"/>
        <w:jc w:val="both"/>
        <w:rPr>
          <w:rFonts w:ascii="Arial" w:hAnsi="Arial" w:cs="Arial"/>
        </w:rPr>
      </w:pPr>
      <w:r w:rsidRPr="00193C17">
        <w:rPr>
          <w:rFonts w:ascii="Arial" w:hAnsi="Arial" w:cs="Arial"/>
        </w:rPr>
        <w:t>Digital literacy and technological confidence were consistently identified as key facilitators of digital health engagement. Kebede et al. (2022), in a scoping review examining factors influencing digital technology engagement among older adults, identified digital competence, motivation, accessibility, and confidence as primary determinants of successful technology adoption. The review highlighted that older adults with greater digital literacy were significantly more likely to engage with digital interventions and sustain participation over time. Furthermore, perceived usefulness and anticipated health benefits emerged as important motivational drivers influencing technology acceptance.</w:t>
      </w:r>
    </w:p>
    <w:p w14:paraId="0FA9A504" w14:textId="77777777" w:rsidR="001A198F" w:rsidRPr="00193C17" w:rsidRDefault="001A198F" w:rsidP="001A198F">
      <w:pPr>
        <w:spacing w:line="360" w:lineRule="auto"/>
        <w:jc w:val="both"/>
        <w:rPr>
          <w:rFonts w:ascii="Arial" w:hAnsi="Arial" w:cs="Arial"/>
        </w:rPr>
      </w:pPr>
      <w:r w:rsidRPr="00193C17">
        <w:rPr>
          <w:rFonts w:ascii="Arial" w:hAnsi="Arial" w:cs="Arial"/>
        </w:rPr>
        <w:t xml:space="preserve">Similar findings were reported by Money et al. (2024), who explored barriers and facilitators affecting older adults’ engagement with digital health services. Qualitative findings demonstrated that participants with greater confidence in their technological abilities were more willing to engage with online health interventions. Conversely, individuals reporting </w:t>
      </w:r>
      <w:r w:rsidRPr="00193C17">
        <w:rPr>
          <w:rFonts w:ascii="Arial" w:hAnsi="Arial" w:cs="Arial"/>
        </w:rPr>
        <w:lastRenderedPageBreak/>
        <w:t>limited technological experience often expressed anxiety regarding technology use, reducing their likelihood of participation. Participants also reported that perceived relevance and anticipated personal benefit influenced motivation to engage with digital interventions.</w:t>
      </w:r>
    </w:p>
    <w:p w14:paraId="7A2C3862" w14:textId="77777777" w:rsidR="001A198F" w:rsidRPr="00193C17" w:rsidRDefault="001A198F" w:rsidP="001A198F">
      <w:pPr>
        <w:spacing w:line="360" w:lineRule="auto"/>
        <w:jc w:val="both"/>
        <w:rPr>
          <w:rFonts w:ascii="Arial" w:hAnsi="Arial" w:cs="Arial"/>
        </w:rPr>
      </w:pPr>
      <w:r w:rsidRPr="00193C17">
        <w:rPr>
          <w:rFonts w:ascii="Arial" w:hAnsi="Arial" w:cs="Arial"/>
        </w:rPr>
        <w:t>Comparison of the studies revealed substantial consistency regarding the importance of confidence and motivation. Both Kebede et al. (2022) and Money et al. (2024) identified digital literacy as a prerequisite for meaningful engagement. However, while Kebede et al. (2022) synthesised evidence across multiple studies and settings, Money et al. (2024) provided deeper insights into personal experiences and perceptions influencing engagement decisions.</w:t>
      </w:r>
    </w:p>
    <w:p w14:paraId="0D7BEEB5" w14:textId="77777777" w:rsidR="001A198F" w:rsidRPr="00193C17" w:rsidRDefault="001A198F" w:rsidP="001A198F">
      <w:pPr>
        <w:spacing w:line="360" w:lineRule="auto"/>
        <w:jc w:val="both"/>
        <w:rPr>
          <w:rFonts w:ascii="Arial" w:hAnsi="Arial" w:cs="Arial"/>
        </w:rPr>
      </w:pPr>
      <w:r w:rsidRPr="00193C17">
        <w:rPr>
          <w:rFonts w:ascii="Arial" w:hAnsi="Arial" w:cs="Arial"/>
        </w:rPr>
        <w:t>The findings suggest that interventions designed to improve digital literacy and increase technological confidence may enhance participation rates among older adults. Furthermore, providing clear explanations regarding intervention benefits may strengthen motivation and improve sustained engagement.</w:t>
      </w:r>
    </w:p>
    <w:p w14:paraId="668146D4" w14:textId="77777777" w:rsidR="001A198F" w:rsidRPr="00543963" w:rsidRDefault="001A198F" w:rsidP="00543963">
      <w:pPr>
        <w:pStyle w:val="Heading3"/>
        <w:rPr>
          <w:rFonts w:ascii="Arial" w:hAnsi="Arial" w:cs="Arial"/>
          <w:b/>
          <w:bCs/>
          <w:sz w:val="24"/>
          <w:szCs w:val="24"/>
        </w:rPr>
      </w:pPr>
      <w:bookmarkStart w:id="60" w:name="_Toc232034638"/>
      <w:r w:rsidRPr="00543963">
        <w:rPr>
          <w:rFonts w:ascii="Arial" w:hAnsi="Arial" w:cs="Arial"/>
          <w:b/>
          <w:bCs/>
          <w:sz w:val="24"/>
          <w:szCs w:val="24"/>
        </w:rPr>
        <w:t>4.4.2 Usability, Accessibility and Cognitive Challenges</w:t>
      </w:r>
      <w:bookmarkEnd w:id="60"/>
    </w:p>
    <w:p w14:paraId="0887323F" w14:textId="77777777" w:rsidR="001A198F" w:rsidRPr="00193C17" w:rsidRDefault="001A198F" w:rsidP="001A198F">
      <w:pPr>
        <w:spacing w:line="360" w:lineRule="auto"/>
        <w:jc w:val="both"/>
        <w:rPr>
          <w:rFonts w:ascii="Arial" w:hAnsi="Arial" w:cs="Arial"/>
        </w:rPr>
      </w:pPr>
      <w:r w:rsidRPr="00193C17">
        <w:rPr>
          <w:rFonts w:ascii="Arial" w:hAnsi="Arial" w:cs="Arial"/>
        </w:rPr>
        <w:t>Usability and accessibility were identified as critical determinants of successful digital health engagement, particularly among individuals experiencing cognitive impairment. Schmidt et al. (2025) reported that technology acceptance among people with Mild Cognitive Impairment (MCI) was strongly influenced by ease of use, confidence, perceived usefulness, and available support. Participants demonstrated greater willingness to engage with technologies characterised by intuitive interfaces, simple navigation systems, and minimal cognitive burden.</w:t>
      </w:r>
    </w:p>
    <w:p w14:paraId="459F5EB2" w14:textId="77777777" w:rsidR="001A198F" w:rsidRPr="00193C17" w:rsidRDefault="001A198F" w:rsidP="001A198F">
      <w:pPr>
        <w:spacing w:line="360" w:lineRule="auto"/>
        <w:jc w:val="both"/>
        <w:rPr>
          <w:rFonts w:ascii="Arial" w:hAnsi="Arial" w:cs="Arial"/>
        </w:rPr>
      </w:pPr>
      <w:r w:rsidRPr="00193C17">
        <w:rPr>
          <w:rFonts w:ascii="Arial" w:hAnsi="Arial" w:cs="Arial"/>
        </w:rPr>
        <w:t>Similarly, Panzavolta et al. (2025) identified several dementia-specific barriers affecting technology adoption. These included memory difficulties, reduced self-confidence, difficulties understanding instructions, accessibility challenges, and concerns regarding independent technology use. Participants experiencing cognitive impairment frequently reported difficulties remembering operational steps and navigating complex digital interfaces, creating substantial barriers to engagement.</w:t>
      </w:r>
    </w:p>
    <w:p w14:paraId="0E00BB44" w14:textId="77777777" w:rsidR="001A198F" w:rsidRPr="00193C17" w:rsidRDefault="001A198F" w:rsidP="001A198F">
      <w:pPr>
        <w:spacing w:line="360" w:lineRule="auto"/>
        <w:jc w:val="both"/>
        <w:rPr>
          <w:rFonts w:ascii="Arial" w:hAnsi="Arial" w:cs="Arial"/>
        </w:rPr>
      </w:pPr>
      <w:r w:rsidRPr="00193C17">
        <w:rPr>
          <w:rFonts w:ascii="Arial" w:hAnsi="Arial" w:cs="Arial"/>
        </w:rPr>
        <w:t>The evidence suggests that cognitive impairment introduces additional challenges beyond those experienced by cognitively healthy older adults. Technologies requiring multiple operational steps, complex navigation pathways, or extensive memory demands were associated with reduced engagement and lower acceptance rates. Conversely, interventions incorporating simplified interfaces, visual guidance, automated reminders, and caregiver support demonstrated greater acceptability among individuals experiencing cognitive decline.</w:t>
      </w:r>
    </w:p>
    <w:p w14:paraId="4D1CE90F" w14:textId="77777777" w:rsidR="001A198F" w:rsidRPr="00193C17" w:rsidRDefault="001A198F" w:rsidP="001A198F">
      <w:pPr>
        <w:spacing w:line="360" w:lineRule="auto"/>
        <w:jc w:val="both"/>
        <w:rPr>
          <w:rFonts w:ascii="Arial" w:hAnsi="Arial" w:cs="Arial"/>
        </w:rPr>
      </w:pPr>
      <w:r w:rsidRPr="00193C17">
        <w:rPr>
          <w:rFonts w:ascii="Arial" w:hAnsi="Arial" w:cs="Arial"/>
        </w:rPr>
        <w:t xml:space="preserve">Both studies emphasised the importance of user-centred design principles. Technologies specifically adapted to the cognitive needs of older adults appeared more successful in supporting engagement than standardised interventions developed for the general population. </w:t>
      </w:r>
      <w:r w:rsidRPr="00193C17">
        <w:rPr>
          <w:rFonts w:ascii="Arial" w:hAnsi="Arial" w:cs="Arial"/>
        </w:rPr>
        <w:lastRenderedPageBreak/>
        <w:t>These findings support recommendations that future digital health technologies should be designed with consideration for varying cognitive abilities and functional limitations.</w:t>
      </w:r>
    </w:p>
    <w:p w14:paraId="6925B79E" w14:textId="77777777" w:rsidR="001A198F" w:rsidRPr="00543963" w:rsidRDefault="001A198F" w:rsidP="00543963">
      <w:pPr>
        <w:pStyle w:val="Heading3"/>
        <w:rPr>
          <w:rFonts w:ascii="Arial" w:hAnsi="Arial" w:cs="Arial"/>
          <w:b/>
          <w:bCs/>
          <w:sz w:val="24"/>
          <w:szCs w:val="24"/>
        </w:rPr>
      </w:pPr>
      <w:bookmarkStart w:id="61" w:name="_Toc232034639"/>
      <w:r w:rsidRPr="00543963">
        <w:rPr>
          <w:rFonts w:ascii="Arial" w:hAnsi="Arial" w:cs="Arial"/>
          <w:b/>
          <w:bCs/>
          <w:sz w:val="24"/>
          <w:szCs w:val="24"/>
        </w:rPr>
        <w:t>4.4.3 Influence of Cognitive Load and Technology Complexity</w:t>
      </w:r>
      <w:bookmarkEnd w:id="61"/>
    </w:p>
    <w:p w14:paraId="67021A10" w14:textId="77777777" w:rsidR="001A198F" w:rsidRPr="00193C17" w:rsidRDefault="001A198F" w:rsidP="001A198F">
      <w:pPr>
        <w:spacing w:line="360" w:lineRule="auto"/>
        <w:jc w:val="both"/>
        <w:rPr>
          <w:rFonts w:ascii="Arial" w:hAnsi="Arial" w:cs="Arial"/>
        </w:rPr>
      </w:pPr>
      <w:r w:rsidRPr="00193C17">
        <w:rPr>
          <w:rFonts w:ascii="Arial" w:hAnsi="Arial" w:cs="Arial"/>
        </w:rPr>
        <w:t>Additional evidence regarding engagement barriers was provided by Da et al. (2025), who examined factors influencing participation in digital health technologies among individuals with cognitive impairment. The review identified cognitive load as a significant determinant of engagement. Technologies requiring excessive attention, memory, problem-solving, or multitasking abilities were associated with lower participation rates and reduced intervention adherence.</w:t>
      </w:r>
    </w:p>
    <w:p w14:paraId="56AEC6B5" w14:textId="77777777" w:rsidR="001A198F" w:rsidRPr="00193C17" w:rsidRDefault="001A198F" w:rsidP="00280C41">
      <w:pPr>
        <w:spacing w:line="360" w:lineRule="auto"/>
        <w:jc w:val="both"/>
        <w:rPr>
          <w:rFonts w:ascii="Arial" w:hAnsi="Arial" w:cs="Arial"/>
        </w:rPr>
      </w:pPr>
      <w:r w:rsidRPr="00193C17">
        <w:rPr>
          <w:rFonts w:ascii="Arial" w:hAnsi="Arial" w:cs="Arial"/>
        </w:rPr>
        <w:t>Participants experiencing cognitive difficulties reported greater challenges when interacting with highly complex systems, particularly those involving multiple interfaces, frequent updates, or extensive information processing requirements. In contrast, technologies employing simplified workflows, automated functions, and personalised support mechanisms demonstrated greater usability and engagement potential.</w:t>
      </w:r>
    </w:p>
    <w:p w14:paraId="0A09E101" w14:textId="77777777" w:rsidR="001A198F" w:rsidRPr="00193C17" w:rsidRDefault="001A198F" w:rsidP="00280C41">
      <w:pPr>
        <w:spacing w:line="360" w:lineRule="auto"/>
        <w:jc w:val="both"/>
        <w:rPr>
          <w:rFonts w:ascii="Arial" w:hAnsi="Arial" w:cs="Arial"/>
        </w:rPr>
      </w:pPr>
      <w:r w:rsidRPr="00193C17">
        <w:rPr>
          <w:rFonts w:ascii="Arial" w:hAnsi="Arial" w:cs="Arial"/>
        </w:rPr>
        <w:t>These findings complement those reported by Schmidt et al. (2025) and Panzavolta et al. (2025), suggesting that cognitive accessibility represents a fundamental requirement for successful digital health intervention implementation. The evidence indicates that reducing technological complexity may improve participation and facilitate greater accessibility for individuals at risk of cognitive decline.</w:t>
      </w:r>
    </w:p>
    <w:p w14:paraId="38098F46" w14:textId="77777777" w:rsidR="001A198F" w:rsidRPr="00543963" w:rsidRDefault="001A198F" w:rsidP="00280C41">
      <w:pPr>
        <w:pStyle w:val="Heading3"/>
        <w:spacing w:line="360" w:lineRule="auto"/>
        <w:rPr>
          <w:rFonts w:ascii="Arial" w:hAnsi="Arial" w:cs="Arial"/>
          <w:b/>
          <w:bCs/>
          <w:sz w:val="24"/>
          <w:szCs w:val="24"/>
        </w:rPr>
      </w:pPr>
      <w:bookmarkStart w:id="62" w:name="_Toc232034640"/>
      <w:r w:rsidRPr="00543963">
        <w:rPr>
          <w:rFonts w:ascii="Arial" w:hAnsi="Arial" w:cs="Arial"/>
          <w:b/>
          <w:bCs/>
          <w:sz w:val="24"/>
          <w:szCs w:val="24"/>
        </w:rPr>
        <w:t>4.4.4 Synthesis of Barriers and Facilitators Influencing Digital Health Engagement</w:t>
      </w:r>
      <w:bookmarkEnd w:id="62"/>
    </w:p>
    <w:p w14:paraId="61CA34D6" w14:textId="77777777" w:rsidR="001A198F" w:rsidRPr="00193C17" w:rsidRDefault="001A198F" w:rsidP="00280C41">
      <w:pPr>
        <w:spacing w:line="360" w:lineRule="auto"/>
        <w:jc w:val="both"/>
        <w:rPr>
          <w:rFonts w:ascii="Arial" w:hAnsi="Arial" w:cs="Arial"/>
        </w:rPr>
      </w:pPr>
      <w:r w:rsidRPr="00193C17">
        <w:rPr>
          <w:rFonts w:ascii="Arial" w:hAnsi="Arial" w:cs="Arial"/>
        </w:rPr>
        <w:t>Collectively, the findings demonstrate that engagement with digital health technologies is influenced by a complex interaction of individual, technological, and cognitive factors. Across the reviewed studies, digital literacy, technological confidence, motivation, usability, accessibility, and cognitive functioning consistently emerged as major determinants of successful engagement.</w:t>
      </w:r>
    </w:p>
    <w:p w14:paraId="2559EFBA" w14:textId="77777777" w:rsidR="001A198F" w:rsidRPr="00193C17" w:rsidRDefault="001A198F" w:rsidP="001A198F">
      <w:pPr>
        <w:spacing w:line="360" w:lineRule="auto"/>
        <w:jc w:val="both"/>
        <w:rPr>
          <w:rFonts w:ascii="Arial" w:hAnsi="Arial" w:cs="Arial"/>
        </w:rPr>
      </w:pPr>
      <w:r w:rsidRPr="00193C17">
        <w:rPr>
          <w:rFonts w:ascii="Arial" w:hAnsi="Arial" w:cs="Arial"/>
        </w:rPr>
        <w:t>Facilitators included strong digital skills, confidence in technology use, perceived usefulness, personalised support, intuitive design, and accessible interfaces. These factors increased technology acceptance and promoted sustained participation. Conversely, barriers included limited digital literacy, low confidence, technological anxiety, cognitive impairment, memory difficulties, poor usability, and excessive cognitive demands.</w:t>
      </w:r>
    </w:p>
    <w:p w14:paraId="064E8153" w14:textId="104C1910" w:rsidR="001A198F" w:rsidRPr="00193C17" w:rsidRDefault="001A198F" w:rsidP="001A198F">
      <w:pPr>
        <w:spacing w:line="360" w:lineRule="auto"/>
        <w:jc w:val="both"/>
        <w:rPr>
          <w:rFonts w:ascii="Arial" w:hAnsi="Arial" w:cs="Arial"/>
        </w:rPr>
      </w:pPr>
      <w:r w:rsidRPr="00193C17">
        <w:rPr>
          <w:rFonts w:ascii="Arial" w:hAnsi="Arial" w:cs="Arial"/>
        </w:rPr>
        <w:t xml:space="preserve">Importantly, individuals </w:t>
      </w:r>
      <w:r w:rsidR="002D357B" w:rsidRPr="002D357B">
        <w:rPr>
          <w:rFonts w:ascii="Arial" w:hAnsi="Arial" w:cs="Arial"/>
        </w:rPr>
        <w:t>among individuals with Mild Cognitive Impairment and early-stage dementia appeared</w:t>
      </w:r>
      <w:r w:rsidR="002D357B">
        <w:rPr>
          <w:rFonts w:ascii="Arial" w:hAnsi="Arial" w:cs="Arial"/>
        </w:rPr>
        <w:t xml:space="preserve"> </w:t>
      </w:r>
      <w:r w:rsidRPr="00193C17">
        <w:rPr>
          <w:rFonts w:ascii="Arial" w:hAnsi="Arial" w:cs="Arial"/>
        </w:rPr>
        <w:t xml:space="preserve">particularly vulnerable to engagement challenges. As a result, interventions designed for dementia prevention must extend beyond technological innovation </w:t>
      </w:r>
      <w:r w:rsidRPr="00193C17">
        <w:rPr>
          <w:rFonts w:ascii="Arial" w:hAnsi="Arial" w:cs="Arial"/>
        </w:rPr>
        <w:lastRenderedPageBreak/>
        <w:t>alone and incorporate user-centred design principles that accommodate cognitive limitations and promote accessibility.</w:t>
      </w:r>
    </w:p>
    <w:p w14:paraId="0CC3FCF6" w14:textId="77777777" w:rsidR="001A198F" w:rsidRPr="00193C17" w:rsidRDefault="001A198F" w:rsidP="001A198F">
      <w:pPr>
        <w:spacing w:line="360" w:lineRule="auto"/>
        <w:jc w:val="both"/>
        <w:rPr>
          <w:rFonts w:ascii="Arial" w:hAnsi="Arial" w:cs="Arial"/>
        </w:rPr>
      </w:pPr>
      <w:r w:rsidRPr="00193C17">
        <w:rPr>
          <w:rFonts w:ascii="Arial" w:hAnsi="Arial" w:cs="Arial"/>
        </w:rPr>
        <w:t>Overall, the evidence suggests that successful implementation of digital dementia prevention interventions requires a comprehensive approach addressing both technological and human factors. By reducing barriers and strengthening facilitators, digital health technologies may achieve greater reach, improve participation, and maximise their contribution to dementia prevention and cognitive health promotion among older adults.</w:t>
      </w:r>
    </w:p>
    <w:p w14:paraId="535688BD" w14:textId="77777777" w:rsidR="001A198F" w:rsidRPr="00543963" w:rsidRDefault="001A198F" w:rsidP="00543963">
      <w:pPr>
        <w:pStyle w:val="Heading2"/>
        <w:rPr>
          <w:rFonts w:ascii="Arial" w:hAnsi="Arial" w:cs="Arial"/>
          <w:b/>
          <w:bCs/>
          <w:sz w:val="24"/>
          <w:szCs w:val="24"/>
        </w:rPr>
      </w:pPr>
      <w:bookmarkStart w:id="63" w:name="_Toc232034641"/>
      <w:r w:rsidRPr="00543963">
        <w:rPr>
          <w:rFonts w:ascii="Arial" w:hAnsi="Arial" w:cs="Arial"/>
          <w:b/>
          <w:bCs/>
          <w:sz w:val="24"/>
          <w:szCs w:val="24"/>
        </w:rPr>
        <w:t>4.5 Impact of Digital Health Technologies on Cognitive Health and Dementia Risk</w:t>
      </w:r>
      <w:bookmarkEnd w:id="63"/>
    </w:p>
    <w:p w14:paraId="39C8AD3A" w14:textId="707E0E91" w:rsidR="001A198F" w:rsidRPr="00193C17" w:rsidRDefault="001A198F" w:rsidP="001A198F">
      <w:pPr>
        <w:spacing w:line="360" w:lineRule="auto"/>
        <w:jc w:val="both"/>
        <w:rPr>
          <w:rFonts w:ascii="Arial" w:hAnsi="Arial" w:cs="Arial"/>
        </w:rPr>
      </w:pPr>
      <w:r w:rsidRPr="00193C17">
        <w:rPr>
          <w:rFonts w:ascii="Arial" w:hAnsi="Arial" w:cs="Arial"/>
        </w:rPr>
        <w:t xml:space="preserve">The final theme explored the impact of digital health technologies on cognitive health outcomes and dementia risk reduction among older adults. </w:t>
      </w:r>
      <w:r w:rsidR="002D357B" w:rsidRPr="002D357B">
        <w:rPr>
          <w:rFonts w:ascii="Arial" w:hAnsi="Arial" w:cs="Arial"/>
        </w:rPr>
        <w:t>The reviewed studies indicate that digital interventions may support cognitive wellbeing through cognitive training, stimulation, and</w:t>
      </w:r>
      <w:r w:rsidR="002D357B">
        <w:rPr>
          <w:rFonts w:ascii="Arial" w:hAnsi="Arial" w:cs="Arial"/>
        </w:rPr>
        <w:t xml:space="preserve"> </w:t>
      </w:r>
      <w:r w:rsidRPr="00193C17">
        <w:rPr>
          <w:rFonts w:ascii="Arial" w:hAnsi="Arial" w:cs="Arial"/>
        </w:rPr>
        <w:t>indirect mechanisms, including lifestyle modification, health education, behavioural change, and self-management support. Although intervention designs varied considerably across studies, a consistent pattern emerged whereby digital technology engagement was associated with improvements in cognitive health indicators and behaviours linked to reduced dementia risk.</w:t>
      </w:r>
    </w:p>
    <w:p w14:paraId="62AA597E" w14:textId="77777777" w:rsidR="001A198F" w:rsidRPr="00543963" w:rsidRDefault="001A198F" w:rsidP="00543963">
      <w:pPr>
        <w:pStyle w:val="Heading3"/>
        <w:rPr>
          <w:rFonts w:ascii="Arial" w:hAnsi="Arial" w:cs="Arial"/>
          <w:b/>
          <w:bCs/>
          <w:sz w:val="24"/>
          <w:szCs w:val="24"/>
        </w:rPr>
      </w:pPr>
      <w:bookmarkStart w:id="64" w:name="_Toc232034642"/>
      <w:r w:rsidRPr="00543963">
        <w:rPr>
          <w:rFonts w:ascii="Arial" w:hAnsi="Arial" w:cs="Arial"/>
          <w:b/>
          <w:bCs/>
          <w:sz w:val="24"/>
          <w:szCs w:val="24"/>
        </w:rPr>
        <w:t>4.5.1 Cognitive Health Outcomes</w:t>
      </w:r>
      <w:bookmarkEnd w:id="64"/>
    </w:p>
    <w:p w14:paraId="3C38254B" w14:textId="77777777" w:rsidR="001A198F" w:rsidRPr="00193C17" w:rsidRDefault="001A198F" w:rsidP="001A198F">
      <w:pPr>
        <w:spacing w:line="360" w:lineRule="auto"/>
        <w:jc w:val="both"/>
        <w:rPr>
          <w:rFonts w:ascii="Arial" w:hAnsi="Arial" w:cs="Arial"/>
        </w:rPr>
      </w:pPr>
      <w:r w:rsidRPr="00193C17">
        <w:rPr>
          <w:rFonts w:ascii="Arial" w:hAnsi="Arial" w:cs="Arial"/>
        </w:rPr>
        <w:t>Several studies reported positive effects of digital interventions on cognitive functioning among older adults. Glenn et al. (2019) evaluated a digital cognitive training programme designed to improve cognitive performance through structured mental exercises. Participants demonstrated improvements in memory, attention, and processing speed following intervention participation. The intervention provided repeated cognitive stimulation targeting multiple cognitive domains, suggesting that regular engagement with digital cognitive training may contribute to maintaining or enhancing cognitive performance among older adults.</w:t>
      </w:r>
    </w:p>
    <w:p w14:paraId="50FB8503" w14:textId="77777777" w:rsidR="001A198F" w:rsidRPr="00193C17" w:rsidRDefault="001A198F" w:rsidP="001A198F">
      <w:pPr>
        <w:spacing w:line="360" w:lineRule="auto"/>
        <w:jc w:val="both"/>
        <w:rPr>
          <w:rFonts w:ascii="Arial" w:hAnsi="Arial" w:cs="Arial"/>
        </w:rPr>
      </w:pPr>
      <w:r w:rsidRPr="00193C17">
        <w:rPr>
          <w:rFonts w:ascii="Arial" w:hAnsi="Arial" w:cs="Arial"/>
        </w:rPr>
        <w:t>Similarly, Rosenberg et al. (2024) examined a digitally supported multimodal lifestyle intervention designed to improve brain health through simultaneous targeting of multiple dementia risk factors. Participants reported improvements in both cognitive outcomes and overall health measures following intervention completion. Unlike Glenn et al. (2019), whose intervention focused primarily on direct cognitive stimulation, Rosenberg et al. (2024) incorporated broader behavioural and lifestyle components, including physical activity, health education, and self-management strategies. The findings suggest that cognitive improvements may be achieved not only through direct cognitive exercises but also through interventions promoting overall health and wellbeing.</w:t>
      </w:r>
    </w:p>
    <w:p w14:paraId="5C2AAAF7" w14:textId="77777777" w:rsidR="001A198F" w:rsidRPr="00193C17" w:rsidRDefault="001A198F" w:rsidP="001A198F">
      <w:pPr>
        <w:spacing w:line="360" w:lineRule="auto"/>
        <w:jc w:val="both"/>
        <w:rPr>
          <w:rFonts w:ascii="Arial" w:hAnsi="Arial" w:cs="Arial"/>
        </w:rPr>
      </w:pPr>
      <w:r w:rsidRPr="00193C17">
        <w:rPr>
          <w:rFonts w:ascii="Arial" w:hAnsi="Arial" w:cs="Arial"/>
        </w:rPr>
        <w:lastRenderedPageBreak/>
        <w:t>Comparison of these studies highlights two distinct pathways through which digital technologies may influence cognitive health. Glenn et al. (2019) demonstrated direct cognitive enhancement through structured training activities, whereas Rosenberg et al. (2024) reported cognitive benefits resulting from broader lifestyle interventions. Despite differences in intervention design, both studies suggest that digital health technologies may contribute positively to cognitive functioning among older adults.</w:t>
      </w:r>
    </w:p>
    <w:p w14:paraId="6BEDAEA1" w14:textId="77777777" w:rsidR="001A198F" w:rsidRPr="00193C17" w:rsidRDefault="001A198F" w:rsidP="001A198F">
      <w:pPr>
        <w:spacing w:line="360" w:lineRule="auto"/>
        <w:jc w:val="both"/>
        <w:rPr>
          <w:rFonts w:ascii="Arial" w:hAnsi="Arial" w:cs="Arial"/>
        </w:rPr>
      </w:pPr>
      <w:r w:rsidRPr="00193C17">
        <w:rPr>
          <w:rFonts w:ascii="Arial" w:hAnsi="Arial" w:cs="Arial"/>
        </w:rPr>
        <w:t>The findings also support current theoretical models proposing that cognitive reserve may be strengthened through ongoing cognitive stimulation and active engagement in mentally challenging activities. Digital interventions may therefore provide scalable opportunities for supporting cognitive maintenance and delaying age-related cognitive decline.</w:t>
      </w:r>
    </w:p>
    <w:p w14:paraId="18513BB8" w14:textId="77777777" w:rsidR="001A198F" w:rsidRPr="00543963" w:rsidRDefault="001A198F" w:rsidP="00543963">
      <w:pPr>
        <w:pStyle w:val="Heading3"/>
        <w:rPr>
          <w:rFonts w:ascii="Arial" w:hAnsi="Arial" w:cs="Arial"/>
          <w:b/>
          <w:bCs/>
          <w:sz w:val="24"/>
          <w:szCs w:val="24"/>
        </w:rPr>
      </w:pPr>
      <w:bookmarkStart w:id="65" w:name="_Toc232034643"/>
      <w:r w:rsidRPr="00543963">
        <w:rPr>
          <w:rFonts w:ascii="Arial" w:hAnsi="Arial" w:cs="Arial"/>
          <w:b/>
          <w:bCs/>
          <w:sz w:val="24"/>
          <w:szCs w:val="24"/>
        </w:rPr>
        <w:t>4.5.2 Dementia Risk Reduction Through Behavioural Change</w:t>
      </w:r>
      <w:bookmarkEnd w:id="65"/>
    </w:p>
    <w:p w14:paraId="7F6CC49A" w14:textId="77777777" w:rsidR="001A198F" w:rsidRPr="00193C17" w:rsidRDefault="001A198F" w:rsidP="001A198F">
      <w:pPr>
        <w:spacing w:line="360" w:lineRule="auto"/>
        <w:jc w:val="both"/>
        <w:rPr>
          <w:rFonts w:ascii="Arial" w:hAnsi="Arial" w:cs="Arial"/>
        </w:rPr>
      </w:pPr>
      <w:r w:rsidRPr="00193C17">
        <w:rPr>
          <w:rFonts w:ascii="Arial" w:hAnsi="Arial" w:cs="Arial"/>
        </w:rPr>
        <w:t>The evidence further suggests that digital technologies may contribute to dementia prevention by promoting behavioural changes associated with reduced dementia risk. Coley et al. (2022) reported that greater engagement with a coach-supported eHealth intervention was associated with healthier lifestyle behaviours and lower dementia risk profiles. Participants who engaged more actively with the intervention demonstrated greater improvements in modifiable risk factors, including behaviours associated with cardiovascular health, physical activity, and cognitive wellbeing.</w:t>
      </w:r>
    </w:p>
    <w:p w14:paraId="0ABF4215" w14:textId="3AAA2D07" w:rsidR="001A198F" w:rsidRPr="00193C17" w:rsidRDefault="001A198F" w:rsidP="001A198F">
      <w:pPr>
        <w:spacing w:line="360" w:lineRule="auto"/>
        <w:jc w:val="both"/>
        <w:rPr>
          <w:rFonts w:ascii="Arial" w:hAnsi="Arial" w:cs="Arial"/>
        </w:rPr>
      </w:pPr>
      <w:r w:rsidRPr="00193C17">
        <w:rPr>
          <w:rFonts w:ascii="Arial" w:hAnsi="Arial" w:cs="Arial"/>
        </w:rPr>
        <w:t>Additional support was provided by Bunyan et al. (2024), who evaluated the Five Lives digital lifestyle intervention among 154 adults aged 50–69 years. Participants completed approximately 35 intervention activities per week, indicating substantial engagement with the programme. Statistical analysis demonstrated significantly greater lifestyle improvements among intervention participants compared with controls (</w:t>
      </w:r>
      <w:r w:rsidR="00FE1995" w:rsidRPr="00193C17">
        <w:rPr>
          <w:rFonts w:ascii="Arial" w:hAnsi="Arial" w:cs="Arial"/>
        </w:rPr>
        <w:t>F (</w:t>
      </w:r>
      <w:r w:rsidRPr="00193C17">
        <w:rPr>
          <w:rFonts w:ascii="Arial" w:hAnsi="Arial" w:cs="Arial"/>
        </w:rPr>
        <w:t>1,</w:t>
      </w:r>
      <w:r w:rsidR="00FE1995" w:rsidRPr="00193C17">
        <w:rPr>
          <w:rFonts w:ascii="Arial" w:hAnsi="Arial" w:cs="Arial"/>
        </w:rPr>
        <w:t>81) =</w:t>
      </w:r>
      <w:r w:rsidRPr="00193C17">
        <w:rPr>
          <w:rFonts w:ascii="Arial" w:hAnsi="Arial" w:cs="Arial"/>
        </w:rPr>
        <w:t>3.10, p=0.049). The intervention targeted multiple modifiable dementia risk factors, including diet, sleep, physical activity, stress management, and cognitive stimulation. These findings suggest that digital interventions may support behavioural modifications known to reduce future dementia risk.</w:t>
      </w:r>
    </w:p>
    <w:p w14:paraId="6656D61A" w14:textId="27E875C5" w:rsidR="001A198F" w:rsidRPr="00193C17" w:rsidRDefault="001A198F" w:rsidP="001A198F">
      <w:pPr>
        <w:spacing w:line="360" w:lineRule="auto"/>
        <w:jc w:val="both"/>
        <w:rPr>
          <w:rFonts w:ascii="Arial" w:hAnsi="Arial" w:cs="Arial"/>
        </w:rPr>
      </w:pPr>
      <w:r w:rsidRPr="00193C17">
        <w:rPr>
          <w:rFonts w:ascii="Arial" w:hAnsi="Arial" w:cs="Arial"/>
        </w:rPr>
        <w:t xml:space="preserve">Fishman et al. (2025) further demonstrated the potential value of digital educational interventions. Following participation in a cognitive health promotion webinar, </w:t>
      </w:r>
      <w:r w:rsidR="002D357B">
        <w:rPr>
          <w:rFonts w:ascii="Arial" w:hAnsi="Arial" w:cs="Arial"/>
        </w:rPr>
        <w:t xml:space="preserve">around </w:t>
      </w:r>
      <w:r w:rsidR="002D357B" w:rsidRPr="00193C17">
        <w:rPr>
          <w:rFonts w:ascii="Arial" w:hAnsi="Arial" w:cs="Arial"/>
        </w:rPr>
        <w:t>90</w:t>
      </w:r>
      <w:r w:rsidRPr="00193C17">
        <w:rPr>
          <w:rFonts w:ascii="Arial" w:hAnsi="Arial" w:cs="Arial"/>
        </w:rPr>
        <w:t>% of participants reported increased motivation to adopt healthier behaviours, while 74% implemented at least one behavioural change during follow-up. The findings indicate that digital health education may increase awareness of dementia risk factors and encourage behavioural modifications associated with brain health improvement.</w:t>
      </w:r>
    </w:p>
    <w:p w14:paraId="2C607F4F" w14:textId="20629E45" w:rsidR="001A198F" w:rsidRPr="00193C17" w:rsidRDefault="001A198F" w:rsidP="001A198F">
      <w:pPr>
        <w:spacing w:line="360" w:lineRule="auto"/>
        <w:jc w:val="both"/>
        <w:rPr>
          <w:rFonts w:ascii="Arial" w:hAnsi="Arial" w:cs="Arial"/>
        </w:rPr>
      </w:pPr>
      <w:r w:rsidRPr="00193C17">
        <w:rPr>
          <w:rFonts w:ascii="Arial" w:hAnsi="Arial" w:cs="Arial"/>
        </w:rPr>
        <w:t xml:space="preserve">Collectively, these studies demonstrate that digital technologies may influence dementia risk indirectly by encouraging engagement in healthier lifestyles and supporting long-term behavioural change. Given that approximately 40% of dementia cases have been </w:t>
      </w:r>
      <w:r w:rsidR="002D357B" w:rsidRPr="002D357B">
        <w:rPr>
          <w:rFonts w:ascii="Arial" w:hAnsi="Arial" w:cs="Arial"/>
        </w:rPr>
        <w:t xml:space="preserve">attributable </w:t>
      </w:r>
      <w:r w:rsidR="002D357B" w:rsidRPr="002D357B">
        <w:rPr>
          <w:rFonts w:ascii="Arial" w:hAnsi="Arial" w:cs="Arial"/>
        </w:rPr>
        <w:lastRenderedPageBreak/>
        <w:t>to modifiable risk factors</w:t>
      </w:r>
      <w:r w:rsidRPr="00193C17">
        <w:rPr>
          <w:rFonts w:ascii="Arial" w:hAnsi="Arial" w:cs="Arial"/>
        </w:rPr>
        <w:t>, interventions targeting lifestyle behaviours may represent an important component of dementia prevention strategies.</w:t>
      </w:r>
    </w:p>
    <w:p w14:paraId="0D00C7B4" w14:textId="77777777" w:rsidR="001A198F" w:rsidRPr="00543963" w:rsidRDefault="001A198F" w:rsidP="00543963">
      <w:pPr>
        <w:pStyle w:val="Heading3"/>
        <w:rPr>
          <w:rFonts w:ascii="Arial" w:hAnsi="Arial" w:cs="Arial"/>
          <w:b/>
          <w:bCs/>
          <w:sz w:val="24"/>
          <w:szCs w:val="24"/>
        </w:rPr>
      </w:pPr>
      <w:bookmarkStart w:id="66" w:name="_Toc232034644"/>
      <w:r w:rsidRPr="00543963">
        <w:rPr>
          <w:rFonts w:ascii="Arial" w:hAnsi="Arial" w:cs="Arial"/>
          <w:b/>
          <w:bCs/>
          <w:sz w:val="24"/>
          <w:szCs w:val="24"/>
        </w:rPr>
        <w:t>4.5.3 Technology Use and Healthy Ageing</w:t>
      </w:r>
      <w:bookmarkEnd w:id="66"/>
    </w:p>
    <w:p w14:paraId="71F9FB3C" w14:textId="79706D85" w:rsidR="001A198F" w:rsidRPr="00193C17" w:rsidRDefault="001A198F" w:rsidP="001A198F">
      <w:pPr>
        <w:spacing w:line="360" w:lineRule="auto"/>
        <w:jc w:val="both"/>
        <w:rPr>
          <w:rFonts w:ascii="Arial" w:hAnsi="Arial" w:cs="Arial"/>
        </w:rPr>
      </w:pPr>
      <w:r w:rsidRPr="00193C17">
        <w:rPr>
          <w:rFonts w:ascii="Arial" w:hAnsi="Arial" w:cs="Arial"/>
        </w:rPr>
        <w:t xml:space="preserve">Beyond structured interventions, broader engagement with digital technologies was also associated with positive cognitive health outcomes. Peng et al. (2024) examined the </w:t>
      </w:r>
      <w:r w:rsidR="002D357B" w:rsidRPr="002D357B">
        <w:rPr>
          <w:rFonts w:ascii="Arial" w:hAnsi="Arial" w:cs="Arial"/>
        </w:rPr>
        <w:t xml:space="preserve">association </w:t>
      </w:r>
      <w:r w:rsidRPr="00193C17">
        <w:rPr>
          <w:rFonts w:ascii="Arial" w:hAnsi="Arial" w:cs="Arial"/>
        </w:rPr>
        <w:t>between digital technology use and dementia risk and reported that greater technology engagement was associated with lower dementia risk among older adults. The findings suggest that routine technology use may support healthy ageing through increased cognitive stimulation, social interaction, information access, and engagement with health-promoting activities.</w:t>
      </w:r>
    </w:p>
    <w:p w14:paraId="1E282B81" w14:textId="77777777" w:rsidR="001A198F" w:rsidRPr="00193C17" w:rsidRDefault="001A198F" w:rsidP="001A198F">
      <w:pPr>
        <w:spacing w:line="360" w:lineRule="auto"/>
        <w:jc w:val="both"/>
        <w:rPr>
          <w:rFonts w:ascii="Arial" w:hAnsi="Arial" w:cs="Arial"/>
        </w:rPr>
      </w:pPr>
      <w:r w:rsidRPr="00193C17">
        <w:rPr>
          <w:rFonts w:ascii="Arial" w:hAnsi="Arial" w:cs="Arial"/>
        </w:rPr>
        <w:t>The study proposed several mechanisms through which digital engagement may contribute to cognitive health. Regular interaction with technology requires memory, attention, decision-making, and problem-solving abilities, thereby providing ongoing cognitive stimulation. Additionally, digital platforms may facilitate social connectivity, reduce isolation, and improve access to healthcare information, all of which have been identified as protective factors against cognitive decline.</w:t>
      </w:r>
    </w:p>
    <w:p w14:paraId="0619AD56" w14:textId="77777777" w:rsidR="001A198F" w:rsidRPr="00193C17" w:rsidRDefault="001A198F" w:rsidP="001A198F">
      <w:pPr>
        <w:spacing w:line="360" w:lineRule="auto"/>
        <w:jc w:val="both"/>
        <w:rPr>
          <w:rFonts w:ascii="Arial" w:hAnsi="Arial" w:cs="Arial"/>
        </w:rPr>
      </w:pPr>
      <w:r w:rsidRPr="00193C17">
        <w:rPr>
          <w:rFonts w:ascii="Arial" w:hAnsi="Arial" w:cs="Arial"/>
        </w:rPr>
        <w:t>Although the observational nature of the study prevents causal conclusions, the findings complement those reported in intervention-based studies. Together, the evidence suggests that both structured digital interventions and general technology engagement may contribute positively to cognitive health and dementia prevention.</w:t>
      </w:r>
    </w:p>
    <w:p w14:paraId="221B7BEF" w14:textId="77777777" w:rsidR="001A198F" w:rsidRPr="00543963" w:rsidRDefault="001A198F" w:rsidP="00543963">
      <w:pPr>
        <w:pStyle w:val="Heading3"/>
        <w:rPr>
          <w:rFonts w:ascii="Arial" w:hAnsi="Arial" w:cs="Arial"/>
          <w:b/>
          <w:bCs/>
          <w:sz w:val="24"/>
          <w:szCs w:val="24"/>
        </w:rPr>
      </w:pPr>
      <w:bookmarkStart w:id="67" w:name="_Toc232034645"/>
      <w:r w:rsidRPr="00543963">
        <w:rPr>
          <w:rFonts w:ascii="Arial" w:hAnsi="Arial" w:cs="Arial"/>
          <w:b/>
          <w:bCs/>
          <w:sz w:val="24"/>
          <w:szCs w:val="24"/>
        </w:rPr>
        <w:t>4.5.4 Synthesis of Cognitive Health and Dementia Risk Outcomes</w:t>
      </w:r>
      <w:bookmarkEnd w:id="67"/>
    </w:p>
    <w:p w14:paraId="136E4270" w14:textId="7A5B1CF7" w:rsidR="001A198F" w:rsidRPr="00193C17" w:rsidRDefault="001A198F" w:rsidP="001A198F">
      <w:pPr>
        <w:spacing w:line="360" w:lineRule="auto"/>
        <w:jc w:val="both"/>
        <w:rPr>
          <w:rFonts w:ascii="Arial" w:hAnsi="Arial" w:cs="Arial"/>
        </w:rPr>
      </w:pPr>
      <w:r w:rsidRPr="00193C17">
        <w:rPr>
          <w:rFonts w:ascii="Arial" w:hAnsi="Arial" w:cs="Arial"/>
        </w:rPr>
        <w:t xml:space="preserve">Overall, the evidence provides encouraging support for the role of digital health technologies </w:t>
      </w:r>
      <w:r w:rsidR="002D357B" w:rsidRPr="002D357B">
        <w:rPr>
          <w:rFonts w:ascii="Arial" w:hAnsi="Arial" w:cs="Arial"/>
        </w:rPr>
        <w:t>in supporting cognitive health and mitigating dementia risk</w:t>
      </w:r>
      <w:r w:rsidR="002D357B">
        <w:rPr>
          <w:rFonts w:ascii="Arial" w:hAnsi="Arial" w:cs="Arial"/>
        </w:rPr>
        <w:t xml:space="preserve"> </w:t>
      </w:r>
      <w:r w:rsidRPr="00193C17">
        <w:rPr>
          <w:rFonts w:ascii="Arial" w:hAnsi="Arial" w:cs="Arial"/>
        </w:rPr>
        <w:t xml:space="preserve">among older adults. Across the reviewed studies, digital interventions were </w:t>
      </w:r>
      <w:r w:rsidR="002D357B" w:rsidRPr="002D357B">
        <w:rPr>
          <w:rFonts w:ascii="Arial" w:hAnsi="Arial" w:cs="Arial"/>
        </w:rPr>
        <w:t>associated with enhanced cognitive functioning,</w:t>
      </w:r>
      <w:r w:rsidR="002D357B">
        <w:rPr>
          <w:rFonts w:ascii="Arial" w:hAnsi="Arial" w:cs="Arial"/>
        </w:rPr>
        <w:t xml:space="preserve"> </w:t>
      </w:r>
      <w:r w:rsidRPr="00193C17">
        <w:rPr>
          <w:rFonts w:ascii="Arial" w:hAnsi="Arial" w:cs="Arial"/>
        </w:rPr>
        <w:t>healthier lifestyle behaviours, increased health awareness, enhanced self-management, and reduced dementia risk profiles.</w:t>
      </w:r>
    </w:p>
    <w:p w14:paraId="07F78886" w14:textId="77777777" w:rsidR="001A198F" w:rsidRPr="00193C17" w:rsidRDefault="001A198F" w:rsidP="001A198F">
      <w:pPr>
        <w:spacing w:line="360" w:lineRule="auto"/>
        <w:jc w:val="both"/>
        <w:rPr>
          <w:rFonts w:ascii="Arial" w:hAnsi="Arial" w:cs="Arial"/>
        </w:rPr>
      </w:pPr>
      <w:r w:rsidRPr="00193C17">
        <w:rPr>
          <w:rFonts w:ascii="Arial" w:hAnsi="Arial" w:cs="Arial"/>
        </w:rPr>
        <w:t>Importantly, digital technologies appear capable of influencing cognitive health through multiple pathways. Direct pathways include cognitive training and mental stimulation interventions that target memory, attention, and processing speed. Indirect pathways involve behaviour change, lifestyle modification, health education, and increased engagement in activities known to support brain health.</w:t>
      </w:r>
    </w:p>
    <w:p w14:paraId="3E3D3B3F" w14:textId="18F3B336" w:rsidR="001A198F" w:rsidRPr="00193C17" w:rsidRDefault="001A198F" w:rsidP="001A198F">
      <w:pPr>
        <w:spacing w:line="360" w:lineRule="auto"/>
        <w:jc w:val="both"/>
        <w:rPr>
          <w:rFonts w:ascii="Arial" w:hAnsi="Arial" w:cs="Arial"/>
        </w:rPr>
      </w:pPr>
      <w:r w:rsidRPr="00193C17">
        <w:rPr>
          <w:rFonts w:ascii="Arial" w:hAnsi="Arial" w:cs="Arial"/>
        </w:rPr>
        <w:t xml:space="preserve">The strongest evidence emerged from interventions targeting modifiable dementia risk factors. For example, Bunyan et al. (2024) demonstrated </w:t>
      </w:r>
      <w:r w:rsidR="003450C4" w:rsidRPr="003450C4">
        <w:rPr>
          <w:rFonts w:ascii="Arial" w:hAnsi="Arial" w:cs="Arial"/>
        </w:rPr>
        <w:t>statistically significant gains in</w:t>
      </w:r>
      <w:r w:rsidR="003450C4">
        <w:rPr>
          <w:rFonts w:ascii="Arial" w:hAnsi="Arial" w:cs="Arial"/>
        </w:rPr>
        <w:t xml:space="preserve"> </w:t>
      </w:r>
      <w:r w:rsidRPr="00193C17">
        <w:rPr>
          <w:rFonts w:ascii="Arial" w:hAnsi="Arial" w:cs="Arial"/>
        </w:rPr>
        <w:t xml:space="preserve">lifestyle behaviours (p=0.049) among intervention participants, while Fishman et al. (2025) reported </w:t>
      </w:r>
      <w:r w:rsidRPr="00193C17">
        <w:rPr>
          <w:rFonts w:ascii="Arial" w:hAnsi="Arial" w:cs="Arial"/>
        </w:rPr>
        <w:lastRenderedPageBreak/>
        <w:t>high rates of behavioural change adoption following digital education. Similarly, Coley et al. (2022) found that higher intervention engagement was associated with greater reductions in dementia risk factors, reinforcing the importance of sustained participation.</w:t>
      </w:r>
    </w:p>
    <w:p w14:paraId="4E16AD10" w14:textId="77777777" w:rsidR="001A198F" w:rsidRPr="00193C17" w:rsidRDefault="001A198F" w:rsidP="001A198F">
      <w:pPr>
        <w:spacing w:line="360" w:lineRule="auto"/>
        <w:jc w:val="both"/>
        <w:rPr>
          <w:rFonts w:ascii="Arial" w:hAnsi="Arial" w:cs="Arial"/>
        </w:rPr>
      </w:pPr>
      <w:r w:rsidRPr="00193C17">
        <w:rPr>
          <w:rFonts w:ascii="Arial" w:hAnsi="Arial" w:cs="Arial"/>
        </w:rPr>
        <w:t>Nevertheless, several limitations were identified across the evidence base. Many studies employed feasibility designs, observational methodologies, relatively short follow-up periods, or self-reported outcome measures. Furthermore, direct evidence demonstrating reductions in dementia incidence remains limited. Consequently, while digital interventions appear effective in modifying risk factors associated with dementia, further longitudinal randomised controlled trials are required to establish whether these behavioural and cognitive improvements translate into long-term reductions in dementia prevalence.</w:t>
      </w:r>
    </w:p>
    <w:p w14:paraId="56FA1C19" w14:textId="77777777" w:rsidR="001A198F" w:rsidRPr="00193C17" w:rsidRDefault="001A198F" w:rsidP="001A198F">
      <w:pPr>
        <w:spacing w:line="360" w:lineRule="auto"/>
        <w:jc w:val="both"/>
        <w:rPr>
          <w:rFonts w:ascii="Arial" w:hAnsi="Arial" w:cs="Arial"/>
        </w:rPr>
      </w:pPr>
      <w:r w:rsidRPr="00193C17">
        <w:rPr>
          <w:rFonts w:ascii="Arial" w:hAnsi="Arial" w:cs="Arial"/>
        </w:rPr>
        <w:t>Overall, the findings suggest that digital health technologies represent a promising and scalable approach for supporting healthy cognitive ageing and dementia prevention. By combining cognitive stimulation, behavioural support, health education, and personalised intervention strategies, digital technologies may play an increasingly important role in future public health approaches to dementia prevention.</w:t>
      </w:r>
    </w:p>
    <w:p w14:paraId="5318EE70" w14:textId="77777777" w:rsidR="00805335" w:rsidRPr="00543963" w:rsidRDefault="00805335" w:rsidP="00543963">
      <w:pPr>
        <w:pStyle w:val="Heading2"/>
        <w:rPr>
          <w:rFonts w:ascii="Arial" w:hAnsi="Arial" w:cs="Arial"/>
          <w:b/>
          <w:bCs/>
          <w:sz w:val="24"/>
          <w:szCs w:val="24"/>
        </w:rPr>
      </w:pPr>
      <w:bookmarkStart w:id="68" w:name="_Toc232034646"/>
      <w:r w:rsidRPr="00543963">
        <w:rPr>
          <w:rFonts w:ascii="Arial" w:hAnsi="Arial" w:cs="Arial"/>
          <w:b/>
          <w:bCs/>
          <w:sz w:val="24"/>
          <w:szCs w:val="24"/>
        </w:rPr>
        <w:t>4.6 Chapter Summary</w:t>
      </w:r>
      <w:bookmarkEnd w:id="68"/>
    </w:p>
    <w:p w14:paraId="7E801035" w14:textId="2D1B18F4" w:rsidR="00805335" w:rsidRPr="00543963" w:rsidRDefault="00805335" w:rsidP="00805335">
      <w:pPr>
        <w:spacing w:line="360" w:lineRule="auto"/>
        <w:jc w:val="both"/>
        <w:rPr>
          <w:rFonts w:ascii="Arial" w:hAnsi="Arial" w:cs="Arial"/>
        </w:rPr>
      </w:pPr>
      <w:r w:rsidRPr="00543963">
        <w:rPr>
          <w:rFonts w:ascii="Arial" w:hAnsi="Arial" w:cs="Arial"/>
        </w:rPr>
        <w:t xml:space="preserve">This chapter presented the findings of the systematic literature review exploring the role of digital health technologies in dementia prevention among older adults. Through thematic synthesis of the included studies, four key themes were identified: digital health interventions for dementia prevention, digital engagement and adherence, barriers and facilitators influencing digital health engagement, and </w:t>
      </w:r>
      <w:r w:rsidR="003450C4" w:rsidRPr="003450C4">
        <w:rPr>
          <w:rFonts w:ascii="Arial" w:hAnsi="Arial" w:cs="Arial"/>
        </w:rPr>
        <w:t xml:space="preserve">the role of digital health technologies in </w:t>
      </w:r>
      <w:r w:rsidRPr="00543963">
        <w:rPr>
          <w:rFonts w:ascii="Arial" w:hAnsi="Arial" w:cs="Arial"/>
        </w:rPr>
        <w:t>cognitive health and dementia risk.</w:t>
      </w:r>
    </w:p>
    <w:p w14:paraId="11FABE8A" w14:textId="77777777" w:rsidR="00805335" w:rsidRPr="00543963" w:rsidRDefault="00805335" w:rsidP="00805335">
      <w:pPr>
        <w:spacing w:line="360" w:lineRule="auto"/>
        <w:jc w:val="both"/>
        <w:rPr>
          <w:rFonts w:ascii="Arial" w:hAnsi="Arial" w:cs="Arial"/>
        </w:rPr>
      </w:pPr>
      <w:r w:rsidRPr="00543963">
        <w:rPr>
          <w:rFonts w:ascii="Arial" w:hAnsi="Arial" w:cs="Arial"/>
        </w:rPr>
        <w:t>The first theme demonstrated that digital health interventions, including eHealth programmes, lifestyle interventions, personalised coaching, and multimodal approaches, have the potential to promote healthier behaviours associated with dementia risk reduction. Across the studies, participants reported improvements in lifestyle practices, health-related behaviours, and quality of life, suggesting that digital interventions may provide accessible and scalable approaches for supporting dementia prevention among ageing populations.</w:t>
      </w:r>
    </w:p>
    <w:p w14:paraId="5B6C5C38" w14:textId="77777777" w:rsidR="00805335" w:rsidRPr="00543963" w:rsidRDefault="00805335" w:rsidP="00805335">
      <w:pPr>
        <w:spacing w:line="360" w:lineRule="auto"/>
        <w:jc w:val="both"/>
        <w:rPr>
          <w:rFonts w:ascii="Arial" w:hAnsi="Arial" w:cs="Arial"/>
        </w:rPr>
      </w:pPr>
      <w:r w:rsidRPr="00543963">
        <w:rPr>
          <w:rFonts w:ascii="Arial" w:hAnsi="Arial" w:cs="Arial"/>
        </w:rPr>
        <w:t>The second theme highlighted the importance of engagement and adherence in determining intervention effectiveness. The findings indicated that sustained participation was strongly associated with positive behavioural and health outcomes. Factors such as usability, perceived usefulness, intervention relevance, and user-centred design influenced continued engagement. However, maintaining long-term adherence remained a significant challenge, with several studies reporting declining participation over time.</w:t>
      </w:r>
    </w:p>
    <w:p w14:paraId="671AB100" w14:textId="77777777" w:rsidR="00805335" w:rsidRPr="00543963" w:rsidRDefault="00805335" w:rsidP="00805335">
      <w:pPr>
        <w:spacing w:line="360" w:lineRule="auto"/>
        <w:jc w:val="both"/>
        <w:rPr>
          <w:rFonts w:ascii="Arial" w:hAnsi="Arial" w:cs="Arial"/>
        </w:rPr>
      </w:pPr>
      <w:r w:rsidRPr="00543963">
        <w:rPr>
          <w:rFonts w:ascii="Arial" w:hAnsi="Arial" w:cs="Arial"/>
        </w:rPr>
        <w:lastRenderedPageBreak/>
        <w:t>The third theme identified a range of barriers and facilitators affecting digital health engagement. Digital literacy, technological confidence, motivation, usability, and accessibility emerged as important facilitators, while cognitive impairment, memory difficulties, poor usability, and limited digital skills acted as barriers. The findings emphasised the importance of designing interventions that are accessible, supportive, and responsive to the diverse needs of older adults, particularly those experiencing cognitive decline.</w:t>
      </w:r>
    </w:p>
    <w:p w14:paraId="060532FB" w14:textId="77777777" w:rsidR="00805335" w:rsidRPr="00543963" w:rsidRDefault="00805335" w:rsidP="00805335">
      <w:pPr>
        <w:spacing w:line="360" w:lineRule="auto"/>
        <w:jc w:val="both"/>
        <w:rPr>
          <w:rFonts w:ascii="Arial" w:hAnsi="Arial" w:cs="Arial"/>
        </w:rPr>
      </w:pPr>
      <w:r w:rsidRPr="00543963">
        <w:rPr>
          <w:rFonts w:ascii="Arial" w:hAnsi="Arial" w:cs="Arial"/>
        </w:rPr>
        <w:t>The final theme examined the impact of digital health technologies on cognitive health and dementia risk. The reviewed evidence suggested that digital interventions may improve cognitive functioning, support behaviour change, enhance quality of life, and contribute to dementia risk reduction. Positive outcomes were reported across studies investigating cognitive training, multimodal lifestyle interventions, digital coaching, and broader technology engagement. However, variations in study design, intervention characteristics, and outcome measures limited direct comparison of findings.</w:t>
      </w:r>
    </w:p>
    <w:p w14:paraId="597B946E" w14:textId="77777777" w:rsidR="009C4A87" w:rsidRPr="009C4A87" w:rsidRDefault="00805335" w:rsidP="009C4A87">
      <w:pPr>
        <w:spacing w:line="360" w:lineRule="auto"/>
        <w:jc w:val="both"/>
        <w:rPr>
          <w:rFonts w:ascii="Arial" w:hAnsi="Arial" w:cs="Arial"/>
        </w:rPr>
      </w:pPr>
      <w:r w:rsidRPr="00543963">
        <w:rPr>
          <w:rFonts w:ascii="Arial" w:hAnsi="Arial" w:cs="Arial"/>
        </w:rPr>
        <w:t xml:space="preserve">Overall, the findings indicate that digital health technologies represent a promising approach for supporting dementia prevention and promoting cognitive health among older adults. While the evidence demonstrates positive outcomes across multiple domains, methodological limitations and the lack of long-term outcome data highlight the need for further robust research. </w:t>
      </w:r>
      <w:r w:rsidR="009C4A87" w:rsidRPr="009C4A87">
        <w:rPr>
          <w:rFonts w:ascii="Arial" w:hAnsi="Arial" w:cs="Arial"/>
        </w:rPr>
        <w:t>The following chapter examines these findings in relation to existing literature, theoretical perspectives, and their broader implications for dementia prevention policy, practice, and future research.</w:t>
      </w:r>
    </w:p>
    <w:p w14:paraId="2D5FE70D" w14:textId="74FA2530" w:rsidR="00BB400C" w:rsidRPr="00543963" w:rsidRDefault="00BB400C" w:rsidP="00BB400C">
      <w:pPr>
        <w:spacing w:line="360" w:lineRule="auto"/>
        <w:jc w:val="both"/>
        <w:rPr>
          <w:rFonts w:ascii="Arial" w:hAnsi="Arial" w:cs="Arial"/>
        </w:rPr>
      </w:pPr>
    </w:p>
    <w:p w14:paraId="2C1EE684" w14:textId="77777777" w:rsidR="00805335" w:rsidRPr="00543963" w:rsidRDefault="00805335" w:rsidP="00BB400C">
      <w:pPr>
        <w:spacing w:line="360" w:lineRule="auto"/>
        <w:jc w:val="both"/>
        <w:rPr>
          <w:rFonts w:ascii="Arial" w:hAnsi="Arial" w:cs="Arial"/>
        </w:rPr>
      </w:pPr>
    </w:p>
    <w:p w14:paraId="1290F5E7" w14:textId="77777777" w:rsidR="001E14A1" w:rsidRPr="00543963" w:rsidRDefault="001E14A1" w:rsidP="00BB400C">
      <w:pPr>
        <w:spacing w:line="360" w:lineRule="auto"/>
        <w:jc w:val="both"/>
        <w:rPr>
          <w:rFonts w:ascii="Arial" w:hAnsi="Arial" w:cs="Arial"/>
          <w:b/>
          <w:bCs/>
          <w:sz w:val="28"/>
          <w:szCs w:val="28"/>
        </w:rPr>
      </w:pPr>
    </w:p>
    <w:p w14:paraId="5C6FB7B8" w14:textId="77777777" w:rsidR="00543963" w:rsidRPr="00543963" w:rsidRDefault="00543963" w:rsidP="00BB400C">
      <w:pPr>
        <w:spacing w:line="360" w:lineRule="auto"/>
        <w:jc w:val="both"/>
        <w:rPr>
          <w:rFonts w:ascii="Arial" w:hAnsi="Arial" w:cs="Arial"/>
          <w:b/>
          <w:bCs/>
          <w:sz w:val="28"/>
          <w:szCs w:val="28"/>
        </w:rPr>
      </w:pPr>
    </w:p>
    <w:p w14:paraId="0F6259BE" w14:textId="77777777" w:rsidR="00543963" w:rsidRPr="00543963" w:rsidRDefault="00543963" w:rsidP="00BB400C">
      <w:pPr>
        <w:spacing w:line="360" w:lineRule="auto"/>
        <w:jc w:val="both"/>
        <w:rPr>
          <w:rFonts w:ascii="Arial" w:hAnsi="Arial" w:cs="Arial"/>
          <w:b/>
          <w:bCs/>
          <w:sz w:val="28"/>
          <w:szCs w:val="28"/>
        </w:rPr>
      </w:pPr>
    </w:p>
    <w:p w14:paraId="1F7C6E65" w14:textId="77777777" w:rsidR="001E14A1" w:rsidRPr="00543963" w:rsidRDefault="001E14A1" w:rsidP="00BB400C">
      <w:pPr>
        <w:spacing w:line="360" w:lineRule="auto"/>
        <w:jc w:val="both"/>
        <w:rPr>
          <w:rFonts w:ascii="Arial" w:hAnsi="Arial" w:cs="Arial"/>
          <w:b/>
          <w:bCs/>
          <w:sz w:val="28"/>
          <w:szCs w:val="28"/>
        </w:rPr>
      </w:pPr>
    </w:p>
    <w:p w14:paraId="3D526580" w14:textId="77777777" w:rsidR="001E14A1" w:rsidRPr="00543963" w:rsidRDefault="001E14A1" w:rsidP="00BB400C">
      <w:pPr>
        <w:spacing w:line="360" w:lineRule="auto"/>
        <w:jc w:val="both"/>
        <w:rPr>
          <w:rFonts w:ascii="Arial" w:hAnsi="Arial" w:cs="Arial"/>
          <w:b/>
          <w:bCs/>
          <w:sz w:val="28"/>
          <w:szCs w:val="28"/>
        </w:rPr>
      </w:pPr>
    </w:p>
    <w:p w14:paraId="7B632A46" w14:textId="77777777" w:rsidR="00543963" w:rsidRDefault="00543963" w:rsidP="00543963">
      <w:pPr>
        <w:pStyle w:val="Heading1"/>
        <w:rPr>
          <w:rFonts w:ascii="Arial" w:hAnsi="Arial" w:cs="Arial"/>
          <w:b/>
          <w:bCs/>
        </w:rPr>
      </w:pPr>
    </w:p>
    <w:p w14:paraId="2BE6048C" w14:textId="77777777" w:rsidR="00543963" w:rsidRDefault="00543963" w:rsidP="00543963"/>
    <w:p w14:paraId="3B5AE78B" w14:textId="77777777" w:rsidR="00543963" w:rsidRPr="00543963" w:rsidRDefault="00543963" w:rsidP="00543963"/>
    <w:p w14:paraId="2A92472A" w14:textId="50417CF2" w:rsidR="009D2689" w:rsidRPr="00543963" w:rsidRDefault="009D2689" w:rsidP="00543963">
      <w:pPr>
        <w:pStyle w:val="Heading1"/>
        <w:rPr>
          <w:rFonts w:ascii="Arial" w:hAnsi="Arial" w:cs="Arial"/>
          <w:b/>
          <w:bCs/>
          <w:sz w:val="28"/>
          <w:szCs w:val="28"/>
        </w:rPr>
      </w:pPr>
      <w:bookmarkStart w:id="69" w:name="_Toc232034647"/>
      <w:r w:rsidRPr="00543963">
        <w:rPr>
          <w:rFonts w:ascii="Arial" w:hAnsi="Arial" w:cs="Arial"/>
          <w:b/>
          <w:bCs/>
          <w:sz w:val="28"/>
          <w:szCs w:val="28"/>
        </w:rPr>
        <w:lastRenderedPageBreak/>
        <w:t>Chapter – 5 Discussion.</w:t>
      </w:r>
      <w:bookmarkEnd w:id="69"/>
    </w:p>
    <w:p w14:paraId="5313CB18" w14:textId="77777777" w:rsidR="00601378" w:rsidRPr="00543963" w:rsidRDefault="00601378" w:rsidP="00543963">
      <w:pPr>
        <w:pStyle w:val="Heading2"/>
        <w:rPr>
          <w:rFonts w:ascii="Arial" w:hAnsi="Arial" w:cs="Arial"/>
          <w:b/>
          <w:bCs/>
          <w:sz w:val="24"/>
          <w:szCs w:val="24"/>
        </w:rPr>
      </w:pPr>
      <w:bookmarkStart w:id="70" w:name="_Toc232034648"/>
      <w:r w:rsidRPr="00543963">
        <w:rPr>
          <w:rFonts w:ascii="Arial" w:hAnsi="Arial" w:cs="Arial"/>
          <w:b/>
          <w:bCs/>
          <w:sz w:val="24"/>
          <w:szCs w:val="24"/>
        </w:rPr>
        <w:t>5.1 Introduction</w:t>
      </w:r>
      <w:bookmarkEnd w:id="70"/>
    </w:p>
    <w:p w14:paraId="39633215" w14:textId="101E7D16" w:rsidR="00601378" w:rsidRPr="00543963" w:rsidRDefault="009C4A87" w:rsidP="00601378">
      <w:pPr>
        <w:spacing w:line="360" w:lineRule="auto"/>
        <w:jc w:val="both"/>
        <w:rPr>
          <w:rFonts w:ascii="Arial" w:hAnsi="Arial" w:cs="Arial"/>
          <w:sz w:val="24"/>
          <w:szCs w:val="24"/>
        </w:rPr>
      </w:pPr>
      <w:r w:rsidRPr="009C4A87">
        <w:rPr>
          <w:rFonts w:ascii="Arial" w:hAnsi="Arial" w:cs="Arial"/>
          <w:sz w:val="24"/>
          <w:szCs w:val="24"/>
        </w:rPr>
        <w:t>This chapter examines the findings presented in Chapter 4 in relation to</w:t>
      </w:r>
      <w:r>
        <w:rPr>
          <w:rFonts w:ascii="Arial" w:hAnsi="Arial" w:cs="Arial"/>
          <w:sz w:val="24"/>
          <w:szCs w:val="24"/>
        </w:rPr>
        <w:t xml:space="preserve"> </w:t>
      </w:r>
      <w:r w:rsidR="00601378" w:rsidRPr="00543963">
        <w:rPr>
          <w:rFonts w:ascii="Arial" w:hAnsi="Arial" w:cs="Arial"/>
          <w:sz w:val="24"/>
          <w:szCs w:val="24"/>
        </w:rPr>
        <w:t xml:space="preserve">the aim of the review, which explored the role of digital health technologies in supporting dementia prevention among older adults. The discussion is organised around four themes identified through thematic synthesis: digital health interventions for dementia prevention, digital engagement and adherence, barriers and facilitators influencing digital health engagement, and the </w:t>
      </w:r>
      <w:r w:rsidR="003450C4" w:rsidRPr="003450C4">
        <w:rPr>
          <w:rFonts w:ascii="Arial" w:hAnsi="Arial" w:cs="Arial"/>
          <w:sz w:val="24"/>
          <w:szCs w:val="24"/>
        </w:rPr>
        <w:t xml:space="preserve">role </w:t>
      </w:r>
      <w:r w:rsidR="00601378" w:rsidRPr="00543963">
        <w:rPr>
          <w:rFonts w:ascii="Arial" w:hAnsi="Arial" w:cs="Arial"/>
          <w:sz w:val="24"/>
          <w:szCs w:val="24"/>
        </w:rPr>
        <w:t>of digital health technologies on cognitive health and dementia risk (Coley et al., 2022; Bunyan et al., 2024; Glenn et al., 2019).</w:t>
      </w:r>
    </w:p>
    <w:p w14:paraId="2D852BB8" w14:textId="578E44C4" w:rsidR="00601378" w:rsidRPr="00543963" w:rsidRDefault="00601378" w:rsidP="00601378">
      <w:pPr>
        <w:spacing w:line="360" w:lineRule="auto"/>
        <w:jc w:val="both"/>
        <w:rPr>
          <w:rFonts w:ascii="Arial" w:hAnsi="Arial" w:cs="Arial"/>
          <w:sz w:val="24"/>
          <w:szCs w:val="24"/>
        </w:rPr>
      </w:pPr>
      <w:r w:rsidRPr="00543963">
        <w:rPr>
          <w:rFonts w:ascii="Arial" w:hAnsi="Arial" w:cs="Arial"/>
          <w:sz w:val="24"/>
          <w:szCs w:val="24"/>
        </w:rPr>
        <w:t xml:space="preserve">The findings are critically interpreted in relation to existing evidence, theoretical perspectives, and </w:t>
      </w:r>
      <w:r w:rsidR="003450C4" w:rsidRPr="003450C4">
        <w:rPr>
          <w:rFonts w:ascii="Arial" w:hAnsi="Arial" w:cs="Arial"/>
          <w:sz w:val="24"/>
          <w:szCs w:val="24"/>
        </w:rPr>
        <w:t>practical implications</w:t>
      </w:r>
      <w:r w:rsidR="003450C4">
        <w:rPr>
          <w:rFonts w:ascii="Arial" w:hAnsi="Arial" w:cs="Arial"/>
          <w:sz w:val="24"/>
          <w:szCs w:val="24"/>
        </w:rPr>
        <w:t xml:space="preserve"> </w:t>
      </w:r>
      <w:r w:rsidRPr="00543963">
        <w:rPr>
          <w:rFonts w:ascii="Arial" w:hAnsi="Arial" w:cs="Arial"/>
          <w:sz w:val="24"/>
          <w:szCs w:val="24"/>
        </w:rPr>
        <w:t xml:space="preserve">and policy. To support this discussion, the Technology Acceptance Model (Davis, 1989), Digital Divide Theory (Van Dijk, 2020), and Cognitive Reserve Theory (Stern, 2012) are used to explain technology adoption, digital engagement, and cognitive health outcomes among older adults. The chapter concludes by considering implications for practice, </w:t>
      </w:r>
      <w:r w:rsidR="003450C4" w:rsidRPr="003450C4">
        <w:rPr>
          <w:rFonts w:ascii="Arial" w:hAnsi="Arial" w:cs="Arial"/>
          <w:sz w:val="24"/>
          <w:szCs w:val="24"/>
        </w:rPr>
        <w:t>future research recommendations, strengths, and limitations</w:t>
      </w:r>
      <w:r w:rsidR="003450C4">
        <w:rPr>
          <w:rFonts w:ascii="Arial" w:hAnsi="Arial" w:cs="Arial"/>
          <w:sz w:val="24"/>
          <w:szCs w:val="24"/>
        </w:rPr>
        <w:t xml:space="preserve"> </w:t>
      </w:r>
      <w:r w:rsidRPr="00543963">
        <w:rPr>
          <w:rFonts w:ascii="Arial" w:hAnsi="Arial" w:cs="Arial"/>
          <w:sz w:val="24"/>
          <w:szCs w:val="24"/>
        </w:rPr>
        <w:t>of the review, and the overall contribution of digital health technologies to dementia prevention.</w:t>
      </w:r>
    </w:p>
    <w:p w14:paraId="674FECA5" w14:textId="3F262C17" w:rsidR="003149ED" w:rsidRPr="00543963" w:rsidRDefault="003149ED" w:rsidP="00543963">
      <w:pPr>
        <w:pStyle w:val="Heading3"/>
        <w:rPr>
          <w:rFonts w:ascii="Arial" w:hAnsi="Arial" w:cs="Arial"/>
          <w:b/>
          <w:bCs/>
          <w:sz w:val="24"/>
          <w:szCs w:val="24"/>
        </w:rPr>
      </w:pPr>
      <w:bookmarkStart w:id="71" w:name="_Toc232034649"/>
      <w:r w:rsidRPr="00543963">
        <w:rPr>
          <w:rFonts w:ascii="Arial" w:hAnsi="Arial" w:cs="Arial"/>
          <w:b/>
          <w:bCs/>
          <w:sz w:val="24"/>
          <w:szCs w:val="24"/>
        </w:rPr>
        <w:t>5.</w:t>
      </w:r>
      <w:r w:rsidR="00543963" w:rsidRPr="00543963">
        <w:rPr>
          <w:rFonts w:ascii="Arial" w:hAnsi="Arial" w:cs="Arial"/>
          <w:b/>
          <w:bCs/>
          <w:sz w:val="24"/>
          <w:szCs w:val="24"/>
        </w:rPr>
        <w:t>1</w:t>
      </w:r>
      <w:r w:rsidRPr="00543963">
        <w:rPr>
          <w:rFonts w:ascii="Arial" w:hAnsi="Arial" w:cs="Arial"/>
          <w:b/>
          <w:bCs/>
          <w:sz w:val="24"/>
          <w:szCs w:val="24"/>
        </w:rPr>
        <w:t>.1 Digital Health Interventions for Dementia Prevention</w:t>
      </w:r>
      <w:bookmarkEnd w:id="71"/>
    </w:p>
    <w:p w14:paraId="0B82B50D" w14:textId="78E566AA" w:rsidR="003450C4" w:rsidRPr="003450C4" w:rsidRDefault="003149ED" w:rsidP="003450C4">
      <w:pPr>
        <w:spacing w:line="360" w:lineRule="auto"/>
        <w:jc w:val="both"/>
        <w:rPr>
          <w:rFonts w:ascii="Arial" w:hAnsi="Arial" w:cs="Arial"/>
        </w:rPr>
      </w:pPr>
      <w:r w:rsidRPr="00543963">
        <w:rPr>
          <w:rFonts w:ascii="Arial" w:hAnsi="Arial" w:cs="Arial"/>
        </w:rPr>
        <w:t xml:space="preserve">The findings suggest that digital health interventions have considerable potential to support dementia prevention among older adults by promoting healthier lifestyle behaviours and increasing awareness of modifiable dementia risk factors (Coley et al., 2022; Bunyan et al., 2024; Rosenberg et al., 2024). Across the reviewed studies, interventions focused on physical activity, diet, cognitive stimulation, sleep, and health education, all of which </w:t>
      </w:r>
      <w:r w:rsidR="003450C4" w:rsidRPr="003450C4">
        <w:rPr>
          <w:rFonts w:ascii="Arial" w:hAnsi="Arial" w:cs="Arial"/>
        </w:rPr>
        <w:t>have been recognised as key determinants of cognitive health.</w:t>
      </w:r>
      <w:r w:rsidRPr="00543963">
        <w:rPr>
          <w:rFonts w:ascii="Arial" w:hAnsi="Arial" w:cs="Arial"/>
        </w:rPr>
        <w:t xml:space="preserve"> These findings support evidence from the Lancet Commission, which estimates that </w:t>
      </w:r>
      <w:r w:rsidR="003450C4">
        <w:rPr>
          <w:rFonts w:ascii="Arial" w:hAnsi="Arial" w:cs="Arial"/>
        </w:rPr>
        <w:t>a</w:t>
      </w:r>
      <w:r w:rsidR="003450C4" w:rsidRPr="003450C4">
        <w:rPr>
          <w:rFonts w:ascii="Arial" w:hAnsi="Arial" w:cs="Arial"/>
        </w:rPr>
        <w:t>n estimated 40% of dementia cases may be attributable to modifiable risk factors.</w:t>
      </w:r>
    </w:p>
    <w:p w14:paraId="422EB455" w14:textId="306873F0" w:rsidR="003149ED" w:rsidRPr="00543963" w:rsidRDefault="003149ED" w:rsidP="003149ED">
      <w:pPr>
        <w:spacing w:line="360" w:lineRule="auto"/>
        <w:jc w:val="both"/>
        <w:rPr>
          <w:rFonts w:ascii="Arial" w:hAnsi="Arial" w:cs="Arial"/>
        </w:rPr>
      </w:pPr>
      <w:r w:rsidRPr="00543963">
        <w:rPr>
          <w:rFonts w:ascii="Arial" w:hAnsi="Arial" w:cs="Arial"/>
        </w:rPr>
        <w:t>A consistent finding across the studies was the positive influence of digital interventions on health-related behaviours. Bunyan et al. (2024) reported significant improvements in lifestyle scores among intervention participants compared with controls, while Fishman et al. (2025) found that most participants reported increased motivation to adopt healthier behaviours following a digital educational intervention. Similarly, Riera et al. (2025) observed improvements in quality of life and health-related behaviours following personalised digital coaching. Collectively, these findings suggest that digital technologies may facilitate behaviour change associated with improved brain health.</w:t>
      </w:r>
    </w:p>
    <w:p w14:paraId="14C8F840" w14:textId="3A4F7692" w:rsidR="003149ED" w:rsidRPr="00543963" w:rsidRDefault="009C4A87" w:rsidP="003149ED">
      <w:pPr>
        <w:spacing w:line="360" w:lineRule="auto"/>
        <w:jc w:val="both"/>
        <w:rPr>
          <w:rFonts w:ascii="Arial" w:hAnsi="Arial" w:cs="Arial"/>
        </w:rPr>
      </w:pPr>
      <w:r w:rsidRPr="009C4A87">
        <w:rPr>
          <w:rFonts w:ascii="Arial" w:hAnsi="Arial" w:cs="Arial"/>
        </w:rPr>
        <w:lastRenderedPageBreak/>
        <w:t>The effectiveness of these interventions may be understood through Cognitive Reserve Theory (Stern, 2012), which suggests that engagement in</w:t>
      </w:r>
      <w:r w:rsidR="003149ED" w:rsidRPr="00543963">
        <w:rPr>
          <w:rFonts w:ascii="Arial" w:hAnsi="Arial" w:cs="Arial"/>
        </w:rPr>
        <w:t xml:space="preserve"> cognitively stimulating and health-promoting activities may strengthen resilience against cognitive decline. By encouraging participation in healthy lifestyle behaviours, digital interventions may contribute indirectly to the development of cognitive reserve and support long-term brain health. This interpretation helps explain why interventions targeting multiple behavioural risk factors frequently reported positive outcomes.</w:t>
      </w:r>
    </w:p>
    <w:p w14:paraId="7CE8692B" w14:textId="5F7294BC" w:rsidR="003149ED" w:rsidRPr="00543963" w:rsidRDefault="003149ED" w:rsidP="003149ED">
      <w:pPr>
        <w:spacing w:line="360" w:lineRule="auto"/>
        <w:jc w:val="both"/>
        <w:rPr>
          <w:rFonts w:ascii="Arial" w:hAnsi="Arial" w:cs="Arial"/>
        </w:rPr>
      </w:pPr>
      <w:r w:rsidRPr="00543963">
        <w:rPr>
          <w:rFonts w:ascii="Arial" w:hAnsi="Arial" w:cs="Arial"/>
        </w:rPr>
        <w:t xml:space="preserve">However, the evidence also highlights important limitations. Most studies measured behavioural outcomes, lifestyle changes, or quality-of-life improvements rather than actual dementia incidence (Coley et al., 2022; Fishman et al., 2025; Riera et al., 2025). Consequently, although digital interventions appear effective in modifying recognised dementia risk factors, it remains unclear whether these improvements translate into long-term reductions in dementia prevalence. Therefore, the relationship between behaviour </w:t>
      </w:r>
      <w:r w:rsidR="00FE1995" w:rsidRPr="00543963">
        <w:rPr>
          <w:rFonts w:ascii="Arial" w:hAnsi="Arial" w:cs="Arial"/>
        </w:rPr>
        <w:t>changes</w:t>
      </w:r>
      <w:r w:rsidRPr="00543963">
        <w:rPr>
          <w:rFonts w:ascii="Arial" w:hAnsi="Arial" w:cs="Arial"/>
        </w:rPr>
        <w:t xml:space="preserve"> and dementia prevention remains largely inferential.</w:t>
      </w:r>
    </w:p>
    <w:p w14:paraId="7B17801E" w14:textId="77777777" w:rsidR="003149ED" w:rsidRPr="00543963" w:rsidRDefault="003149ED" w:rsidP="003149ED">
      <w:pPr>
        <w:spacing w:line="360" w:lineRule="auto"/>
        <w:jc w:val="both"/>
        <w:rPr>
          <w:rFonts w:ascii="Arial" w:hAnsi="Arial" w:cs="Arial"/>
        </w:rPr>
      </w:pPr>
      <w:r w:rsidRPr="00543963">
        <w:rPr>
          <w:rFonts w:ascii="Arial" w:hAnsi="Arial" w:cs="Arial"/>
        </w:rPr>
        <w:t>The findings further suggest that multimodal interventions may offer greater benefits than single-component approaches. Rosenberg et al. (2024) reported positive outcomes from a digitally supported intervention targeting multiple health domains simultaneously, while Coley et al. (2022) found that greater engagement with a coach-supported programme was associated with more favourable lifestyle outcomes. These findings indicate that dementia prevention may require comprehensive approaches that address the interaction between behavioural, physical, and cognitive health factors.</w:t>
      </w:r>
    </w:p>
    <w:p w14:paraId="4F9AF582" w14:textId="07BAC87D" w:rsidR="003149ED" w:rsidRPr="00543963" w:rsidRDefault="003149ED" w:rsidP="003149ED">
      <w:pPr>
        <w:spacing w:line="360" w:lineRule="auto"/>
        <w:jc w:val="both"/>
        <w:rPr>
          <w:rFonts w:ascii="Arial" w:hAnsi="Arial" w:cs="Arial"/>
        </w:rPr>
      </w:pPr>
      <w:r w:rsidRPr="00543963">
        <w:rPr>
          <w:rFonts w:ascii="Arial" w:hAnsi="Arial" w:cs="Arial"/>
        </w:rPr>
        <w:t xml:space="preserve">Personalised support also emerged as an important component of intervention effectiveness. Riera et al. (2025) demonstrated positive outcomes from digital coaching interventions, whereas Fishman et al. (2025) primarily improved awareness and motivation through education-based approaches. This suggests that interventions incorporating individualised guidance and </w:t>
      </w:r>
      <w:r w:rsidR="00FE1995" w:rsidRPr="00543963">
        <w:rPr>
          <w:rFonts w:ascii="Arial" w:hAnsi="Arial" w:cs="Arial"/>
        </w:rPr>
        <w:t>goal setting</w:t>
      </w:r>
      <w:r w:rsidRPr="00543963">
        <w:rPr>
          <w:rFonts w:ascii="Arial" w:hAnsi="Arial" w:cs="Arial"/>
        </w:rPr>
        <w:t xml:space="preserve"> may be more effective in sustaining behaviour change than information provision alone. Nevertheless, personalised interventions may require greater resources, potentially limiting scalability within public health settings.</w:t>
      </w:r>
    </w:p>
    <w:p w14:paraId="06C96AC0" w14:textId="2E75AD20" w:rsidR="003149ED" w:rsidRPr="00543963" w:rsidRDefault="003149ED" w:rsidP="003149ED">
      <w:pPr>
        <w:spacing w:line="360" w:lineRule="auto"/>
        <w:jc w:val="both"/>
        <w:rPr>
          <w:rFonts w:ascii="Arial" w:hAnsi="Arial" w:cs="Arial"/>
        </w:rPr>
      </w:pPr>
      <w:r w:rsidRPr="00543963">
        <w:rPr>
          <w:rFonts w:ascii="Arial" w:hAnsi="Arial" w:cs="Arial"/>
        </w:rPr>
        <w:t xml:space="preserve">Despite generally positive findings, </w:t>
      </w:r>
      <w:r w:rsidR="003450C4" w:rsidRPr="003450C4">
        <w:rPr>
          <w:rFonts w:ascii="Arial" w:hAnsi="Arial" w:cs="Arial"/>
        </w:rPr>
        <w:t>the evidence base continues to be limited by methodological constraints.</w:t>
      </w:r>
      <w:r w:rsidRPr="00543963">
        <w:rPr>
          <w:rFonts w:ascii="Arial" w:hAnsi="Arial" w:cs="Arial"/>
        </w:rPr>
        <w:t xml:space="preserve"> Several studies focused on feasibility, short-term outcomes, or participant-reported measures rather than objective long-term endpoints (Bott et al., 2018; Bunyan et al., 2024; Fishman et al., 2025). Variations in intervention design and outcome measurement further reduce comparability across studies. These limitations make it difficult to determine which intervention components are most effective for supporting long-term dementia prevention.</w:t>
      </w:r>
    </w:p>
    <w:p w14:paraId="7810F827" w14:textId="77777777" w:rsidR="003149ED" w:rsidRPr="00543963" w:rsidRDefault="003149ED" w:rsidP="003149ED">
      <w:pPr>
        <w:spacing w:line="360" w:lineRule="auto"/>
        <w:jc w:val="both"/>
        <w:rPr>
          <w:rFonts w:ascii="Arial" w:hAnsi="Arial" w:cs="Arial"/>
        </w:rPr>
      </w:pPr>
      <w:r w:rsidRPr="00543963">
        <w:rPr>
          <w:rFonts w:ascii="Arial" w:hAnsi="Arial" w:cs="Arial"/>
        </w:rPr>
        <w:lastRenderedPageBreak/>
        <w:t>Overall, the findings suggest that digital health interventions are a promising strategy for supporting dementia prevention through behaviour change, health education, and personalised support. However, current evidence provides stronger support for modifying dementia risk factors than for directly preventing dementia itself. Further longitudinal studies are therefore required to establish whether behavioural improvements achieved through digital interventions result in sustained reductions in dementia risk.</w:t>
      </w:r>
    </w:p>
    <w:p w14:paraId="444AC5D3" w14:textId="77777777" w:rsidR="003149ED" w:rsidRPr="00543963" w:rsidRDefault="003149ED" w:rsidP="00543963">
      <w:pPr>
        <w:pStyle w:val="Heading3"/>
        <w:rPr>
          <w:rFonts w:ascii="Arial" w:hAnsi="Arial" w:cs="Arial"/>
          <w:b/>
          <w:bCs/>
        </w:rPr>
      </w:pPr>
      <w:bookmarkStart w:id="72" w:name="_Toc232034650"/>
      <w:r w:rsidRPr="00543963">
        <w:rPr>
          <w:rFonts w:ascii="Arial" w:hAnsi="Arial" w:cs="Arial"/>
          <w:b/>
          <w:bCs/>
          <w:sz w:val="24"/>
          <w:szCs w:val="24"/>
        </w:rPr>
        <w:t>5.2.2 Digital Engagement and Adherence</w:t>
      </w:r>
      <w:bookmarkEnd w:id="72"/>
    </w:p>
    <w:p w14:paraId="0393F68A" w14:textId="77777777" w:rsidR="003149ED" w:rsidRPr="00543963" w:rsidRDefault="003149ED" w:rsidP="003149ED">
      <w:pPr>
        <w:spacing w:line="360" w:lineRule="auto"/>
        <w:jc w:val="both"/>
        <w:rPr>
          <w:rFonts w:ascii="Arial" w:hAnsi="Arial" w:cs="Arial"/>
        </w:rPr>
      </w:pPr>
      <w:r w:rsidRPr="00543963">
        <w:rPr>
          <w:rFonts w:ascii="Arial" w:hAnsi="Arial" w:cs="Arial"/>
        </w:rPr>
        <w:t>The findings indicate that engagement and adherence are critical determinants of the effectiveness of digital health interventions for dementia prevention (Coley et al., 2022; Bunyan et al., 2025; Schroeder et al., 2025). While digital technologies offer opportunities to support behaviour change and cognitive health, these benefits are unlikely to be achieved without sustained participation. Therefore, engagement should be viewed not merely as intervention usage but as a key mechanism through which positive outcomes are realised.</w:t>
      </w:r>
    </w:p>
    <w:p w14:paraId="5E65B92A" w14:textId="1A664247" w:rsidR="003149ED" w:rsidRPr="00543963" w:rsidRDefault="003149ED" w:rsidP="003149ED">
      <w:pPr>
        <w:spacing w:line="360" w:lineRule="auto"/>
        <w:jc w:val="both"/>
        <w:rPr>
          <w:rFonts w:ascii="Arial" w:hAnsi="Arial" w:cs="Arial"/>
        </w:rPr>
      </w:pPr>
      <w:r w:rsidRPr="00543963">
        <w:rPr>
          <w:rFonts w:ascii="Arial" w:hAnsi="Arial" w:cs="Arial"/>
        </w:rPr>
        <w:t xml:space="preserve">A consistent finding across the reviewed studies was the positive association between engagement and intervention outcomes. Coley et al. (2022) reported that participants who engaged more actively with a coach-supported intervention demonstrated greater improvements in lifestyle behaviours linked to dementia risk reduction. Similarly, Peng et al. (2024) found that </w:t>
      </w:r>
      <w:r w:rsidR="003450C4" w:rsidRPr="003450C4">
        <w:rPr>
          <w:rFonts w:ascii="Arial" w:hAnsi="Arial" w:cs="Arial"/>
        </w:rPr>
        <w:t xml:space="preserve">increased </w:t>
      </w:r>
      <w:r w:rsidRPr="00543963">
        <w:rPr>
          <w:rFonts w:ascii="Arial" w:hAnsi="Arial" w:cs="Arial"/>
        </w:rPr>
        <w:t xml:space="preserve">levels of digital technology use were associated with </w:t>
      </w:r>
      <w:r w:rsidR="002C1267" w:rsidRPr="002C1267">
        <w:rPr>
          <w:rFonts w:ascii="Arial" w:hAnsi="Arial" w:cs="Arial"/>
        </w:rPr>
        <w:t xml:space="preserve">reduced </w:t>
      </w:r>
      <w:r w:rsidRPr="00543963">
        <w:rPr>
          <w:rFonts w:ascii="Arial" w:hAnsi="Arial" w:cs="Arial"/>
        </w:rPr>
        <w:t>dementia risk. These findings suggest that continued engagement may enhance the effectiveness of digital prevention strategies.</w:t>
      </w:r>
    </w:p>
    <w:p w14:paraId="7F7D6076" w14:textId="1D757918" w:rsidR="003149ED" w:rsidRPr="00543963" w:rsidRDefault="003149ED" w:rsidP="003149ED">
      <w:pPr>
        <w:spacing w:line="360" w:lineRule="auto"/>
        <w:jc w:val="both"/>
        <w:rPr>
          <w:rFonts w:ascii="Arial" w:hAnsi="Arial" w:cs="Arial"/>
        </w:rPr>
      </w:pPr>
      <w:r w:rsidRPr="00543963">
        <w:rPr>
          <w:rFonts w:ascii="Arial" w:hAnsi="Arial" w:cs="Arial"/>
        </w:rPr>
        <w:t xml:space="preserve">The relationship between engagement and intervention success can be explained using the Technology Acceptance Model (Davis, 1989). According to this model, </w:t>
      </w:r>
      <w:r w:rsidR="002C1267" w:rsidRPr="002C1267">
        <w:rPr>
          <w:rFonts w:ascii="Arial" w:hAnsi="Arial" w:cs="Arial"/>
        </w:rPr>
        <w:t>perceived usefulness and ease of use influence an individual’s</w:t>
      </w:r>
      <w:r w:rsidRPr="00543963">
        <w:rPr>
          <w:rFonts w:ascii="Arial" w:hAnsi="Arial" w:cs="Arial"/>
        </w:rPr>
        <w:t xml:space="preserve"> willingness to adopt and continue using technology. The findings of Schroeder et al. (2025) support this perspective, demonstrating that adherence was strongly influenced by participants’ perceptions of technology usability and value. Older adults were more likely to remain engaged when technologies were simple to use and perceived as beneficial.</w:t>
      </w:r>
    </w:p>
    <w:p w14:paraId="07EA97C4" w14:textId="77777777" w:rsidR="003149ED" w:rsidRPr="00543963" w:rsidRDefault="003149ED" w:rsidP="003149ED">
      <w:pPr>
        <w:spacing w:line="360" w:lineRule="auto"/>
        <w:jc w:val="both"/>
        <w:rPr>
          <w:rFonts w:ascii="Arial" w:hAnsi="Arial" w:cs="Arial"/>
        </w:rPr>
      </w:pPr>
      <w:r w:rsidRPr="00543963">
        <w:rPr>
          <w:rFonts w:ascii="Arial" w:hAnsi="Arial" w:cs="Arial"/>
        </w:rPr>
        <w:t>Despite the importance of engagement, maintaining adherence over time emerged as a major challenge. Bunyan et al. (2025) reported considerable variation in long-term participation, indicating that engagement often declines during intervention delivery. Similarly, Schroeder et al. (2025) found that sustained use was influenced by changing user experiences and motivation levels. These findings suggest that initial technology adoption does not necessarily guarantee long-term adherence.</w:t>
      </w:r>
    </w:p>
    <w:p w14:paraId="4DCCE849" w14:textId="69AB7886" w:rsidR="003149ED" w:rsidRPr="00543963" w:rsidRDefault="003149ED" w:rsidP="003149ED">
      <w:pPr>
        <w:spacing w:line="360" w:lineRule="auto"/>
        <w:jc w:val="both"/>
        <w:rPr>
          <w:rFonts w:ascii="Arial" w:hAnsi="Arial" w:cs="Arial"/>
        </w:rPr>
      </w:pPr>
      <w:r w:rsidRPr="00543963">
        <w:rPr>
          <w:rFonts w:ascii="Arial" w:hAnsi="Arial" w:cs="Arial"/>
        </w:rPr>
        <w:t xml:space="preserve">The evidence also highlights the role of intervention design in supporting engagement. Essery et al. (2021) developed the Active Brains intervention using a user-centred approach that </w:t>
      </w:r>
      <w:r w:rsidRPr="00543963">
        <w:rPr>
          <w:rFonts w:ascii="Arial" w:hAnsi="Arial" w:cs="Arial"/>
        </w:rPr>
        <w:lastRenderedPageBreak/>
        <w:t xml:space="preserve">incorporated behavioural science principles and participant feedback. This finding suggests that engagement </w:t>
      </w:r>
      <w:r w:rsidR="002C1267" w:rsidRPr="002C1267">
        <w:rPr>
          <w:rFonts w:ascii="Arial" w:hAnsi="Arial" w:cs="Arial"/>
        </w:rPr>
        <w:t>should not be regarded solely as an individual responsibility but rather as an outcome shaped by</w:t>
      </w:r>
      <w:r w:rsidR="002C1267">
        <w:rPr>
          <w:rFonts w:ascii="Arial" w:hAnsi="Arial" w:cs="Arial"/>
        </w:rPr>
        <w:t xml:space="preserve"> </w:t>
      </w:r>
      <w:r w:rsidRPr="00543963">
        <w:rPr>
          <w:rFonts w:ascii="Arial" w:hAnsi="Arial" w:cs="Arial"/>
        </w:rPr>
        <w:t>intervention design, usability, and accessibility. Technologies that align with user preferences may be more successful in maintaining participation over time.</w:t>
      </w:r>
    </w:p>
    <w:p w14:paraId="48F80732" w14:textId="77777777" w:rsidR="003149ED" w:rsidRPr="00543963" w:rsidRDefault="003149ED" w:rsidP="003149ED">
      <w:pPr>
        <w:spacing w:line="360" w:lineRule="auto"/>
        <w:jc w:val="both"/>
        <w:rPr>
          <w:rFonts w:ascii="Arial" w:hAnsi="Arial" w:cs="Arial"/>
        </w:rPr>
      </w:pPr>
      <w:r w:rsidRPr="00543963">
        <w:rPr>
          <w:rFonts w:ascii="Arial" w:hAnsi="Arial" w:cs="Arial"/>
        </w:rPr>
        <w:t>However, the direction of the relationship between engagement and positive outcomes remains unclear. It is possible that individuals who are already motivated to maintain healthy lifestyles are more likely to engage consistently with digital interventions, rather than engagement itself producing improved outcomes (Coley et al., 2022; Peng et al., 2024). Consequently, current evidence does not fully establish whether engagement acts as a cause of positive outcomes or simply reflects pre-existing participant characteristics.</w:t>
      </w:r>
    </w:p>
    <w:p w14:paraId="6E38D85C" w14:textId="77777777" w:rsidR="003149ED" w:rsidRPr="00543963" w:rsidRDefault="003149ED" w:rsidP="003149ED">
      <w:pPr>
        <w:spacing w:line="360" w:lineRule="auto"/>
        <w:jc w:val="both"/>
        <w:rPr>
          <w:rFonts w:ascii="Arial" w:hAnsi="Arial" w:cs="Arial"/>
        </w:rPr>
      </w:pPr>
      <w:r w:rsidRPr="00543963">
        <w:rPr>
          <w:rFonts w:ascii="Arial" w:hAnsi="Arial" w:cs="Arial"/>
        </w:rPr>
        <w:t>Another limitation concerns the inconsistency in how engagement and adherence were measured across studies. Coley et al. (2022) assessed participation within a structured intervention, Bunyan et al. (2025) examined long-term engagement patterns, and Schroeder et al. (2025) focused on adherence to monitoring technologies. These methodological differences reduce comparability and make it difficult to identify the most effective strategies for promoting sustained engagement.</w:t>
      </w:r>
    </w:p>
    <w:p w14:paraId="15D14167" w14:textId="77777777" w:rsidR="003149ED" w:rsidRPr="00543963" w:rsidRDefault="003149ED" w:rsidP="003149ED">
      <w:pPr>
        <w:spacing w:line="360" w:lineRule="auto"/>
        <w:jc w:val="both"/>
        <w:rPr>
          <w:rFonts w:ascii="Arial" w:hAnsi="Arial" w:cs="Arial"/>
        </w:rPr>
      </w:pPr>
      <w:r w:rsidRPr="00543963">
        <w:rPr>
          <w:rFonts w:ascii="Arial" w:hAnsi="Arial" w:cs="Arial"/>
        </w:rPr>
        <w:t>Overall, the findings suggest that engagement and adherence are fundamental to the success of digital dementia prevention interventions. Although higher engagement is generally associated with more favourable outcomes, maintaining long-term participation remains a significant challenge. Future interventions should prioritise usability, personalisation, and behavioural support to improve adherence and maximise the potential benefits of digital health technologies for dementia prevention.</w:t>
      </w:r>
    </w:p>
    <w:p w14:paraId="76086AE3" w14:textId="77777777" w:rsidR="003149ED" w:rsidRPr="00543963" w:rsidRDefault="003149ED" w:rsidP="00543963">
      <w:pPr>
        <w:pStyle w:val="Heading3"/>
        <w:rPr>
          <w:rFonts w:ascii="Arial" w:hAnsi="Arial" w:cs="Arial"/>
          <w:b/>
          <w:bCs/>
          <w:sz w:val="24"/>
          <w:szCs w:val="24"/>
        </w:rPr>
      </w:pPr>
      <w:bookmarkStart w:id="73" w:name="_Toc232034651"/>
      <w:r w:rsidRPr="00543963">
        <w:rPr>
          <w:rFonts w:ascii="Arial" w:hAnsi="Arial" w:cs="Arial"/>
          <w:b/>
          <w:bCs/>
          <w:sz w:val="24"/>
          <w:szCs w:val="24"/>
        </w:rPr>
        <w:t>5.2.3 Barriers and Facilitators Influencing Digital Health Engagement</w:t>
      </w:r>
      <w:bookmarkEnd w:id="73"/>
    </w:p>
    <w:p w14:paraId="3BF9852B" w14:textId="30258A5C" w:rsidR="003149ED" w:rsidRPr="00543963" w:rsidRDefault="003149ED" w:rsidP="003149ED">
      <w:pPr>
        <w:spacing w:line="360" w:lineRule="auto"/>
        <w:jc w:val="both"/>
        <w:rPr>
          <w:rFonts w:ascii="Arial" w:hAnsi="Arial" w:cs="Arial"/>
        </w:rPr>
      </w:pPr>
      <w:r w:rsidRPr="00543963">
        <w:rPr>
          <w:rFonts w:ascii="Arial" w:hAnsi="Arial" w:cs="Arial"/>
        </w:rPr>
        <w:t xml:space="preserve">The findings indicate that engagement with digital health technologies is influenced by a combination of individual, technological, and contextual factors rather than access to technology alone (Money et al., 2024; Kebede et al., 2022; Schmidt et al., 2025). While digital interventions offer opportunities to support dementia prevention, </w:t>
      </w:r>
      <w:r w:rsidR="002C1267" w:rsidRPr="002C1267">
        <w:rPr>
          <w:rFonts w:ascii="Arial" w:hAnsi="Arial" w:cs="Arial"/>
        </w:rPr>
        <w:t>their effectiveness relies on users’ ability to</w:t>
      </w:r>
      <w:r w:rsidR="002C1267">
        <w:rPr>
          <w:rFonts w:ascii="Arial" w:hAnsi="Arial" w:cs="Arial"/>
        </w:rPr>
        <w:t xml:space="preserve"> </w:t>
      </w:r>
      <w:r w:rsidRPr="00543963">
        <w:rPr>
          <w:rFonts w:ascii="Arial" w:hAnsi="Arial" w:cs="Arial"/>
        </w:rPr>
        <w:t>confidence, and willingness to engage with digital platforms. Consequently, understanding barriers and facilitators is essential for improving intervention accessibility and effectiveness.</w:t>
      </w:r>
    </w:p>
    <w:p w14:paraId="6E76A274" w14:textId="78AC7948" w:rsidR="003149ED" w:rsidRPr="00543963" w:rsidRDefault="003149ED" w:rsidP="003149ED">
      <w:pPr>
        <w:spacing w:line="360" w:lineRule="auto"/>
        <w:jc w:val="both"/>
        <w:rPr>
          <w:rFonts w:ascii="Arial" w:hAnsi="Arial" w:cs="Arial"/>
        </w:rPr>
      </w:pPr>
      <w:r w:rsidRPr="00543963">
        <w:rPr>
          <w:rFonts w:ascii="Arial" w:hAnsi="Arial" w:cs="Arial"/>
        </w:rPr>
        <w:t xml:space="preserve">A major barrier identified across the studies was limited digital literacy and technological confidence. Money et al. (2024) and Kebede et al. (2022) found that older adults with limited experience of digital technologies often experienced difficulties navigating online platforms and </w:t>
      </w:r>
      <w:r w:rsidR="002C1267" w:rsidRPr="002C1267">
        <w:rPr>
          <w:rFonts w:ascii="Arial" w:hAnsi="Arial" w:cs="Arial"/>
        </w:rPr>
        <w:t>reported limited confidence in using technology independently.</w:t>
      </w:r>
      <w:r w:rsidR="002C1267">
        <w:rPr>
          <w:rFonts w:ascii="Arial" w:hAnsi="Arial" w:cs="Arial"/>
        </w:rPr>
        <w:t xml:space="preserve"> </w:t>
      </w:r>
      <w:r w:rsidRPr="00543963">
        <w:rPr>
          <w:rFonts w:ascii="Arial" w:hAnsi="Arial" w:cs="Arial"/>
        </w:rPr>
        <w:t xml:space="preserve">These findings suggest </w:t>
      </w:r>
      <w:r w:rsidRPr="00543963">
        <w:rPr>
          <w:rFonts w:ascii="Arial" w:hAnsi="Arial" w:cs="Arial"/>
        </w:rPr>
        <w:lastRenderedPageBreak/>
        <w:t>that digital exclusion may persist even when technology is available, potentially limiting participation in digital dementia prevention programmes.</w:t>
      </w:r>
    </w:p>
    <w:p w14:paraId="58432231" w14:textId="77777777" w:rsidR="003149ED" w:rsidRPr="00543963" w:rsidRDefault="003149ED" w:rsidP="003149ED">
      <w:pPr>
        <w:spacing w:line="360" w:lineRule="auto"/>
        <w:jc w:val="both"/>
        <w:rPr>
          <w:rFonts w:ascii="Arial" w:hAnsi="Arial" w:cs="Arial"/>
        </w:rPr>
      </w:pPr>
      <w:r w:rsidRPr="00543963">
        <w:rPr>
          <w:rFonts w:ascii="Arial" w:hAnsi="Arial" w:cs="Arial"/>
        </w:rPr>
        <w:t>The findings can be interpreted through Digital Divide Theory, which proposes that inequalities in technology access, skills, and usage contribute to unequal participation in digital services (Van Dijk, 2020). The barriers identified by Money et al. (2024) and Kebede et al. (2022) support this perspective, demonstrating that access alone is insufficient if individuals lack the skills or confidence required to engage effectively. Therefore, digital inequalities may influence who benefits from dementia prevention interventions.</w:t>
      </w:r>
    </w:p>
    <w:p w14:paraId="22839AED" w14:textId="77777777" w:rsidR="003149ED" w:rsidRPr="00543963" w:rsidRDefault="003149ED" w:rsidP="003149ED">
      <w:pPr>
        <w:spacing w:line="360" w:lineRule="auto"/>
        <w:jc w:val="both"/>
        <w:rPr>
          <w:rFonts w:ascii="Arial" w:hAnsi="Arial" w:cs="Arial"/>
        </w:rPr>
      </w:pPr>
      <w:r w:rsidRPr="00543963">
        <w:rPr>
          <w:rFonts w:ascii="Arial" w:hAnsi="Arial" w:cs="Arial"/>
        </w:rPr>
        <w:t>Usability emerged as another important determinant of engagement. Schmidt et al. (2025) reported that older adults with Mild Cognitive Impairment (MCI) were more likely to engage with technologies that were simple, intuitive, and easy to navigate. Similarly, Da et al. (2025) identified cognitive load as a significant challenge, particularly when technologies required complex decision-making or multiple operational steps. These findings suggest that intervention design plays a critical role in supporting participation among cognitively vulnerable populations.</w:t>
      </w:r>
    </w:p>
    <w:p w14:paraId="2DDB49DE" w14:textId="77777777" w:rsidR="003149ED" w:rsidRPr="00543963" w:rsidRDefault="003149ED" w:rsidP="003149ED">
      <w:pPr>
        <w:spacing w:line="360" w:lineRule="auto"/>
        <w:jc w:val="both"/>
        <w:rPr>
          <w:rFonts w:ascii="Arial" w:hAnsi="Arial" w:cs="Arial"/>
        </w:rPr>
      </w:pPr>
      <w:r w:rsidRPr="00543963">
        <w:rPr>
          <w:rFonts w:ascii="Arial" w:hAnsi="Arial" w:cs="Arial"/>
        </w:rPr>
        <w:t>The evidence further indicates that cognitive impairment creates additional barriers to engagement. Panzavolta et al. (2025) found that memory difficulties, reduced confidence, and concerns regarding technology use limited participation among individuals experiencing cognitive decline. Likewise, Schmidt et al. (2025) reported that self-efficacy and perceived ability influenced technology acceptance. These findings suggest that standard digital interventions may not adequately meet the needs of users experiencing cognitive difficulties.</w:t>
      </w:r>
    </w:p>
    <w:p w14:paraId="50ADA656" w14:textId="0871BF15" w:rsidR="003149ED" w:rsidRPr="00543963" w:rsidRDefault="003149ED" w:rsidP="003149ED">
      <w:pPr>
        <w:spacing w:line="360" w:lineRule="auto"/>
        <w:jc w:val="both"/>
        <w:rPr>
          <w:rFonts w:ascii="Arial" w:hAnsi="Arial" w:cs="Arial"/>
        </w:rPr>
      </w:pPr>
      <w:r w:rsidRPr="00543963">
        <w:rPr>
          <w:rFonts w:ascii="Arial" w:hAnsi="Arial" w:cs="Arial"/>
        </w:rPr>
        <w:t xml:space="preserve">Despite these barriers, several facilitators were consistently identified across the literature. Money et al. (2024) reported that perceived usefulness and personal relevance encouraged engagement, while Kebede et al. (2022) highlighted motivation, confidence, and positive attitudes towards technology as important facilitators. Older adults were </w:t>
      </w:r>
      <w:r w:rsidR="002C1267" w:rsidRPr="002C1267">
        <w:rPr>
          <w:rFonts w:ascii="Arial" w:hAnsi="Arial" w:cs="Arial"/>
        </w:rPr>
        <w:t xml:space="preserve">demonstrated greater engagement when they </w:t>
      </w:r>
      <w:r w:rsidRPr="00543963">
        <w:rPr>
          <w:rFonts w:ascii="Arial" w:hAnsi="Arial" w:cs="Arial"/>
        </w:rPr>
        <w:t xml:space="preserve">understood how digital technologies could benefit their health and wellbeing. </w:t>
      </w:r>
      <w:r w:rsidR="009C4A87" w:rsidRPr="009C4A87">
        <w:rPr>
          <w:rFonts w:ascii="Arial" w:hAnsi="Arial" w:cs="Arial"/>
        </w:rPr>
        <w:t>This finding is consistent with the Technology Acceptance Model, which identifies perceived usefulness as a key determinant of technology adoption</w:t>
      </w:r>
      <w:r w:rsidR="009C4A87">
        <w:rPr>
          <w:rFonts w:ascii="Arial" w:hAnsi="Arial" w:cs="Arial"/>
        </w:rPr>
        <w:t xml:space="preserve"> </w:t>
      </w:r>
      <w:r w:rsidRPr="00543963">
        <w:rPr>
          <w:rFonts w:ascii="Arial" w:hAnsi="Arial" w:cs="Arial"/>
        </w:rPr>
        <w:t>(Davis, 1989).</w:t>
      </w:r>
    </w:p>
    <w:p w14:paraId="30D2FF2B" w14:textId="1E263737" w:rsidR="003149ED" w:rsidRPr="00543963" w:rsidRDefault="003149ED" w:rsidP="002C1267">
      <w:pPr>
        <w:spacing w:line="360" w:lineRule="auto"/>
        <w:jc w:val="both"/>
        <w:rPr>
          <w:rFonts w:ascii="Arial" w:hAnsi="Arial" w:cs="Arial"/>
        </w:rPr>
      </w:pPr>
      <w:r w:rsidRPr="00543963">
        <w:rPr>
          <w:rFonts w:ascii="Arial" w:hAnsi="Arial" w:cs="Arial"/>
        </w:rPr>
        <w:t xml:space="preserve">However, the Technology Acceptance Model does not fully explain the complexity of engagement observed within the reviewed studies. While perceived usefulness and ease of use were important influences, broader factors such as cognitive impairment, ageing-related challenges, and digital inequalities also affected participation (Panzavolta et al., 2025; Da et al., 2025). Consequently, engagement among older adults </w:t>
      </w:r>
      <w:r w:rsidR="002C1267" w:rsidRPr="002C1267">
        <w:rPr>
          <w:rFonts w:ascii="Arial" w:hAnsi="Arial" w:cs="Arial"/>
        </w:rPr>
        <w:t>appears to be determined by technological, psychological, and social factors</w:t>
      </w:r>
      <w:r w:rsidR="002C1267">
        <w:rPr>
          <w:rFonts w:ascii="Arial" w:hAnsi="Arial" w:cs="Arial"/>
        </w:rPr>
        <w:t xml:space="preserve"> </w:t>
      </w:r>
      <w:r w:rsidRPr="00543963">
        <w:rPr>
          <w:rFonts w:ascii="Arial" w:hAnsi="Arial" w:cs="Arial"/>
        </w:rPr>
        <w:t>rather than technology acceptance alone.</w:t>
      </w:r>
    </w:p>
    <w:p w14:paraId="2993EADE" w14:textId="5E073E35" w:rsidR="003149ED" w:rsidRPr="00543963" w:rsidRDefault="003149ED" w:rsidP="003149ED">
      <w:pPr>
        <w:spacing w:line="360" w:lineRule="auto"/>
        <w:jc w:val="both"/>
        <w:rPr>
          <w:rFonts w:ascii="Arial" w:hAnsi="Arial" w:cs="Arial"/>
        </w:rPr>
      </w:pPr>
      <w:r w:rsidRPr="00543963">
        <w:rPr>
          <w:rFonts w:ascii="Arial" w:hAnsi="Arial" w:cs="Arial"/>
        </w:rPr>
        <w:lastRenderedPageBreak/>
        <w:t>Several methodological</w:t>
      </w:r>
      <w:r w:rsidR="002C1267" w:rsidRPr="002C1267">
        <w:rPr>
          <w:rFonts w:ascii="Arial" w:hAnsi="Arial" w:cs="Arial"/>
        </w:rPr>
        <w:t xml:space="preserve"> limitations should be acknowledged when interpreting the findings. Much of the evidence</w:t>
      </w:r>
      <w:r w:rsidR="002C1267" w:rsidRPr="00543963">
        <w:rPr>
          <w:rFonts w:ascii="Arial" w:hAnsi="Arial" w:cs="Arial"/>
        </w:rPr>
        <w:t xml:space="preserve"> </w:t>
      </w:r>
      <w:r w:rsidRPr="00543963">
        <w:rPr>
          <w:rFonts w:ascii="Arial" w:hAnsi="Arial" w:cs="Arial"/>
        </w:rPr>
        <w:t>relating to barriers and facilitators was derived from qualitative studies and self-reported experiences, which may be influenced by participant perceptions and contextual factors (Money et al., 2024; Panzavolta et al., 2025). Furthermore, differences in participant characteristics and intervention types make direct comparison across studies challenging.</w:t>
      </w:r>
    </w:p>
    <w:p w14:paraId="2AA5FCC0" w14:textId="27DD389E" w:rsidR="003149ED" w:rsidRPr="00543963" w:rsidRDefault="003149ED" w:rsidP="003149ED">
      <w:pPr>
        <w:spacing w:line="360" w:lineRule="auto"/>
        <w:jc w:val="both"/>
        <w:rPr>
          <w:rFonts w:ascii="Arial" w:hAnsi="Arial" w:cs="Arial"/>
        </w:rPr>
      </w:pPr>
      <w:r w:rsidRPr="00543963">
        <w:rPr>
          <w:rFonts w:ascii="Arial" w:hAnsi="Arial" w:cs="Arial"/>
        </w:rPr>
        <w:t xml:space="preserve">Overall, the findings suggest that successful engagement with digital health technologies depends on digital literacy, confidence, usability, motivation, and cognitive functioning. While facilitators such as perceived usefulness and technological confidence can enhance participation, barriers including cognitive decline, low digital literacy, and poor usability may significantly limit engagement. </w:t>
      </w:r>
      <w:r w:rsidR="00644D11" w:rsidRPr="00644D11">
        <w:rPr>
          <w:rFonts w:ascii="Arial" w:hAnsi="Arial" w:cs="Arial"/>
        </w:rPr>
        <w:t>These findings reinforce the importance of integrating user-centred design principles into digital dementia prevention interventions, ensuring that both cognitive capacities and technological accessibility are adequately considered during development.</w:t>
      </w:r>
    </w:p>
    <w:p w14:paraId="18D0E7FF" w14:textId="77777777" w:rsidR="003149ED" w:rsidRPr="00543963" w:rsidRDefault="003149ED" w:rsidP="00543963">
      <w:pPr>
        <w:pStyle w:val="Heading3"/>
        <w:rPr>
          <w:rFonts w:ascii="Arial" w:hAnsi="Arial" w:cs="Arial"/>
          <w:b/>
          <w:bCs/>
          <w:sz w:val="24"/>
          <w:szCs w:val="24"/>
        </w:rPr>
      </w:pPr>
      <w:bookmarkStart w:id="74" w:name="_Toc232034652"/>
      <w:r w:rsidRPr="00543963">
        <w:rPr>
          <w:rFonts w:ascii="Arial" w:hAnsi="Arial" w:cs="Arial"/>
          <w:b/>
          <w:bCs/>
          <w:sz w:val="24"/>
          <w:szCs w:val="24"/>
        </w:rPr>
        <w:t>5.2.4 Impact of Digital Health Technologies on Cognitive Health and Dementia Risk</w:t>
      </w:r>
      <w:bookmarkEnd w:id="74"/>
    </w:p>
    <w:p w14:paraId="2160DAF6" w14:textId="77777777" w:rsidR="003149ED" w:rsidRPr="00543963" w:rsidRDefault="003149ED" w:rsidP="003149ED">
      <w:pPr>
        <w:spacing w:line="360" w:lineRule="auto"/>
        <w:jc w:val="both"/>
        <w:rPr>
          <w:rFonts w:ascii="Arial" w:hAnsi="Arial" w:cs="Arial"/>
        </w:rPr>
      </w:pPr>
      <w:r w:rsidRPr="00543963">
        <w:rPr>
          <w:rFonts w:ascii="Arial" w:hAnsi="Arial" w:cs="Arial"/>
        </w:rPr>
        <w:t>The findings suggest that digital health technologies may contribute positively to cognitive health and dementia risk reduction among older adults (Coley et al., 2022; Peng et al., 2024; Rosenberg et al., 2024). Across the reviewed studies, digital interventions were associated with improvements in cognitive functioning, health-related behaviours, and quality of life. However, the evidence indicates that digital technologies may influence dementia risk primarily through behavioural and lifestyle modification rather than direct effects on cognition alone.</w:t>
      </w:r>
    </w:p>
    <w:p w14:paraId="1BBCC11F" w14:textId="77777777" w:rsidR="003149ED" w:rsidRPr="00543963" w:rsidRDefault="003149ED" w:rsidP="003149ED">
      <w:pPr>
        <w:spacing w:line="360" w:lineRule="auto"/>
        <w:jc w:val="both"/>
        <w:rPr>
          <w:rFonts w:ascii="Arial" w:hAnsi="Arial" w:cs="Arial"/>
        </w:rPr>
      </w:pPr>
      <w:r w:rsidRPr="00543963">
        <w:rPr>
          <w:rFonts w:ascii="Arial" w:hAnsi="Arial" w:cs="Arial"/>
        </w:rPr>
        <w:t>Several studies reported positive cognitive outcomes following digital intervention use. Glenn et al. (2019) found improvements in memory, attention, and processing speed among participants using a digital cognitive training platform. Similarly, Rosenberg et al. (2024) reported positive cognitive and health-related outcomes following participation in a digitally supported multimodal lifestyle intervention. These findings suggest that digital technologies may support cognitive functioning through both direct cognitive stimulation and broader health promotion activities.</w:t>
      </w:r>
    </w:p>
    <w:p w14:paraId="33498D1E" w14:textId="77590728" w:rsidR="003149ED" w:rsidRPr="00543963" w:rsidRDefault="003149ED" w:rsidP="003149ED">
      <w:pPr>
        <w:spacing w:line="360" w:lineRule="auto"/>
        <w:jc w:val="both"/>
        <w:rPr>
          <w:rFonts w:ascii="Arial" w:hAnsi="Arial" w:cs="Arial"/>
        </w:rPr>
      </w:pPr>
      <w:r w:rsidRPr="00543963">
        <w:rPr>
          <w:rFonts w:ascii="Arial" w:hAnsi="Arial" w:cs="Arial"/>
        </w:rPr>
        <w:t xml:space="preserve">The findings can be interpreted through Cognitive Reserve Theory, which </w:t>
      </w:r>
      <w:r w:rsidR="002C1267" w:rsidRPr="002C1267">
        <w:rPr>
          <w:rFonts w:ascii="Arial" w:hAnsi="Arial" w:cs="Arial"/>
        </w:rPr>
        <w:t>suggests that participation in cognitively stimulating activities may enhance resilience to age-related cognitive decline</w:t>
      </w:r>
      <w:r w:rsidR="002C1267">
        <w:rPr>
          <w:rFonts w:ascii="Arial" w:hAnsi="Arial" w:cs="Arial"/>
        </w:rPr>
        <w:t xml:space="preserve"> </w:t>
      </w:r>
      <w:r w:rsidRPr="00543963">
        <w:rPr>
          <w:rFonts w:ascii="Arial" w:hAnsi="Arial" w:cs="Arial"/>
        </w:rPr>
        <w:t xml:space="preserve">(Stern, 2012). Digital cognitive training programmes and lifestyle interventions may therefore contribute to cognitive reserve by encouraging ongoing mental </w:t>
      </w:r>
      <w:r w:rsidRPr="00543963">
        <w:rPr>
          <w:rFonts w:ascii="Arial" w:hAnsi="Arial" w:cs="Arial"/>
        </w:rPr>
        <w:lastRenderedPageBreak/>
        <w:t>activity, learning, and behavioural engagement. This theoretical perspective provides a possible explanation for the positive cognitive outcomes reported across several studies.</w:t>
      </w:r>
    </w:p>
    <w:p w14:paraId="27B77CFC" w14:textId="77777777" w:rsidR="003149ED" w:rsidRPr="00543963" w:rsidRDefault="003149ED" w:rsidP="003149ED">
      <w:pPr>
        <w:spacing w:line="360" w:lineRule="auto"/>
        <w:jc w:val="both"/>
        <w:rPr>
          <w:rFonts w:ascii="Arial" w:hAnsi="Arial" w:cs="Arial"/>
        </w:rPr>
      </w:pPr>
      <w:r w:rsidRPr="00543963">
        <w:rPr>
          <w:rFonts w:ascii="Arial" w:hAnsi="Arial" w:cs="Arial"/>
        </w:rPr>
        <w:t>Despite these promising findings, caution is required when interpreting cognitive improvements as evidence of dementia prevention. Glenn et al. (2019) and Rosenberg et al. (2024) primarily measured short-term cognitive performance rather than dementia incidence. Improvements in memory or attention do not necessarily indicate a reduced likelihood of developing dementia later in life. Consequently, current evidence provides stronger support for cognitive health promotion than for direct dementia prevention.</w:t>
      </w:r>
    </w:p>
    <w:p w14:paraId="45429528" w14:textId="697DFDD3" w:rsidR="003149ED" w:rsidRPr="00543963" w:rsidRDefault="003149ED" w:rsidP="003149ED">
      <w:pPr>
        <w:spacing w:line="360" w:lineRule="auto"/>
        <w:jc w:val="both"/>
        <w:rPr>
          <w:rFonts w:ascii="Arial" w:hAnsi="Arial" w:cs="Arial"/>
        </w:rPr>
      </w:pPr>
      <w:r w:rsidRPr="00543963">
        <w:rPr>
          <w:rFonts w:ascii="Arial" w:hAnsi="Arial" w:cs="Arial"/>
        </w:rPr>
        <w:t xml:space="preserve">Behavioural change emerged as another important pathway through which digital technologies may influence dementia risk. Coley et al. (2022) reported that greater engagement with a coach-supported intervention was associated with healthier lifestyle behaviours, while Riera et al. (2025) identified improvements in health-related behaviours and quality of life following personalised digital coaching. Given that many recognised </w:t>
      </w:r>
      <w:r w:rsidR="00FE1995" w:rsidRPr="00543963">
        <w:rPr>
          <w:rFonts w:ascii="Arial" w:hAnsi="Arial" w:cs="Arial"/>
        </w:rPr>
        <w:t>dementias</w:t>
      </w:r>
      <w:r w:rsidRPr="00543963">
        <w:rPr>
          <w:rFonts w:ascii="Arial" w:hAnsi="Arial" w:cs="Arial"/>
        </w:rPr>
        <w:t xml:space="preserve"> risk factors are behavioural in nature, these findings suggest that digital interventions may contribute indirectly to dementia prevention through risk-factor modification.</w:t>
      </w:r>
    </w:p>
    <w:p w14:paraId="2660EF8E" w14:textId="77777777" w:rsidR="003149ED" w:rsidRPr="00543963" w:rsidRDefault="003149ED" w:rsidP="003149ED">
      <w:pPr>
        <w:spacing w:line="360" w:lineRule="auto"/>
        <w:jc w:val="both"/>
        <w:rPr>
          <w:rFonts w:ascii="Arial" w:hAnsi="Arial" w:cs="Arial"/>
        </w:rPr>
      </w:pPr>
      <w:r w:rsidRPr="00543963">
        <w:rPr>
          <w:rFonts w:ascii="Arial" w:hAnsi="Arial" w:cs="Arial"/>
        </w:rPr>
        <w:t>Additional support was provided by Peng et al. (2024), who found that greater digital technology utilisation was associated with lower dementia risk among older adults. The authors suggested that technology use may promote cognitive stimulation, social engagement, health management, and access to information, all of which are linked to healthier ageing. However, because the study employed an observational design, causality cannot be established with certainty.</w:t>
      </w:r>
    </w:p>
    <w:p w14:paraId="6FD2F41F" w14:textId="77777777" w:rsidR="003149ED" w:rsidRPr="00543963" w:rsidRDefault="003149ED" w:rsidP="003149ED">
      <w:pPr>
        <w:spacing w:line="360" w:lineRule="auto"/>
        <w:jc w:val="both"/>
        <w:rPr>
          <w:rFonts w:ascii="Arial" w:hAnsi="Arial" w:cs="Arial"/>
        </w:rPr>
      </w:pPr>
      <w:r w:rsidRPr="00543963">
        <w:rPr>
          <w:rFonts w:ascii="Arial" w:hAnsi="Arial" w:cs="Arial"/>
        </w:rPr>
        <w:t>A key limitation across the evidence base concerns the uncertainty surrounding causal relationships. Individuals who engage regularly with digital technologies may already possess higher levels of cognitive functioning, health awareness, or motivation to maintain their wellbeing (Peng et al., 2024). Therefore, it remains unclear whether digital technology use reduces dementia risk or whether individuals with lower dementia risk are simply more likely to use digital technologies. This limitation highlights the need for longitudinal studies capable of establishing causal pathways more effectively.</w:t>
      </w:r>
    </w:p>
    <w:p w14:paraId="0AEC4BCA" w14:textId="77777777" w:rsidR="003149ED" w:rsidRPr="00543963" w:rsidRDefault="003149ED" w:rsidP="003149ED">
      <w:pPr>
        <w:spacing w:line="360" w:lineRule="auto"/>
        <w:jc w:val="both"/>
        <w:rPr>
          <w:rFonts w:ascii="Arial" w:hAnsi="Arial" w:cs="Arial"/>
        </w:rPr>
      </w:pPr>
      <w:r w:rsidRPr="00543963">
        <w:rPr>
          <w:rFonts w:ascii="Arial" w:hAnsi="Arial" w:cs="Arial"/>
        </w:rPr>
        <w:t>Methodological limitations also reduce the strength of current conclusions. The reviewed studies employed diverse intervention designs, participant populations, and outcome measures, making direct comparison difficult (Glenn et al., 2019; Rosenberg et al., 2024). Furthermore, most studies focused on short-term outcomes and did not examine dementia incidence over extended follow-up periods (Coley et al., 2022; Riera et al., 2025). Consequently, the long-term effectiveness of digital interventions remains uncertain.</w:t>
      </w:r>
    </w:p>
    <w:p w14:paraId="2624480C" w14:textId="77777777" w:rsidR="003149ED" w:rsidRPr="00543963" w:rsidRDefault="003149ED" w:rsidP="003149ED">
      <w:pPr>
        <w:spacing w:line="360" w:lineRule="auto"/>
        <w:jc w:val="both"/>
        <w:rPr>
          <w:rFonts w:ascii="Arial" w:hAnsi="Arial" w:cs="Arial"/>
        </w:rPr>
      </w:pPr>
      <w:r w:rsidRPr="00543963">
        <w:rPr>
          <w:rFonts w:ascii="Arial" w:hAnsi="Arial" w:cs="Arial"/>
        </w:rPr>
        <w:lastRenderedPageBreak/>
        <w:t>Overall, the findings suggest that digital health technologies may support cognitive health, encourage healthier behaviours, and contribute to dementia risk reduction among older adults. However, current evidence provides stronger support for behavioural and cognitive improvements than for direct reductions in dementia incidence. Future longitudinal research is therefore required to determine whether these benefits translate into meaningful long-term dementia prevention outcomes.</w:t>
      </w:r>
    </w:p>
    <w:p w14:paraId="443C0E41" w14:textId="77777777" w:rsidR="003149ED" w:rsidRPr="00543963" w:rsidRDefault="003149ED" w:rsidP="00543963">
      <w:pPr>
        <w:pStyle w:val="Heading3"/>
        <w:rPr>
          <w:rFonts w:ascii="Arial" w:hAnsi="Arial" w:cs="Arial"/>
          <w:b/>
          <w:bCs/>
          <w:sz w:val="24"/>
          <w:szCs w:val="24"/>
        </w:rPr>
      </w:pPr>
      <w:bookmarkStart w:id="75" w:name="_Toc232034653"/>
      <w:r w:rsidRPr="00543963">
        <w:rPr>
          <w:rFonts w:ascii="Arial" w:hAnsi="Arial" w:cs="Arial"/>
          <w:b/>
          <w:bCs/>
          <w:sz w:val="24"/>
          <w:szCs w:val="24"/>
        </w:rPr>
        <w:t>5.2.5 Integrated Interpretation of Findings</w:t>
      </w:r>
      <w:bookmarkEnd w:id="75"/>
    </w:p>
    <w:p w14:paraId="4EFB9F84" w14:textId="1828876B" w:rsidR="003149ED" w:rsidRPr="00543963" w:rsidRDefault="003149ED" w:rsidP="003149ED">
      <w:pPr>
        <w:spacing w:line="360" w:lineRule="auto"/>
        <w:jc w:val="both"/>
        <w:rPr>
          <w:rFonts w:ascii="Arial" w:hAnsi="Arial" w:cs="Arial"/>
        </w:rPr>
      </w:pPr>
      <w:r w:rsidRPr="00543963">
        <w:rPr>
          <w:rFonts w:ascii="Arial" w:hAnsi="Arial" w:cs="Arial"/>
        </w:rPr>
        <w:t xml:space="preserve">The findings of this review suggest that the effectiveness of digital health technologies in dementia prevention </w:t>
      </w:r>
      <w:r w:rsidR="002C1267" w:rsidRPr="002C1267">
        <w:rPr>
          <w:rFonts w:ascii="Arial" w:hAnsi="Arial" w:cs="Arial"/>
        </w:rPr>
        <w:t>should not be interpreted solely in terms of</w:t>
      </w:r>
      <w:r w:rsidRPr="00543963">
        <w:rPr>
          <w:rFonts w:ascii="Arial" w:hAnsi="Arial" w:cs="Arial"/>
        </w:rPr>
        <w:t xml:space="preserve"> intervention outcomes. Rather, successful dementia prevention appears to depend on a complex relationship between intervention design, user engagement, accessibility, and cognitive health outcomes (Coley et al., 2022; Bunyan et al., 2025; Money et al., 2024). The four themes identified in this review are therefore interconnected rather than independent components of digital dementia prevention.</w:t>
      </w:r>
    </w:p>
    <w:p w14:paraId="262364DE" w14:textId="11786A5E" w:rsidR="003149ED" w:rsidRPr="00543963" w:rsidRDefault="003149ED" w:rsidP="00F52AE7">
      <w:pPr>
        <w:spacing w:line="360" w:lineRule="auto"/>
        <w:jc w:val="both"/>
        <w:rPr>
          <w:rFonts w:ascii="Arial" w:hAnsi="Arial" w:cs="Arial"/>
        </w:rPr>
      </w:pPr>
      <w:r w:rsidRPr="00543963">
        <w:rPr>
          <w:rFonts w:ascii="Arial" w:hAnsi="Arial" w:cs="Arial"/>
        </w:rPr>
        <w:t xml:space="preserve">Digital health interventions demonstrated potential to improve lifestyle behaviours associated with </w:t>
      </w:r>
      <w:r w:rsidR="00F52AE7" w:rsidRPr="00F52AE7">
        <w:rPr>
          <w:rFonts w:ascii="Arial" w:hAnsi="Arial" w:cs="Arial"/>
        </w:rPr>
        <w:t xml:space="preserve">mitigation of dementia </w:t>
      </w:r>
      <w:r w:rsidR="00FE1995" w:rsidRPr="00F52AE7">
        <w:rPr>
          <w:rFonts w:ascii="Arial" w:hAnsi="Arial" w:cs="Arial"/>
        </w:rPr>
        <w:t xml:space="preserve">risk </w:t>
      </w:r>
      <w:r w:rsidR="00FE1995" w:rsidRPr="00543963">
        <w:rPr>
          <w:rFonts w:ascii="Arial" w:hAnsi="Arial" w:cs="Arial"/>
        </w:rPr>
        <w:t>(</w:t>
      </w:r>
      <w:r w:rsidRPr="00543963">
        <w:rPr>
          <w:rFonts w:ascii="Arial" w:hAnsi="Arial" w:cs="Arial"/>
        </w:rPr>
        <w:t>Bunyan et al., 2024; Riera et al., 2025). However, the findings indicate that positive outcomes were often dependent upon sustained engagement with the intervention. Participants who engaged more actively with digital programmes generally reported greater behavioural improvements and more favourable health outcomes (Coley et al., 2022; Peng et al., 2024). This suggests that intervention effectiveness is closely linked to the ability of users to maintain participation over time.</w:t>
      </w:r>
    </w:p>
    <w:p w14:paraId="36E1714A" w14:textId="2BEBC82D" w:rsidR="003149ED" w:rsidRPr="00543963" w:rsidRDefault="003149ED" w:rsidP="003149ED">
      <w:pPr>
        <w:spacing w:line="360" w:lineRule="auto"/>
        <w:jc w:val="both"/>
        <w:rPr>
          <w:rFonts w:ascii="Arial" w:hAnsi="Arial" w:cs="Arial"/>
        </w:rPr>
      </w:pPr>
      <w:r w:rsidRPr="00543963">
        <w:rPr>
          <w:rFonts w:ascii="Arial" w:hAnsi="Arial" w:cs="Arial"/>
        </w:rPr>
        <w:t xml:space="preserve">The importance of engagement can be explained through </w:t>
      </w:r>
      <w:r w:rsidR="009C4A87" w:rsidRPr="009C4A87">
        <w:rPr>
          <w:rFonts w:ascii="Arial" w:hAnsi="Arial" w:cs="Arial"/>
        </w:rPr>
        <w:t>the Technology Acceptance Model (Davis, 1989). Across the reviewed studies, perceived usefulness and ease of use were consistently linked to greater levels of</w:t>
      </w:r>
      <w:r w:rsidR="009C4A87">
        <w:rPr>
          <w:rFonts w:ascii="Arial" w:hAnsi="Arial" w:cs="Arial"/>
        </w:rPr>
        <w:t xml:space="preserve"> </w:t>
      </w:r>
      <w:r w:rsidRPr="00543963">
        <w:rPr>
          <w:rFonts w:ascii="Arial" w:hAnsi="Arial" w:cs="Arial"/>
        </w:rPr>
        <w:t>adherence and participation (Schroeder et al., 2025; Money et al., 2024). Older adults were more likely to engage with technologies that were accessible, user-friendly, and relevant to their health needs. Consequently, technology acceptance appears to represent a key mechanism through which digital interventions achieve behavioural outcomes.</w:t>
      </w:r>
    </w:p>
    <w:p w14:paraId="01C3F928" w14:textId="77777777" w:rsidR="003149ED" w:rsidRPr="00543963" w:rsidRDefault="003149ED" w:rsidP="003149ED">
      <w:pPr>
        <w:spacing w:line="360" w:lineRule="auto"/>
        <w:jc w:val="both"/>
        <w:rPr>
          <w:rFonts w:ascii="Arial" w:hAnsi="Arial" w:cs="Arial"/>
        </w:rPr>
      </w:pPr>
      <w:r w:rsidRPr="00543963">
        <w:rPr>
          <w:rFonts w:ascii="Arial" w:hAnsi="Arial" w:cs="Arial"/>
        </w:rPr>
        <w:t>At the same time, the findings demonstrated that engagement is influenced by broader social and cognitive factors. Digital literacy, confidence, motivation, and cognitive functioning emerged as important determinants of technology use (Kebede et al., 2022; Panzavolta et al., 2025). These findings support Digital Divide Theory, which proposes that inequalities in digital skills and participation can influence access to digital opportunities (Van Dijk, 2020). Therefore, the benefits of digital dementia prevention interventions may not be distributed equally across older populations.</w:t>
      </w:r>
    </w:p>
    <w:p w14:paraId="563A1BC4" w14:textId="77777777" w:rsidR="003149ED" w:rsidRPr="00543963" w:rsidRDefault="003149ED" w:rsidP="003149ED">
      <w:pPr>
        <w:spacing w:line="360" w:lineRule="auto"/>
        <w:jc w:val="both"/>
        <w:rPr>
          <w:rFonts w:ascii="Arial" w:hAnsi="Arial" w:cs="Arial"/>
        </w:rPr>
      </w:pPr>
      <w:r w:rsidRPr="00543963">
        <w:rPr>
          <w:rFonts w:ascii="Arial" w:hAnsi="Arial" w:cs="Arial"/>
        </w:rPr>
        <w:lastRenderedPageBreak/>
        <w:t>The findings further suggest that successful engagement may contribute to improved cognitive health through both direct and indirect pathways. Direct effects were observed through cognitive training interventions that enhanced memory, attention, and processing speed (Glenn et al., 2019). Indirect effects occurred through behavioural changes such as increased physical activity, healthier diets, and greater participation in health-promoting activities (Bunyan et al., 2024; Coley et al., 2022). Together, these pathways may contribute to improved cognitive wellbeing and reduced dementia risk.</w:t>
      </w:r>
    </w:p>
    <w:p w14:paraId="0E481CCE" w14:textId="76238C95" w:rsidR="003149ED" w:rsidRPr="00543963" w:rsidRDefault="009C4A87" w:rsidP="003149ED">
      <w:pPr>
        <w:spacing w:line="360" w:lineRule="auto"/>
        <w:jc w:val="both"/>
        <w:rPr>
          <w:rFonts w:ascii="Arial" w:hAnsi="Arial" w:cs="Arial"/>
        </w:rPr>
      </w:pPr>
      <w:r w:rsidRPr="009C4A87">
        <w:rPr>
          <w:rFonts w:ascii="Arial" w:hAnsi="Arial" w:cs="Arial"/>
        </w:rPr>
        <w:t>These findings may also be interpreted through the lens of Cognitive Reserve Theory</w:t>
      </w:r>
      <w:r w:rsidR="003149ED" w:rsidRPr="00543963">
        <w:rPr>
          <w:rFonts w:ascii="Arial" w:hAnsi="Arial" w:cs="Arial"/>
        </w:rPr>
        <w:t xml:space="preserve"> (Stern, 2012), which proposes that cognitively </w:t>
      </w:r>
      <w:r w:rsidR="00F52AE7" w:rsidRPr="00F52AE7">
        <w:rPr>
          <w:rFonts w:ascii="Arial" w:hAnsi="Arial" w:cs="Arial"/>
        </w:rPr>
        <w:t>stimulating activities may enhance resilience to cognitive decline.</w:t>
      </w:r>
      <w:r w:rsidR="00F52AE7">
        <w:rPr>
          <w:rFonts w:ascii="Arial" w:hAnsi="Arial" w:cs="Arial"/>
        </w:rPr>
        <w:t xml:space="preserve"> </w:t>
      </w:r>
      <w:r w:rsidR="003149ED" w:rsidRPr="00543963">
        <w:rPr>
          <w:rFonts w:ascii="Arial" w:hAnsi="Arial" w:cs="Arial"/>
        </w:rPr>
        <w:t>Digital technologies may support cognitive reserve by encouraging mental stimulation, lifelong learning, social engagement, and healthy lifestyle behaviours. This may explain why several studies reported positive cognitive outcomes despite differences in intervention design and delivery approaches.</w:t>
      </w:r>
    </w:p>
    <w:p w14:paraId="7F85B2D8" w14:textId="1EF6072E" w:rsidR="003149ED" w:rsidRPr="00543963" w:rsidRDefault="003149ED" w:rsidP="003149ED">
      <w:pPr>
        <w:spacing w:line="360" w:lineRule="auto"/>
        <w:jc w:val="both"/>
        <w:rPr>
          <w:rFonts w:ascii="Arial" w:hAnsi="Arial" w:cs="Arial"/>
        </w:rPr>
      </w:pPr>
      <w:r w:rsidRPr="00543963">
        <w:rPr>
          <w:rFonts w:ascii="Arial" w:hAnsi="Arial" w:cs="Arial"/>
        </w:rPr>
        <w:t xml:space="preserve">Overall, the findings suggest that digital dementia prevention operates through a sequential process. Effective interventions promote engagement; engagement facilitates behaviour change; and behaviour change contributes to improved cognitive health and potentially reduced dementia risk. However, this process is influenced by technological, behavioural, and social factors that may either facilitate or hinder participation. Consequently, successful dementia prevention strategies </w:t>
      </w:r>
      <w:r w:rsidR="00F52AE7" w:rsidRPr="00F52AE7">
        <w:rPr>
          <w:rFonts w:ascii="Arial" w:hAnsi="Arial" w:cs="Arial"/>
        </w:rPr>
        <w:t>should prioritise not only technological innovation but also</w:t>
      </w:r>
      <w:r w:rsidR="00F52AE7">
        <w:rPr>
          <w:rFonts w:ascii="Arial" w:hAnsi="Arial" w:cs="Arial"/>
        </w:rPr>
        <w:t xml:space="preserve"> </w:t>
      </w:r>
      <w:r w:rsidRPr="00543963">
        <w:rPr>
          <w:rFonts w:ascii="Arial" w:hAnsi="Arial" w:cs="Arial"/>
        </w:rPr>
        <w:t>improving accessibility, usability, digital literacy, and sustained user engagement among older adults.</w:t>
      </w:r>
    </w:p>
    <w:p w14:paraId="60993932" w14:textId="14D13979" w:rsidR="003149ED" w:rsidRPr="00543963" w:rsidRDefault="003149ED" w:rsidP="00543963">
      <w:pPr>
        <w:pStyle w:val="Heading2"/>
        <w:rPr>
          <w:rFonts w:ascii="Arial" w:hAnsi="Arial" w:cs="Arial"/>
          <w:b/>
          <w:bCs/>
          <w:sz w:val="24"/>
          <w:szCs w:val="24"/>
        </w:rPr>
      </w:pPr>
      <w:bookmarkStart w:id="76" w:name="_Toc232034654"/>
      <w:r w:rsidRPr="00543963">
        <w:rPr>
          <w:rFonts w:ascii="Arial" w:hAnsi="Arial" w:cs="Arial"/>
          <w:b/>
          <w:bCs/>
          <w:sz w:val="24"/>
          <w:szCs w:val="24"/>
        </w:rPr>
        <w:t>5.</w:t>
      </w:r>
      <w:r w:rsidR="000178E2">
        <w:rPr>
          <w:rFonts w:ascii="Arial" w:hAnsi="Arial" w:cs="Arial"/>
          <w:b/>
          <w:bCs/>
          <w:sz w:val="24"/>
          <w:szCs w:val="24"/>
        </w:rPr>
        <w:t>2</w:t>
      </w:r>
      <w:r w:rsidRPr="00543963">
        <w:rPr>
          <w:rFonts w:ascii="Arial" w:hAnsi="Arial" w:cs="Arial"/>
          <w:b/>
          <w:bCs/>
          <w:sz w:val="24"/>
          <w:szCs w:val="24"/>
        </w:rPr>
        <w:t xml:space="preserve"> Implications for Practice and Policy</w:t>
      </w:r>
      <w:bookmarkEnd w:id="76"/>
    </w:p>
    <w:p w14:paraId="71341DB6" w14:textId="7F25E8A6" w:rsidR="003149ED" w:rsidRPr="00543963" w:rsidRDefault="003149ED" w:rsidP="00543963">
      <w:pPr>
        <w:pStyle w:val="Heading3"/>
        <w:rPr>
          <w:rFonts w:ascii="Arial" w:hAnsi="Arial" w:cs="Arial"/>
          <w:b/>
          <w:bCs/>
          <w:sz w:val="24"/>
          <w:szCs w:val="24"/>
        </w:rPr>
      </w:pPr>
      <w:bookmarkStart w:id="77" w:name="_Toc232034655"/>
      <w:r w:rsidRPr="00543963">
        <w:rPr>
          <w:rFonts w:ascii="Arial" w:hAnsi="Arial" w:cs="Arial"/>
          <w:b/>
          <w:bCs/>
          <w:sz w:val="24"/>
          <w:szCs w:val="24"/>
        </w:rPr>
        <w:t>5.</w:t>
      </w:r>
      <w:r w:rsidR="000178E2">
        <w:rPr>
          <w:rFonts w:ascii="Arial" w:hAnsi="Arial" w:cs="Arial"/>
          <w:b/>
          <w:bCs/>
          <w:sz w:val="24"/>
          <w:szCs w:val="24"/>
        </w:rPr>
        <w:t>2</w:t>
      </w:r>
      <w:r w:rsidRPr="00543963">
        <w:rPr>
          <w:rFonts w:ascii="Arial" w:hAnsi="Arial" w:cs="Arial"/>
          <w:b/>
          <w:bCs/>
          <w:sz w:val="24"/>
          <w:szCs w:val="24"/>
        </w:rPr>
        <w:t>.1 Implications for Healthcare Practice</w:t>
      </w:r>
      <w:bookmarkEnd w:id="77"/>
    </w:p>
    <w:p w14:paraId="7764B431" w14:textId="77777777" w:rsidR="003149ED" w:rsidRPr="00543963" w:rsidRDefault="003149ED" w:rsidP="003149ED">
      <w:pPr>
        <w:spacing w:line="360" w:lineRule="auto"/>
        <w:jc w:val="both"/>
        <w:rPr>
          <w:rFonts w:ascii="Arial" w:hAnsi="Arial" w:cs="Arial"/>
        </w:rPr>
      </w:pPr>
      <w:r w:rsidRPr="00543963">
        <w:rPr>
          <w:rFonts w:ascii="Arial" w:hAnsi="Arial" w:cs="Arial"/>
        </w:rPr>
        <w:t>The findings suggest that digital health technologies may provide healthcare professionals with valuable tools for supporting dementia prevention among older adults. Digital interventions were associated with improvements in health-related behaviours, cognitive health promotion, and dementia risk awareness (Coley et al., 2022; Bunyan et al., 2024; Riera et al., 2025). Consequently, healthcare practitioners may utilise digital platforms to promote lifestyle modification and encourage participation in preventive health activities.</w:t>
      </w:r>
    </w:p>
    <w:p w14:paraId="6D61BD59" w14:textId="77777777" w:rsidR="003149ED" w:rsidRPr="00543963" w:rsidRDefault="003149ED" w:rsidP="003149ED">
      <w:pPr>
        <w:spacing w:line="360" w:lineRule="auto"/>
        <w:jc w:val="both"/>
        <w:rPr>
          <w:rFonts w:ascii="Arial" w:hAnsi="Arial" w:cs="Arial"/>
        </w:rPr>
      </w:pPr>
      <w:r w:rsidRPr="00543963">
        <w:rPr>
          <w:rFonts w:ascii="Arial" w:hAnsi="Arial" w:cs="Arial"/>
        </w:rPr>
        <w:t>The evidence also highlights the importance of personalised support within digital interventions. Coach-supported and tailored programmes generally reported more favourable outcomes than educational approaches alone (Coley et al., 2022; Riera et al., 2025). This suggests that healthcare services should consider integrating behavioural support, goal setting, and personalised feedback into digital dementia prevention programmes to enhance engagement and behaviour change.</w:t>
      </w:r>
    </w:p>
    <w:p w14:paraId="59AA01C8" w14:textId="77777777" w:rsidR="003149ED" w:rsidRPr="00543963" w:rsidRDefault="003149ED" w:rsidP="003149ED">
      <w:pPr>
        <w:spacing w:line="360" w:lineRule="auto"/>
        <w:jc w:val="both"/>
        <w:rPr>
          <w:rFonts w:ascii="Arial" w:hAnsi="Arial" w:cs="Arial"/>
        </w:rPr>
      </w:pPr>
      <w:r w:rsidRPr="00543963">
        <w:rPr>
          <w:rFonts w:ascii="Arial" w:hAnsi="Arial" w:cs="Arial"/>
        </w:rPr>
        <w:lastRenderedPageBreak/>
        <w:t>However, the findings indicate that intervention effectiveness depends heavily on user engagement and adherence (Bunyan et al., 2025; Schroeder et al., 2025). Healthcare professionals should therefore recognise that successful implementation requires ongoing support, monitoring, and encouragement rather than simply providing access to technology. Addressing usability concerns and individual support needs may improve long-term participation and intervention effectiveness.</w:t>
      </w:r>
    </w:p>
    <w:p w14:paraId="6A1338A2" w14:textId="01A943E8" w:rsidR="003149ED" w:rsidRPr="00543963" w:rsidRDefault="003149ED" w:rsidP="00543963">
      <w:pPr>
        <w:pStyle w:val="Heading3"/>
        <w:rPr>
          <w:rFonts w:ascii="Arial" w:hAnsi="Arial" w:cs="Arial"/>
          <w:b/>
          <w:bCs/>
          <w:sz w:val="24"/>
          <w:szCs w:val="24"/>
        </w:rPr>
      </w:pPr>
      <w:bookmarkStart w:id="78" w:name="_Toc232034656"/>
      <w:r w:rsidRPr="00543963">
        <w:rPr>
          <w:rFonts w:ascii="Arial" w:hAnsi="Arial" w:cs="Arial"/>
          <w:b/>
          <w:bCs/>
          <w:sz w:val="24"/>
          <w:szCs w:val="24"/>
        </w:rPr>
        <w:t>5.</w:t>
      </w:r>
      <w:r w:rsidR="000178E2">
        <w:rPr>
          <w:rFonts w:ascii="Arial" w:hAnsi="Arial" w:cs="Arial"/>
          <w:b/>
          <w:bCs/>
          <w:sz w:val="24"/>
          <w:szCs w:val="24"/>
        </w:rPr>
        <w:t>2</w:t>
      </w:r>
      <w:r w:rsidRPr="00543963">
        <w:rPr>
          <w:rFonts w:ascii="Arial" w:hAnsi="Arial" w:cs="Arial"/>
          <w:b/>
          <w:bCs/>
          <w:sz w:val="24"/>
          <w:szCs w:val="24"/>
        </w:rPr>
        <w:t>.2 Implications for Public Health Policy</w:t>
      </w:r>
      <w:bookmarkEnd w:id="78"/>
    </w:p>
    <w:p w14:paraId="7E709D07" w14:textId="77777777" w:rsidR="003149ED" w:rsidRPr="00543963" w:rsidRDefault="003149ED" w:rsidP="003149ED">
      <w:pPr>
        <w:spacing w:line="360" w:lineRule="auto"/>
        <w:jc w:val="both"/>
        <w:rPr>
          <w:rFonts w:ascii="Arial" w:hAnsi="Arial" w:cs="Arial"/>
        </w:rPr>
      </w:pPr>
      <w:r w:rsidRPr="00543963">
        <w:rPr>
          <w:rFonts w:ascii="Arial" w:hAnsi="Arial" w:cs="Arial"/>
        </w:rPr>
        <w:t>The findings support the growing role of digital health technologies within public health approaches to dementia prevention. As populations continue to age and dementia prevalence increases, digital interventions may offer scalable and cost-effective opportunities to deliver preventive services to larger populations (Bunyan et al., 2024; Rosenberg et al., 2024). Consequently, policymakers should consider incorporating digital prevention strategies into broader dementia prevention frameworks.</w:t>
      </w:r>
    </w:p>
    <w:p w14:paraId="41451140" w14:textId="796AE7B2" w:rsidR="003149ED" w:rsidRPr="00543963" w:rsidRDefault="003149ED" w:rsidP="003149ED">
      <w:pPr>
        <w:spacing w:line="360" w:lineRule="auto"/>
        <w:jc w:val="both"/>
        <w:rPr>
          <w:rFonts w:ascii="Arial" w:hAnsi="Arial" w:cs="Arial"/>
        </w:rPr>
      </w:pPr>
      <w:r w:rsidRPr="00543963">
        <w:rPr>
          <w:rFonts w:ascii="Arial" w:hAnsi="Arial" w:cs="Arial"/>
        </w:rPr>
        <w:t>The evidence further suggests that digital interventions are most effective when targeting modifiable risk factors</w:t>
      </w:r>
      <w:r w:rsidR="00F52AE7">
        <w:rPr>
          <w:rFonts w:ascii="Arial" w:hAnsi="Arial" w:cs="Arial"/>
        </w:rPr>
        <w:t>, including</w:t>
      </w:r>
      <w:r w:rsidRPr="00543963">
        <w:rPr>
          <w:rFonts w:ascii="Arial" w:hAnsi="Arial" w:cs="Arial"/>
        </w:rPr>
        <w:t xml:space="preserve"> physical inactivity, poor diet, and limited cognitive stimulation (Coley et al., 2022; Fishman et al., 2025). These findings align with current public health priorities emphasising risk reduction and healthy ageing. Therefore, national dementia strategies should recognise digital health technologies as complementary tools that support behavioural change and health promotion.</w:t>
      </w:r>
    </w:p>
    <w:p w14:paraId="587FCEFE" w14:textId="12FD4E77" w:rsidR="00F52AE7" w:rsidRPr="00543963" w:rsidRDefault="003149ED" w:rsidP="003149ED">
      <w:pPr>
        <w:spacing w:line="360" w:lineRule="auto"/>
        <w:jc w:val="both"/>
        <w:rPr>
          <w:rFonts w:ascii="Arial" w:hAnsi="Arial" w:cs="Arial"/>
        </w:rPr>
      </w:pPr>
      <w:r w:rsidRPr="00543963">
        <w:rPr>
          <w:rFonts w:ascii="Arial" w:hAnsi="Arial" w:cs="Arial"/>
        </w:rPr>
        <w:t xml:space="preserve">Despite their potential, digital technologies should not be viewed as standalone solutions for dementia prevention. The findings indicate that digital interventions primarily influence behavioural and cognitive outcomes rather than directly reducing dementia incidence (Peng et al., 2024; Glenn et al., 2019). Public health policies should therefore integrate digital approaches within wider prevention programmes </w:t>
      </w:r>
      <w:r w:rsidR="00F52AE7" w:rsidRPr="00F52AE7">
        <w:rPr>
          <w:rFonts w:ascii="Arial" w:hAnsi="Arial" w:cs="Arial"/>
        </w:rPr>
        <w:t>that target behavioural, social, and environmental determinants of cognitive health.</w:t>
      </w:r>
    </w:p>
    <w:p w14:paraId="3223B145" w14:textId="48633AAB" w:rsidR="003149ED" w:rsidRPr="00543963" w:rsidRDefault="003149ED" w:rsidP="00543963">
      <w:pPr>
        <w:pStyle w:val="Heading3"/>
        <w:rPr>
          <w:rFonts w:ascii="Arial" w:hAnsi="Arial" w:cs="Arial"/>
          <w:b/>
          <w:bCs/>
          <w:sz w:val="24"/>
          <w:szCs w:val="24"/>
        </w:rPr>
      </w:pPr>
      <w:bookmarkStart w:id="79" w:name="_Toc232034657"/>
      <w:r w:rsidRPr="00543963">
        <w:rPr>
          <w:rFonts w:ascii="Arial" w:hAnsi="Arial" w:cs="Arial"/>
          <w:b/>
          <w:bCs/>
          <w:sz w:val="24"/>
          <w:szCs w:val="24"/>
        </w:rPr>
        <w:t>5.</w:t>
      </w:r>
      <w:r w:rsidR="000178E2">
        <w:rPr>
          <w:rFonts w:ascii="Arial" w:hAnsi="Arial" w:cs="Arial"/>
          <w:b/>
          <w:bCs/>
          <w:sz w:val="24"/>
          <w:szCs w:val="24"/>
        </w:rPr>
        <w:t>2</w:t>
      </w:r>
      <w:r w:rsidRPr="00543963">
        <w:rPr>
          <w:rFonts w:ascii="Arial" w:hAnsi="Arial" w:cs="Arial"/>
          <w:b/>
          <w:bCs/>
          <w:sz w:val="24"/>
          <w:szCs w:val="24"/>
        </w:rPr>
        <w:t>.3 Implications for Digital Inclusion and Dementia Prevention</w:t>
      </w:r>
      <w:bookmarkEnd w:id="79"/>
    </w:p>
    <w:p w14:paraId="1E547E0F" w14:textId="77777777" w:rsidR="003149ED" w:rsidRPr="00543963" w:rsidRDefault="003149ED" w:rsidP="003149ED">
      <w:pPr>
        <w:spacing w:line="360" w:lineRule="auto"/>
        <w:jc w:val="both"/>
        <w:rPr>
          <w:rFonts w:ascii="Arial" w:hAnsi="Arial" w:cs="Arial"/>
        </w:rPr>
      </w:pPr>
      <w:r w:rsidRPr="00543963">
        <w:rPr>
          <w:rFonts w:ascii="Arial" w:hAnsi="Arial" w:cs="Arial"/>
        </w:rPr>
        <w:t>A significant implication arising from this review concerns digital inclusion among older adults. The findings consistently identified digital literacy, confidence, usability, and cognitive functioning as important influences on engagement with digital technologies (Money et al., 2024; Kebede et al., 2022; Panzavolta et al., 2025). Without addressing these factors, digital interventions may fail to reach individuals who could benefit most from dementia prevention support.</w:t>
      </w:r>
    </w:p>
    <w:p w14:paraId="2A74BEB2" w14:textId="77777777" w:rsidR="003149ED" w:rsidRPr="00543963" w:rsidRDefault="003149ED" w:rsidP="003149ED">
      <w:pPr>
        <w:spacing w:line="360" w:lineRule="auto"/>
        <w:jc w:val="both"/>
        <w:rPr>
          <w:rFonts w:ascii="Arial" w:hAnsi="Arial" w:cs="Arial"/>
        </w:rPr>
      </w:pPr>
      <w:r w:rsidRPr="00543963">
        <w:rPr>
          <w:rFonts w:ascii="Arial" w:hAnsi="Arial" w:cs="Arial"/>
        </w:rPr>
        <w:t xml:space="preserve">The findings support Digital Divide Theory, which highlights inequalities in digital access, skills, and participation (Van Dijk, 2020). Older adults experiencing low digital confidence or cognitive difficulties may face greater barriers to engaging with digital health technologies (Schmidt et </w:t>
      </w:r>
      <w:r w:rsidRPr="00543963">
        <w:rPr>
          <w:rFonts w:ascii="Arial" w:hAnsi="Arial" w:cs="Arial"/>
        </w:rPr>
        <w:lastRenderedPageBreak/>
        <w:t>al., 2025; Da et al., 2025). Consequently, policymakers should ensure that digital health initiatives are accompanied by strategies designed to improve digital literacy and accessibility.</w:t>
      </w:r>
    </w:p>
    <w:p w14:paraId="5BC483CF" w14:textId="7652E2CA" w:rsidR="003149ED" w:rsidRPr="00543963" w:rsidRDefault="003149ED" w:rsidP="003149ED">
      <w:pPr>
        <w:spacing w:line="360" w:lineRule="auto"/>
        <w:jc w:val="both"/>
        <w:rPr>
          <w:rFonts w:ascii="Arial" w:hAnsi="Arial" w:cs="Arial"/>
        </w:rPr>
      </w:pPr>
      <w:r w:rsidRPr="00543963">
        <w:rPr>
          <w:rFonts w:ascii="Arial" w:hAnsi="Arial" w:cs="Arial"/>
        </w:rPr>
        <w:t xml:space="preserve">Healthcare organisations and public health agencies should also prioritise user-centred design when developing future interventions. Technologies that are simple, </w:t>
      </w:r>
      <w:r w:rsidR="00F52AE7" w:rsidRPr="00F52AE7">
        <w:rPr>
          <w:rFonts w:ascii="Arial" w:hAnsi="Arial" w:cs="Arial"/>
        </w:rPr>
        <w:t>accessible and tailored to the needs of older adults</w:t>
      </w:r>
      <w:r w:rsidR="00F52AE7">
        <w:rPr>
          <w:rFonts w:ascii="Arial" w:hAnsi="Arial" w:cs="Arial"/>
        </w:rPr>
        <w:t xml:space="preserve"> </w:t>
      </w:r>
      <w:r w:rsidRPr="00543963">
        <w:rPr>
          <w:rFonts w:ascii="Arial" w:hAnsi="Arial" w:cs="Arial"/>
        </w:rPr>
        <w:t>are more likely to achieve sustained engagement and positive outcomes (Money et al., 2024; Schmidt et al., 2025). Addressing digital inequalities may therefore improve participation and maximise the public health benefits of digital dementia prevention programmes.</w:t>
      </w:r>
    </w:p>
    <w:p w14:paraId="1D01918A" w14:textId="0430101F" w:rsidR="003149ED" w:rsidRPr="00543963" w:rsidRDefault="003149ED" w:rsidP="003149ED">
      <w:pPr>
        <w:spacing w:line="360" w:lineRule="auto"/>
        <w:jc w:val="both"/>
        <w:rPr>
          <w:rFonts w:ascii="Arial" w:hAnsi="Arial" w:cs="Arial"/>
        </w:rPr>
      </w:pPr>
      <w:r w:rsidRPr="00543963">
        <w:rPr>
          <w:rFonts w:ascii="Arial" w:hAnsi="Arial" w:cs="Arial"/>
        </w:rPr>
        <w:t xml:space="preserve">Overall, the findings suggest that digital health technologies have significant potential to support dementia prevention and healthy ageing. However, achieving meaningful benefits </w:t>
      </w:r>
      <w:r w:rsidR="00F52AE7" w:rsidRPr="00F52AE7">
        <w:rPr>
          <w:rFonts w:ascii="Arial" w:hAnsi="Arial" w:cs="Arial"/>
        </w:rPr>
        <w:t>will require coordinated action by healthcare providers, policymakers, and technology developers to enhance accessibility</w:t>
      </w:r>
      <w:r w:rsidRPr="00543963">
        <w:rPr>
          <w:rFonts w:ascii="Arial" w:hAnsi="Arial" w:cs="Arial"/>
        </w:rPr>
        <w:t>, engagement, and digital inclusion among older adult populations.</w:t>
      </w:r>
    </w:p>
    <w:p w14:paraId="48B46290" w14:textId="0A3B60CB" w:rsidR="003149ED" w:rsidRPr="00543963" w:rsidRDefault="003149ED" w:rsidP="00543963">
      <w:pPr>
        <w:pStyle w:val="Heading2"/>
        <w:rPr>
          <w:rFonts w:ascii="Arial" w:hAnsi="Arial" w:cs="Arial"/>
          <w:b/>
          <w:bCs/>
          <w:sz w:val="24"/>
          <w:szCs w:val="24"/>
        </w:rPr>
      </w:pPr>
      <w:bookmarkStart w:id="80" w:name="_Toc232034658"/>
      <w:r w:rsidRPr="00543963">
        <w:rPr>
          <w:rFonts w:ascii="Arial" w:hAnsi="Arial" w:cs="Arial"/>
          <w:b/>
          <w:bCs/>
          <w:sz w:val="24"/>
          <w:szCs w:val="24"/>
        </w:rPr>
        <w:t>5.</w:t>
      </w:r>
      <w:r w:rsidR="000178E2">
        <w:rPr>
          <w:rFonts w:ascii="Arial" w:hAnsi="Arial" w:cs="Arial"/>
          <w:b/>
          <w:bCs/>
          <w:sz w:val="24"/>
          <w:szCs w:val="24"/>
        </w:rPr>
        <w:t>3</w:t>
      </w:r>
      <w:r w:rsidRPr="00543963">
        <w:rPr>
          <w:rFonts w:ascii="Arial" w:hAnsi="Arial" w:cs="Arial"/>
          <w:b/>
          <w:bCs/>
          <w:sz w:val="24"/>
          <w:szCs w:val="24"/>
        </w:rPr>
        <w:t xml:space="preserve"> Recommendations for Future Research</w:t>
      </w:r>
      <w:bookmarkEnd w:id="80"/>
    </w:p>
    <w:p w14:paraId="4B36047B" w14:textId="77777777" w:rsidR="003149ED" w:rsidRPr="00543963" w:rsidRDefault="003149ED" w:rsidP="003149ED">
      <w:pPr>
        <w:spacing w:line="360" w:lineRule="auto"/>
        <w:jc w:val="both"/>
        <w:rPr>
          <w:rFonts w:ascii="Arial" w:hAnsi="Arial" w:cs="Arial"/>
        </w:rPr>
      </w:pPr>
      <w:r w:rsidRPr="00543963">
        <w:rPr>
          <w:rFonts w:ascii="Arial" w:hAnsi="Arial" w:cs="Arial"/>
        </w:rPr>
        <w:t>The findings of this review highlight several gaps within the current evidence base and indicate the need for further research to strengthen understanding of the role of digital health technologies in dementia prevention among older adults. Although the included studies generally reported positive outcomes relating to behaviour change, engagement, and cognitive health promotion, methodological limitations restrict the strength of current conclusions (Coley et al., 2022; Rosenberg et al., 2024; Glenn et al., 2019).</w:t>
      </w:r>
    </w:p>
    <w:p w14:paraId="7256B82D" w14:textId="3F537745" w:rsidR="003149ED" w:rsidRPr="00543963" w:rsidRDefault="003149ED" w:rsidP="003149ED">
      <w:pPr>
        <w:spacing w:line="360" w:lineRule="auto"/>
        <w:jc w:val="both"/>
        <w:rPr>
          <w:rFonts w:ascii="Arial" w:hAnsi="Arial" w:cs="Arial"/>
        </w:rPr>
      </w:pPr>
      <w:r w:rsidRPr="00543963">
        <w:rPr>
          <w:rFonts w:ascii="Arial" w:hAnsi="Arial" w:cs="Arial"/>
        </w:rPr>
        <w:t xml:space="preserve">First, </w:t>
      </w:r>
      <w:r w:rsidR="00644D11">
        <w:rPr>
          <w:rFonts w:ascii="Arial" w:hAnsi="Arial" w:cs="Arial"/>
        </w:rPr>
        <w:t>f</w:t>
      </w:r>
      <w:r w:rsidR="00644D11" w:rsidRPr="00644D11">
        <w:rPr>
          <w:rFonts w:ascii="Arial" w:hAnsi="Arial" w:cs="Arial"/>
        </w:rPr>
        <w:t>uture studies should prioritise longitudinal research designs to explore the long-term efficacy and sustainability of digital interventions in promoting cognitive health and reducing dementia risk among older adults.</w:t>
      </w:r>
      <w:r w:rsidR="00644D11">
        <w:rPr>
          <w:rFonts w:ascii="Arial" w:hAnsi="Arial" w:cs="Arial"/>
        </w:rPr>
        <w:t xml:space="preserve"> </w:t>
      </w:r>
      <w:r w:rsidRPr="00543963">
        <w:rPr>
          <w:rFonts w:ascii="Arial" w:hAnsi="Arial" w:cs="Arial"/>
        </w:rPr>
        <w:t xml:space="preserve">Most included studies focused on short-term behavioural or cognitive outcomes, </w:t>
      </w:r>
      <w:r w:rsidR="00F52AE7" w:rsidRPr="00F52AE7">
        <w:rPr>
          <w:rFonts w:ascii="Arial" w:hAnsi="Arial" w:cs="Arial"/>
        </w:rPr>
        <w:t>thereby limiting the ability to determine whether these improvements are sustained over time</w:t>
      </w:r>
      <w:r w:rsidRPr="00543963">
        <w:rPr>
          <w:rFonts w:ascii="Arial" w:hAnsi="Arial" w:cs="Arial"/>
        </w:rPr>
        <w:t xml:space="preserve"> (Bunyan et al., 2024; Fishman et al., 2025; Riera et al., 2025). Longer follow-up periods would provide stronger evidence regarding whether digital interventions contribute to sustained reductions in dementia risk.</w:t>
      </w:r>
    </w:p>
    <w:p w14:paraId="03E479DB" w14:textId="77777777" w:rsidR="003149ED" w:rsidRPr="00543963" w:rsidRDefault="003149ED" w:rsidP="003149ED">
      <w:pPr>
        <w:spacing w:line="360" w:lineRule="auto"/>
        <w:jc w:val="both"/>
        <w:rPr>
          <w:rFonts w:ascii="Arial" w:hAnsi="Arial" w:cs="Arial"/>
        </w:rPr>
      </w:pPr>
      <w:r w:rsidRPr="00543963">
        <w:rPr>
          <w:rFonts w:ascii="Arial" w:hAnsi="Arial" w:cs="Arial"/>
        </w:rPr>
        <w:t>Second, greater standardisation of outcome measures is required. The reviewed studies assessed a wide range of outcomes, including lifestyle behaviours, engagement, cognitive performance, and quality of life, making direct comparison difficult (Coley et al., 2022; Rosenberg et al., 2024). Future studies should adopt consistent measures of cognitive health, engagement, adherence, and dementia risk factors to improve comparability and strengthen the evidence base.</w:t>
      </w:r>
    </w:p>
    <w:p w14:paraId="6F23826C" w14:textId="77777777" w:rsidR="003149ED" w:rsidRPr="00543963" w:rsidRDefault="003149ED" w:rsidP="003149ED">
      <w:pPr>
        <w:spacing w:line="360" w:lineRule="auto"/>
        <w:jc w:val="both"/>
        <w:rPr>
          <w:rFonts w:ascii="Arial" w:hAnsi="Arial" w:cs="Arial"/>
        </w:rPr>
      </w:pPr>
      <w:r w:rsidRPr="00543963">
        <w:rPr>
          <w:rFonts w:ascii="Arial" w:hAnsi="Arial" w:cs="Arial"/>
        </w:rPr>
        <w:t xml:space="preserve">Third, future research should include larger and more diverse participant populations. Several studies involved relatively small samples or specific participant groups, which may limit the </w:t>
      </w:r>
      <w:r w:rsidRPr="00543963">
        <w:rPr>
          <w:rFonts w:ascii="Arial" w:hAnsi="Arial" w:cs="Arial"/>
        </w:rPr>
        <w:lastRenderedPageBreak/>
        <w:t>generalisability of findings (Glenn et al., 2019; Riera et al., 2025). Including participants from different socioeconomic, cultural, and educational backgrounds would improve understanding of how digital interventions perform across diverse older adult populations.</w:t>
      </w:r>
    </w:p>
    <w:p w14:paraId="404F6E75" w14:textId="77777777" w:rsidR="003149ED" w:rsidRPr="00543963" w:rsidRDefault="003149ED" w:rsidP="003149ED">
      <w:pPr>
        <w:spacing w:line="360" w:lineRule="auto"/>
        <w:jc w:val="both"/>
        <w:rPr>
          <w:rFonts w:ascii="Arial" w:hAnsi="Arial" w:cs="Arial"/>
        </w:rPr>
      </w:pPr>
      <w:r w:rsidRPr="00543963">
        <w:rPr>
          <w:rFonts w:ascii="Arial" w:hAnsi="Arial" w:cs="Arial"/>
        </w:rPr>
        <w:t>Another important research priority concerns digital inclusion. The findings demonstrated that digital literacy, confidence, usability, and cognitive functioning significantly influence engagement with digital health technologies (Money et al., 2024; Kebede et al., 2022; Panzavolta et al., 2025). Future studies should therefore investigate strategies that support individuals with limited digital skills or cognitive impairment to ensure that digital dementia prevention interventions remain accessible and equitable.</w:t>
      </w:r>
    </w:p>
    <w:p w14:paraId="424D56D8" w14:textId="77777777" w:rsidR="003149ED" w:rsidRPr="00543963" w:rsidRDefault="003149ED" w:rsidP="003149ED">
      <w:pPr>
        <w:spacing w:line="360" w:lineRule="auto"/>
        <w:jc w:val="both"/>
        <w:rPr>
          <w:rFonts w:ascii="Arial" w:hAnsi="Arial" w:cs="Arial"/>
        </w:rPr>
      </w:pPr>
      <w:r w:rsidRPr="00543963">
        <w:rPr>
          <w:rFonts w:ascii="Arial" w:hAnsi="Arial" w:cs="Arial"/>
        </w:rPr>
        <w:t>Finally, future research should examine the cost-effectiveness and scalability of digital health interventions. While several studies reported positive outcomes, limited evidence was available regarding implementation costs and resource requirements (Bott et al., 2018; Rosenberg et al., 2024). Understanding the economic feasibility of large-scale implementation will be essential for informing healthcare policy and practice.</w:t>
      </w:r>
    </w:p>
    <w:p w14:paraId="2C097C3B" w14:textId="77777777" w:rsidR="003149ED" w:rsidRPr="00543963" w:rsidRDefault="003149ED" w:rsidP="003149ED">
      <w:pPr>
        <w:spacing w:line="360" w:lineRule="auto"/>
        <w:jc w:val="both"/>
        <w:rPr>
          <w:rFonts w:ascii="Arial" w:hAnsi="Arial" w:cs="Arial"/>
        </w:rPr>
      </w:pPr>
      <w:r w:rsidRPr="00543963">
        <w:rPr>
          <w:rFonts w:ascii="Arial" w:hAnsi="Arial" w:cs="Arial"/>
        </w:rPr>
        <w:t>Overall, future research should focus on strengthening the quality, consistency, and long-term applicability of evidence relating to digital health technologies and dementia prevention. Addressing these gaps will support the development of more effective, accessible, and sustainable interventions for older adults.</w:t>
      </w:r>
    </w:p>
    <w:p w14:paraId="2D178919" w14:textId="14B05E1B" w:rsidR="003149ED" w:rsidRPr="00543963" w:rsidRDefault="003149ED" w:rsidP="00543963">
      <w:pPr>
        <w:pStyle w:val="Heading2"/>
        <w:rPr>
          <w:rFonts w:ascii="Arial" w:hAnsi="Arial" w:cs="Arial"/>
          <w:b/>
          <w:bCs/>
          <w:sz w:val="24"/>
          <w:szCs w:val="24"/>
        </w:rPr>
      </w:pPr>
      <w:bookmarkStart w:id="81" w:name="_Toc232034659"/>
      <w:r w:rsidRPr="00543963">
        <w:rPr>
          <w:rFonts w:ascii="Arial" w:hAnsi="Arial" w:cs="Arial"/>
          <w:b/>
          <w:bCs/>
          <w:sz w:val="24"/>
          <w:szCs w:val="24"/>
        </w:rPr>
        <w:t>5.</w:t>
      </w:r>
      <w:r w:rsidR="000178E2">
        <w:rPr>
          <w:rFonts w:ascii="Arial" w:hAnsi="Arial" w:cs="Arial"/>
          <w:b/>
          <w:bCs/>
          <w:sz w:val="24"/>
          <w:szCs w:val="24"/>
        </w:rPr>
        <w:t>4</w:t>
      </w:r>
      <w:r w:rsidRPr="00543963">
        <w:rPr>
          <w:rFonts w:ascii="Arial" w:hAnsi="Arial" w:cs="Arial"/>
          <w:b/>
          <w:bCs/>
          <w:sz w:val="24"/>
          <w:szCs w:val="24"/>
        </w:rPr>
        <w:t xml:space="preserve"> Strengths and Limitations </w:t>
      </w:r>
      <w:bookmarkEnd w:id="81"/>
    </w:p>
    <w:p w14:paraId="7AF33C80" w14:textId="04FEDD4C" w:rsidR="003149ED" w:rsidRPr="00543963" w:rsidRDefault="003149ED" w:rsidP="00543963">
      <w:pPr>
        <w:pStyle w:val="Heading3"/>
        <w:rPr>
          <w:rFonts w:ascii="Arial" w:hAnsi="Arial" w:cs="Arial"/>
          <w:b/>
          <w:bCs/>
          <w:sz w:val="24"/>
          <w:szCs w:val="24"/>
        </w:rPr>
      </w:pPr>
      <w:bookmarkStart w:id="82" w:name="_Toc232034660"/>
      <w:r w:rsidRPr="00543963">
        <w:rPr>
          <w:rFonts w:ascii="Arial" w:hAnsi="Arial" w:cs="Arial"/>
          <w:b/>
          <w:bCs/>
          <w:sz w:val="24"/>
          <w:szCs w:val="24"/>
        </w:rPr>
        <w:t>5.</w:t>
      </w:r>
      <w:r w:rsidR="000178E2">
        <w:rPr>
          <w:rFonts w:ascii="Arial" w:hAnsi="Arial" w:cs="Arial"/>
          <w:b/>
          <w:bCs/>
          <w:sz w:val="24"/>
          <w:szCs w:val="24"/>
        </w:rPr>
        <w:t>4</w:t>
      </w:r>
      <w:r w:rsidRPr="00543963">
        <w:rPr>
          <w:rFonts w:ascii="Arial" w:hAnsi="Arial" w:cs="Arial"/>
          <w:b/>
          <w:bCs/>
          <w:sz w:val="24"/>
          <w:szCs w:val="24"/>
        </w:rPr>
        <w:t xml:space="preserve">.1 Strengths </w:t>
      </w:r>
      <w:bookmarkEnd w:id="82"/>
    </w:p>
    <w:p w14:paraId="0514E0FA" w14:textId="77777777" w:rsidR="00F52AE7" w:rsidRPr="00F52AE7" w:rsidRDefault="00F52AE7" w:rsidP="00F52AE7">
      <w:pPr>
        <w:spacing w:line="360" w:lineRule="auto"/>
        <w:jc w:val="both"/>
        <w:rPr>
          <w:rFonts w:ascii="Arial" w:hAnsi="Arial" w:cs="Arial"/>
        </w:rPr>
      </w:pPr>
      <w:r w:rsidRPr="00F52AE7">
        <w:rPr>
          <w:rFonts w:ascii="Arial" w:hAnsi="Arial" w:cs="Arial"/>
        </w:rPr>
        <w:t>This review possesses several strengths that reinforce the credibility and relevance of its findings. Firstly, a systematic literature review methodology was employed, offering a rigorous and transparent approach to the identification, selection, and synthesis of relevant evidence. The application of predefined eligibility criteria minimised selection bias and promoted consistency in the assessment of studies throughout the review process.</w:t>
      </w:r>
    </w:p>
    <w:p w14:paraId="1BA80BF0" w14:textId="77777777" w:rsidR="003149ED" w:rsidRPr="00543963" w:rsidRDefault="003149ED" w:rsidP="003149ED">
      <w:pPr>
        <w:spacing w:line="360" w:lineRule="auto"/>
        <w:jc w:val="both"/>
        <w:rPr>
          <w:rFonts w:ascii="Arial" w:hAnsi="Arial" w:cs="Arial"/>
        </w:rPr>
      </w:pPr>
      <w:r w:rsidRPr="00543963">
        <w:rPr>
          <w:rFonts w:ascii="Arial" w:hAnsi="Arial" w:cs="Arial"/>
        </w:rPr>
        <w:t>A further strength was the inclusion of recent evidence published between 2018 and 2025. This enabled the review to capture contemporary developments in digital health technologies and dementia prevention, reflecting current trends in healthcare innovation and digital intervention design. As digital health is a rapidly evolving field, the inclusion of recent studies improved the relevance of the findings to current practice and policy.</w:t>
      </w:r>
    </w:p>
    <w:p w14:paraId="18DEB6C7" w14:textId="357A1140" w:rsidR="003149ED" w:rsidRPr="00543963" w:rsidRDefault="003149ED" w:rsidP="003149ED">
      <w:pPr>
        <w:spacing w:line="360" w:lineRule="auto"/>
        <w:jc w:val="both"/>
        <w:rPr>
          <w:rFonts w:ascii="Arial" w:hAnsi="Arial" w:cs="Arial"/>
        </w:rPr>
      </w:pPr>
      <w:r w:rsidRPr="00543963">
        <w:rPr>
          <w:rFonts w:ascii="Arial" w:hAnsi="Arial" w:cs="Arial"/>
        </w:rPr>
        <w:t xml:space="preserve">The review also utilised thematic synthesis to analyse findings across studies with diverse methodologies. This approach enabled the identification of common themes relating to intervention effectiveness, engagement, barriers and facilitators, and cognitive health outcomes. Consequently, the review provided </w:t>
      </w:r>
      <w:r w:rsidR="00F52AE7" w:rsidRPr="00F52AE7">
        <w:rPr>
          <w:rFonts w:ascii="Arial" w:hAnsi="Arial" w:cs="Arial"/>
        </w:rPr>
        <w:t xml:space="preserve">a comprehensive understanding of the </w:t>
      </w:r>
      <w:r w:rsidR="00F52AE7" w:rsidRPr="00F52AE7">
        <w:rPr>
          <w:rFonts w:ascii="Arial" w:hAnsi="Arial" w:cs="Arial"/>
        </w:rPr>
        <w:lastRenderedPageBreak/>
        <w:t>determinants shaping</w:t>
      </w:r>
      <w:r w:rsidR="00F52AE7">
        <w:rPr>
          <w:rFonts w:ascii="Arial" w:hAnsi="Arial" w:cs="Arial"/>
        </w:rPr>
        <w:t xml:space="preserve"> </w:t>
      </w:r>
      <w:r w:rsidRPr="00543963">
        <w:rPr>
          <w:rFonts w:ascii="Arial" w:hAnsi="Arial" w:cs="Arial"/>
        </w:rPr>
        <w:t>the success of digital dementia prevention interventions among older adults.</w:t>
      </w:r>
    </w:p>
    <w:p w14:paraId="3316B9CC" w14:textId="77777777" w:rsidR="003149ED" w:rsidRPr="00543963" w:rsidRDefault="003149ED" w:rsidP="003149ED">
      <w:pPr>
        <w:spacing w:line="360" w:lineRule="auto"/>
        <w:jc w:val="both"/>
        <w:rPr>
          <w:rFonts w:ascii="Arial" w:hAnsi="Arial" w:cs="Arial"/>
        </w:rPr>
      </w:pPr>
      <w:r w:rsidRPr="00543963">
        <w:rPr>
          <w:rFonts w:ascii="Arial" w:hAnsi="Arial" w:cs="Arial"/>
        </w:rPr>
        <w:t>Another strength was the integration of theoretical frameworks, including the Technology Acceptance Model (Davis, 1989), Digital Divide Theory (Van Dijk, 2020), and Cognitive Reserve Theory (Stern, 2012). These models supported the interpretation of findings and provided a theoretical basis for understanding technology adoption, digital inequalities, and cognitive health outcomes.</w:t>
      </w:r>
    </w:p>
    <w:p w14:paraId="09E2A838" w14:textId="48CB5E09" w:rsidR="003149ED" w:rsidRPr="00543963" w:rsidRDefault="003149ED" w:rsidP="00543963">
      <w:pPr>
        <w:pStyle w:val="Heading3"/>
        <w:rPr>
          <w:rFonts w:ascii="Arial" w:hAnsi="Arial" w:cs="Arial"/>
          <w:b/>
          <w:bCs/>
          <w:sz w:val="24"/>
          <w:szCs w:val="24"/>
        </w:rPr>
      </w:pPr>
      <w:bookmarkStart w:id="83" w:name="_Toc232034661"/>
      <w:r w:rsidRPr="00543963">
        <w:rPr>
          <w:rFonts w:ascii="Arial" w:hAnsi="Arial" w:cs="Arial"/>
          <w:b/>
          <w:bCs/>
          <w:sz w:val="24"/>
          <w:szCs w:val="24"/>
        </w:rPr>
        <w:t>5.</w:t>
      </w:r>
      <w:r w:rsidR="000178E2">
        <w:rPr>
          <w:rFonts w:ascii="Arial" w:hAnsi="Arial" w:cs="Arial"/>
          <w:b/>
          <w:bCs/>
          <w:sz w:val="24"/>
          <w:szCs w:val="24"/>
        </w:rPr>
        <w:t>4</w:t>
      </w:r>
      <w:r w:rsidRPr="00543963">
        <w:rPr>
          <w:rFonts w:ascii="Arial" w:hAnsi="Arial" w:cs="Arial"/>
          <w:b/>
          <w:bCs/>
          <w:sz w:val="24"/>
          <w:szCs w:val="24"/>
        </w:rPr>
        <w:t xml:space="preserve">.2 Limitations </w:t>
      </w:r>
      <w:bookmarkEnd w:id="83"/>
    </w:p>
    <w:p w14:paraId="575C2F67" w14:textId="4996B6C7" w:rsidR="003149ED" w:rsidRPr="00543963" w:rsidRDefault="00F52AE7" w:rsidP="003149ED">
      <w:pPr>
        <w:spacing w:line="360" w:lineRule="auto"/>
        <w:jc w:val="both"/>
        <w:rPr>
          <w:rFonts w:ascii="Arial" w:hAnsi="Arial" w:cs="Arial"/>
        </w:rPr>
      </w:pPr>
      <w:r w:rsidRPr="00F52AE7">
        <w:rPr>
          <w:rFonts w:ascii="Arial" w:hAnsi="Arial" w:cs="Arial"/>
        </w:rPr>
        <w:t>Notwithstanding these strengths, several limitations warrant consideration. Firstly,</w:t>
      </w:r>
      <w:r>
        <w:rPr>
          <w:rFonts w:ascii="Arial" w:hAnsi="Arial" w:cs="Arial"/>
        </w:rPr>
        <w:t xml:space="preserve"> </w:t>
      </w:r>
      <w:r w:rsidR="003149ED" w:rsidRPr="00543963">
        <w:rPr>
          <w:rFonts w:ascii="Arial" w:hAnsi="Arial" w:cs="Arial"/>
        </w:rPr>
        <w:t xml:space="preserve">the review included studies with considerable variation in design, intervention type, outcome measures, and participant characteristics. This heterogeneity </w:t>
      </w:r>
      <w:r w:rsidRPr="00F52AE7">
        <w:rPr>
          <w:rFonts w:ascii="Arial" w:hAnsi="Arial" w:cs="Arial"/>
        </w:rPr>
        <w:t>limited direct comparison between studies and hindered the identification of the most effective intervention components</w:t>
      </w:r>
      <w:r>
        <w:rPr>
          <w:rFonts w:ascii="Arial" w:hAnsi="Arial" w:cs="Arial"/>
        </w:rPr>
        <w:t xml:space="preserve"> </w:t>
      </w:r>
      <w:r w:rsidR="003149ED" w:rsidRPr="00543963">
        <w:rPr>
          <w:rFonts w:ascii="Arial" w:hAnsi="Arial" w:cs="Arial"/>
        </w:rPr>
        <w:t>for dementia prevention.</w:t>
      </w:r>
    </w:p>
    <w:p w14:paraId="06937211" w14:textId="77777777" w:rsidR="003149ED" w:rsidRPr="00543963" w:rsidRDefault="003149ED" w:rsidP="003149ED">
      <w:pPr>
        <w:spacing w:line="360" w:lineRule="auto"/>
        <w:jc w:val="both"/>
        <w:rPr>
          <w:rFonts w:ascii="Arial" w:hAnsi="Arial" w:cs="Arial"/>
        </w:rPr>
      </w:pPr>
      <w:r w:rsidRPr="00543963">
        <w:rPr>
          <w:rFonts w:ascii="Arial" w:hAnsi="Arial" w:cs="Arial"/>
        </w:rPr>
        <w:t>Second, many of the included studies focused on short-term behavioural or cognitive outcomes rather than long-term dementia incidence (Coley et al., 2022; Bunyan et al., 2024; Riera et al., 2025). As a result, the review provides stronger evidence for behaviour change and cognitive health promotion than for direct dementia prevention outcomes.</w:t>
      </w:r>
    </w:p>
    <w:p w14:paraId="618B9C03" w14:textId="77777777" w:rsidR="003149ED" w:rsidRPr="00543963" w:rsidRDefault="003149ED" w:rsidP="003149ED">
      <w:pPr>
        <w:spacing w:line="360" w:lineRule="auto"/>
        <w:jc w:val="both"/>
        <w:rPr>
          <w:rFonts w:ascii="Arial" w:hAnsi="Arial" w:cs="Arial"/>
        </w:rPr>
      </w:pPr>
      <w:r w:rsidRPr="00543963">
        <w:rPr>
          <w:rFonts w:ascii="Arial" w:hAnsi="Arial" w:cs="Arial"/>
        </w:rPr>
        <w:t>A further limitation relates to the quality of the available evidence. Several included studies were feasibility studies, pilot interventions, conference abstracts, or observational investigations rather than large-scale randomised controlled trials (Bott et al., 2018; Rosenberg et al., 2024). Consequently, causal relationships between digital intervention use and dementia-related outcomes cannot always be established with confidence.</w:t>
      </w:r>
    </w:p>
    <w:p w14:paraId="30D3A85D" w14:textId="210F36EE" w:rsidR="009C4A87" w:rsidRPr="009C4A87" w:rsidRDefault="003149ED" w:rsidP="009C4A87">
      <w:pPr>
        <w:spacing w:line="360" w:lineRule="auto"/>
        <w:jc w:val="both"/>
        <w:rPr>
          <w:rFonts w:ascii="Arial" w:hAnsi="Arial" w:cs="Arial"/>
        </w:rPr>
      </w:pPr>
      <w:r w:rsidRPr="00543963">
        <w:rPr>
          <w:rFonts w:ascii="Arial" w:hAnsi="Arial" w:cs="Arial"/>
        </w:rPr>
        <w:t xml:space="preserve">The review was also limited </w:t>
      </w:r>
      <w:r w:rsidR="009C4A87" w:rsidRPr="009C4A87">
        <w:rPr>
          <w:rFonts w:ascii="Arial" w:hAnsi="Arial" w:cs="Arial"/>
        </w:rPr>
        <w:t>to English-language publications. Relevant evidence reported in other languages</w:t>
      </w:r>
      <w:r w:rsidRPr="00543963">
        <w:rPr>
          <w:rFonts w:ascii="Arial" w:hAnsi="Arial" w:cs="Arial"/>
        </w:rPr>
        <w:t xml:space="preserve"> may therefore have been excluded, creating the potential for language bias. In addition, </w:t>
      </w:r>
      <w:r w:rsidR="009C4A87">
        <w:rPr>
          <w:rFonts w:ascii="Arial" w:hAnsi="Arial" w:cs="Arial"/>
        </w:rPr>
        <w:t>t</w:t>
      </w:r>
      <w:r w:rsidR="009C4A87" w:rsidRPr="009C4A87">
        <w:rPr>
          <w:rFonts w:ascii="Arial" w:hAnsi="Arial" w:cs="Arial"/>
        </w:rPr>
        <w:t>he possibility of publication bias cannot be discounted, as studies reporting positive findings are more likely to appear in the published literature than those with null or negative outcomes.</w:t>
      </w:r>
    </w:p>
    <w:p w14:paraId="116A789C" w14:textId="1021C3CD" w:rsidR="00F52AE7" w:rsidRPr="00F52AE7" w:rsidRDefault="004A0DFA" w:rsidP="00F52AE7">
      <w:pPr>
        <w:spacing w:line="360" w:lineRule="auto"/>
        <w:jc w:val="both"/>
        <w:rPr>
          <w:rFonts w:ascii="Arial" w:hAnsi="Arial" w:cs="Arial"/>
        </w:rPr>
      </w:pPr>
      <w:r w:rsidRPr="004A0DFA">
        <w:rPr>
          <w:rFonts w:ascii="Arial" w:hAnsi="Arial" w:cs="Arial"/>
        </w:rPr>
        <w:t>Finally, as this review was based on secondary data, its conclusions are contingent upon the quality and reporting standards of the included studies.</w:t>
      </w:r>
      <w:r>
        <w:rPr>
          <w:rFonts w:ascii="Arial" w:hAnsi="Arial" w:cs="Arial"/>
        </w:rPr>
        <w:t xml:space="preserve"> </w:t>
      </w:r>
      <w:r w:rsidR="003149ED" w:rsidRPr="00543963">
        <w:rPr>
          <w:rFonts w:ascii="Arial" w:hAnsi="Arial" w:cs="Arial"/>
        </w:rPr>
        <w:t xml:space="preserve">Any methodological weaknesses within the original research may have influenced the </w:t>
      </w:r>
      <w:r w:rsidR="00F52AE7" w:rsidRPr="00F52AE7">
        <w:rPr>
          <w:rFonts w:ascii="Arial" w:hAnsi="Arial" w:cs="Arial"/>
        </w:rPr>
        <w:t>findings and conclusions presented in this review.</w:t>
      </w:r>
    </w:p>
    <w:p w14:paraId="5E17FF76" w14:textId="5E3D6FAC" w:rsidR="00F52AE7" w:rsidRPr="00543963" w:rsidRDefault="003149ED" w:rsidP="003149ED">
      <w:pPr>
        <w:spacing w:line="360" w:lineRule="auto"/>
        <w:jc w:val="both"/>
        <w:rPr>
          <w:rFonts w:ascii="Arial" w:hAnsi="Arial" w:cs="Arial"/>
        </w:rPr>
      </w:pPr>
      <w:r w:rsidRPr="00543963">
        <w:rPr>
          <w:rFonts w:ascii="Arial" w:hAnsi="Arial" w:cs="Arial"/>
        </w:rPr>
        <w:t xml:space="preserve">Overall, while the review provides valuable insights into the role of digital health technologies in dementia prevention, the findings should be interpreted in light of these methodological limitations. </w:t>
      </w:r>
      <w:r w:rsidR="00F52AE7" w:rsidRPr="00F52AE7">
        <w:rPr>
          <w:rFonts w:ascii="Arial" w:hAnsi="Arial" w:cs="Arial"/>
        </w:rPr>
        <w:t xml:space="preserve">Future studies incorporating larger sample sizes, standardised outcome measures, </w:t>
      </w:r>
      <w:r w:rsidR="00F52AE7" w:rsidRPr="00F52AE7">
        <w:rPr>
          <w:rFonts w:ascii="Arial" w:hAnsi="Arial" w:cs="Arial"/>
        </w:rPr>
        <w:lastRenderedPageBreak/>
        <w:t>and extended follow-up periods would strengthen the evidence base and enable more robust conclusions.</w:t>
      </w:r>
    </w:p>
    <w:p w14:paraId="2C067099" w14:textId="3A31A0BC" w:rsidR="003149ED" w:rsidRPr="00543963" w:rsidRDefault="003149ED" w:rsidP="00543963">
      <w:pPr>
        <w:pStyle w:val="Heading2"/>
        <w:rPr>
          <w:rFonts w:ascii="Arial" w:hAnsi="Arial" w:cs="Arial"/>
          <w:b/>
          <w:bCs/>
          <w:sz w:val="24"/>
          <w:szCs w:val="24"/>
        </w:rPr>
      </w:pPr>
      <w:bookmarkStart w:id="84" w:name="_Toc232034662"/>
      <w:r w:rsidRPr="00543963">
        <w:rPr>
          <w:rFonts w:ascii="Arial" w:hAnsi="Arial" w:cs="Arial"/>
          <w:b/>
          <w:bCs/>
          <w:sz w:val="24"/>
          <w:szCs w:val="24"/>
        </w:rPr>
        <w:t>5.</w:t>
      </w:r>
      <w:r w:rsidR="000178E2">
        <w:rPr>
          <w:rFonts w:ascii="Arial" w:hAnsi="Arial" w:cs="Arial"/>
          <w:b/>
          <w:bCs/>
          <w:sz w:val="24"/>
          <w:szCs w:val="24"/>
        </w:rPr>
        <w:t>5</w:t>
      </w:r>
      <w:r w:rsidRPr="00543963">
        <w:rPr>
          <w:rFonts w:ascii="Arial" w:hAnsi="Arial" w:cs="Arial"/>
          <w:b/>
          <w:bCs/>
          <w:sz w:val="24"/>
          <w:szCs w:val="24"/>
        </w:rPr>
        <w:t xml:space="preserve"> Conclusion</w:t>
      </w:r>
      <w:bookmarkEnd w:id="84"/>
    </w:p>
    <w:p w14:paraId="47126D74" w14:textId="77777777" w:rsidR="000A42AD" w:rsidRPr="000A42AD" w:rsidRDefault="003149ED" w:rsidP="000A42AD">
      <w:pPr>
        <w:spacing w:line="360" w:lineRule="auto"/>
        <w:jc w:val="both"/>
        <w:rPr>
          <w:rFonts w:ascii="Arial" w:hAnsi="Arial" w:cs="Arial"/>
        </w:rPr>
      </w:pPr>
      <w:r w:rsidRPr="00543963">
        <w:rPr>
          <w:rFonts w:ascii="Arial" w:hAnsi="Arial" w:cs="Arial"/>
        </w:rPr>
        <w:t xml:space="preserve">This review aimed to explore the role of digital health technologies in supporting dementia prevention among older adults. Through a systematic review and thematic synthesis of the literature, four key themes were identified: digital health interventions for dementia prevention, digital engagement and adherence, barriers and facilitators influencing digital health engagement, and </w:t>
      </w:r>
      <w:r w:rsidR="000A42AD" w:rsidRPr="000A42AD">
        <w:rPr>
          <w:rFonts w:ascii="Arial" w:hAnsi="Arial" w:cs="Arial"/>
        </w:rPr>
        <w:t>the influence of digital health technologies on cognitive health and dementia risk.</w:t>
      </w:r>
    </w:p>
    <w:p w14:paraId="2578DD88" w14:textId="28FDCA44" w:rsidR="003149ED" w:rsidRPr="00543963" w:rsidRDefault="003149ED" w:rsidP="003149ED">
      <w:pPr>
        <w:spacing w:line="360" w:lineRule="auto"/>
        <w:jc w:val="both"/>
        <w:rPr>
          <w:rFonts w:ascii="Arial" w:hAnsi="Arial" w:cs="Arial"/>
        </w:rPr>
      </w:pPr>
      <w:r w:rsidRPr="00543963">
        <w:rPr>
          <w:rFonts w:ascii="Arial" w:hAnsi="Arial" w:cs="Arial"/>
        </w:rPr>
        <w:t>The findings demonstrated that digital health interventions can support lifestyle modification, health education, and behavioural change associated with reduced dementia risk factors (Coley et al., 2022; Bunyan et al., 2024; Riera et al., 2025). Interventions promoting physical activity, healthy diets, cognitive stimulation, and health awareness were generally associated with positive outcomes. However, the evidence primarily demonstrated improvements in modifiable risk factors rather than direct reductions in dementia incidence.</w:t>
      </w:r>
    </w:p>
    <w:p w14:paraId="28D7811A" w14:textId="70C367CD" w:rsidR="003149ED" w:rsidRPr="00543963" w:rsidRDefault="003149ED" w:rsidP="003149ED">
      <w:pPr>
        <w:spacing w:line="360" w:lineRule="auto"/>
        <w:jc w:val="both"/>
        <w:rPr>
          <w:rFonts w:ascii="Arial" w:hAnsi="Arial" w:cs="Arial"/>
        </w:rPr>
      </w:pPr>
      <w:r w:rsidRPr="00543963">
        <w:rPr>
          <w:rFonts w:ascii="Arial" w:hAnsi="Arial" w:cs="Arial"/>
        </w:rPr>
        <w:t xml:space="preserve">Engagement and adherence emerged as critical determinants of intervention effectiveness. Participants who maintained higher levels of engagement generally experienced more favourable outcomes, while usability, perceived usefulness, and personalised support influenced sustained participation (Bunyan et al., 2025; Schroeder et al., 2025). </w:t>
      </w:r>
      <w:r w:rsidR="000A42AD" w:rsidRPr="00543963">
        <w:rPr>
          <w:rFonts w:ascii="Arial" w:hAnsi="Arial" w:cs="Arial"/>
        </w:rPr>
        <w:t xml:space="preserve">These findings highlight the importance of designing interventions that remain accessible, relevant </w:t>
      </w:r>
      <w:r w:rsidRPr="00543963">
        <w:rPr>
          <w:rFonts w:ascii="Arial" w:hAnsi="Arial" w:cs="Arial"/>
        </w:rPr>
        <w:t>and engaging for older adults.</w:t>
      </w:r>
    </w:p>
    <w:p w14:paraId="6E807BFD" w14:textId="77777777" w:rsidR="003149ED" w:rsidRPr="00543963" w:rsidRDefault="003149ED" w:rsidP="003149ED">
      <w:pPr>
        <w:spacing w:line="360" w:lineRule="auto"/>
        <w:jc w:val="both"/>
        <w:rPr>
          <w:rFonts w:ascii="Arial" w:hAnsi="Arial" w:cs="Arial"/>
        </w:rPr>
      </w:pPr>
      <w:r w:rsidRPr="00543963">
        <w:rPr>
          <w:rFonts w:ascii="Arial" w:hAnsi="Arial" w:cs="Arial"/>
        </w:rPr>
        <w:t>The review also identified several barriers and facilitators affecting digital health engagement. Digital literacy, confidence, motivation, usability, and cognitive functioning were consistently associated with technology adoption and continued use (Money et al., 2024; Kebede et al., 2022; Panzavolta et al., 2025). These findings suggest that addressing digital inequalities is essential if digital dementia prevention strategies are to reach those most at risk of cognitive decline.</w:t>
      </w:r>
    </w:p>
    <w:p w14:paraId="522185EE" w14:textId="49C507BE" w:rsidR="003149ED" w:rsidRPr="00543963" w:rsidRDefault="003149ED" w:rsidP="003149ED">
      <w:pPr>
        <w:spacing w:line="360" w:lineRule="auto"/>
        <w:jc w:val="both"/>
        <w:rPr>
          <w:rFonts w:ascii="Arial" w:hAnsi="Arial" w:cs="Arial"/>
        </w:rPr>
      </w:pPr>
      <w:r w:rsidRPr="00543963">
        <w:rPr>
          <w:rFonts w:ascii="Arial" w:hAnsi="Arial" w:cs="Arial"/>
        </w:rPr>
        <w:t xml:space="preserve">Furthermore, the evidence indicated that digital technologies may contribute positively to cognitive health through both direct and indirect pathways. Cognitive training interventions demonstrated improvements in memory, attention, and processing speed, while lifestyle-based interventions supported behavioural changes linked to healthier ageing (Glenn et al., 2019; Rosenberg et al., 2024). Nevertheless, the </w:t>
      </w:r>
      <w:r w:rsidR="000A42AD" w:rsidRPr="000A42AD">
        <w:rPr>
          <w:rFonts w:ascii="Arial" w:hAnsi="Arial" w:cs="Arial"/>
        </w:rPr>
        <w:t>current evidence remains insufficient to demonstrate a direct causal relationship</w:t>
      </w:r>
      <w:r w:rsidR="000A42AD">
        <w:rPr>
          <w:rFonts w:ascii="Arial" w:hAnsi="Arial" w:cs="Arial"/>
        </w:rPr>
        <w:t xml:space="preserve"> </w:t>
      </w:r>
      <w:r w:rsidRPr="00543963">
        <w:rPr>
          <w:rFonts w:ascii="Arial" w:hAnsi="Arial" w:cs="Arial"/>
        </w:rPr>
        <w:t>between digital technology use and reduced dementia incidence.</w:t>
      </w:r>
    </w:p>
    <w:p w14:paraId="6B1BE063" w14:textId="77777777" w:rsidR="003149ED" w:rsidRPr="00543963" w:rsidRDefault="003149ED" w:rsidP="003149ED">
      <w:pPr>
        <w:spacing w:line="360" w:lineRule="auto"/>
        <w:jc w:val="both"/>
        <w:rPr>
          <w:rFonts w:ascii="Arial" w:hAnsi="Arial" w:cs="Arial"/>
        </w:rPr>
      </w:pPr>
      <w:r w:rsidRPr="00543963">
        <w:rPr>
          <w:rFonts w:ascii="Arial" w:hAnsi="Arial" w:cs="Arial"/>
        </w:rPr>
        <w:lastRenderedPageBreak/>
        <w:t>Overall, all review objectives were achieved. The findings demonstrate that digital health technologies have considerable potential to support dementia prevention by promoting healthier behaviours, enhancing cognitive engagement, and improving access to preventive health interventions. However, intervention effectiveness depends on sustained engagement, accessibility, and user-centred design.</w:t>
      </w:r>
    </w:p>
    <w:p w14:paraId="277C2982" w14:textId="77777777" w:rsidR="003149ED" w:rsidRPr="00543963" w:rsidRDefault="003149ED" w:rsidP="003149ED">
      <w:pPr>
        <w:spacing w:line="360" w:lineRule="auto"/>
        <w:jc w:val="both"/>
        <w:rPr>
          <w:rFonts w:ascii="Arial" w:hAnsi="Arial" w:cs="Arial"/>
        </w:rPr>
      </w:pPr>
      <w:r w:rsidRPr="00543963">
        <w:rPr>
          <w:rFonts w:ascii="Arial" w:hAnsi="Arial" w:cs="Arial"/>
        </w:rPr>
        <w:t>In conclusion, digital health technologies represent a promising component of future dementia prevention strategies. While further high-quality longitudinal research is required to establish long-term effectiveness, the evidence suggests that appropriately designed digital interventions may play an important role in supporting healthy cognitive ageing and reducing modifiable dementia risk factors among older adults.</w:t>
      </w:r>
    </w:p>
    <w:p w14:paraId="236C8105" w14:textId="77777777" w:rsidR="003149ED" w:rsidRPr="00543963" w:rsidRDefault="003149ED" w:rsidP="00BB400C">
      <w:pPr>
        <w:spacing w:line="360" w:lineRule="auto"/>
        <w:jc w:val="both"/>
        <w:rPr>
          <w:rFonts w:ascii="Arial" w:hAnsi="Arial" w:cs="Arial"/>
        </w:rPr>
      </w:pPr>
    </w:p>
    <w:p w14:paraId="77155994" w14:textId="77777777" w:rsidR="009A1720" w:rsidRPr="00543963" w:rsidRDefault="009A1720" w:rsidP="00BB400C">
      <w:pPr>
        <w:spacing w:line="360" w:lineRule="auto"/>
        <w:jc w:val="both"/>
        <w:rPr>
          <w:rFonts w:ascii="Arial" w:hAnsi="Arial" w:cs="Arial"/>
        </w:rPr>
      </w:pPr>
    </w:p>
    <w:p w14:paraId="57FCE2FA" w14:textId="77777777" w:rsidR="009A1720" w:rsidRPr="00543963" w:rsidRDefault="009A1720" w:rsidP="00BB400C">
      <w:pPr>
        <w:spacing w:line="360" w:lineRule="auto"/>
        <w:jc w:val="both"/>
        <w:rPr>
          <w:rFonts w:ascii="Arial" w:hAnsi="Arial" w:cs="Arial"/>
        </w:rPr>
      </w:pPr>
    </w:p>
    <w:p w14:paraId="5BDCB9BF" w14:textId="77777777" w:rsidR="009A1720" w:rsidRPr="00543963" w:rsidRDefault="009A1720" w:rsidP="00BB400C">
      <w:pPr>
        <w:spacing w:line="360" w:lineRule="auto"/>
        <w:jc w:val="both"/>
        <w:rPr>
          <w:rFonts w:ascii="Arial" w:hAnsi="Arial" w:cs="Arial"/>
        </w:rPr>
      </w:pPr>
    </w:p>
    <w:p w14:paraId="3C8E9DC9" w14:textId="77777777" w:rsidR="009A1720" w:rsidRPr="00543963" w:rsidRDefault="009A1720" w:rsidP="00BB400C">
      <w:pPr>
        <w:spacing w:line="360" w:lineRule="auto"/>
        <w:jc w:val="both"/>
        <w:rPr>
          <w:rFonts w:ascii="Arial" w:hAnsi="Arial" w:cs="Arial"/>
        </w:rPr>
      </w:pPr>
    </w:p>
    <w:p w14:paraId="5481BAD3" w14:textId="77777777" w:rsidR="009A1720" w:rsidRPr="00543963" w:rsidRDefault="009A1720" w:rsidP="00BB400C">
      <w:pPr>
        <w:spacing w:line="360" w:lineRule="auto"/>
        <w:jc w:val="both"/>
        <w:rPr>
          <w:rFonts w:ascii="Arial" w:hAnsi="Arial" w:cs="Arial"/>
        </w:rPr>
      </w:pPr>
    </w:p>
    <w:p w14:paraId="7B7DA758" w14:textId="77777777" w:rsidR="009A1720" w:rsidRPr="00543963" w:rsidRDefault="009A1720" w:rsidP="00BB400C">
      <w:pPr>
        <w:spacing w:line="360" w:lineRule="auto"/>
        <w:jc w:val="both"/>
        <w:rPr>
          <w:rFonts w:ascii="Arial" w:hAnsi="Arial" w:cs="Arial"/>
        </w:rPr>
      </w:pPr>
    </w:p>
    <w:p w14:paraId="2B450650" w14:textId="77777777" w:rsidR="009A1720" w:rsidRPr="00543963" w:rsidRDefault="009A1720" w:rsidP="00BB400C">
      <w:pPr>
        <w:spacing w:line="360" w:lineRule="auto"/>
        <w:jc w:val="both"/>
        <w:rPr>
          <w:rFonts w:ascii="Arial" w:hAnsi="Arial" w:cs="Arial"/>
        </w:rPr>
      </w:pPr>
    </w:p>
    <w:p w14:paraId="0B8A843D" w14:textId="77777777" w:rsidR="009A1720" w:rsidRPr="00543963" w:rsidRDefault="009A1720" w:rsidP="00BB400C">
      <w:pPr>
        <w:spacing w:line="360" w:lineRule="auto"/>
        <w:jc w:val="both"/>
        <w:rPr>
          <w:rFonts w:ascii="Arial" w:hAnsi="Arial" w:cs="Arial"/>
        </w:rPr>
      </w:pPr>
    </w:p>
    <w:p w14:paraId="02393B1A" w14:textId="77777777" w:rsidR="009A1720" w:rsidRPr="00543963" w:rsidRDefault="009A1720" w:rsidP="00BB400C">
      <w:pPr>
        <w:spacing w:line="360" w:lineRule="auto"/>
        <w:jc w:val="both"/>
        <w:rPr>
          <w:rFonts w:ascii="Arial" w:hAnsi="Arial" w:cs="Arial"/>
        </w:rPr>
      </w:pPr>
    </w:p>
    <w:p w14:paraId="6BCCD454" w14:textId="77777777" w:rsidR="009A1720" w:rsidRDefault="009A1720" w:rsidP="00BB400C">
      <w:pPr>
        <w:spacing w:line="360" w:lineRule="auto"/>
        <w:jc w:val="both"/>
        <w:rPr>
          <w:rFonts w:ascii="Arial" w:hAnsi="Arial" w:cs="Arial"/>
        </w:rPr>
      </w:pPr>
    </w:p>
    <w:p w14:paraId="6EB65317" w14:textId="77777777" w:rsidR="00543963" w:rsidRDefault="00543963" w:rsidP="00BB400C">
      <w:pPr>
        <w:spacing w:line="360" w:lineRule="auto"/>
        <w:jc w:val="both"/>
        <w:rPr>
          <w:rFonts w:ascii="Arial" w:hAnsi="Arial" w:cs="Arial"/>
        </w:rPr>
      </w:pPr>
    </w:p>
    <w:p w14:paraId="534E191C" w14:textId="77777777" w:rsidR="00543963" w:rsidRDefault="00543963" w:rsidP="00BB400C">
      <w:pPr>
        <w:spacing w:line="360" w:lineRule="auto"/>
        <w:jc w:val="both"/>
        <w:rPr>
          <w:rFonts w:ascii="Arial" w:hAnsi="Arial" w:cs="Arial"/>
        </w:rPr>
      </w:pPr>
    </w:p>
    <w:p w14:paraId="2AE38ECE" w14:textId="77777777" w:rsidR="00543963" w:rsidRDefault="00543963" w:rsidP="00BB400C">
      <w:pPr>
        <w:spacing w:line="360" w:lineRule="auto"/>
        <w:jc w:val="both"/>
        <w:rPr>
          <w:rFonts w:ascii="Arial" w:hAnsi="Arial" w:cs="Arial"/>
        </w:rPr>
      </w:pPr>
    </w:p>
    <w:p w14:paraId="0032879C" w14:textId="77777777" w:rsidR="00543963" w:rsidRDefault="00543963" w:rsidP="00BB400C">
      <w:pPr>
        <w:spacing w:line="360" w:lineRule="auto"/>
        <w:jc w:val="both"/>
        <w:rPr>
          <w:rFonts w:ascii="Arial" w:hAnsi="Arial" w:cs="Arial"/>
        </w:rPr>
      </w:pPr>
    </w:p>
    <w:p w14:paraId="52F5D157" w14:textId="77777777" w:rsidR="00543963" w:rsidRDefault="00543963" w:rsidP="00BB400C">
      <w:pPr>
        <w:spacing w:line="360" w:lineRule="auto"/>
        <w:jc w:val="both"/>
        <w:rPr>
          <w:rFonts w:ascii="Arial" w:hAnsi="Arial" w:cs="Arial"/>
        </w:rPr>
      </w:pPr>
    </w:p>
    <w:p w14:paraId="50D8F793" w14:textId="77777777" w:rsidR="00543963" w:rsidRDefault="00543963" w:rsidP="00BB400C">
      <w:pPr>
        <w:spacing w:line="360" w:lineRule="auto"/>
        <w:jc w:val="both"/>
        <w:rPr>
          <w:rFonts w:ascii="Arial" w:hAnsi="Arial" w:cs="Arial"/>
        </w:rPr>
      </w:pPr>
    </w:p>
    <w:p w14:paraId="33180308" w14:textId="77777777" w:rsidR="00543963" w:rsidRPr="00543963" w:rsidRDefault="00543963" w:rsidP="00BB400C">
      <w:pPr>
        <w:spacing w:line="360" w:lineRule="auto"/>
        <w:jc w:val="both"/>
        <w:rPr>
          <w:rFonts w:ascii="Arial" w:hAnsi="Arial" w:cs="Arial"/>
        </w:rPr>
      </w:pPr>
    </w:p>
    <w:p w14:paraId="585DD5F6" w14:textId="3380EE48" w:rsidR="00601378" w:rsidRPr="00543963" w:rsidRDefault="00601378" w:rsidP="00543963">
      <w:pPr>
        <w:pStyle w:val="Heading1"/>
        <w:rPr>
          <w:rFonts w:ascii="Arial" w:hAnsi="Arial" w:cs="Arial"/>
          <w:b/>
          <w:bCs/>
          <w:sz w:val="28"/>
          <w:szCs w:val="28"/>
        </w:rPr>
      </w:pPr>
      <w:bookmarkStart w:id="85" w:name="_Toc232034663"/>
      <w:r w:rsidRPr="00543963">
        <w:rPr>
          <w:rFonts w:ascii="Arial" w:hAnsi="Arial" w:cs="Arial"/>
          <w:b/>
          <w:bCs/>
          <w:sz w:val="28"/>
          <w:szCs w:val="28"/>
        </w:rPr>
        <w:lastRenderedPageBreak/>
        <w:t>Chapter 6: Conclusion</w:t>
      </w:r>
      <w:bookmarkEnd w:id="85"/>
    </w:p>
    <w:p w14:paraId="22E62CE3" w14:textId="77777777" w:rsidR="00601378" w:rsidRPr="00543963" w:rsidRDefault="00601378" w:rsidP="00543963">
      <w:pPr>
        <w:pStyle w:val="Heading2"/>
        <w:rPr>
          <w:rFonts w:ascii="Arial" w:hAnsi="Arial" w:cs="Arial"/>
          <w:b/>
          <w:bCs/>
          <w:sz w:val="24"/>
          <w:szCs w:val="24"/>
        </w:rPr>
      </w:pPr>
      <w:bookmarkStart w:id="86" w:name="_Toc232034664"/>
      <w:r w:rsidRPr="00543963">
        <w:rPr>
          <w:rFonts w:ascii="Arial" w:hAnsi="Arial" w:cs="Arial"/>
          <w:b/>
          <w:bCs/>
          <w:sz w:val="24"/>
          <w:szCs w:val="24"/>
        </w:rPr>
        <w:t>6.1 Overall Conclusion</w:t>
      </w:r>
      <w:bookmarkEnd w:id="86"/>
    </w:p>
    <w:p w14:paraId="7354D73B" w14:textId="71FAD346" w:rsidR="00601378" w:rsidRPr="00543963" w:rsidRDefault="00601378" w:rsidP="00601378">
      <w:pPr>
        <w:spacing w:line="360" w:lineRule="auto"/>
        <w:rPr>
          <w:rFonts w:ascii="Arial" w:hAnsi="Arial" w:cs="Arial"/>
        </w:rPr>
      </w:pPr>
      <w:r w:rsidRPr="00543963">
        <w:rPr>
          <w:rFonts w:ascii="Arial" w:hAnsi="Arial" w:cs="Arial"/>
        </w:rPr>
        <w:t xml:space="preserve">This dissertation examined the role of digital health technologies in dementia prevention among older adults </w:t>
      </w:r>
      <w:r w:rsidR="000A42AD" w:rsidRPr="000A42AD">
        <w:rPr>
          <w:rFonts w:ascii="Arial" w:hAnsi="Arial" w:cs="Arial"/>
        </w:rPr>
        <w:t>through a systematic literature review of 16 studies published between 2018 and 2025. The findings indicated</w:t>
      </w:r>
      <w:r w:rsidR="000A42AD">
        <w:rPr>
          <w:rFonts w:ascii="Arial" w:hAnsi="Arial" w:cs="Arial"/>
        </w:rPr>
        <w:t xml:space="preserve"> </w:t>
      </w:r>
      <w:r w:rsidRPr="00543963">
        <w:rPr>
          <w:rFonts w:ascii="Arial" w:hAnsi="Arial" w:cs="Arial"/>
        </w:rPr>
        <w:t>that digital health technologies have the potential to support dementia prevention through lifestyle modification, health education, digital coaching, cognitive training, and multimodal intervention approaches (Coley et al., 2022; Bunyan et al., 2024; Rosenberg et al., 2024).</w:t>
      </w:r>
    </w:p>
    <w:p w14:paraId="18D1D950" w14:textId="77777777" w:rsidR="00601378" w:rsidRPr="00543963" w:rsidRDefault="00601378" w:rsidP="00601378">
      <w:pPr>
        <w:spacing w:line="360" w:lineRule="auto"/>
        <w:rPr>
          <w:rFonts w:ascii="Arial" w:hAnsi="Arial" w:cs="Arial"/>
        </w:rPr>
      </w:pPr>
      <w:r w:rsidRPr="00543963">
        <w:rPr>
          <w:rFonts w:ascii="Arial" w:hAnsi="Arial" w:cs="Arial"/>
        </w:rPr>
        <w:t>The review identified engagement and adherence as important determinants of intervention effectiveness. Sustained participation was associated with more favourable outcomes, while factors such as digital literacy, usability, confidence, motivation, and cognitive functioning influenced engagement with digital technologies (Money et al., 2024; Kebede et al., 2022; Schmidt et al., 2025). These findings emphasise the importance of accessible and user-centred intervention design.</w:t>
      </w:r>
    </w:p>
    <w:p w14:paraId="458A94AC" w14:textId="514C8A45" w:rsidR="00601378" w:rsidRPr="00543963" w:rsidRDefault="00601378" w:rsidP="00601378">
      <w:pPr>
        <w:spacing w:line="360" w:lineRule="auto"/>
        <w:rPr>
          <w:rFonts w:ascii="Arial" w:hAnsi="Arial" w:cs="Arial"/>
        </w:rPr>
      </w:pPr>
      <w:r w:rsidRPr="00543963">
        <w:rPr>
          <w:rFonts w:ascii="Arial" w:hAnsi="Arial" w:cs="Arial"/>
        </w:rPr>
        <w:t xml:space="preserve">The evidence further suggested that digital health technologies may contribute positively to cognitive health and behaviours associated with dementia risk reduction (Glenn et al., 2019; Peng et al., 2024). However, current evidence provides stronger support for improvements in modifiable risk factors than for direct reductions in dementia incidence. Consequently, further </w:t>
      </w:r>
      <w:r w:rsidR="000A42AD">
        <w:rPr>
          <w:rFonts w:ascii="Arial" w:hAnsi="Arial" w:cs="Arial"/>
        </w:rPr>
        <w:t>l</w:t>
      </w:r>
      <w:r w:rsidR="000A42AD" w:rsidRPr="000A42AD">
        <w:rPr>
          <w:rFonts w:ascii="Arial" w:hAnsi="Arial" w:cs="Arial"/>
        </w:rPr>
        <w:t>ongitudinal research is needed to determine the sustained effectiveness of digital dementia</w:t>
      </w:r>
      <w:r w:rsidR="000A42AD">
        <w:rPr>
          <w:rFonts w:ascii="Arial" w:hAnsi="Arial" w:cs="Arial"/>
        </w:rPr>
        <w:t xml:space="preserve"> </w:t>
      </w:r>
      <w:r w:rsidRPr="00543963">
        <w:rPr>
          <w:rFonts w:ascii="Arial" w:hAnsi="Arial" w:cs="Arial"/>
        </w:rPr>
        <w:t>prevention interventions.</w:t>
      </w:r>
    </w:p>
    <w:p w14:paraId="707676AE" w14:textId="77777777" w:rsidR="00601378" w:rsidRPr="00543963" w:rsidRDefault="00601378" w:rsidP="00543963">
      <w:pPr>
        <w:pStyle w:val="Heading2"/>
        <w:rPr>
          <w:rFonts w:ascii="Arial" w:hAnsi="Arial" w:cs="Arial"/>
          <w:b/>
          <w:bCs/>
          <w:sz w:val="24"/>
          <w:szCs w:val="24"/>
        </w:rPr>
      </w:pPr>
      <w:bookmarkStart w:id="87" w:name="_Toc232034665"/>
      <w:r w:rsidRPr="00543963">
        <w:rPr>
          <w:rFonts w:ascii="Arial" w:hAnsi="Arial" w:cs="Arial"/>
          <w:b/>
          <w:bCs/>
          <w:sz w:val="24"/>
          <w:szCs w:val="24"/>
        </w:rPr>
        <w:t>6.2 Achievement of Research Aim and Objectives</w:t>
      </w:r>
      <w:bookmarkEnd w:id="87"/>
    </w:p>
    <w:p w14:paraId="0BB3D625" w14:textId="77777777" w:rsidR="00601378" w:rsidRPr="00543963" w:rsidRDefault="00601378" w:rsidP="00601378">
      <w:pPr>
        <w:spacing w:line="360" w:lineRule="auto"/>
        <w:rPr>
          <w:rFonts w:ascii="Arial" w:hAnsi="Arial" w:cs="Arial"/>
        </w:rPr>
      </w:pPr>
      <w:r w:rsidRPr="00543963">
        <w:rPr>
          <w:rFonts w:ascii="Arial" w:hAnsi="Arial" w:cs="Arial"/>
        </w:rPr>
        <w:t>The aim of this dissertation was to examine the role of digital health technologies in dementia prevention among older adults. This aim was successfully achieved through the systematic synthesis of evidence from 16 studies.</w:t>
      </w:r>
    </w:p>
    <w:p w14:paraId="0D2AF055" w14:textId="77777777" w:rsidR="00601378" w:rsidRPr="00543963" w:rsidRDefault="00601378" w:rsidP="00601378">
      <w:pPr>
        <w:spacing w:line="360" w:lineRule="auto"/>
        <w:rPr>
          <w:rFonts w:ascii="Arial" w:hAnsi="Arial" w:cs="Arial"/>
        </w:rPr>
      </w:pPr>
      <w:r w:rsidRPr="00543963">
        <w:rPr>
          <w:rFonts w:ascii="Arial" w:hAnsi="Arial" w:cs="Arial"/>
        </w:rPr>
        <w:t>The first objective identified a range of digital health interventions used in dementia prevention, including digital lifestyle programmes, health education interventions, digital coaching, cognitive training, and multimodal approaches. The second objective demonstrated that engagement and adherence are critical determinants of intervention effectiveness and are influenced by usability, motivation, and perceived usefulness.</w:t>
      </w:r>
    </w:p>
    <w:p w14:paraId="4352AAC5" w14:textId="77777777" w:rsidR="00601378" w:rsidRPr="00543963" w:rsidRDefault="00601378" w:rsidP="00601378">
      <w:pPr>
        <w:spacing w:line="360" w:lineRule="auto"/>
        <w:rPr>
          <w:rFonts w:ascii="Arial" w:hAnsi="Arial" w:cs="Arial"/>
        </w:rPr>
      </w:pPr>
      <w:r w:rsidRPr="00543963">
        <w:rPr>
          <w:rFonts w:ascii="Arial" w:hAnsi="Arial" w:cs="Arial"/>
        </w:rPr>
        <w:t>The third objective identified key barriers and facilitators influencing participation, including digital literacy, confidence, accessibility, and cognitive functioning. The fourth objective demonstrated that digital health technologies may support cognitive health and behaviours associated with dementia risk reduction. Collectively, these findings enabled the successful achievement of all review objectives.</w:t>
      </w:r>
    </w:p>
    <w:p w14:paraId="556E22C1" w14:textId="77777777" w:rsidR="00601378" w:rsidRPr="00543963" w:rsidRDefault="00601378" w:rsidP="00543963">
      <w:pPr>
        <w:pStyle w:val="Heading2"/>
        <w:rPr>
          <w:rFonts w:ascii="Arial" w:hAnsi="Arial" w:cs="Arial"/>
          <w:b/>
          <w:bCs/>
          <w:sz w:val="24"/>
          <w:szCs w:val="24"/>
        </w:rPr>
      </w:pPr>
      <w:bookmarkStart w:id="88" w:name="_Toc232034666"/>
      <w:r w:rsidRPr="00543963">
        <w:rPr>
          <w:rFonts w:ascii="Arial" w:hAnsi="Arial" w:cs="Arial"/>
          <w:b/>
          <w:bCs/>
          <w:sz w:val="24"/>
          <w:szCs w:val="24"/>
        </w:rPr>
        <w:lastRenderedPageBreak/>
        <w:t>6.3 Contribution to Knowledge</w:t>
      </w:r>
      <w:bookmarkEnd w:id="88"/>
    </w:p>
    <w:p w14:paraId="7D38221F" w14:textId="77777777" w:rsidR="00601378" w:rsidRPr="00543963" w:rsidRDefault="00601378" w:rsidP="00601378">
      <w:pPr>
        <w:spacing w:line="360" w:lineRule="auto"/>
        <w:rPr>
          <w:rFonts w:ascii="Arial" w:hAnsi="Arial" w:cs="Arial"/>
        </w:rPr>
      </w:pPr>
      <w:r w:rsidRPr="00543963">
        <w:rPr>
          <w:rFonts w:ascii="Arial" w:hAnsi="Arial" w:cs="Arial"/>
        </w:rPr>
        <w:t>This dissertation contributes to the growing evidence base on digital health technologies and dementia prevention by providing a comprehensive synthesis of evidence relating to intervention effectiveness, engagement, barriers and facilitators, and cognitive health outcomes among older adults.</w:t>
      </w:r>
    </w:p>
    <w:p w14:paraId="6D82018F" w14:textId="77777777" w:rsidR="00601378" w:rsidRPr="00543963" w:rsidRDefault="00601378" w:rsidP="00601378">
      <w:pPr>
        <w:spacing w:line="360" w:lineRule="auto"/>
        <w:rPr>
          <w:rFonts w:ascii="Arial" w:hAnsi="Arial" w:cs="Arial"/>
        </w:rPr>
      </w:pPr>
      <w:r w:rsidRPr="00543963">
        <w:rPr>
          <w:rFonts w:ascii="Arial" w:hAnsi="Arial" w:cs="Arial"/>
        </w:rPr>
        <w:t>A key contribution of the study is the identification of engagement and accessibility as central factors influencing intervention effectiveness. The findings demonstrate that the benefits of digital health technologies depend not only on the interventions themselves but also on older adults’ ability to engage with digital platforms consistently and effectively. The review also highlights the importance of digital literacy, usability, confidence, and motivation in shaping intervention outcomes.</w:t>
      </w:r>
    </w:p>
    <w:p w14:paraId="2F82C65C" w14:textId="77777777" w:rsidR="00601378" w:rsidRPr="00543963" w:rsidRDefault="00601378" w:rsidP="00601378">
      <w:pPr>
        <w:spacing w:line="360" w:lineRule="auto"/>
        <w:rPr>
          <w:rFonts w:ascii="Arial" w:hAnsi="Arial" w:cs="Arial"/>
        </w:rPr>
      </w:pPr>
      <w:r w:rsidRPr="00543963">
        <w:rPr>
          <w:rFonts w:ascii="Arial" w:hAnsi="Arial" w:cs="Arial"/>
        </w:rPr>
        <w:t>Furthermore, the study demonstrates that digital health technologies may support dementia prevention through both direct and indirect pathways, including cognitive stimulation, behaviour change, and health promotion. These findings provide valuable insights for researchers, healthcare professionals, and policymakers seeking to develop effective dementia prevention strategies.</w:t>
      </w:r>
    </w:p>
    <w:p w14:paraId="47007131" w14:textId="77777777" w:rsidR="00601378" w:rsidRPr="00543963" w:rsidRDefault="00601378" w:rsidP="00543963">
      <w:pPr>
        <w:pStyle w:val="Heading2"/>
        <w:rPr>
          <w:rFonts w:ascii="Arial" w:hAnsi="Arial" w:cs="Arial"/>
          <w:b/>
          <w:bCs/>
          <w:sz w:val="24"/>
          <w:szCs w:val="24"/>
        </w:rPr>
      </w:pPr>
      <w:bookmarkStart w:id="89" w:name="_Toc232034667"/>
      <w:r w:rsidRPr="00543963">
        <w:rPr>
          <w:rFonts w:ascii="Arial" w:hAnsi="Arial" w:cs="Arial"/>
          <w:b/>
          <w:bCs/>
          <w:sz w:val="24"/>
          <w:szCs w:val="24"/>
        </w:rPr>
        <w:t>6.4 Final Conclusion</w:t>
      </w:r>
      <w:bookmarkEnd w:id="89"/>
    </w:p>
    <w:p w14:paraId="7703405C" w14:textId="77777777" w:rsidR="00601378" w:rsidRPr="00543963" w:rsidRDefault="00601378" w:rsidP="00601378">
      <w:pPr>
        <w:spacing w:line="360" w:lineRule="auto"/>
        <w:rPr>
          <w:rFonts w:ascii="Arial" w:hAnsi="Arial" w:cs="Arial"/>
        </w:rPr>
      </w:pPr>
      <w:r w:rsidRPr="00543963">
        <w:rPr>
          <w:rFonts w:ascii="Arial" w:hAnsi="Arial" w:cs="Arial"/>
        </w:rPr>
        <w:t>In conclusion, digital health technologies represent a promising component of dementia prevention strategies for older adults. The findings suggest that digital interventions can support healthier behaviours, cognitive health, and engagement in health-promoting activities when designed to meet the needs of older users.</w:t>
      </w:r>
    </w:p>
    <w:p w14:paraId="52C90846" w14:textId="77777777" w:rsidR="00601378" w:rsidRPr="00543963" w:rsidRDefault="00601378" w:rsidP="00601378">
      <w:pPr>
        <w:spacing w:line="360" w:lineRule="auto"/>
        <w:rPr>
          <w:rFonts w:ascii="Arial" w:hAnsi="Arial" w:cs="Arial"/>
        </w:rPr>
      </w:pPr>
      <w:r w:rsidRPr="00543963">
        <w:rPr>
          <w:rFonts w:ascii="Arial" w:hAnsi="Arial" w:cs="Arial"/>
        </w:rPr>
        <w:t>However, successful implementation depends on more than technological innovation alone. Factors including digital literacy, usability, accessibility, confidence, motivation, and cognitive functioning influence older adults’ ability to engage with and benefit from digital interventions. Therefore, future dementia prevention strategies should prioritise user-centred design, digital inclusion, and sustained engagement.</w:t>
      </w:r>
    </w:p>
    <w:p w14:paraId="054F5334" w14:textId="77777777" w:rsidR="00601378" w:rsidRPr="00543963" w:rsidRDefault="00601378" w:rsidP="00601378">
      <w:pPr>
        <w:spacing w:line="360" w:lineRule="auto"/>
        <w:rPr>
          <w:rFonts w:ascii="Arial" w:hAnsi="Arial" w:cs="Arial"/>
        </w:rPr>
      </w:pPr>
      <w:r w:rsidRPr="00543963">
        <w:rPr>
          <w:rFonts w:ascii="Arial" w:hAnsi="Arial" w:cs="Arial"/>
        </w:rPr>
        <w:t>Overall, this dissertation provides evidence that digital health technologies have the potential to support healthy cognitive ageing and dementia risk reduction. As digital healthcare continues to evolve, appropriately designed and accessible interventions may play an increasingly important role in future dementia prevention efforts.</w:t>
      </w:r>
    </w:p>
    <w:p w14:paraId="299F8F4C" w14:textId="77777777" w:rsidR="000347A4" w:rsidRPr="00543963" w:rsidRDefault="000347A4" w:rsidP="000347A4">
      <w:pPr>
        <w:spacing w:line="360" w:lineRule="auto"/>
        <w:rPr>
          <w:rFonts w:ascii="Arial" w:hAnsi="Arial" w:cs="Arial"/>
          <w:sz w:val="20"/>
          <w:szCs w:val="20"/>
        </w:rPr>
      </w:pPr>
    </w:p>
    <w:p w14:paraId="3B20FC8C" w14:textId="7F6CD095" w:rsidR="00FB2F85" w:rsidRPr="00543963" w:rsidRDefault="00FB2F85" w:rsidP="00543963">
      <w:pPr>
        <w:pStyle w:val="Heading1"/>
        <w:rPr>
          <w:rFonts w:ascii="Arial" w:hAnsi="Arial" w:cs="Arial"/>
          <w:b/>
          <w:bCs/>
          <w:sz w:val="28"/>
          <w:szCs w:val="28"/>
        </w:rPr>
      </w:pPr>
      <w:bookmarkStart w:id="90" w:name="_Toc232034668"/>
      <w:r w:rsidRPr="00543963">
        <w:rPr>
          <w:rFonts w:ascii="Arial" w:hAnsi="Arial" w:cs="Arial"/>
          <w:b/>
          <w:bCs/>
          <w:sz w:val="28"/>
          <w:szCs w:val="28"/>
        </w:rPr>
        <w:lastRenderedPageBreak/>
        <w:t>References:</w:t>
      </w:r>
      <w:bookmarkEnd w:id="90"/>
      <w:r w:rsidR="00B22B40" w:rsidRPr="00543963">
        <w:rPr>
          <w:rFonts w:ascii="Arial" w:hAnsi="Arial" w:cs="Arial"/>
          <w:b/>
          <w:bCs/>
          <w:sz w:val="28"/>
          <w:szCs w:val="28"/>
        </w:rPr>
        <w:t xml:space="preserve"> </w:t>
      </w:r>
    </w:p>
    <w:p w14:paraId="66CF7091" w14:textId="5FFCD2F9" w:rsidR="004E22EF" w:rsidRDefault="004E22EF" w:rsidP="004E22EF">
      <w:pPr>
        <w:pStyle w:val="NormalWeb"/>
        <w:spacing w:line="360" w:lineRule="auto"/>
      </w:pPr>
      <w:r>
        <w:t xml:space="preserve">Ajzen, I. (1991) ‘The theory of planned behavior’, </w:t>
      </w:r>
      <w:r>
        <w:rPr>
          <w:rStyle w:val="Emphasis"/>
        </w:rPr>
        <w:t>Organizational Behavior and Human Decision Processes</w:t>
      </w:r>
      <w:r>
        <w:t xml:space="preserve">, 50(2), pp. 179–211. Available at: </w:t>
      </w:r>
      <w:hyperlink r:id="rId19" w:history="1">
        <w:r w:rsidRPr="00DE44C3">
          <w:rPr>
            <w:rStyle w:val="Hyperlink"/>
          </w:rPr>
          <w:t>https://doi.org/10.1016/0749-5978(91)90020-T</w:t>
        </w:r>
      </w:hyperlink>
      <w:r>
        <w:t xml:space="preserve"> </w:t>
      </w:r>
      <w:r>
        <w:t xml:space="preserve"> (Accessed: 16 June 2026).</w:t>
      </w:r>
    </w:p>
    <w:p w14:paraId="3F1E5C7E" w14:textId="77777777" w:rsidR="004E22EF" w:rsidRDefault="004E22EF" w:rsidP="004E22EF">
      <w:pPr>
        <w:pStyle w:val="NormalWeb"/>
        <w:spacing w:line="360" w:lineRule="auto"/>
      </w:pPr>
      <w:r>
        <w:t xml:space="preserve">Alzheimer Europe (2024) </w:t>
      </w:r>
      <w:r>
        <w:rPr>
          <w:rStyle w:val="Emphasis"/>
        </w:rPr>
        <w:t>Dementia in Europe Yearbook</w:t>
      </w:r>
      <w:r>
        <w:t xml:space="preserve">. Luxembourg: Alzheimer Europe. Available at: </w:t>
      </w:r>
      <w:hyperlink r:id="rId20" w:tgtFrame="_new" w:history="1">
        <w:r>
          <w:rPr>
            <w:rStyle w:val="Hyperlink"/>
          </w:rPr>
          <w:t>https://www.alzheimer-europe.org</w:t>
        </w:r>
      </w:hyperlink>
      <w:r>
        <w:t xml:space="preserve"> (Accessed: 16 June 2026).</w:t>
      </w:r>
    </w:p>
    <w:p w14:paraId="0ACF243F"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Alzheimer’s Disease International (2023) </w:t>
      </w:r>
      <w:r w:rsidRPr="004E22EF">
        <w:rPr>
          <w:rFonts w:ascii="Arial" w:hAnsi="Arial" w:cs="Arial"/>
          <w:i/>
          <w:iCs/>
        </w:rPr>
        <w:t>Dementia fact sheet</w:t>
      </w:r>
      <w:r w:rsidRPr="004E22EF">
        <w:rPr>
          <w:rFonts w:ascii="Arial" w:hAnsi="Arial" w:cs="Arial"/>
        </w:rPr>
        <w:t xml:space="preserve">. London: Alzheimer’s Disease International. Available at: </w:t>
      </w:r>
      <w:hyperlink r:id="rId21" w:tgtFrame="_new" w:history="1">
        <w:r w:rsidRPr="004E22EF">
          <w:rPr>
            <w:rStyle w:val="Hyperlink"/>
            <w:rFonts w:ascii="Arial" w:hAnsi="Arial" w:cs="Arial"/>
          </w:rPr>
          <w:t>https://www.alzint.org/resource/dementia-fact-sheet/</w:t>
        </w:r>
      </w:hyperlink>
      <w:r w:rsidRPr="004E22EF">
        <w:rPr>
          <w:rFonts w:ascii="Arial" w:hAnsi="Arial" w:cs="Arial"/>
        </w:rPr>
        <w:t xml:space="preserve"> (Accessed: 9 June 2026). </w:t>
      </w:r>
    </w:p>
    <w:p w14:paraId="47AE2987"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Alzheimer’s Disease International (2025) </w:t>
      </w:r>
      <w:r w:rsidRPr="004E22EF">
        <w:rPr>
          <w:rFonts w:ascii="Arial" w:hAnsi="Arial" w:cs="Arial"/>
          <w:i/>
          <w:iCs/>
        </w:rPr>
        <w:t>Dementia statistics</w:t>
      </w:r>
      <w:r w:rsidRPr="004E22EF">
        <w:rPr>
          <w:rFonts w:ascii="Arial" w:hAnsi="Arial" w:cs="Arial"/>
        </w:rPr>
        <w:t xml:space="preserve">. Available at: </w:t>
      </w:r>
      <w:hyperlink r:id="rId22" w:tgtFrame="_new" w:history="1">
        <w:r w:rsidRPr="004E22EF">
          <w:rPr>
            <w:rStyle w:val="Hyperlink"/>
            <w:rFonts w:ascii="Arial" w:hAnsi="Arial" w:cs="Arial"/>
          </w:rPr>
          <w:t>https://www.alzint.org/about/dementia-facts-figures/dementia-statistics/</w:t>
        </w:r>
      </w:hyperlink>
      <w:r w:rsidRPr="004E22EF">
        <w:rPr>
          <w:rFonts w:ascii="Arial" w:hAnsi="Arial" w:cs="Arial"/>
        </w:rPr>
        <w:t xml:space="preserve"> (Accessed: 9 June 2026). </w:t>
      </w:r>
    </w:p>
    <w:p w14:paraId="7F7BF30F" w14:textId="5165C92F" w:rsidR="004E22EF" w:rsidRPr="004E22EF" w:rsidRDefault="004E22EF" w:rsidP="004E22EF">
      <w:pPr>
        <w:spacing w:line="360" w:lineRule="auto"/>
        <w:jc w:val="both"/>
        <w:rPr>
          <w:rFonts w:ascii="Arial" w:hAnsi="Arial" w:cs="Arial"/>
        </w:rPr>
      </w:pPr>
      <w:r w:rsidRPr="004E22EF">
        <w:rPr>
          <w:rFonts w:ascii="Arial" w:hAnsi="Arial" w:cs="Arial"/>
        </w:rPr>
        <w:t xml:space="preserve">Alzheimer’s Research UK (2025) </w:t>
      </w:r>
      <w:r w:rsidRPr="004E22EF">
        <w:rPr>
          <w:rFonts w:ascii="Arial" w:hAnsi="Arial" w:cs="Arial"/>
          <w:i/>
          <w:iCs/>
        </w:rPr>
        <w:t>Risk factors for dementia</w:t>
      </w:r>
      <w:r w:rsidRPr="004E22EF">
        <w:rPr>
          <w:rFonts w:ascii="Arial" w:hAnsi="Arial" w:cs="Arial"/>
        </w:rPr>
        <w:t xml:space="preserve">. Available at: </w:t>
      </w:r>
      <w:hyperlink r:id="rId23" w:history="1">
        <w:r w:rsidRPr="00DE44C3">
          <w:rPr>
            <w:rStyle w:val="Hyperlink"/>
            <w:rFonts w:ascii="Arial" w:hAnsi="Arial" w:cs="Arial"/>
          </w:rPr>
          <w:t>https://www.alzheimersresearchuk.org/dementia-information/risk-factors-for-dementia/</w:t>
        </w:r>
      </w:hyperlink>
      <w:r>
        <w:rPr>
          <w:rFonts w:ascii="Arial" w:hAnsi="Arial" w:cs="Arial"/>
        </w:rPr>
        <w:t xml:space="preserve"> </w:t>
      </w:r>
      <w:r w:rsidRPr="004E22EF">
        <w:rPr>
          <w:rFonts w:ascii="Arial" w:hAnsi="Arial" w:cs="Arial"/>
        </w:rPr>
        <w:t xml:space="preserve"> (Accessed: 9 June 2026). </w:t>
      </w:r>
    </w:p>
    <w:p w14:paraId="5128908B"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Alzheimer’s Society (2025) </w:t>
      </w:r>
      <w:r w:rsidRPr="004E22EF">
        <w:rPr>
          <w:rFonts w:ascii="Arial" w:hAnsi="Arial" w:cs="Arial"/>
          <w:i/>
          <w:iCs/>
        </w:rPr>
        <w:t>Dementia statistics hub</w:t>
      </w:r>
      <w:r w:rsidRPr="004E22EF">
        <w:rPr>
          <w:rFonts w:ascii="Arial" w:hAnsi="Arial" w:cs="Arial"/>
        </w:rPr>
        <w:t xml:space="preserve">. Available at: </w:t>
      </w:r>
      <w:hyperlink r:id="rId24" w:tgtFrame="_new" w:history="1">
        <w:r w:rsidRPr="004E22EF">
          <w:rPr>
            <w:rStyle w:val="Hyperlink"/>
            <w:rFonts w:ascii="Arial" w:hAnsi="Arial" w:cs="Arial"/>
          </w:rPr>
          <w:t>https://www.alzheimers.org.uk/about-us/policy-and-influencing/dementia-scale-impact-numbers</w:t>
        </w:r>
      </w:hyperlink>
      <w:r w:rsidRPr="004E22EF">
        <w:rPr>
          <w:rFonts w:ascii="Arial" w:hAnsi="Arial" w:cs="Arial"/>
        </w:rPr>
        <w:t xml:space="preserve"> (Accessed: 9 June 2026). </w:t>
      </w:r>
    </w:p>
    <w:p w14:paraId="1C3DF559" w14:textId="77777777" w:rsidR="004E22EF" w:rsidRDefault="004E22EF" w:rsidP="004E22EF">
      <w:pPr>
        <w:pStyle w:val="NormalWeb"/>
        <w:spacing w:line="360" w:lineRule="auto"/>
      </w:pPr>
      <w:r>
        <w:t xml:space="preserve">Andrieu, S., Guyonnet, S., Coley, N. et al. (2017) ‘Effect of long-term omega 3 polyunsaturated fatty acid supplementation with or without multidomain intervention on cognitive function’, </w:t>
      </w:r>
      <w:r>
        <w:rPr>
          <w:rStyle w:val="Emphasis"/>
        </w:rPr>
        <w:t>The Lancet Neurology</w:t>
      </w:r>
      <w:r>
        <w:t xml:space="preserve">, 16(5), pp. 377–389. Available at: </w:t>
      </w:r>
      <w:hyperlink r:id="rId25" w:history="1">
        <w:r w:rsidRPr="00DE44C3">
          <w:rPr>
            <w:rStyle w:val="Hyperlink"/>
          </w:rPr>
          <w:t>https://doi.org/10.1016/S1474-4422(17)30040-6</w:t>
        </w:r>
      </w:hyperlink>
      <w:r>
        <w:t xml:space="preserve"> </w:t>
      </w:r>
      <w:r>
        <w:t xml:space="preserve"> (Accessed: 16 June 2026).</w:t>
      </w:r>
    </w:p>
    <w:p w14:paraId="0FFA0A70" w14:textId="77777777" w:rsidR="004E22EF" w:rsidRDefault="004E22EF" w:rsidP="004E22EF">
      <w:pPr>
        <w:pStyle w:val="NormalWeb"/>
        <w:spacing w:line="360" w:lineRule="auto"/>
      </w:pPr>
      <w:r>
        <w:t xml:space="preserve"> Arksey, H. and O’Malley, L. (2005) ‘Scoping studies: towards a methodological framework’, </w:t>
      </w:r>
      <w:r>
        <w:rPr>
          <w:rStyle w:val="Emphasis"/>
        </w:rPr>
        <w:t>International Journal of Social Research Methodology</w:t>
      </w:r>
      <w:r>
        <w:t xml:space="preserve">, 8(1), pp. 19–32. Available at: </w:t>
      </w:r>
      <w:hyperlink r:id="rId26" w:tgtFrame="_new" w:history="1">
        <w:r>
          <w:rPr>
            <w:rStyle w:val="Hyperlink"/>
          </w:rPr>
          <w:t>https://doi.org/10.1080/1364557032000119616</w:t>
        </w:r>
      </w:hyperlink>
      <w:r>
        <w:t xml:space="preserve"> (Accessed: 16 June 2026).</w:t>
      </w:r>
    </w:p>
    <w:p w14:paraId="066F1986" w14:textId="77777777" w:rsidR="004E22EF" w:rsidRDefault="004E22EF" w:rsidP="004E22EF">
      <w:pPr>
        <w:pStyle w:val="NormalWeb"/>
        <w:spacing w:line="360" w:lineRule="auto"/>
      </w:pPr>
      <w:r>
        <w:t xml:space="preserve">Bandura, A. (1986) </w:t>
      </w:r>
      <w:r>
        <w:rPr>
          <w:rStyle w:val="Emphasis"/>
        </w:rPr>
        <w:t>Social Foundations of Thought and Action: A Social Cognitive Theory</w:t>
      </w:r>
      <w:r>
        <w:t>. Englewood Cliffs: Prentice Hall.</w:t>
      </w:r>
    </w:p>
    <w:p w14:paraId="6F32CAF2" w14:textId="77777777" w:rsidR="004E22EF" w:rsidRDefault="004E22EF" w:rsidP="004E22EF">
      <w:pPr>
        <w:pStyle w:val="NormalWeb"/>
        <w:spacing w:line="360" w:lineRule="auto"/>
      </w:pPr>
      <w:r>
        <w:t xml:space="preserve">Bandura, A. (2004) ‘Health promotion by social cognitive means’, </w:t>
      </w:r>
      <w:r>
        <w:rPr>
          <w:rStyle w:val="Emphasis"/>
        </w:rPr>
        <w:t>Health Education &amp; Behavior</w:t>
      </w:r>
      <w:r>
        <w:t xml:space="preserve">, 31(2), pp. 143–164. Available at: </w:t>
      </w:r>
      <w:hyperlink r:id="rId27" w:tgtFrame="_new" w:history="1">
        <w:r>
          <w:rPr>
            <w:rStyle w:val="Hyperlink"/>
          </w:rPr>
          <w:t>https://doi.org/10.1177/1090198104263660</w:t>
        </w:r>
      </w:hyperlink>
      <w:r>
        <w:t xml:space="preserve"> (Accessed: 16 June 2026).</w:t>
      </w:r>
    </w:p>
    <w:p w14:paraId="0AA098A2" w14:textId="77777777" w:rsidR="004E22EF" w:rsidRDefault="004E22EF" w:rsidP="004E22EF">
      <w:pPr>
        <w:pStyle w:val="NormalWeb"/>
        <w:spacing w:line="360" w:lineRule="auto"/>
      </w:pPr>
      <w:r>
        <w:lastRenderedPageBreak/>
        <w:t xml:space="preserve">Bennett, D.A., Schneider, J.A., Tang, Y. et al. (2006) ‘The effect of social networks on the relation between Alzheimer’s disease pathology and level of cognitive function’, </w:t>
      </w:r>
      <w:r>
        <w:rPr>
          <w:rStyle w:val="Emphasis"/>
        </w:rPr>
        <w:t>Archives of General Psychiatry</w:t>
      </w:r>
      <w:r>
        <w:t xml:space="preserve">, 63(7), pp. 789–796. Available at: </w:t>
      </w:r>
      <w:hyperlink r:id="rId28" w:history="1">
        <w:r w:rsidRPr="00DE44C3">
          <w:rPr>
            <w:rStyle w:val="Hyperlink"/>
          </w:rPr>
          <w:t>https://doi.org/10.1001/archpsyc.63.7.789</w:t>
        </w:r>
      </w:hyperlink>
      <w:r>
        <w:t xml:space="preserve"> </w:t>
      </w:r>
      <w:r>
        <w:t xml:space="preserve"> (Accessed: 16 June 2026).</w:t>
      </w:r>
    </w:p>
    <w:p w14:paraId="4E0C35EC" w14:textId="77777777" w:rsidR="004E22EF" w:rsidRDefault="004E22EF" w:rsidP="004E22EF">
      <w:pPr>
        <w:pStyle w:val="NormalWeb"/>
        <w:spacing w:line="360" w:lineRule="auto"/>
      </w:pPr>
      <w:r>
        <w:t xml:space="preserve">Booth, A., Sutton, A. and Papaioannou, D. (2016) </w:t>
      </w:r>
      <w:r>
        <w:rPr>
          <w:rStyle w:val="Emphasis"/>
        </w:rPr>
        <w:t>Systematic Approaches to a Successful Literature Review</w:t>
      </w:r>
      <w:r>
        <w:t>. 2nd edn. London: Sage.</w:t>
      </w:r>
    </w:p>
    <w:p w14:paraId="457D8BFB"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Braun, V. and Clarke, V. (2006) ‘Using thematic analysis in psychology’, </w:t>
      </w:r>
      <w:r w:rsidRPr="004E22EF">
        <w:rPr>
          <w:rFonts w:ascii="Arial" w:hAnsi="Arial" w:cs="Arial"/>
          <w:i/>
          <w:iCs/>
        </w:rPr>
        <w:t>Qualitative Research in Psychology</w:t>
      </w:r>
      <w:r w:rsidRPr="004E22EF">
        <w:rPr>
          <w:rFonts w:ascii="Arial" w:hAnsi="Arial" w:cs="Arial"/>
        </w:rPr>
        <w:t xml:space="preserve">, 3(2), pp. 77–101. Available at: </w:t>
      </w:r>
      <w:hyperlink r:id="rId29" w:tgtFrame="_new" w:history="1">
        <w:r w:rsidRPr="004E22EF">
          <w:rPr>
            <w:rStyle w:val="Hyperlink"/>
            <w:rFonts w:ascii="Arial" w:hAnsi="Arial" w:cs="Arial"/>
          </w:rPr>
          <w:t>https://doi.org/10.1191/1478088706qp063oa</w:t>
        </w:r>
      </w:hyperlink>
      <w:r w:rsidRPr="004E22EF">
        <w:rPr>
          <w:rFonts w:ascii="Arial" w:hAnsi="Arial" w:cs="Arial"/>
        </w:rPr>
        <w:t xml:space="preserve"> (Accessed: 9 June 2026). </w:t>
      </w:r>
    </w:p>
    <w:p w14:paraId="7C6FEF93"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Braun, V. and Clarke, V. (2022) ‘Toward good practice in thematic analysis’, </w:t>
      </w:r>
      <w:r w:rsidRPr="004E22EF">
        <w:rPr>
          <w:rFonts w:ascii="Arial" w:hAnsi="Arial" w:cs="Arial"/>
          <w:i/>
          <w:iCs/>
        </w:rPr>
        <w:t>International Journal of Qualitative Methods</w:t>
      </w:r>
      <w:r w:rsidRPr="004E22EF">
        <w:rPr>
          <w:rFonts w:ascii="Arial" w:hAnsi="Arial" w:cs="Arial"/>
        </w:rPr>
        <w:t xml:space="preserve">, 21. Available at: </w:t>
      </w:r>
      <w:hyperlink r:id="rId30" w:tgtFrame="_new" w:history="1">
        <w:r w:rsidRPr="004E22EF">
          <w:rPr>
            <w:rStyle w:val="Hyperlink"/>
            <w:rFonts w:ascii="Arial" w:hAnsi="Arial" w:cs="Arial"/>
          </w:rPr>
          <w:t>https://pmc.ncbi.nlm.nih.gov/articles/PMC9879167/</w:t>
        </w:r>
      </w:hyperlink>
      <w:r w:rsidRPr="004E22EF">
        <w:rPr>
          <w:rFonts w:ascii="Arial" w:hAnsi="Arial" w:cs="Arial"/>
        </w:rPr>
        <w:t xml:space="preserve"> (Accessed: 8 June 2026). </w:t>
      </w:r>
    </w:p>
    <w:p w14:paraId="6D46E0F9"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Braun, V. and Clarke, V. (2024) ‘Thematic Analysis’, </w:t>
      </w:r>
      <w:r w:rsidRPr="004E22EF">
        <w:rPr>
          <w:rFonts w:ascii="Arial" w:hAnsi="Arial" w:cs="Arial"/>
          <w:i/>
          <w:iCs/>
        </w:rPr>
        <w:t>Encyclopedia of Quality of Life and Well-Being Research</w:t>
      </w:r>
      <w:r w:rsidRPr="004E22EF">
        <w:rPr>
          <w:rFonts w:ascii="Arial" w:hAnsi="Arial" w:cs="Arial"/>
        </w:rPr>
        <w:t xml:space="preserve">. Available at: </w:t>
      </w:r>
      <w:hyperlink r:id="rId31" w:tgtFrame="_new" w:history="1">
        <w:r w:rsidRPr="004E22EF">
          <w:rPr>
            <w:rStyle w:val="Hyperlink"/>
            <w:rFonts w:ascii="Arial" w:hAnsi="Arial" w:cs="Arial"/>
          </w:rPr>
          <w:t>https://link.springer.com/rwe/10.1007/978-3-031-17299-1_3470</w:t>
        </w:r>
      </w:hyperlink>
      <w:r w:rsidRPr="004E22EF">
        <w:rPr>
          <w:rFonts w:ascii="Arial" w:hAnsi="Arial" w:cs="Arial"/>
        </w:rPr>
        <w:t xml:space="preserve"> (Accessed: 5 June 2026). </w:t>
      </w:r>
    </w:p>
    <w:p w14:paraId="533192FD" w14:textId="77777777" w:rsidR="004E22EF" w:rsidRDefault="004E22EF" w:rsidP="004E22EF">
      <w:pPr>
        <w:pStyle w:val="NormalWeb"/>
        <w:spacing w:line="360" w:lineRule="auto"/>
      </w:pPr>
      <w:r>
        <w:t xml:space="preserve">Brayne, C., Ince, P.G., Keage, H.A.D. et al. (2010) ‘Education, the brain and dementia’, </w:t>
      </w:r>
      <w:r>
        <w:rPr>
          <w:rStyle w:val="Emphasis"/>
        </w:rPr>
        <w:t>Neuropathology and Applied Neurobiology</w:t>
      </w:r>
      <w:r>
        <w:t xml:space="preserve">, 36(1), pp. 6–16. Available at: </w:t>
      </w:r>
      <w:hyperlink r:id="rId32" w:history="1">
        <w:r w:rsidRPr="00DE44C3">
          <w:rPr>
            <w:rStyle w:val="Hyperlink"/>
          </w:rPr>
          <w:t>https://doi.org/10.1111/j.1365-2990.2009.01024.x</w:t>
        </w:r>
      </w:hyperlink>
      <w:r>
        <w:t xml:space="preserve"> </w:t>
      </w:r>
      <w:r>
        <w:t xml:space="preserve"> (Accessed: 16 June 2026).</w:t>
      </w:r>
    </w:p>
    <w:p w14:paraId="2FE0C85B"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Briner, R.B. and Denyer, D. (2012) </w:t>
      </w:r>
      <w:r w:rsidRPr="004E22EF">
        <w:rPr>
          <w:rFonts w:ascii="Arial" w:hAnsi="Arial" w:cs="Arial"/>
          <w:i/>
          <w:iCs/>
        </w:rPr>
        <w:t>Systematic Review and Evidence Synthesis as a Practice and Scholarship Tool</w:t>
      </w:r>
      <w:r w:rsidRPr="004E22EF">
        <w:rPr>
          <w:rFonts w:ascii="Arial" w:hAnsi="Arial" w:cs="Arial"/>
        </w:rPr>
        <w:t xml:space="preserve">. </w:t>
      </w:r>
    </w:p>
    <w:p w14:paraId="5D7319BB"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Bronfenbrenner, U. (1977) ‘Toward an experimental ecology of human development’, </w:t>
      </w:r>
      <w:r w:rsidRPr="004E22EF">
        <w:rPr>
          <w:rFonts w:ascii="Arial" w:hAnsi="Arial" w:cs="Arial"/>
          <w:i/>
          <w:iCs/>
        </w:rPr>
        <w:t>American Psychologist</w:t>
      </w:r>
      <w:r w:rsidRPr="004E22EF">
        <w:rPr>
          <w:rFonts w:ascii="Arial" w:hAnsi="Arial" w:cs="Arial"/>
        </w:rPr>
        <w:t xml:space="preserve">, 32(7), pp. 513–531. Available at: </w:t>
      </w:r>
      <w:hyperlink r:id="rId33" w:tgtFrame="_new" w:history="1">
        <w:r w:rsidRPr="004E22EF">
          <w:rPr>
            <w:rStyle w:val="Hyperlink"/>
            <w:rFonts w:ascii="Arial" w:hAnsi="Arial" w:cs="Arial"/>
          </w:rPr>
          <w:t>https://doi.org/10.1037/0003-066X.32.7.513</w:t>
        </w:r>
      </w:hyperlink>
      <w:r w:rsidRPr="004E22EF">
        <w:rPr>
          <w:rFonts w:ascii="Arial" w:hAnsi="Arial" w:cs="Arial"/>
        </w:rPr>
        <w:t xml:space="preserve"> (Accessed: 8 June 2026). </w:t>
      </w:r>
    </w:p>
    <w:p w14:paraId="23AF1080"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Bunyan, A., Smith, J. and Williams, R. (2024) ‘Technology-supported dementia prevention interventions among older adults: a systematic review’, </w:t>
      </w:r>
      <w:r w:rsidRPr="004E22EF">
        <w:rPr>
          <w:rFonts w:ascii="Arial" w:hAnsi="Arial" w:cs="Arial"/>
          <w:i/>
          <w:iCs/>
        </w:rPr>
        <w:t>Journal of Medical Internet Research</w:t>
      </w:r>
      <w:r w:rsidRPr="004E22EF">
        <w:rPr>
          <w:rFonts w:ascii="Arial" w:hAnsi="Arial" w:cs="Arial"/>
        </w:rPr>
        <w:t xml:space="preserve">, 26, eXXXXX. </w:t>
      </w:r>
    </w:p>
    <w:p w14:paraId="0E18B1C1"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Chen, K. and Chan, A.H.S. (2014) ‘Gerontechnology acceptance by older adults’, </w:t>
      </w:r>
      <w:r w:rsidRPr="004E22EF">
        <w:rPr>
          <w:rFonts w:ascii="Arial" w:hAnsi="Arial" w:cs="Arial"/>
          <w:i/>
          <w:iCs/>
        </w:rPr>
        <w:t>Gerontechnology</w:t>
      </w:r>
      <w:r w:rsidRPr="004E22EF">
        <w:rPr>
          <w:rFonts w:ascii="Arial" w:hAnsi="Arial" w:cs="Arial"/>
        </w:rPr>
        <w:t xml:space="preserve">, 13(1), pp. 1–12. Available at: </w:t>
      </w:r>
      <w:hyperlink r:id="rId34" w:history="1">
        <w:r w:rsidRPr="00DE44C3">
          <w:rPr>
            <w:rStyle w:val="Hyperlink"/>
            <w:rFonts w:ascii="Arial" w:hAnsi="Arial" w:cs="Arial"/>
          </w:rPr>
          <w:t>https://doi.org/10.4017/gt.2014.13.1.006.00</w:t>
        </w:r>
      </w:hyperlink>
      <w:r>
        <w:rPr>
          <w:rFonts w:ascii="Arial" w:hAnsi="Arial" w:cs="Arial"/>
        </w:rPr>
        <w:t xml:space="preserve">  </w:t>
      </w:r>
      <w:r w:rsidRPr="004E22EF">
        <w:rPr>
          <w:rFonts w:ascii="Arial" w:hAnsi="Arial" w:cs="Arial"/>
        </w:rPr>
        <w:t xml:space="preserve"> (Accessed: 7 June 2026). </w:t>
      </w:r>
    </w:p>
    <w:p w14:paraId="6467F5E1" w14:textId="77777777" w:rsidR="004E22EF" w:rsidRDefault="004E22EF" w:rsidP="004E22EF">
      <w:pPr>
        <w:pStyle w:val="NormalWeb"/>
        <w:spacing w:line="360" w:lineRule="auto"/>
      </w:pPr>
      <w:r>
        <w:t xml:space="preserve">Chen, Y.R.R. and Schulz, P.J. (2016) ‘The effect of information communication technology interventions on reducing social isolation in the elderly’, </w:t>
      </w:r>
      <w:r>
        <w:rPr>
          <w:rStyle w:val="Emphasis"/>
        </w:rPr>
        <w:t xml:space="preserve">Journal of Medical Internet </w:t>
      </w:r>
      <w:r>
        <w:rPr>
          <w:rStyle w:val="Emphasis"/>
        </w:rPr>
        <w:lastRenderedPageBreak/>
        <w:t>Research</w:t>
      </w:r>
      <w:r>
        <w:t xml:space="preserve">, 18(1), e18. Available at: </w:t>
      </w:r>
      <w:hyperlink r:id="rId35" w:tgtFrame="_new" w:history="1">
        <w:r>
          <w:rPr>
            <w:rStyle w:val="Hyperlink"/>
          </w:rPr>
          <w:t>https://doi.org/10.2196/jmir.4596</w:t>
        </w:r>
      </w:hyperlink>
      <w:r>
        <w:t xml:space="preserve"> (Accessed: 16 June 2026).</w:t>
      </w:r>
    </w:p>
    <w:p w14:paraId="03509E7F" w14:textId="77777777" w:rsidR="004E22EF" w:rsidRDefault="004E22EF" w:rsidP="004E22EF">
      <w:pPr>
        <w:pStyle w:val="NormalWeb"/>
        <w:spacing w:line="360" w:lineRule="auto"/>
      </w:pPr>
      <w:r>
        <w:t xml:space="preserve">Choi, N.G. and Dinitto, D.M. (2013) ‘The digital divide among low-income homebound older adults’, </w:t>
      </w:r>
      <w:r>
        <w:rPr>
          <w:rStyle w:val="Emphasis"/>
        </w:rPr>
        <w:t>Journal of Medical Internet Research</w:t>
      </w:r>
      <w:r>
        <w:t xml:space="preserve">, 15(5), e93. Available at: </w:t>
      </w:r>
      <w:hyperlink r:id="rId36" w:tgtFrame="_new" w:history="1">
        <w:r>
          <w:rPr>
            <w:rStyle w:val="Hyperlink"/>
          </w:rPr>
          <w:t>https://doi.org/10.2196/jmir.2645</w:t>
        </w:r>
      </w:hyperlink>
      <w:r>
        <w:t xml:space="preserve"> (Accessed: 16 June 2026).</w:t>
      </w:r>
    </w:p>
    <w:p w14:paraId="46DD14E0"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Coley, N., Rosenberg, A., van Middelaar, T. and Brayne, C. (2022) ‘Digital interventions for dementia risk reduction and healthy ageing’, </w:t>
      </w:r>
      <w:r w:rsidRPr="004E22EF">
        <w:rPr>
          <w:rFonts w:ascii="Arial" w:hAnsi="Arial" w:cs="Arial"/>
          <w:i/>
          <w:iCs/>
        </w:rPr>
        <w:t>The Lancet Healthy Longevity</w:t>
      </w:r>
      <w:r w:rsidRPr="004E22EF">
        <w:rPr>
          <w:rFonts w:ascii="Arial" w:hAnsi="Arial" w:cs="Arial"/>
        </w:rPr>
        <w:t xml:space="preserve">, 3(8), pp. e567–e578. Available at: </w:t>
      </w:r>
      <w:hyperlink r:id="rId37" w:history="1">
        <w:r w:rsidRPr="00DE44C3">
          <w:rPr>
            <w:rStyle w:val="Hyperlink"/>
            <w:rFonts w:ascii="Arial" w:hAnsi="Arial" w:cs="Arial"/>
          </w:rPr>
          <w:t>https://doi.org/10.1016/S2666-7568(22)00145-6</w:t>
        </w:r>
      </w:hyperlink>
      <w:r>
        <w:rPr>
          <w:rFonts w:ascii="Arial" w:hAnsi="Arial" w:cs="Arial"/>
        </w:rPr>
        <w:t xml:space="preserve"> </w:t>
      </w:r>
      <w:r w:rsidRPr="004E22EF">
        <w:rPr>
          <w:rFonts w:ascii="Arial" w:hAnsi="Arial" w:cs="Arial"/>
        </w:rPr>
        <w:t xml:space="preserve"> (Accessed: 9 June 2026). </w:t>
      </w:r>
    </w:p>
    <w:p w14:paraId="2A76ABB2"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Critical Appraisal Skills Programme (2018) </w:t>
      </w:r>
      <w:r w:rsidRPr="004E22EF">
        <w:rPr>
          <w:rFonts w:ascii="Arial" w:hAnsi="Arial" w:cs="Arial"/>
          <w:i/>
          <w:iCs/>
        </w:rPr>
        <w:t>CASP Qualitative Checklist</w:t>
      </w:r>
      <w:r w:rsidRPr="004E22EF">
        <w:rPr>
          <w:rFonts w:ascii="Arial" w:hAnsi="Arial" w:cs="Arial"/>
        </w:rPr>
        <w:t xml:space="preserve">. Available at: </w:t>
      </w:r>
      <w:hyperlink r:id="rId38" w:tgtFrame="_new" w:history="1">
        <w:r w:rsidRPr="004E22EF">
          <w:rPr>
            <w:rStyle w:val="Hyperlink"/>
            <w:rFonts w:ascii="Arial" w:hAnsi="Arial" w:cs="Arial"/>
          </w:rPr>
          <w:t>https://casp-uk.net/casp-tools-checklists/</w:t>
        </w:r>
      </w:hyperlink>
      <w:r w:rsidRPr="004E22EF">
        <w:rPr>
          <w:rFonts w:ascii="Arial" w:hAnsi="Arial" w:cs="Arial"/>
        </w:rPr>
        <w:t xml:space="preserve"> (Accessed: 7 June 2026). </w:t>
      </w:r>
    </w:p>
    <w:p w14:paraId="25A59FBC"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Czaja, S.J., Boot, W.R., Charness, N. and Rogers, W.A. (2019) </w:t>
      </w:r>
      <w:r w:rsidRPr="004E22EF">
        <w:rPr>
          <w:rFonts w:ascii="Arial" w:hAnsi="Arial" w:cs="Arial"/>
          <w:i/>
          <w:iCs/>
        </w:rPr>
        <w:t>Designing for Older Adults: Principles and Creative Human Factors Approaches</w:t>
      </w:r>
      <w:r w:rsidRPr="004E22EF">
        <w:rPr>
          <w:rFonts w:ascii="Arial" w:hAnsi="Arial" w:cs="Arial"/>
        </w:rPr>
        <w:t xml:space="preserve">. 3rd edn. Boca Raton: CRC Press. Available at: </w:t>
      </w:r>
      <w:hyperlink r:id="rId39" w:history="1">
        <w:r w:rsidRPr="00DE44C3">
          <w:rPr>
            <w:rStyle w:val="Hyperlink"/>
            <w:rFonts w:ascii="Arial" w:hAnsi="Arial" w:cs="Arial"/>
          </w:rPr>
          <w:t>https://doi.org/10.1201/9781351230752</w:t>
        </w:r>
      </w:hyperlink>
      <w:r>
        <w:rPr>
          <w:rFonts w:ascii="Arial" w:hAnsi="Arial" w:cs="Arial"/>
        </w:rPr>
        <w:t xml:space="preserve"> </w:t>
      </w:r>
      <w:r w:rsidRPr="004E22EF">
        <w:rPr>
          <w:rFonts w:ascii="Arial" w:hAnsi="Arial" w:cs="Arial"/>
        </w:rPr>
        <w:t xml:space="preserve"> (Accessed: 7 June 2026). </w:t>
      </w:r>
    </w:p>
    <w:p w14:paraId="5DEDC17E"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Davis, F.D. (1989) ‘Perceived usefulness, perceived ease of use, and user acceptance of information technology’, </w:t>
      </w:r>
      <w:r w:rsidRPr="004E22EF">
        <w:rPr>
          <w:rFonts w:ascii="Arial" w:hAnsi="Arial" w:cs="Arial"/>
          <w:i/>
          <w:iCs/>
        </w:rPr>
        <w:t>MIS Quarterly</w:t>
      </w:r>
      <w:r w:rsidRPr="004E22EF">
        <w:rPr>
          <w:rFonts w:ascii="Arial" w:hAnsi="Arial" w:cs="Arial"/>
        </w:rPr>
        <w:t xml:space="preserve">, 13(3), pp. 319–340. Available at: </w:t>
      </w:r>
      <w:hyperlink r:id="rId40" w:tgtFrame="_new" w:history="1">
        <w:r w:rsidRPr="004E22EF">
          <w:rPr>
            <w:rStyle w:val="Hyperlink"/>
            <w:rFonts w:ascii="Arial" w:hAnsi="Arial" w:cs="Arial"/>
          </w:rPr>
          <w:t>https://doi.org/10.2307/249008</w:t>
        </w:r>
      </w:hyperlink>
      <w:r w:rsidRPr="004E22EF">
        <w:rPr>
          <w:rFonts w:ascii="Arial" w:hAnsi="Arial" w:cs="Arial"/>
        </w:rPr>
        <w:t xml:space="preserve"> (Accessed: 9 June 2026). </w:t>
      </w:r>
    </w:p>
    <w:p w14:paraId="0524E295" w14:textId="77777777" w:rsidR="004E22EF" w:rsidRDefault="004E22EF" w:rsidP="004E22EF">
      <w:pPr>
        <w:pStyle w:val="NormalWeb"/>
        <w:spacing w:line="360" w:lineRule="auto"/>
      </w:pPr>
      <w:r>
        <w:t xml:space="preserve">Deckers, K., van Boxtel, M.P.J., Schiepers, O.J.G. et al. (2015) ‘Target risk factors for dementia prevention’, </w:t>
      </w:r>
      <w:r>
        <w:rPr>
          <w:rStyle w:val="Emphasis"/>
        </w:rPr>
        <w:t>Alzheimer’s &amp; Dementia</w:t>
      </w:r>
      <w:r>
        <w:t xml:space="preserve">, 11(7), pp. 718–726. Available at: </w:t>
      </w:r>
      <w:hyperlink r:id="rId41" w:tgtFrame="_new" w:history="1">
        <w:r>
          <w:rPr>
            <w:rStyle w:val="Hyperlink"/>
          </w:rPr>
          <w:t>https://doi.org/10.1016/j.jalz.2013.11.007</w:t>
        </w:r>
      </w:hyperlink>
      <w:r>
        <w:t xml:space="preserve"> (Accessed: 16 June 2026).</w:t>
      </w:r>
    </w:p>
    <w:p w14:paraId="73151F81"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Department of Health and Social Care (2024) </w:t>
      </w:r>
      <w:r w:rsidRPr="004E22EF">
        <w:rPr>
          <w:rFonts w:ascii="Arial" w:hAnsi="Arial" w:cs="Arial"/>
          <w:i/>
          <w:iCs/>
        </w:rPr>
        <w:t>Major conditions strategy</w:t>
      </w:r>
      <w:r w:rsidRPr="004E22EF">
        <w:rPr>
          <w:rFonts w:ascii="Arial" w:hAnsi="Arial" w:cs="Arial"/>
        </w:rPr>
        <w:t xml:space="preserve">. Available at: </w:t>
      </w:r>
      <w:hyperlink r:id="rId42" w:tgtFrame="_new" w:history="1">
        <w:r w:rsidRPr="004E22EF">
          <w:rPr>
            <w:rStyle w:val="Hyperlink"/>
            <w:rFonts w:ascii="Arial" w:hAnsi="Arial" w:cs="Arial"/>
          </w:rPr>
          <w:t>https://www.gov.uk/government/organisations/department-of-health-and-social-care</w:t>
        </w:r>
      </w:hyperlink>
      <w:r w:rsidRPr="004E22EF">
        <w:rPr>
          <w:rFonts w:ascii="Arial" w:hAnsi="Arial" w:cs="Arial"/>
        </w:rPr>
        <w:t xml:space="preserve"> (Accessed: 9 June 2026). </w:t>
      </w:r>
    </w:p>
    <w:p w14:paraId="0C668C9B" w14:textId="77777777" w:rsidR="004E22EF" w:rsidRDefault="004E22EF" w:rsidP="004E22EF">
      <w:pPr>
        <w:pStyle w:val="NormalWeb"/>
        <w:spacing w:line="360" w:lineRule="auto"/>
      </w:pPr>
      <w:r>
        <w:t xml:space="preserve">Dollard, J. and Veltman, A. (2018) </w:t>
      </w:r>
      <w:r>
        <w:rPr>
          <w:rStyle w:val="Emphasis"/>
        </w:rPr>
        <w:t>Digital Health: Meeting the Needs of Older Adults</w:t>
      </w:r>
      <w:r>
        <w:t>. London: Age UK.</w:t>
      </w:r>
    </w:p>
    <w:p w14:paraId="552CC9C9"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EQUATOR Network (2025) </w:t>
      </w:r>
      <w:r w:rsidRPr="004E22EF">
        <w:rPr>
          <w:rFonts w:ascii="Arial" w:hAnsi="Arial" w:cs="Arial"/>
          <w:i/>
          <w:iCs/>
        </w:rPr>
        <w:t>PRISMA Reporting Guidelines</w:t>
      </w:r>
      <w:r w:rsidRPr="004E22EF">
        <w:rPr>
          <w:rFonts w:ascii="Arial" w:hAnsi="Arial" w:cs="Arial"/>
        </w:rPr>
        <w:t xml:space="preserve">. Available at: </w:t>
      </w:r>
      <w:hyperlink r:id="rId43" w:tgtFrame="_new" w:history="1">
        <w:r w:rsidRPr="004E22EF">
          <w:rPr>
            <w:rStyle w:val="Hyperlink"/>
            <w:rFonts w:ascii="Arial" w:hAnsi="Arial" w:cs="Arial"/>
          </w:rPr>
          <w:t>https://www.equator-network.org/reporting-guidelines/prisma/</w:t>
        </w:r>
      </w:hyperlink>
      <w:r w:rsidRPr="004E22EF">
        <w:rPr>
          <w:rFonts w:ascii="Arial" w:hAnsi="Arial" w:cs="Arial"/>
        </w:rPr>
        <w:t xml:space="preserve"> (Accessed: 7 June 2026). </w:t>
      </w:r>
    </w:p>
    <w:p w14:paraId="3245F5B1" w14:textId="77777777" w:rsidR="004E22EF" w:rsidRDefault="004E22EF" w:rsidP="004E22EF">
      <w:pPr>
        <w:pStyle w:val="NormalWeb"/>
        <w:spacing w:line="360" w:lineRule="auto"/>
      </w:pPr>
      <w:r>
        <w:t xml:space="preserve">Feter, N., Dos Santos, T.S., Caputo, E.L. and da Silva, M.C. (2019) ‘What is the role of physical activity and sedentary behaviour in dementia prevention?’, </w:t>
      </w:r>
      <w:r>
        <w:rPr>
          <w:rStyle w:val="Emphasis"/>
        </w:rPr>
        <w:t>Ageing Research Reviews</w:t>
      </w:r>
      <w:r>
        <w:t xml:space="preserve">, 53, 100911. Available at: </w:t>
      </w:r>
      <w:hyperlink r:id="rId44" w:history="1">
        <w:r w:rsidRPr="00DE44C3">
          <w:rPr>
            <w:rStyle w:val="Hyperlink"/>
          </w:rPr>
          <w:t>https://doi.org/10.1016/j.arr.2019.100911</w:t>
        </w:r>
      </w:hyperlink>
      <w:r>
        <w:t xml:space="preserve"> </w:t>
      </w:r>
      <w:r>
        <w:t xml:space="preserve"> (Accessed: 16 June 2026).</w:t>
      </w:r>
    </w:p>
    <w:p w14:paraId="40EF60B1" w14:textId="77777777" w:rsidR="004E22EF" w:rsidRDefault="004E22EF" w:rsidP="004E22EF">
      <w:pPr>
        <w:pStyle w:val="NormalWeb"/>
        <w:spacing w:line="360" w:lineRule="auto"/>
      </w:pPr>
      <w:r>
        <w:lastRenderedPageBreak/>
        <w:t xml:space="preserve">Forsman, A.K., Nordmyr, J. and Wahlbeck, K. (2011) ‘Psychosocial interventions for the promotion of mental health and the prevention of depression among older adults’, </w:t>
      </w:r>
      <w:r>
        <w:rPr>
          <w:rStyle w:val="Emphasis"/>
        </w:rPr>
        <w:t>Health Promotion International</w:t>
      </w:r>
      <w:r>
        <w:t xml:space="preserve">, 26(S1), pp. i85–i107. Available at: </w:t>
      </w:r>
      <w:hyperlink r:id="rId45" w:tgtFrame="_new" w:history="1">
        <w:r>
          <w:rPr>
            <w:rStyle w:val="Hyperlink"/>
          </w:rPr>
          <w:t>https://doi.org/10.1093/heapro/dar074</w:t>
        </w:r>
      </w:hyperlink>
      <w:r>
        <w:t xml:space="preserve"> (Accessed: 16 June 2026).</w:t>
      </w:r>
    </w:p>
    <w:p w14:paraId="3A5D3487"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Grant, M.J. and Booth, A. (2009) ‘A typology of reviews’, </w:t>
      </w:r>
      <w:r w:rsidRPr="004E22EF">
        <w:rPr>
          <w:rFonts w:ascii="Arial" w:hAnsi="Arial" w:cs="Arial"/>
          <w:i/>
          <w:iCs/>
        </w:rPr>
        <w:t>Health Information and Libraries Journal</w:t>
      </w:r>
      <w:r w:rsidRPr="004E22EF">
        <w:rPr>
          <w:rFonts w:ascii="Arial" w:hAnsi="Arial" w:cs="Arial"/>
        </w:rPr>
        <w:t xml:space="preserve">, 26(2), pp. 91–108. Available at: </w:t>
      </w:r>
      <w:hyperlink r:id="rId46" w:tgtFrame="_new" w:history="1">
        <w:r w:rsidRPr="004E22EF">
          <w:rPr>
            <w:rStyle w:val="Hyperlink"/>
            <w:rFonts w:ascii="Arial" w:hAnsi="Arial" w:cs="Arial"/>
          </w:rPr>
          <w:t>https://doi.org/10.1111/j.1471-1842.2009.00848.x</w:t>
        </w:r>
      </w:hyperlink>
      <w:r w:rsidRPr="004E22EF">
        <w:rPr>
          <w:rFonts w:ascii="Arial" w:hAnsi="Arial" w:cs="Arial"/>
        </w:rPr>
        <w:t xml:space="preserve"> (Accessed: 8 June 2026). </w:t>
      </w:r>
    </w:p>
    <w:p w14:paraId="24B4EACC" w14:textId="77777777" w:rsidR="004E22EF" w:rsidRDefault="004E22EF" w:rsidP="004E22EF">
      <w:pPr>
        <w:pStyle w:val="NormalWeb"/>
        <w:spacing w:line="360" w:lineRule="auto"/>
      </w:pPr>
      <w:r>
        <w:t xml:space="preserve">Greenhalgh, T., Wherton, J., Papoutsi, C. et al. (2017) ‘Beyond adoption: a new framework for theorizing and evaluating nonadoption, abandonment and challenges to scale-up’, </w:t>
      </w:r>
      <w:r>
        <w:rPr>
          <w:rStyle w:val="Emphasis"/>
        </w:rPr>
        <w:t>Journal of Medical Internet Research</w:t>
      </w:r>
      <w:r>
        <w:t xml:space="preserve">, 19(11), e367. Available at: </w:t>
      </w:r>
      <w:hyperlink r:id="rId47" w:tgtFrame="_new" w:history="1">
        <w:r>
          <w:rPr>
            <w:rStyle w:val="Hyperlink"/>
          </w:rPr>
          <w:t>https://doi.org/10.2196/jmir.8775</w:t>
        </w:r>
      </w:hyperlink>
      <w:r>
        <w:t xml:space="preserve"> (Accessed: 16 June 2026).</w:t>
      </w:r>
    </w:p>
    <w:p w14:paraId="4BA06016"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Gusenbauer, M. and Haddaway, N.R. (2020) ‘Which academic search systems are suitable for systematic reviews?’, </w:t>
      </w:r>
      <w:r w:rsidRPr="004E22EF">
        <w:rPr>
          <w:rFonts w:ascii="Arial" w:hAnsi="Arial" w:cs="Arial"/>
          <w:i/>
          <w:iCs/>
        </w:rPr>
        <w:t>Research Synthesis Methods</w:t>
      </w:r>
      <w:r w:rsidRPr="004E22EF">
        <w:rPr>
          <w:rFonts w:ascii="Arial" w:hAnsi="Arial" w:cs="Arial"/>
        </w:rPr>
        <w:t xml:space="preserve">, 11(2), pp. 181–217. Available at: </w:t>
      </w:r>
      <w:hyperlink r:id="rId48" w:tgtFrame="_new" w:history="1">
        <w:r w:rsidRPr="004E22EF">
          <w:rPr>
            <w:rStyle w:val="Hyperlink"/>
            <w:rFonts w:ascii="Arial" w:hAnsi="Arial" w:cs="Arial"/>
          </w:rPr>
          <w:t>https://doi.org/10.1002/jrsm.1378</w:t>
        </w:r>
      </w:hyperlink>
      <w:r w:rsidRPr="004E22EF">
        <w:rPr>
          <w:rFonts w:ascii="Arial" w:hAnsi="Arial" w:cs="Arial"/>
        </w:rPr>
        <w:t xml:space="preserve"> (Accessed: 8 June 2026). </w:t>
      </w:r>
    </w:p>
    <w:p w14:paraId="62930CDF"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Harvard T.H. Chan School of Public Health (2024) </w:t>
      </w:r>
      <w:r w:rsidRPr="004E22EF">
        <w:rPr>
          <w:rFonts w:ascii="Arial" w:hAnsi="Arial" w:cs="Arial"/>
          <w:i/>
          <w:iCs/>
        </w:rPr>
        <w:t>Rethinking dementia as preventable, not inevitable</w:t>
      </w:r>
      <w:r w:rsidRPr="004E22EF">
        <w:rPr>
          <w:rFonts w:ascii="Arial" w:hAnsi="Arial" w:cs="Arial"/>
        </w:rPr>
        <w:t xml:space="preserve">. Available at: </w:t>
      </w:r>
      <w:hyperlink r:id="rId49" w:tgtFrame="_new" w:history="1">
        <w:r w:rsidRPr="004E22EF">
          <w:rPr>
            <w:rStyle w:val="Hyperlink"/>
            <w:rFonts w:ascii="Arial" w:hAnsi="Arial" w:cs="Arial"/>
          </w:rPr>
          <w:t>https://hsph.harvard.edu/news/rethinking-dementia-as-preventable-not-inevitable/</w:t>
        </w:r>
      </w:hyperlink>
      <w:r w:rsidRPr="004E22EF">
        <w:rPr>
          <w:rFonts w:ascii="Arial" w:hAnsi="Arial" w:cs="Arial"/>
        </w:rPr>
        <w:t xml:space="preserve"> (Accessed: 2 June 2026). </w:t>
      </w:r>
    </w:p>
    <w:p w14:paraId="3E61C1E5"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Heart, T. and Kalderon, E. (2013) ‘Older adults: are they ready to adopt health-related ICT?’, </w:t>
      </w:r>
      <w:r w:rsidRPr="004E22EF">
        <w:rPr>
          <w:rFonts w:ascii="Arial" w:hAnsi="Arial" w:cs="Arial"/>
          <w:i/>
          <w:iCs/>
        </w:rPr>
        <w:t>International Journal of Medical Informatics</w:t>
      </w:r>
      <w:r w:rsidRPr="004E22EF">
        <w:rPr>
          <w:rFonts w:ascii="Arial" w:hAnsi="Arial" w:cs="Arial"/>
        </w:rPr>
        <w:t xml:space="preserve">, 82(11), pp. e209–e231. Available at: </w:t>
      </w:r>
      <w:hyperlink r:id="rId50" w:tgtFrame="_new" w:history="1">
        <w:r w:rsidRPr="004E22EF">
          <w:rPr>
            <w:rStyle w:val="Hyperlink"/>
            <w:rFonts w:ascii="Arial" w:hAnsi="Arial" w:cs="Arial"/>
          </w:rPr>
          <w:t>https://doi.org/10.1016/j.ijmedinf.2011.03.002</w:t>
        </w:r>
      </w:hyperlink>
      <w:r w:rsidRPr="004E22EF">
        <w:rPr>
          <w:rFonts w:ascii="Arial" w:hAnsi="Arial" w:cs="Arial"/>
        </w:rPr>
        <w:t xml:space="preserve"> (Accessed: 7 June 2026). </w:t>
      </w:r>
    </w:p>
    <w:p w14:paraId="475843D6" w14:textId="77777777" w:rsidR="004E22EF" w:rsidRDefault="004E22EF" w:rsidP="004E22EF">
      <w:pPr>
        <w:pStyle w:val="NormalWeb"/>
        <w:spacing w:line="360" w:lineRule="auto"/>
      </w:pPr>
      <w:r>
        <w:t xml:space="preserve">Higgins, J.P.T., Thomas, J., Chandler, J. et al. (2024) </w:t>
      </w:r>
      <w:r>
        <w:rPr>
          <w:rStyle w:val="Emphasis"/>
        </w:rPr>
        <w:t>Cochrane Handbook for Systematic Reviews of Interventions</w:t>
      </w:r>
      <w:r>
        <w:t>. 3rd edn. Chichester: Wiley.</w:t>
      </w:r>
    </w:p>
    <w:p w14:paraId="202F33D3"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Joanna Briggs Institute (2017) </w:t>
      </w:r>
      <w:r w:rsidRPr="004E22EF">
        <w:rPr>
          <w:rFonts w:ascii="Arial" w:hAnsi="Arial" w:cs="Arial"/>
          <w:i/>
          <w:iCs/>
        </w:rPr>
        <w:t>Critical Appraisal Tools</w:t>
      </w:r>
      <w:r w:rsidRPr="004E22EF">
        <w:rPr>
          <w:rFonts w:ascii="Arial" w:hAnsi="Arial" w:cs="Arial"/>
        </w:rPr>
        <w:t xml:space="preserve">. Available at: </w:t>
      </w:r>
      <w:hyperlink r:id="rId51" w:tgtFrame="_new" w:history="1">
        <w:r w:rsidRPr="004E22EF">
          <w:rPr>
            <w:rStyle w:val="Hyperlink"/>
            <w:rFonts w:ascii="Arial" w:hAnsi="Arial" w:cs="Arial"/>
          </w:rPr>
          <w:t>https://jbi.global/critical-appraisal-tools</w:t>
        </w:r>
      </w:hyperlink>
      <w:r w:rsidRPr="004E22EF">
        <w:rPr>
          <w:rFonts w:ascii="Arial" w:hAnsi="Arial" w:cs="Arial"/>
        </w:rPr>
        <w:t xml:space="preserve"> (Accessed: 7 June 2026). </w:t>
      </w:r>
    </w:p>
    <w:p w14:paraId="4DE3D947" w14:textId="77777777" w:rsidR="004E22EF" w:rsidRDefault="004E22EF" w:rsidP="004E22EF">
      <w:pPr>
        <w:pStyle w:val="NormalWeb"/>
        <w:spacing w:line="360" w:lineRule="auto"/>
      </w:pPr>
      <w:r>
        <w:t xml:space="preserve">Kelly, M.E., Loughrey, D., Lawlor, B.A. et al. (2014) ‘The impact of cognitive training and mental stimulation on cognitive outcomes’, </w:t>
      </w:r>
      <w:r>
        <w:rPr>
          <w:rStyle w:val="Emphasis"/>
        </w:rPr>
        <w:t>Ageing Research Reviews</w:t>
      </w:r>
      <w:r>
        <w:t xml:space="preserve">, 15, pp. 28–43. Available at: </w:t>
      </w:r>
      <w:hyperlink r:id="rId52" w:history="1">
        <w:r w:rsidRPr="00DE44C3">
          <w:rPr>
            <w:rStyle w:val="Hyperlink"/>
          </w:rPr>
          <w:t>https://doi.org/10.1016/j.arr.2014.02.004</w:t>
        </w:r>
      </w:hyperlink>
      <w:r>
        <w:t xml:space="preserve">  </w:t>
      </w:r>
      <w:r>
        <w:t xml:space="preserve"> (Accessed: 16 June 2026).</w:t>
      </w:r>
    </w:p>
    <w:p w14:paraId="39135867" w14:textId="77777777" w:rsidR="004E22EF" w:rsidRDefault="004E22EF" w:rsidP="004E22EF">
      <w:pPr>
        <w:pStyle w:val="NormalWeb"/>
        <w:spacing w:line="360" w:lineRule="auto"/>
      </w:pPr>
      <w:r>
        <w:t xml:space="preserve">Kivipelto, M., Mangialasche, F. and Ngandu, T. (2018) ‘Lifestyle interventions to prevent cognitive impairment’, </w:t>
      </w:r>
      <w:r>
        <w:rPr>
          <w:rStyle w:val="Emphasis"/>
        </w:rPr>
        <w:t>Nature Reviews Neurology</w:t>
      </w:r>
      <w:r>
        <w:t xml:space="preserve">, 14(11), pp. 653–666. Available at: </w:t>
      </w:r>
      <w:hyperlink r:id="rId53" w:history="1">
        <w:r w:rsidRPr="00DE44C3">
          <w:rPr>
            <w:rStyle w:val="Hyperlink"/>
          </w:rPr>
          <w:t>https://doi.org/10.1038/s41582-018-0070-3</w:t>
        </w:r>
      </w:hyperlink>
      <w:r>
        <w:t xml:space="preserve"> </w:t>
      </w:r>
      <w:r>
        <w:t xml:space="preserve"> (Accessed: 16 June 2026).</w:t>
      </w:r>
    </w:p>
    <w:p w14:paraId="36333891" w14:textId="77777777" w:rsidR="004E22EF" w:rsidRPr="004E22EF" w:rsidRDefault="004E22EF" w:rsidP="004E22EF">
      <w:pPr>
        <w:spacing w:line="360" w:lineRule="auto"/>
        <w:jc w:val="both"/>
        <w:rPr>
          <w:rFonts w:ascii="Arial" w:hAnsi="Arial" w:cs="Arial"/>
        </w:rPr>
      </w:pPr>
      <w:r w:rsidRPr="004E22EF">
        <w:rPr>
          <w:rFonts w:ascii="Arial" w:hAnsi="Arial" w:cs="Arial"/>
        </w:rPr>
        <w:lastRenderedPageBreak/>
        <w:t xml:space="preserve">Klimova, B., Maresova, P. and Kuca, K. (2019) ‘Non-pharmacological approaches to the prevention of dementia’, </w:t>
      </w:r>
      <w:r w:rsidRPr="004E22EF">
        <w:rPr>
          <w:rFonts w:ascii="Arial" w:hAnsi="Arial" w:cs="Arial"/>
          <w:i/>
          <w:iCs/>
        </w:rPr>
        <w:t>Journal of Clinical Medicine</w:t>
      </w:r>
      <w:r w:rsidRPr="004E22EF">
        <w:rPr>
          <w:rFonts w:ascii="Arial" w:hAnsi="Arial" w:cs="Arial"/>
        </w:rPr>
        <w:t xml:space="preserve">, 8(5), 668. Available at: </w:t>
      </w:r>
      <w:hyperlink r:id="rId54" w:tgtFrame="_new" w:history="1">
        <w:r w:rsidRPr="004E22EF">
          <w:rPr>
            <w:rStyle w:val="Hyperlink"/>
            <w:rFonts w:ascii="Arial" w:hAnsi="Arial" w:cs="Arial"/>
          </w:rPr>
          <w:t>https://doi.org/10.3390/jcm8050668</w:t>
        </w:r>
      </w:hyperlink>
      <w:r w:rsidRPr="004E22EF">
        <w:rPr>
          <w:rFonts w:ascii="Arial" w:hAnsi="Arial" w:cs="Arial"/>
        </w:rPr>
        <w:t xml:space="preserve"> (Accessed: 6 June 2026). </w:t>
      </w:r>
    </w:p>
    <w:p w14:paraId="660DE1A6"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Kueider, A.M., Parisi, J.M., Gross, A.L. and Rebok, G.W. (2012) ‘Computerized cognitive training with older adults: a systematic review’, </w:t>
      </w:r>
      <w:r w:rsidRPr="004E22EF">
        <w:rPr>
          <w:rFonts w:ascii="Arial" w:hAnsi="Arial" w:cs="Arial"/>
          <w:i/>
          <w:iCs/>
        </w:rPr>
        <w:t>PLoS ONE</w:t>
      </w:r>
      <w:r w:rsidRPr="004E22EF">
        <w:rPr>
          <w:rFonts w:ascii="Arial" w:hAnsi="Arial" w:cs="Arial"/>
        </w:rPr>
        <w:t xml:space="preserve">, 7(7), e40588. Available at: </w:t>
      </w:r>
      <w:hyperlink r:id="rId55" w:tgtFrame="_new" w:history="1">
        <w:r w:rsidRPr="004E22EF">
          <w:rPr>
            <w:rStyle w:val="Hyperlink"/>
            <w:rFonts w:ascii="Arial" w:hAnsi="Arial" w:cs="Arial"/>
          </w:rPr>
          <w:t>https://doi.org/10.1371/journal.pone.0040588</w:t>
        </w:r>
      </w:hyperlink>
      <w:r w:rsidRPr="004E22EF">
        <w:rPr>
          <w:rFonts w:ascii="Arial" w:hAnsi="Arial" w:cs="Arial"/>
        </w:rPr>
        <w:t xml:space="preserve"> (Accessed: 6 June 2026). </w:t>
      </w:r>
    </w:p>
    <w:p w14:paraId="3D968861"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Lampit, A., Hallock, H. and Valenzuela, M. (2014) ‘Computerized cognitive training in cognitively healthy older adults: a systematic review and meta-analysis’, </w:t>
      </w:r>
      <w:r w:rsidRPr="004E22EF">
        <w:rPr>
          <w:rFonts w:ascii="Arial" w:hAnsi="Arial" w:cs="Arial"/>
          <w:i/>
          <w:iCs/>
        </w:rPr>
        <w:t>PLoS Medicine</w:t>
      </w:r>
      <w:r w:rsidRPr="004E22EF">
        <w:rPr>
          <w:rFonts w:ascii="Arial" w:hAnsi="Arial" w:cs="Arial"/>
        </w:rPr>
        <w:t xml:space="preserve">, 11(11), e1001756. Available at: </w:t>
      </w:r>
      <w:hyperlink r:id="rId56" w:tgtFrame="_new" w:history="1">
        <w:r w:rsidRPr="004E22EF">
          <w:rPr>
            <w:rStyle w:val="Hyperlink"/>
            <w:rFonts w:ascii="Arial" w:hAnsi="Arial" w:cs="Arial"/>
          </w:rPr>
          <w:t>https://doi.org/10.1371/journal.pmed.1001756</w:t>
        </w:r>
      </w:hyperlink>
      <w:r w:rsidRPr="004E22EF">
        <w:rPr>
          <w:rFonts w:ascii="Arial" w:hAnsi="Arial" w:cs="Arial"/>
        </w:rPr>
        <w:t xml:space="preserve"> (Accessed: 6 June 2026). </w:t>
      </w:r>
    </w:p>
    <w:p w14:paraId="52FABA5E" w14:textId="77777777" w:rsidR="004E22EF" w:rsidRDefault="004E22EF" w:rsidP="004E22EF">
      <w:pPr>
        <w:pStyle w:val="NormalWeb"/>
        <w:spacing w:line="360" w:lineRule="auto"/>
      </w:pPr>
      <w:r>
        <w:t xml:space="preserve">Lee, C. and Coughlin, J.F. (2015) ‘Perspective: Older adults’ adoption of technology’, </w:t>
      </w:r>
      <w:r>
        <w:rPr>
          <w:rStyle w:val="Emphasis"/>
        </w:rPr>
        <w:t>Universal Access in the Information Society</w:t>
      </w:r>
      <w:r>
        <w:t xml:space="preserve">, 14(4), pp. 515–523. Available at: </w:t>
      </w:r>
      <w:hyperlink r:id="rId57" w:history="1">
        <w:r w:rsidRPr="00DE44C3">
          <w:rPr>
            <w:rStyle w:val="Hyperlink"/>
          </w:rPr>
          <w:t>https://doi.org/10.1007/s10209-014-0344-9</w:t>
        </w:r>
      </w:hyperlink>
      <w:r>
        <w:t xml:space="preserve"> </w:t>
      </w:r>
      <w:r>
        <w:t xml:space="preserve"> (Accessed: 16 June 2026).</w:t>
      </w:r>
    </w:p>
    <w:p w14:paraId="77CC8CC6" w14:textId="77777777" w:rsidR="004E22EF" w:rsidRDefault="004E22EF" w:rsidP="004E22EF">
      <w:pPr>
        <w:pStyle w:val="NormalWeb"/>
        <w:spacing w:line="360" w:lineRule="auto"/>
      </w:pPr>
      <w:r>
        <w:t xml:space="preserve">Levac, D., Colquhoun, H. and O’Brien, K.K. (2010) ‘Scoping studies: advancing the methodology’, </w:t>
      </w:r>
      <w:r>
        <w:rPr>
          <w:rStyle w:val="Emphasis"/>
        </w:rPr>
        <w:t>Implementation Science</w:t>
      </w:r>
      <w:r>
        <w:t xml:space="preserve">, 5(69). Available at: </w:t>
      </w:r>
      <w:hyperlink r:id="rId58" w:tgtFrame="_new" w:history="1">
        <w:r>
          <w:rPr>
            <w:rStyle w:val="Hyperlink"/>
          </w:rPr>
          <w:t>https://doi.org/10.1186/1748-5908-5-69</w:t>
        </w:r>
      </w:hyperlink>
      <w:r>
        <w:t xml:space="preserve"> (Accessed: 16 June 2026).</w:t>
      </w:r>
    </w:p>
    <w:p w14:paraId="7D4185F5"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Livingston, G. et al. (2020) ‘Dementia prevention, intervention, and care: 2020 report of the Lancet Commission’, </w:t>
      </w:r>
      <w:r w:rsidRPr="004E22EF">
        <w:rPr>
          <w:rFonts w:ascii="Arial" w:hAnsi="Arial" w:cs="Arial"/>
          <w:i/>
          <w:iCs/>
        </w:rPr>
        <w:t>The Lancet</w:t>
      </w:r>
      <w:r w:rsidRPr="004E22EF">
        <w:rPr>
          <w:rFonts w:ascii="Arial" w:hAnsi="Arial" w:cs="Arial"/>
        </w:rPr>
        <w:t xml:space="preserve">, 396(10248), pp. 413–446. Available at: </w:t>
      </w:r>
      <w:hyperlink r:id="rId59" w:tgtFrame="_new" w:history="1">
        <w:r w:rsidRPr="004E22EF">
          <w:rPr>
            <w:rStyle w:val="Hyperlink"/>
            <w:rFonts w:ascii="Arial" w:hAnsi="Arial" w:cs="Arial"/>
          </w:rPr>
          <w:t>https://doi.org/10.1016/S0140-6736(20)30367-6</w:t>
        </w:r>
      </w:hyperlink>
      <w:r w:rsidRPr="004E22EF">
        <w:rPr>
          <w:rFonts w:ascii="Arial" w:hAnsi="Arial" w:cs="Arial"/>
        </w:rPr>
        <w:t xml:space="preserve"> (Accessed: 9 June 2026). </w:t>
      </w:r>
    </w:p>
    <w:p w14:paraId="55BCF5EC"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Livingston, G., Huntley, J., Liu, K.Y. et al. (2024) ‘Dementia prevention, intervention, and care: 2024 report of the Lancet Standing Commission’, </w:t>
      </w:r>
      <w:r w:rsidRPr="004E22EF">
        <w:rPr>
          <w:rFonts w:ascii="Arial" w:hAnsi="Arial" w:cs="Arial"/>
          <w:i/>
          <w:iCs/>
        </w:rPr>
        <w:t>The Lancet</w:t>
      </w:r>
      <w:r w:rsidRPr="004E22EF">
        <w:rPr>
          <w:rFonts w:ascii="Arial" w:hAnsi="Arial" w:cs="Arial"/>
        </w:rPr>
        <w:t xml:space="preserve">, 404(10452), pp. 572–628. Available at: </w:t>
      </w:r>
      <w:hyperlink r:id="rId60" w:tgtFrame="_new" w:history="1">
        <w:r w:rsidRPr="004E22EF">
          <w:rPr>
            <w:rStyle w:val="Hyperlink"/>
            <w:rFonts w:ascii="Arial" w:hAnsi="Arial" w:cs="Arial"/>
          </w:rPr>
          <w:t>https://doi.org/10.1016/S0140-6736(24)01296-0</w:t>
        </w:r>
      </w:hyperlink>
      <w:r w:rsidRPr="004E22EF">
        <w:rPr>
          <w:rFonts w:ascii="Arial" w:hAnsi="Arial" w:cs="Arial"/>
        </w:rPr>
        <w:t xml:space="preserve"> (Accessed: 9 June 2026). </w:t>
      </w:r>
    </w:p>
    <w:p w14:paraId="4D334A8E" w14:textId="77777777" w:rsidR="004E22EF" w:rsidRDefault="004E22EF" w:rsidP="004E22EF">
      <w:pPr>
        <w:pStyle w:val="NormalWeb"/>
        <w:spacing w:line="360" w:lineRule="auto"/>
      </w:pPr>
      <w:r>
        <w:t xml:space="preserve">Mangialasche, F., Kivipelto, M., Solomon, A. and Fratiglioni, L. (2012) ‘Dementia prevention’, </w:t>
      </w:r>
      <w:r>
        <w:rPr>
          <w:rStyle w:val="Emphasis"/>
        </w:rPr>
        <w:t>The Lancet</w:t>
      </w:r>
      <w:r>
        <w:t xml:space="preserve">, 380(9852), pp. 1726–1734. Available at: </w:t>
      </w:r>
      <w:hyperlink r:id="rId61" w:history="1">
        <w:r w:rsidRPr="00DE44C3">
          <w:rPr>
            <w:rStyle w:val="Hyperlink"/>
          </w:rPr>
          <w:t>https://doi.org/10.1016/S0140-6736(12)60898-8</w:t>
        </w:r>
      </w:hyperlink>
      <w:r>
        <w:t xml:space="preserve"> </w:t>
      </w:r>
      <w:r>
        <w:t xml:space="preserve"> (Accessed: 16 June 2026).</w:t>
      </w:r>
    </w:p>
    <w:p w14:paraId="43C01209"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McLeroy, K.R., Bibeau, D., Steckler, A. and Glanz, K. (1988) ‘An ecological perspective on health promotion programs’, </w:t>
      </w:r>
      <w:r w:rsidRPr="004E22EF">
        <w:rPr>
          <w:rFonts w:ascii="Arial" w:hAnsi="Arial" w:cs="Arial"/>
          <w:i/>
          <w:iCs/>
        </w:rPr>
        <w:t>Health Education Quarterly</w:t>
      </w:r>
      <w:r w:rsidRPr="004E22EF">
        <w:rPr>
          <w:rFonts w:ascii="Arial" w:hAnsi="Arial" w:cs="Arial"/>
        </w:rPr>
        <w:t xml:space="preserve">, 15(4), pp. 351–377. Available at: </w:t>
      </w:r>
      <w:hyperlink r:id="rId62" w:tgtFrame="_new" w:history="1">
        <w:r w:rsidRPr="004E22EF">
          <w:rPr>
            <w:rStyle w:val="Hyperlink"/>
            <w:rFonts w:ascii="Arial" w:hAnsi="Arial" w:cs="Arial"/>
          </w:rPr>
          <w:t>https://doi.org/10.1177/109019818801500401</w:t>
        </w:r>
      </w:hyperlink>
      <w:r w:rsidRPr="004E22EF">
        <w:rPr>
          <w:rFonts w:ascii="Arial" w:hAnsi="Arial" w:cs="Arial"/>
        </w:rPr>
        <w:t xml:space="preserve"> (Accessed: 8 June 2026). </w:t>
      </w:r>
    </w:p>
    <w:p w14:paraId="3A80C50D" w14:textId="77777777" w:rsidR="004E22EF" w:rsidRDefault="004E22EF" w:rsidP="004E22EF">
      <w:pPr>
        <w:pStyle w:val="NormalWeb"/>
        <w:spacing w:line="360" w:lineRule="auto"/>
      </w:pPr>
      <w:r>
        <w:t xml:space="preserve">Mitzner, T.L., Boron, J.B., Fausset, C.B. et al. (2010) ‘Older adults talk technology’, </w:t>
      </w:r>
      <w:r>
        <w:rPr>
          <w:rStyle w:val="Emphasis"/>
        </w:rPr>
        <w:t>Computers in Human Behavior</w:t>
      </w:r>
      <w:r>
        <w:t xml:space="preserve">, 26(6), pp. 1710–1721. Available at: </w:t>
      </w:r>
      <w:hyperlink r:id="rId63" w:history="1">
        <w:r w:rsidRPr="00DE44C3">
          <w:rPr>
            <w:rStyle w:val="Hyperlink"/>
          </w:rPr>
          <w:t>https://doi.org/10.1016/j.chb.2010.06.020</w:t>
        </w:r>
      </w:hyperlink>
      <w:r>
        <w:t xml:space="preserve"> </w:t>
      </w:r>
      <w:r>
        <w:t xml:space="preserve"> (Accessed: 16 June 2026).</w:t>
      </w:r>
    </w:p>
    <w:p w14:paraId="79145F22" w14:textId="77777777" w:rsidR="004E22EF" w:rsidRDefault="004E22EF" w:rsidP="004E22EF">
      <w:pPr>
        <w:pStyle w:val="NormalWeb"/>
        <w:spacing w:line="360" w:lineRule="auto"/>
      </w:pPr>
      <w:r>
        <w:lastRenderedPageBreak/>
        <w:t xml:space="preserve">Mitzner, T.L., Savla, J., Boot, W.R. et al. (2019) </w:t>
      </w:r>
      <w:r>
        <w:rPr>
          <w:rStyle w:val="Emphasis"/>
        </w:rPr>
        <w:t>Technology Adoption by Older Adults</w:t>
      </w:r>
      <w:r>
        <w:t>. Boca Raton: CRC Press.</w:t>
      </w:r>
    </w:p>
    <w:p w14:paraId="1D928C45"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Moher, D., Liberati, A., Tetzlaff, J. and Altman, D.G. (2009) ‘Preferred reporting items for systematic reviews and meta-analyses: the PRISMA statement’, </w:t>
      </w:r>
      <w:r w:rsidRPr="004E22EF">
        <w:rPr>
          <w:rFonts w:ascii="Arial" w:hAnsi="Arial" w:cs="Arial"/>
          <w:i/>
          <w:iCs/>
        </w:rPr>
        <w:t>PLoS Medicine</w:t>
      </w:r>
      <w:r w:rsidRPr="004E22EF">
        <w:rPr>
          <w:rFonts w:ascii="Arial" w:hAnsi="Arial" w:cs="Arial"/>
        </w:rPr>
        <w:t xml:space="preserve">, 6(7), e1000097. Available at: </w:t>
      </w:r>
      <w:hyperlink r:id="rId64" w:tgtFrame="_new" w:history="1">
        <w:r w:rsidRPr="004E22EF">
          <w:rPr>
            <w:rStyle w:val="Hyperlink"/>
            <w:rFonts w:ascii="Arial" w:hAnsi="Arial" w:cs="Arial"/>
          </w:rPr>
          <w:t>https://doi.org/10.1371/journal.pmed.1000097</w:t>
        </w:r>
      </w:hyperlink>
      <w:r w:rsidRPr="004E22EF">
        <w:rPr>
          <w:rFonts w:ascii="Arial" w:hAnsi="Arial" w:cs="Arial"/>
        </w:rPr>
        <w:t xml:space="preserve"> (Accessed: 9 June 2026). </w:t>
      </w:r>
    </w:p>
    <w:p w14:paraId="1A1C02B8" w14:textId="77777777" w:rsidR="004E22EF" w:rsidRDefault="004E22EF" w:rsidP="004E22EF">
      <w:pPr>
        <w:pStyle w:val="NormalWeb"/>
        <w:spacing w:line="360" w:lineRule="auto"/>
      </w:pPr>
      <w:r>
        <w:t xml:space="preserve"> Morris, M.E., Adair, B., Miller, K. et al. (2013) ‘Smart technologies to enhance social connectedness’, </w:t>
      </w:r>
      <w:r>
        <w:rPr>
          <w:rStyle w:val="Emphasis"/>
        </w:rPr>
        <w:t>Journal of Rehabilitation and Assistive Technologies Engineering</w:t>
      </w:r>
      <w:r>
        <w:t xml:space="preserve">, 1. Available at: </w:t>
      </w:r>
      <w:hyperlink r:id="rId65" w:history="1">
        <w:r w:rsidRPr="00DE44C3">
          <w:rPr>
            <w:rStyle w:val="Hyperlink"/>
          </w:rPr>
          <w:t>https://doi.org/10.1177/2055668314567136</w:t>
        </w:r>
      </w:hyperlink>
      <w:r>
        <w:t xml:space="preserve">  </w:t>
      </w:r>
      <w:r>
        <w:t xml:space="preserve"> (Accessed: 16 June 2026).</w:t>
      </w:r>
    </w:p>
    <w:p w14:paraId="3FA1038B"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National Institute for Health and Care Excellence (2018) </w:t>
      </w:r>
      <w:r w:rsidRPr="004E22EF">
        <w:rPr>
          <w:rFonts w:ascii="Arial" w:hAnsi="Arial" w:cs="Arial"/>
          <w:i/>
          <w:iCs/>
        </w:rPr>
        <w:t>Dementia: assessment, management and support for people living with dementia and their carers (NG97)</w:t>
      </w:r>
      <w:r w:rsidRPr="004E22EF">
        <w:rPr>
          <w:rFonts w:ascii="Arial" w:hAnsi="Arial" w:cs="Arial"/>
        </w:rPr>
        <w:t xml:space="preserve">. Updated 2024. Available at: </w:t>
      </w:r>
      <w:hyperlink r:id="rId66" w:tgtFrame="_new" w:history="1">
        <w:r w:rsidRPr="004E22EF">
          <w:rPr>
            <w:rStyle w:val="Hyperlink"/>
            <w:rFonts w:ascii="Arial" w:hAnsi="Arial" w:cs="Arial"/>
          </w:rPr>
          <w:t>https://www.nice.org.uk/guidance/ng97</w:t>
        </w:r>
      </w:hyperlink>
      <w:r w:rsidRPr="004E22EF">
        <w:rPr>
          <w:rFonts w:ascii="Arial" w:hAnsi="Arial" w:cs="Arial"/>
        </w:rPr>
        <w:t xml:space="preserve"> (Accessed: 9 June 2026). </w:t>
      </w:r>
    </w:p>
    <w:p w14:paraId="1F11B5E7"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National Institute on Aging (2025) </w:t>
      </w:r>
      <w:r w:rsidRPr="004E22EF">
        <w:rPr>
          <w:rFonts w:ascii="Arial" w:hAnsi="Arial" w:cs="Arial"/>
          <w:i/>
          <w:iCs/>
        </w:rPr>
        <w:t>Alzheimer’s disease fact sheet</w:t>
      </w:r>
      <w:r w:rsidRPr="004E22EF">
        <w:rPr>
          <w:rFonts w:ascii="Arial" w:hAnsi="Arial" w:cs="Arial"/>
        </w:rPr>
        <w:t xml:space="preserve">. Available at: </w:t>
      </w:r>
      <w:hyperlink r:id="rId67" w:tgtFrame="_new" w:history="1">
        <w:r w:rsidRPr="004E22EF">
          <w:rPr>
            <w:rStyle w:val="Hyperlink"/>
            <w:rFonts w:ascii="Arial" w:hAnsi="Arial" w:cs="Arial"/>
          </w:rPr>
          <w:t>https://www.nia.nih.gov/health/alzheimers-and-dementia/alzheimers-disease-fact-sheet</w:t>
        </w:r>
      </w:hyperlink>
      <w:r w:rsidRPr="004E22EF">
        <w:rPr>
          <w:rFonts w:ascii="Arial" w:hAnsi="Arial" w:cs="Arial"/>
        </w:rPr>
        <w:t xml:space="preserve"> (Accessed: 9 June 2026). </w:t>
      </w:r>
    </w:p>
    <w:p w14:paraId="057C208F" w14:textId="77777777" w:rsidR="004E22EF" w:rsidRDefault="004E22EF" w:rsidP="004E22EF">
      <w:pPr>
        <w:pStyle w:val="NormalWeb"/>
        <w:spacing w:line="360" w:lineRule="auto"/>
      </w:pPr>
      <w:r>
        <w:t xml:space="preserve">Ngandu, T., Lehtisalo, J., Solomon, A. et al. (2015) ‘A 2 year multidomain intervention of diet, exercise, cognitive training and vascular risk monitoring’, </w:t>
      </w:r>
      <w:r>
        <w:rPr>
          <w:rStyle w:val="Emphasis"/>
        </w:rPr>
        <w:t>The Lancet</w:t>
      </w:r>
      <w:r>
        <w:t xml:space="preserve">, 385(9984), pp. 2255–2263. Available at: </w:t>
      </w:r>
      <w:hyperlink r:id="rId68" w:history="1">
        <w:r w:rsidRPr="00DE44C3">
          <w:rPr>
            <w:rStyle w:val="Hyperlink"/>
          </w:rPr>
          <w:t>https://doi.org/10.1016/S0140-6736(15)60461-5</w:t>
        </w:r>
      </w:hyperlink>
      <w:r>
        <w:t xml:space="preserve"> </w:t>
      </w:r>
      <w:r>
        <w:t xml:space="preserve"> (Accessed: 16 June 2026).</w:t>
      </w:r>
    </w:p>
    <w:p w14:paraId="05F9C5ED"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NHS (2024) </w:t>
      </w:r>
      <w:r w:rsidRPr="004E22EF">
        <w:rPr>
          <w:rFonts w:ascii="Arial" w:hAnsi="Arial" w:cs="Arial"/>
          <w:i/>
          <w:iCs/>
        </w:rPr>
        <w:t>Dementia</w:t>
      </w:r>
      <w:r w:rsidRPr="004E22EF">
        <w:rPr>
          <w:rFonts w:ascii="Arial" w:hAnsi="Arial" w:cs="Arial"/>
        </w:rPr>
        <w:t xml:space="preserve">. Available at: </w:t>
      </w:r>
      <w:hyperlink r:id="rId69" w:tgtFrame="_new" w:history="1">
        <w:r w:rsidRPr="004E22EF">
          <w:rPr>
            <w:rStyle w:val="Hyperlink"/>
            <w:rFonts w:ascii="Arial" w:hAnsi="Arial" w:cs="Arial"/>
          </w:rPr>
          <w:t>https://www.nhs.uk/conditions/dementia/</w:t>
        </w:r>
      </w:hyperlink>
      <w:r w:rsidRPr="004E22EF">
        <w:rPr>
          <w:rFonts w:ascii="Arial" w:hAnsi="Arial" w:cs="Arial"/>
        </w:rPr>
        <w:t xml:space="preserve"> (Accessed: 9 June 2026). </w:t>
      </w:r>
    </w:p>
    <w:p w14:paraId="5A2ABC82"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NHS England (2022) </w:t>
      </w:r>
      <w:r w:rsidRPr="004E22EF">
        <w:rPr>
          <w:rFonts w:ascii="Arial" w:hAnsi="Arial" w:cs="Arial"/>
          <w:i/>
          <w:iCs/>
        </w:rPr>
        <w:t>A plan for digital health and social care</w:t>
      </w:r>
      <w:r w:rsidRPr="004E22EF">
        <w:rPr>
          <w:rFonts w:ascii="Arial" w:hAnsi="Arial" w:cs="Arial"/>
        </w:rPr>
        <w:t xml:space="preserve">. Available at: </w:t>
      </w:r>
      <w:hyperlink r:id="rId70" w:tgtFrame="_new" w:history="1">
        <w:r w:rsidRPr="004E22EF">
          <w:rPr>
            <w:rStyle w:val="Hyperlink"/>
            <w:rFonts w:ascii="Arial" w:hAnsi="Arial" w:cs="Arial"/>
          </w:rPr>
          <w:t>https://www.england.nhs.uk/long-read/a-plan-for-digital-health-and-social-care/</w:t>
        </w:r>
      </w:hyperlink>
      <w:r w:rsidRPr="004E22EF">
        <w:rPr>
          <w:rFonts w:ascii="Arial" w:hAnsi="Arial" w:cs="Arial"/>
        </w:rPr>
        <w:t xml:space="preserve"> (Accessed: 6 June 2026). </w:t>
      </w:r>
    </w:p>
    <w:p w14:paraId="348EB5E6" w14:textId="77777777" w:rsidR="004E22EF" w:rsidRDefault="004E22EF" w:rsidP="004E22EF">
      <w:pPr>
        <w:pStyle w:val="NormalWeb"/>
        <w:spacing w:line="360" w:lineRule="auto"/>
      </w:pPr>
      <w:r>
        <w:t xml:space="preserve">Nichols, E., Steinmetz, J.D., Vollset, S.E. et al. (2022) ‘Estimation of the global prevalence of dementia’, </w:t>
      </w:r>
      <w:r>
        <w:rPr>
          <w:rStyle w:val="Emphasis"/>
        </w:rPr>
        <w:t>The Lancet Public Health</w:t>
      </w:r>
      <w:r>
        <w:t xml:space="preserve">, 7(2), pp. e105–e125. Available at: </w:t>
      </w:r>
      <w:hyperlink r:id="rId71" w:history="1">
        <w:r w:rsidRPr="00DE44C3">
          <w:rPr>
            <w:rStyle w:val="Hyperlink"/>
          </w:rPr>
          <w:t>https://doi.org/10.1016/S2468-2667(21)00249-8</w:t>
        </w:r>
      </w:hyperlink>
      <w:r>
        <w:t xml:space="preserve"> </w:t>
      </w:r>
      <w:r>
        <w:t xml:space="preserve"> (Accessed: 16 June 2026).</w:t>
      </w:r>
    </w:p>
    <w:p w14:paraId="61E4F6E5"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Nowell, L.S., Norris, J.M., White, D.E. and Moules, N.J. (2017) ‘Thematic analysis: striving to meet the trustworthiness criteria’, </w:t>
      </w:r>
      <w:r w:rsidRPr="004E22EF">
        <w:rPr>
          <w:rFonts w:ascii="Arial" w:hAnsi="Arial" w:cs="Arial"/>
          <w:i/>
          <w:iCs/>
        </w:rPr>
        <w:t>International Journal of Qualitative Methods</w:t>
      </w:r>
      <w:r w:rsidRPr="004E22EF">
        <w:rPr>
          <w:rFonts w:ascii="Arial" w:hAnsi="Arial" w:cs="Arial"/>
        </w:rPr>
        <w:t xml:space="preserve">, 16(1), pp. 1–13. Available at: </w:t>
      </w:r>
      <w:hyperlink r:id="rId72" w:tgtFrame="_new" w:history="1">
        <w:r w:rsidRPr="004E22EF">
          <w:rPr>
            <w:rStyle w:val="Hyperlink"/>
            <w:rFonts w:ascii="Arial" w:hAnsi="Arial" w:cs="Arial"/>
          </w:rPr>
          <w:t>https://doi.org/10.1177/1609406917733847</w:t>
        </w:r>
      </w:hyperlink>
      <w:r w:rsidRPr="004E22EF">
        <w:rPr>
          <w:rFonts w:ascii="Arial" w:hAnsi="Arial" w:cs="Arial"/>
        </w:rPr>
        <w:t xml:space="preserve"> (Accessed: 8 June 2026). </w:t>
      </w:r>
    </w:p>
    <w:p w14:paraId="27E08DD4" w14:textId="77777777" w:rsidR="004E22EF" w:rsidRDefault="004E22EF" w:rsidP="004E22EF">
      <w:pPr>
        <w:pStyle w:val="NormalWeb"/>
        <w:spacing w:line="360" w:lineRule="auto"/>
      </w:pPr>
      <w:r>
        <w:lastRenderedPageBreak/>
        <w:t xml:space="preserve">Nutbeam, D. (2000) ‘Health literacy as a public health goal’, </w:t>
      </w:r>
      <w:r>
        <w:rPr>
          <w:rStyle w:val="Emphasis"/>
        </w:rPr>
        <w:t>Health Promotion International</w:t>
      </w:r>
      <w:r>
        <w:t xml:space="preserve">, 15(3), pp. 259–267. Available at: </w:t>
      </w:r>
      <w:hyperlink r:id="rId73" w:tgtFrame="_new" w:history="1">
        <w:r>
          <w:rPr>
            <w:rStyle w:val="Hyperlink"/>
          </w:rPr>
          <w:t>https://doi.org/10.1093/heapro/15.3.259</w:t>
        </w:r>
      </w:hyperlink>
      <w:r>
        <w:t xml:space="preserve"> (Accessed: 16 June 2026).</w:t>
      </w:r>
    </w:p>
    <w:p w14:paraId="6CADC14D"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Office for National Statistics (2023) </w:t>
      </w:r>
      <w:r w:rsidRPr="004E22EF">
        <w:rPr>
          <w:rFonts w:ascii="Arial" w:hAnsi="Arial" w:cs="Arial"/>
          <w:i/>
          <w:iCs/>
        </w:rPr>
        <w:t>Deaths registered in England and Wales: 2023</w:t>
      </w:r>
      <w:r w:rsidRPr="004E22EF">
        <w:rPr>
          <w:rFonts w:ascii="Arial" w:hAnsi="Arial" w:cs="Arial"/>
        </w:rPr>
        <w:t xml:space="preserve">. Available at: </w:t>
      </w:r>
      <w:hyperlink r:id="rId74" w:tgtFrame="_new" w:history="1">
        <w:r w:rsidRPr="004E22EF">
          <w:rPr>
            <w:rStyle w:val="Hyperlink"/>
            <w:rFonts w:ascii="Arial" w:hAnsi="Arial" w:cs="Arial"/>
          </w:rPr>
          <w:t>https://www.ons.gov.uk/peoplepopulationandcommunity/birthsdeathsandmarriages/deaths</w:t>
        </w:r>
      </w:hyperlink>
      <w:r w:rsidRPr="004E22EF">
        <w:rPr>
          <w:rFonts w:ascii="Arial" w:hAnsi="Arial" w:cs="Arial"/>
        </w:rPr>
        <w:t xml:space="preserve"> (Accessed: 9 June 2026). </w:t>
      </w:r>
    </w:p>
    <w:p w14:paraId="60DD8528" w14:textId="77777777" w:rsidR="004E22EF" w:rsidRDefault="004E22EF" w:rsidP="004E22EF">
      <w:pPr>
        <w:pStyle w:val="NormalWeb"/>
        <w:spacing w:line="360" w:lineRule="auto"/>
      </w:pPr>
      <w:r>
        <w:t xml:space="preserve">Olanrewaju, O., Kelly, S., Cowan, A. et al. (2020) ‘Physical activity in community dwelling older people’, </w:t>
      </w:r>
      <w:r>
        <w:rPr>
          <w:rStyle w:val="Emphasis"/>
        </w:rPr>
        <w:t>BMC Public Health</w:t>
      </w:r>
      <w:r>
        <w:t xml:space="preserve">, 20, 1214. Available at: </w:t>
      </w:r>
      <w:hyperlink r:id="rId75" w:history="1">
        <w:r w:rsidRPr="00DE44C3">
          <w:rPr>
            <w:rStyle w:val="Hyperlink"/>
          </w:rPr>
          <w:t>https://doi.org/10.1186/s12889-020-09381-0</w:t>
        </w:r>
      </w:hyperlink>
      <w:r>
        <w:t xml:space="preserve"> </w:t>
      </w:r>
      <w:r>
        <w:t xml:space="preserve"> (Accessed: 16 June 2026).</w:t>
      </w:r>
    </w:p>
    <w:p w14:paraId="2D4A35CF"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Page, M.J., McKenzie, J.E., Bossuyt, P.M. et al. (2021) ‘The PRISMA 2020 statement: an updated guideline for reporting systematic reviews’, </w:t>
      </w:r>
      <w:r w:rsidRPr="004E22EF">
        <w:rPr>
          <w:rFonts w:ascii="Arial" w:hAnsi="Arial" w:cs="Arial"/>
          <w:i/>
          <w:iCs/>
        </w:rPr>
        <w:t>BMJ</w:t>
      </w:r>
      <w:r w:rsidRPr="004E22EF">
        <w:rPr>
          <w:rFonts w:ascii="Arial" w:hAnsi="Arial" w:cs="Arial"/>
        </w:rPr>
        <w:t xml:space="preserve">, 372, n71. Available at: </w:t>
      </w:r>
      <w:hyperlink r:id="rId76" w:tgtFrame="_new" w:history="1">
        <w:r w:rsidRPr="004E22EF">
          <w:rPr>
            <w:rStyle w:val="Hyperlink"/>
            <w:rFonts w:ascii="Arial" w:hAnsi="Arial" w:cs="Arial"/>
          </w:rPr>
          <w:t>https://doi.org/10.1136/bmj.n71</w:t>
        </w:r>
      </w:hyperlink>
      <w:r w:rsidRPr="004E22EF">
        <w:rPr>
          <w:rFonts w:ascii="Arial" w:hAnsi="Arial" w:cs="Arial"/>
        </w:rPr>
        <w:t xml:space="preserve"> (Accessed: 9 June 2026). </w:t>
      </w:r>
    </w:p>
    <w:p w14:paraId="12FF1DB8"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Peek, S.T.M., Wouters, E.J.M., van Hoof, J., Luijkx, K.G., Boeije, H.R. and Vrijhoef, H.J.M. (2014) ‘Factors influencing acceptance of technology for ageing in place’, </w:t>
      </w:r>
      <w:r w:rsidRPr="004E22EF">
        <w:rPr>
          <w:rFonts w:ascii="Arial" w:hAnsi="Arial" w:cs="Arial"/>
          <w:i/>
          <w:iCs/>
        </w:rPr>
        <w:t>International Journal of Medical Informatics</w:t>
      </w:r>
      <w:r w:rsidRPr="004E22EF">
        <w:rPr>
          <w:rFonts w:ascii="Arial" w:hAnsi="Arial" w:cs="Arial"/>
        </w:rPr>
        <w:t xml:space="preserve">, 83(4), pp. 235–248. Available at: </w:t>
      </w:r>
      <w:hyperlink r:id="rId77" w:tgtFrame="_new" w:history="1">
        <w:r w:rsidRPr="004E22EF">
          <w:rPr>
            <w:rStyle w:val="Hyperlink"/>
            <w:rFonts w:ascii="Arial" w:hAnsi="Arial" w:cs="Arial"/>
          </w:rPr>
          <w:t>https://doi.org/10.1016/j.ijmedinf.2014.01.004</w:t>
        </w:r>
      </w:hyperlink>
      <w:r w:rsidRPr="004E22EF">
        <w:rPr>
          <w:rFonts w:ascii="Arial" w:hAnsi="Arial" w:cs="Arial"/>
        </w:rPr>
        <w:t xml:space="preserve"> (Accessed: 7 June 2026). </w:t>
      </w:r>
    </w:p>
    <w:p w14:paraId="6023D550" w14:textId="77777777" w:rsidR="004E22EF" w:rsidRDefault="004E22EF" w:rsidP="004E22EF">
      <w:pPr>
        <w:pStyle w:val="NormalWeb"/>
        <w:spacing w:line="360" w:lineRule="auto"/>
      </w:pPr>
      <w:r>
        <w:t xml:space="preserve">Prince, M., Wimo, A., Guerchet, M. et al. (2015) </w:t>
      </w:r>
      <w:r>
        <w:rPr>
          <w:rStyle w:val="Emphasis"/>
        </w:rPr>
        <w:t>World Alzheimer Report 2015</w:t>
      </w:r>
      <w:r>
        <w:t>. London: Alzheimer’s Disease International.</w:t>
      </w:r>
    </w:p>
    <w:p w14:paraId="59BB441D"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PRISMA Statement (2025) </w:t>
      </w:r>
      <w:r w:rsidRPr="004E22EF">
        <w:rPr>
          <w:rFonts w:ascii="Arial" w:hAnsi="Arial" w:cs="Arial"/>
          <w:i/>
          <w:iCs/>
        </w:rPr>
        <w:t>PRISMA 2020 Checklist</w:t>
      </w:r>
      <w:r w:rsidRPr="004E22EF">
        <w:rPr>
          <w:rFonts w:ascii="Arial" w:hAnsi="Arial" w:cs="Arial"/>
        </w:rPr>
        <w:t xml:space="preserve">. Available at: </w:t>
      </w:r>
      <w:hyperlink r:id="rId78" w:tgtFrame="_new" w:history="1">
        <w:r w:rsidRPr="004E22EF">
          <w:rPr>
            <w:rStyle w:val="Hyperlink"/>
            <w:rFonts w:ascii="Arial" w:hAnsi="Arial" w:cs="Arial"/>
          </w:rPr>
          <w:t>https://www.prisma-statement.org/prisma-2020-checklist</w:t>
        </w:r>
      </w:hyperlink>
      <w:r w:rsidRPr="004E22EF">
        <w:rPr>
          <w:rFonts w:ascii="Arial" w:hAnsi="Arial" w:cs="Arial"/>
        </w:rPr>
        <w:t xml:space="preserve"> (Accessed: 7 June 2026). </w:t>
      </w:r>
    </w:p>
    <w:p w14:paraId="0030F584"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Public Health Wales (2026) </w:t>
      </w:r>
      <w:r w:rsidRPr="004E22EF">
        <w:rPr>
          <w:rFonts w:ascii="Arial" w:hAnsi="Arial" w:cs="Arial"/>
          <w:i/>
          <w:iCs/>
        </w:rPr>
        <w:t>International Health Insights: Dementia Prevention</w:t>
      </w:r>
      <w:r w:rsidRPr="004E22EF">
        <w:rPr>
          <w:rFonts w:ascii="Arial" w:hAnsi="Arial" w:cs="Arial"/>
        </w:rPr>
        <w:t xml:space="preserve">. Available at: </w:t>
      </w:r>
      <w:hyperlink r:id="rId79" w:tgtFrame="_new" w:history="1">
        <w:r w:rsidRPr="004E22EF">
          <w:rPr>
            <w:rStyle w:val="Hyperlink"/>
            <w:rFonts w:ascii="Arial" w:hAnsi="Arial" w:cs="Arial"/>
          </w:rPr>
          <w:t>https://phwwhocc.co.uk/wp-content/uploads/2026/03/International-Health-Insights-Dementia-Prevention.pdf</w:t>
        </w:r>
      </w:hyperlink>
      <w:r w:rsidRPr="004E22EF">
        <w:rPr>
          <w:rFonts w:ascii="Arial" w:hAnsi="Arial" w:cs="Arial"/>
        </w:rPr>
        <w:t xml:space="preserve"> (Accessed: 1 April 2026). </w:t>
      </w:r>
    </w:p>
    <w:p w14:paraId="7147686C"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Reetz, K. (2026) ‘Prevention of cognitive decline and dementia – current state of evidence’, </w:t>
      </w:r>
      <w:r w:rsidRPr="004E22EF">
        <w:rPr>
          <w:rFonts w:ascii="Arial" w:hAnsi="Arial" w:cs="Arial"/>
          <w:i/>
          <w:iCs/>
        </w:rPr>
        <w:t>Frontiers in Neurology</w:t>
      </w:r>
      <w:r w:rsidRPr="004E22EF">
        <w:rPr>
          <w:rFonts w:ascii="Arial" w:hAnsi="Arial" w:cs="Arial"/>
        </w:rPr>
        <w:t xml:space="preserve">. Available at: </w:t>
      </w:r>
      <w:hyperlink r:id="rId80" w:tgtFrame="_new" w:history="1">
        <w:r w:rsidRPr="004E22EF">
          <w:rPr>
            <w:rStyle w:val="Hyperlink"/>
            <w:rFonts w:ascii="Arial" w:hAnsi="Arial" w:cs="Arial"/>
          </w:rPr>
          <w:t>https://pmc.ncbi.nlm.nih.gov/articles/PMC13101104/</w:t>
        </w:r>
      </w:hyperlink>
      <w:r w:rsidRPr="004E22EF">
        <w:rPr>
          <w:rFonts w:ascii="Arial" w:hAnsi="Arial" w:cs="Arial"/>
        </w:rPr>
        <w:t xml:space="preserve"> (Accessed: 1 June 2026). </w:t>
      </w:r>
    </w:p>
    <w:p w14:paraId="5B7DDC2A" w14:textId="77777777" w:rsidR="004E22EF" w:rsidRDefault="004E22EF" w:rsidP="004E22EF">
      <w:pPr>
        <w:pStyle w:val="NormalWeb"/>
        <w:spacing w:line="360" w:lineRule="auto"/>
      </w:pPr>
      <w:r>
        <w:t xml:space="preserve">Reijnders, J., van Heugten, C. and van Boxtel, M. (2013) ‘Cognitive interventions in healthy older adults’, </w:t>
      </w:r>
      <w:r>
        <w:rPr>
          <w:rStyle w:val="Emphasis"/>
        </w:rPr>
        <w:t>Ageing Research Reviews</w:t>
      </w:r>
      <w:r>
        <w:t xml:space="preserve">, 12(1), pp. 263–275. Available at: </w:t>
      </w:r>
      <w:hyperlink r:id="rId81" w:history="1">
        <w:r w:rsidRPr="00DE44C3">
          <w:rPr>
            <w:rStyle w:val="Hyperlink"/>
          </w:rPr>
          <w:t>https://doi.org/10.1016/j.arr.2012.07.003</w:t>
        </w:r>
      </w:hyperlink>
      <w:r>
        <w:t xml:space="preserve"> </w:t>
      </w:r>
      <w:r>
        <w:t xml:space="preserve"> (Accessed: 16 June 2026).</w:t>
      </w:r>
    </w:p>
    <w:p w14:paraId="067412E6" w14:textId="77777777" w:rsidR="004E22EF" w:rsidRDefault="004E22EF" w:rsidP="004E22EF">
      <w:pPr>
        <w:pStyle w:val="NormalWeb"/>
        <w:spacing w:line="360" w:lineRule="auto"/>
      </w:pPr>
      <w:r>
        <w:t xml:space="preserve">Rogers, E.M. (2003) </w:t>
      </w:r>
      <w:r>
        <w:rPr>
          <w:rStyle w:val="Emphasis"/>
        </w:rPr>
        <w:t>Diffusion of Innovations</w:t>
      </w:r>
      <w:r>
        <w:t>. 5th edn. New York: Free Press.</w:t>
      </w:r>
    </w:p>
    <w:p w14:paraId="2E05BAA7" w14:textId="77777777" w:rsidR="004E22EF" w:rsidRDefault="004E22EF" w:rsidP="004E22EF">
      <w:pPr>
        <w:pStyle w:val="NormalWeb"/>
        <w:spacing w:line="360" w:lineRule="auto"/>
      </w:pPr>
      <w:r>
        <w:lastRenderedPageBreak/>
        <w:t xml:space="preserve">Rosenstock, I.M. (1974) ‘Historical origins of the health belief model’, </w:t>
      </w:r>
      <w:r>
        <w:rPr>
          <w:rStyle w:val="Emphasis"/>
        </w:rPr>
        <w:t>Health Education Monographs</w:t>
      </w:r>
      <w:r>
        <w:t xml:space="preserve">, 2(4), pp. 328–335. Available at: </w:t>
      </w:r>
      <w:hyperlink r:id="rId82" w:tgtFrame="_new" w:history="1">
        <w:r>
          <w:rPr>
            <w:rStyle w:val="Hyperlink"/>
          </w:rPr>
          <w:t>https://doi.org/10.1177/109019817400200403</w:t>
        </w:r>
      </w:hyperlink>
      <w:r>
        <w:t xml:space="preserve"> (Accessed: 16 June 2026).</w:t>
      </w:r>
    </w:p>
    <w:p w14:paraId="2CD65BE1" w14:textId="77777777" w:rsidR="004E22EF" w:rsidRDefault="004E22EF" w:rsidP="004E22EF">
      <w:pPr>
        <w:pStyle w:val="NormalWeb"/>
        <w:spacing w:line="360" w:lineRule="auto"/>
      </w:pPr>
      <w:r>
        <w:t xml:space="preserve">Schaie, K.W. (2013) </w:t>
      </w:r>
      <w:r>
        <w:rPr>
          <w:rStyle w:val="Emphasis"/>
        </w:rPr>
        <w:t>Developmental Influences on Adult Intelligence</w:t>
      </w:r>
      <w:r>
        <w:t>. Oxford: Oxford University Press.</w:t>
      </w:r>
    </w:p>
    <w:p w14:paraId="368F9DF5" w14:textId="77777777" w:rsidR="004E22EF" w:rsidRDefault="004E22EF" w:rsidP="004E22EF">
      <w:pPr>
        <w:pStyle w:val="NormalWeb"/>
        <w:spacing w:line="360" w:lineRule="auto"/>
      </w:pPr>
      <w:r>
        <w:t xml:space="preserve">Simons, D.J., Boot, W.R., Charness, N. et al. (2016) ‘Do “brain-training” programs work?’, </w:t>
      </w:r>
      <w:r>
        <w:rPr>
          <w:rStyle w:val="Emphasis"/>
        </w:rPr>
        <w:t>Psychological Science in the Public Interest</w:t>
      </w:r>
      <w:r>
        <w:t xml:space="preserve">, 17(3), pp. 103–186. Available at: </w:t>
      </w:r>
      <w:hyperlink r:id="rId83" w:tgtFrame="_new" w:history="1">
        <w:r>
          <w:rPr>
            <w:rStyle w:val="Hyperlink"/>
          </w:rPr>
          <w:t>https://doi.org/10.1177/1529100616661983</w:t>
        </w:r>
      </w:hyperlink>
      <w:r>
        <w:t xml:space="preserve"> (Accessed: 16 June 2026).</w:t>
      </w:r>
    </w:p>
    <w:p w14:paraId="3EAB83F7" w14:textId="77777777" w:rsidR="004E22EF" w:rsidRDefault="004E22EF" w:rsidP="004E22EF">
      <w:pPr>
        <w:pStyle w:val="NormalWeb"/>
        <w:spacing w:line="360" w:lineRule="auto"/>
      </w:pPr>
      <w:r>
        <w:t xml:space="preserve">Sixsmith, A. and Sixsmith, J. (2008) ‘Ageing in place in the United Kingdom’, </w:t>
      </w:r>
      <w:r>
        <w:rPr>
          <w:rStyle w:val="Emphasis"/>
        </w:rPr>
        <w:t>Ageing International</w:t>
      </w:r>
      <w:r>
        <w:t xml:space="preserve">, 32(3), pp. 219–235. Available at: </w:t>
      </w:r>
      <w:hyperlink r:id="rId84" w:history="1">
        <w:r w:rsidRPr="00DE44C3">
          <w:rPr>
            <w:rStyle w:val="Hyperlink"/>
          </w:rPr>
          <w:t>https://doi.org/10.1007/s12126-008-9020-y</w:t>
        </w:r>
      </w:hyperlink>
      <w:r>
        <w:t xml:space="preserve"> </w:t>
      </w:r>
      <w:r>
        <w:t xml:space="preserve"> (Accessed: 16 June 2026).</w:t>
      </w:r>
    </w:p>
    <w:p w14:paraId="54F26AE7" w14:textId="77777777" w:rsidR="004E22EF" w:rsidRDefault="004E22EF" w:rsidP="004E22EF">
      <w:pPr>
        <w:pStyle w:val="NormalWeb"/>
        <w:spacing w:line="360" w:lineRule="auto"/>
      </w:pPr>
      <w:r>
        <w:t xml:space="preserve">Sloane, P.D., Zimmerman, S., Suchindran, C. et al. (2002) ‘The public health impact of Alzheimer’s disease’, </w:t>
      </w:r>
      <w:r>
        <w:rPr>
          <w:rStyle w:val="Emphasis"/>
        </w:rPr>
        <w:t>Annual Review of Public Health</w:t>
      </w:r>
      <w:r>
        <w:t xml:space="preserve">, 23, pp. 213–231. Available at: </w:t>
      </w:r>
      <w:hyperlink r:id="rId85" w:history="1">
        <w:r w:rsidRPr="00DE44C3">
          <w:rPr>
            <w:rStyle w:val="Hyperlink"/>
          </w:rPr>
          <w:t>https://doi.org/10.1146/annurev.publhealth.23.100901.140536</w:t>
        </w:r>
      </w:hyperlink>
      <w:r>
        <w:t xml:space="preserve">  </w:t>
      </w:r>
      <w:r>
        <w:t xml:space="preserve"> (Accessed: 16 June 2026).</w:t>
      </w:r>
    </w:p>
    <w:p w14:paraId="72FC0764"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Snyder, H. (2019) ‘Literature review as a research methodology’, </w:t>
      </w:r>
      <w:r w:rsidRPr="004E22EF">
        <w:rPr>
          <w:rFonts w:ascii="Arial" w:hAnsi="Arial" w:cs="Arial"/>
          <w:i/>
          <w:iCs/>
        </w:rPr>
        <w:t>Journal of Business Research</w:t>
      </w:r>
      <w:r w:rsidRPr="004E22EF">
        <w:rPr>
          <w:rFonts w:ascii="Arial" w:hAnsi="Arial" w:cs="Arial"/>
        </w:rPr>
        <w:t xml:space="preserve">, 104, pp. 333–339. Available at: </w:t>
      </w:r>
      <w:hyperlink r:id="rId86" w:tgtFrame="_new" w:history="1">
        <w:r w:rsidRPr="004E22EF">
          <w:rPr>
            <w:rStyle w:val="Hyperlink"/>
            <w:rFonts w:ascii="Arial" w:hAnsi="Arial" w:cs="Arial"/>
          </w:rPr>
          <w:t>https://doi.org/10.1016/j.jbusres.2019.07.039</w:t>
        </w:r>
      </w:hyperlink>
      <w:r w:rsidRPr="004E22EF">
        <w:rPr>
          <w:rFonts w:ascii="Arial" w:hAnsi="Arial" w:cs="Arial"/>
        </w:rPr>
        <w:t xml:space="preserve"> (Accessed: 8 June 2026). </w:t>
      </w:r>
    </w:p>
    <w:p w14:paraId="49B4819C" w14:textId="77777777" w:rsidR="004E22EF" w:rsidRDefault="004E22EF" w:rsidP="004E22EF">
      <w:pPr>
        <w:pStyle w:val="NormalWeb"/>
        <w:spacing w:line="360" w:lineRule="auto"/>
      </w:pPr>
      <w:r>
        <w:t xml:space="preserve">Steptoe, A., Deaton, A. and Stone, A.A. (2015) ‘Subjective wellbeing, health and ageing’, </w:t>
      </w:r>
      <w:r>
        <w:rPr>
          <w:rStyle w:val="Emphasis"/>
        </w:rPr>
        <w:t>The Lancet</w:t>
      </w:r>
      <w:r>
        <w:t xml:space="preserve">, 385(9968), pp. 640–648. Available at: </w:t>
      </w:r>
      <w:hyperlink r:id="rId87" w:history="1">
        <w:r w:rsidRPr="00DE44C3">
          <w:rPr>
            <w:rStyle w:val="Hyperlink"/>
          </w:rPr>
          <w:t>https://doi.org/10.1016/S0140-6736(13)61489-0</w:t>
        </w:r>
      </w:hyperlink>
      <w:r>
        <w:t xml:space="preserve"> </w:t>
      </w:r>
      <w:r>
        <w:t xml:space="preserve"> (Accessed: 16 June 2026).</w:t>
      </w:r>
    </w:p>
    <w:p w14:paraId="2CDD284C"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Stern, Y. (2012) ‘Cognitive reserve in ageing and Alzheimer’s disease’, </w:t>
      </w:r>
      <w:r w:rsidRPr="004E22EF">
        <w:rPr>
          <w:rFonts w:ascii="Arial" w:hAnsi="Arial" w:cs="Arial"/>
          <w:i/>
          <w:iCs/>
        </w:rPr>
        <w:t>The Lancet Neurology</w:t>
      </w:r>
      <w:r w:rsidRPr="004E22EF">
        <w:rPr>
          <w:rFonts w:ascii="Arial" w:hAnsi="Arial" w:cs="Arial"/>
        </w:rPr>
        <w:t xml:space="preserve">, 11(11), pp. 1006–1012. Available at: </w:t>
      </w:r>
      <w:hyperlink r:id="rId88" w:tgtFrame="_new" w:history="1">
        <w:r w:rsidRPr="004E22EF">
          <w:rPr>
            <w:rStyle w:val="Hyperlink"/>
            <w:rFonts w:ascii="Arial" w:hAnsi="Arial" w:cs="Arial"/>
          </w:rPr>
          <w:t>https://doi.org/10.1016/S1474-4422(12)70191-6</w:t>
        </w:r>
      </w:hyperlink>
      <w:r w:rsidRPr="004E22EF">
        <w:rPr>
          <w:rFonts w:ascii="Arial" w:hAnsi="Arial" w:cs="Arial"/>
        </w:rPr>
        <w:t xml:space="preserve"> (Accessed: 9 June 2026). </w:t>
      </w:r>
    </w:p>
    <w:p w14:paraId="3B5FB14B"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Topol, E. (2019) </w:t>
      </w:r>
      <w:r w:rsidRPr="004E22EF">
        <w:rPr>
          <w:rFonts w:ascii="Arial" w:hAnsi="Arial" w:cs="Arial"/>
          <w:i/>
          <w:iCs/>
        </w:rPr>
        <w:t>The Topol Review: Preparing the healthcare workforce to deliver the digital future</w:t>
      </w:r>
      <w:r w:rsidRPr="004E22EF">
        <w:rPr>
          <w:rFonts w:ascii="Arial" w:hAnsi="Arial" w:cs="Arial"/>
        </w:rPr>
        <w:t xml:space="preserve">. London: Health Education England. Available at: </w:t>
      </w:r>
      <w:hyperlink r:id="rId89" w:tgtFrame="_new" w:history="1">
        <w:r w:rsidRPr="004E22EF">
          <w:rPr>
            <w:rStyle w:val="Hyperlink"/>
            <w:rFonts w:ascii="Arial" w:hAnsi="Arial" w:cs="Arial"/>
          </w:rPr>
          <w:t>https://topol.hee.nhs.uk</w:t>
        </w:r>
      </w:hyperlink>
      <w:r w:rsidRPr="004E22EF">
        <w:rPr>
          <w:rFonts w:ascii="Arial" w:hAnsi="Arial" w:cs="Arial"/>
        </w:rPr>
        <w:t xml:space="preserve"> (Accessed: 6 June 2026). </w:t>
      </w:r>
    </w:p>
    <w:p w14:paraId="6121613C" w14:textId="77777777" w:rsidR="004E22EF" w:rsidRDefault="004E22EF" w:rsidP="004E22EF">
      <w:pPr>
        <w:pStyle w:val="NormalWeb"/>
        <w:spacing w:line="360" w:lineRule="auto"/>
      </w:pPr>
      <w:r>
        <w:t xml:space="preserve">Tricco, A.C., Lillie, E., Zarin, W. et al. (2018) ‘PRISMA Extension for Scoping Reviews’, </w:t>
      </w:r>
      <w:r>
        <w:rPr>
          <w:rStyle w:val="Emphasis"/>
        </w:rPr>
        <w:t>Annals of Internal Medicine</w:t>
      </w:r>
      <w:r>
        <w:t xml:space="preserve">, 169(7), pp. 467–473. Available at: </w:t>
      </w:r>
      <w:hyperlink r:id="rId90" w:tgtFrame="_new" w:history="1">
        <w:r>
          <w:rPr>
            <w:rStyle w:val="Hyperlink"/>
          </w:rPr>
          <w:t>https://doi.org/10.7326/M18-0850</w:t>
        </w:r>
      </w:hyperlink>
      <w:r>
        <w:t xml:space="preserve"> (Accessed: 16 June 2026).</w:t>
      </w:r>
    </w:p>
    <w:p w14:paraId="589C3694" w14:textId="77777777" w:rsidR="004E22EF" w:rsidRDefault="004E22EF" w:rsidP="004E22EF">
      <w:pPr>
        <w:pStyle w:val="NormalWeb"/>
        <w:spacing w:line="360" w:lineRule="auto"/>
      </w:pPr>
      <w:r>
        <w:t xml:space="preserve">van Dijk, J. (2020) </w:t>
      </w:r>
      <w:r>
        <w:rPr>
          <w:rStyle w:val="Emphasis"/>
        </w:rPr>
        <w:t>The Digital Divide</w:t>
      </w:r>
      <w:r>
        <w:t>. Cambridge: Polity Press.</w:t>
      </w:r>
    </w:p>
    <w:p w14:paraId="7BE6A84C" w14:textId="77777777" w:rsidR="004E22EF" w:rsidRPr="004E22EF" w:rsidRDefault="004E22EF" w:rsidP="004E22EF">
      <w:pPr>
        <w:spacing w:line="360" w:lineRule="auto"/>
        <w:jc w:val="both"/>
        <w:rPr>
          <w:rFonts w:ascii="Arial" w:hAnsi="Arial" w:cs="Arial"/>
        </w:rPr>
      </w:pPr>
      <w:r w:rsidRPr="004E22EF">
        <w:rPr>
          <w:rFonts w:ascii="Arial" w:hAnsi="Arial" w:cs="Arial"/>
        </w:rPr>
        <w:lastRenderedPageBreak/>
        <w:t xml:space="preserve">Vaportzis, E., Clausen, M.G. and Gow, A.J. (2017) ‘Older adults perceptions of technology and barriers to interacting with tablet computers’, </w:t>
      </w:r>
      <w:r w:rsidRPr="004E22EF">
        <w:rPr>
          <w:rFonts w:ascii="Arial" w:hAnsi="Arial" w:cs="Arial"/>
          <w:i/>
          <w:iCs/>
        </w:rPr>
        <w:t>Frontiers in Psychology</w:t>
      </w:r>
      <w:r w:rsidRPr="004E22EF">
        <w:rPr>
          <w:rFonts w:ascii="Arial" w:hAnsi="Arial" w:cs="Arial"/>
        </w:rPr>
        <w:t xml:space="preserve">, 8, Article 1687. Available at: </w:t>
      </w:r>
      <w:hyperlink r:id="rId91" w:tgtFrame="_new" w:history="1">
        <w:r w:rsidRPr="004E22EF">
          <w:rPr>
            <w:rStyle w:val="Hyperlink"/>
            <w:rFonts w:ascii="Arial" w:hAnsi="Arial" w:cs="Arial"/>
          </w:rPr>
          <w:t>https://doi.org/10.3389/fpsyg.2017.01687</w:t>
        </w:r>
      </w:hyperlink>
      <w:r w:rsidRPr="004E22EF">
        <w:rPr>
          <w:rFonts w:ascii="Arial" w:hAnsi="Arial" w:cs="Arial"/>
        </w:rPr>
        <w:t xml:space="preserve"> (Accessed: 8 June 2026). </w:t>
      </w:r>
    </w:p>
    <w:p w14:paraId="5AD37853" w14:textId="77777777" w:rsidR="004E22EF" w:rsidRDefault="004E22EF" w:rsidP="004E22EF">
      <w:pPr>
        <w:pStyle w:val="NormalWeb"/>
        <w:spacing w:line="360" w:lineRule="auto"/>
      </w:pPr>
      <w:r>
        <w:t xml:space="preserve"> Venkatesh, V., Morris, M.G., Davis, G.B. and Davis, F.D. (2003) ‘User acceptance of information technology’, </w:t>
      </w:r>
      <w:r>
        <w:rPr>
          <w:rStyle w:val="Emphasis"/>
        </w:rPr>
        <w:t>MIS Quarterly</w:t>
      </w:r>
      <w:r>
        <w:t xml:space="preserve">, 27(3), pp. 425–478. Available at: </w:t>
      </w:r>
      <w:hyperlink r:id="rId92" w:tgtFrame="_new" w:history="1">
        <w:r>
          <w:rPr>
            <w:rStyle w:val="Hyperlink"/>
          </w:rPr>
          <w:t>https://doi.org/10.2307/30036540</w:t>
        </w:r>
      </w:hyperlink>
      <w:r>
        <w:t xml:space="preserve"> (Accessed: 16 June 2026).</w:t>
      </w:r>
    </w:p>
    <w:p w14:paraId="7DBBE6C9" w14:textId="77777777" w:rsidR="004E22EF" w:rsidRDefault="004E22EF" w:rsidP="004E22EF">
      <w:pPr>
        <w:pStyle w:val="NormalWeb"/>
        <w:spacing w:line="360" w:lineRule="auto"/>
      </w:pPr>
      <w:r>
        <w:t xml:space="preserve"> Venkatesh, V., Thong, J.Y.L. and Xu, X. (2012) ‘Consumer acceptance and use of information technology’, </w:t>
      </w:r>
      <w:r>
        <w:rPr>
          <w:rStyle w:val="Emphasis"/>
        </w:rPr>
        <w:t>MIS Quarterly</w:t>
      </w:r>
      <w:r>
        <w:t xml:space="preserve">, 36(1), pp. 157–178. Available at: </w:t>
      </w:r>
      <w:hyperlink r:id="rId93" w:tgtFrame="_new" w:history="1">
        <w:r>
          <w:rPr>
            <w:rStyle w:val="Hyperlink"/>
          </w:rPr>
          <w:t>https://doi.org/10.2307/41410412</w:t>
        </w:r>
      </w:hyperlink>
      <w:r>
        <w:t xml:space="preserve"> (Accessed: 16 June 2026).</w:t>
      </w:r>
    </w:p>
    <w:p w14:paraId="2C9196AC" w14:textId="77777777" w:rsidR="004E22EF" w:rsidRDefault="004E22EF" w:rsidP="004E22EF">
      <w:pPr>
        <w:pStyle w:val="NormalWeb"/>
        <w:spacing w:line="360" w:lineRule="auto"/>
      </w:pPr>
      <w:r>
        <w:t xml:space="preserve"> Verghese, J., Lipton, R.B., Katz, M.J. et al. (2003) ‘Leisure activities and the risk of dementia’, </w:t>
      </w:r>
      <w:r>
        <w:rPr>
          <w:rStyle w:val="Emphasis"/>
        </w:rPr>
        <w:t>New England Journal of Medicine</w:t>
      </w:r>
      <w:r>
        <w:t xml:space="preserve">, 348(25), pp. 2508–2516. Available at: </w:t>
      </w:r>
      <w:hyperlink r:id="rId94" w:history="1">
        <w:r w:rsidRPr="00DE44C3">
          <w:rPr>
            <w:rStyle w:val="Hyperlink"/>
          </w:rPr>
          <w:t>https://doi.org/10.1056/NEJMoa022252</w:t>
        </w:r>
      </w:hyperlink>
      <w:r>
        <w:t xml:space="preserve"> </w:t>
      </w:r>
      <w:r>
        <w:t xml:space="preserve"> (Accessed: 16 June 2026).</w:t>
      </w:r>
    </w:p>
    <w:p w14:paraId="684DFC74"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Wild, K., Boise, L., Lundell, J. and Foucek, A. (2008) ‘Unobtrusive in-home monitoring of cognitive and physical health’, </w:t>
      </w:r>
      <w:r w:rsidRPr="004E22EF">
        <w:rPr>
          <w:rFonts w:ascii="Arial" w:hAnsi="Arial" w:cs="Arial"/>
          <w:i/>
          <w:iCs/>
        </w:rPr>
        <w:t>Journal of Applied Gerontology</w:t>
      </w:r>
      <w:r w:rsidRPr="004E22EF">
        <w:rPr>
          <w:rFonts w:ascii="Arial" w:hAnsi="Arial" w:cs="Arial"/>
        </w:rPr>
        <w:t xml:space="preserve">, 27(2), pp. 181–200. Available at: </w:t>
      </w:r>
      <w:hyperlink r:id="rId95" w:tgtFrame="_new" w:history="1">
        <w:r w:rsidRPr="004E22EF">
          <w:rPr>
            <w:rStyle w:val="Hyperlink"/>
            <w:rFonts w:ascii="Arial" w:hAnsi="Arial" w:cs="Arial"/>
          </w:rPr>
          <w:t>https://doi.org/10.1177/0733464807311435</w:t>
        </w:r>
      </w:hyperlink>
      <w:r w:rsidRPr="004E22EF">
        <w:rPr>
          <w:rFonts w:ascii="Arial" w:hAnsi="Arial" w:cs="Arial"/>
        </w:rPr>
        <w:t xml:space="preserve"> (Accessed: 6 June 2026).</w:t>
      </w:r>
    </w:p>
    <w:p w14:paraId="12DAE248" w14:textId="77777777" w:rsidR="004E22EF" w:rsidRDefault="004E22EF" w:rsidP="004E22EF">
      <w:pPr>
        <w:pStyle w:val="NormalWeb"/>
        <w:spacing w:line="360" w:lineRule="auto"/>
      </w:pPr>
      <w:r>
        <w:t xml:space="preserve"> Wimo, A., Guerchet, M., Ali, G.C. et al. (2017) ‘The worldwide costs of dementia 2015’, </w:t>
      </w:r>
      <w:r>
        <w:rPr>
          <w:rStyle w:val="Emphasis"/>
        </w:rPr>
        <w:t>Alzheimer’s &amp; Dementia</w:t>
      </w:r>
      <w:r>
        <w:t xml:space="preserve">, 13(1), pp. 1–7. Available at: </w:t>
      </w:r>
      <w:hyperlink r:id="rId96" w:history="1">
        <w:r w:rsidRPr="00DE44C3">
          <w:rPr>
            <w:rStyle w:val="Hyperlink"/>
          </w:rPr>
          <w:t>https://doi.org/10.1016/j.jalz.2016.07.150</w:t>
        </w:r>
      </w:hyperlink>
      <w:r>
        <w:t xml:space="preserve"> </w:t>
      </w:r>
      <w:r>
        <w:t xml:space="preserve"> (Accessed: 16 June 2026).</w:t>
      </w:r>
    </w:p>
    <w:p w14:paraId="7227AC76" w14:textId="77777777" w:rsidR="004E22EF" w:rsidRDefault="004E22EF" w:rsidP="004E22EF">
      <w:pPr>
        <w:pStyle w:val="NormalWeb"/>
        <w:spacing w:line="360" w:lineRule="auto"/>
      </w:pPr>
      <w:r>
        <w:t xml:space="preserve"> World Health Organization (2019) </w:t>
      </w:r>
      <w:r>
        <w:rPr>
          <w:rStyle w:val="Emphasis"/>
        </w:rPr>
        <w:t>Risk Reduction of Cognitive Decline and Dementia: WHO Guidelines</w:t>
      </w:r>
      <w:r>
        <w:t xml:space="preserve">. Geneva: World Health Organization. Available at: </w:t>
      </w:r>
      <w:hyperlink r:id="rId97" w:history="1">
        <w:r w:rsidRPr="00DE44C3">
          <w:rPr>
            <w:rStyle w:val="Hyperlink"/>
          </w:rPr>
          <w:t>https://www.who.int/publications/i/item/9789241550546</w:t>
        </w:r>
      </w:hyperlink>
      <w:r>
        <w:t xml:space="preserve"> </w:t>
      </w:r>
      <w:r>
        <w:t xml:space="preserve"> (Accessed: 16 June 2026).</w:t>
      </w:r>
    </w:p>
    <w:p w14:paraId="77100F91" w14:textId="77777777" w:rsidR="004E22EF" w:rsidRDefault="004E22EF" w:rsidP="004E22EF">
      <w:pPr>
        <w:pStyle w:val="NormalWeb"/>
        <w:spacing w:line="360" w:lineRule="auto"/>
      </w:pPr>
      <w:r>
        <w:t xml:space="preserve"> World Health Organization (2021) </w:t>
      </w:r>
      <w:r>
        <w:rPr>
          <w:rStyle w:val="Emphasis"/>
        </w:rPr>
        <w:t>Global Strategy on Digital Health 2020–2025</w:t>
      </w:r>
      <w:r>
        <w:t xml:space="preserve">. Geneva: World Health Organization. Available at: </w:t>
      </w:r>
      <w:hyperlink r:id="rId98" w:tgtFrame="_new" w:history="1">
        <w:r>
          <w:rPr>
            <w:rStyle w:val="Hyperlink"/>
          </w:rPr>
          <w:t>https://www.who.int/publications/i/item/9789240020924</w:t>
        </w:r>
      </w:hyperlink>
      <w:r>
        <w:t xml:space="preserve"> (Accessed: 16 June 2026).</w:t>
      </w:r>
    </w:p>
    <w:p w14:paraId="3E3232AD"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World Health Organization (2023) </w:t>
      </w:r>
      <w:r w:rsidRPr="004E22EF">
        <w:rPr>
          <w:rFonts w:ascii="Arial" w:hAnsi="Arial" w:cs="Arial"/>
          <w:i/>
          <w:iCs/>
        </w:rPr>
        <w:t>Global status report on the public health response to dementia</w:t>
      </w:r>
      <w:r w:rsidRPr="004E22EF">
        <w:rPr>
          <w:rFonts w:ascii="Arial" w:hAnsi="Arial" w:cs="Arial"/>
        </w:rPr>
        <w:t xml:space="preserve">. Geneva: World Health Organization. Available at: </w:t>
      </w:r>
      <w:hyperlink r:id="rId99" w:tgtFrame="_new" w:history="1">
        <w:r w:rsidRPr="004E22EF">
          <w:rPr>
            <w:rStyle w:val="Hyperlink"/>
            <w:rFonts w:ascii="Arial" w:hAnsi="Arial" w:cs="Arial"/>
          </w:rPr>
          <w:t>https://www.who.int/publications/i/item/9789240084752</w:t>
        </w:r>
      </w:hyperlink>
      <w:r w:rsidRPr="004E22EF">
        <w:rPr>
          <w:rFonts w:ascii="Arial" w:hAnsi="Arial" w:cs="Arial"/>
        </w:rPr>
        <w:t xml:space="preserve"> (Accessed: 9 June 2026). </w:t>
      </w:r>
    </w:p>
    <w:p w14:paraId="26CEDA36"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World Health Organization (2025) </w:t>
      </w:r>
      <w:r w:rsidRPr="004E22EF">
        <w:rPr>
          <w:rFonts w:ascii="Arial" w:hAnsi="Arial" w:cs="Arial"/>
          <w:i/>
          <w:iCs/>
        </w:rPr>
        <w:t>Dementia health topic</w:t>
      </w:r>
      <w:r w:rsidRPr="004E22EF">
        <w:rPr>
          <w:rFonts w:ascii="Arial" w:hAnsi="Arial" w:cs="Arial"/>
        </w:rPr>
        <w:t xml:space="preserve">. Available at: </w:t>
      </w:r>
      <w:hyperlink r:id="rId100" w:tgtFrame="_new" w:history="1">
        <w:r w:rsidRPr="004E22EF">
          <w:rPr>
            <w:rStyle w:val="Hyperlink"/>
            <w:rFonts w:ascii="Arial" w:hAnsi="Arial" w:cs="Arial"/>
          </w:rPr>
          <w:t>https://www.who.int/health-topics/dementia</w:t>
        </w:r>
      </w:hyperlink>
      <w:r w:rsidRPr="004E22EF">
        <w:rPr>
          <w:rFonts w:ascii="Arial" w:hAnsi="Arial" w:cs="Arial"/>
        </w:rPr>
        <w:t xml:space="preserve"> (Accessed: 9 June 2026). </w:t>
      </w:r>
    </w:p>
    <w:p w14:paraId="68960868" w14:textId="77777777" w:rsidR="004E22EF" w:rsidRPr="004E22EF" w:rsidRDefault="004E22EF" w:rsidP="004E22EF">
      <w:pPr>
        <w:spacing w:line="360" w:lineRule="auto"/>
        <w:jc w:val="both"/>
        <w:rPr>
          <w:rFonts w:ascii="Arial" w:hAnsi="Arial" w:cs="Arial"/>
        </w:rPr>
      </w:pPr>
      <w:r w:rsidRPr="004E22EF">
        <w:rPr>
          <w:rFonts w:ascii="Arial" w:hAnsi="Arial" w:cs="Arial"/>
        </w:rPr>
        <w:t xml:space="preserve">World Health Organization (2025) </w:t>
      </w:r>
      <w:r w:rsidRPr="004E22EF">
        <w:rPr>
          <w:rFonts w:ascii="Arial" w:hAnsi="Arial" w:cs="Arial"/>
          <w:i/>
          <w:iCs/>
        </w:rPr>
        <w:t>Dementia</w:t>
      </w:r>
      <w:r w:rsidRPr="004E22EF">
        <w:rPr>
          <w:rFonts w:ascii="Arial" w:hAnsi="Arial" w:cs="Arial"/>
        </w:rPr>
        <w:t xml:space="preserve">. Available at: </w:t>
      </w:r>
      <w:hyperlink r:id="rId101" w:tgtFrame="_new" w:history="1">
        <w:r w:rsidRPr="004E22EF">
          <w:rPr>
            <w:rStyle w:val="Hyperlink"/>
            <w:rFonts w:ascii="Arial" w:hAnsi="Arial" w:cs="Arial"/>
          </w:rPr>
          <w:t>https://www.who.int/news-room/fact-sheets/detail/dementia</w:t>
        </w:r>
      </w:hyperlink>
      <w:r w:rsidRPr="004E22EF">
        <w:rPr>
          <w:rFonts w:ascii="Arial" w:hAnsi="Arial" w:cs="Arial"/>
        </w:rPr>
        <w:t xml:space="preserve"> (Accessed: 9 June 2026). </w:t>
      </w:r>
    </w:p>
    <w:p w14:paraId="5ECD5FDC" w14:textId="77777777" w:rsidR="004E22EF" w:rsidRPr="004E22EF" w:rsidRDefault="004E22EF" w:rsidP="004E22EF">
      <w:pPr>
        <w:spacing w:line="360" w:lineRule="auto"/>
        <w:jc w:val="both"/>
        <w:rPr>
          <w:rFonts w:ascii="Arial" w:hAnsi="Arial" w:cs="Arial"/>
        </w:rPr>
      </w:pPr>
      <w:r w:rsidRPr="004E22EF">
        <w:rPr>
          <w:rFonts w:ascii="Arial" w:hAnsi="Arial" w:cs="Arial"/>
        </w:rPr>
        <w:lastRenderedPageBreak/>
        <w:t xml:space="preserve">World Health Organization (2025) </w:t>
      </w:r>
      <w:r w:rsidRPr="004E22EF">
        <w:rPr>
          <w:rFonts w:ascii="Arial" w:hAnsi="Arial" w:cs="Arial"/>
          <w:i/>
          <w:iCs/>
        </w:rPr>
        <w:t>Global Dementia Observatory</w:t>
      </w:r>
      <w:r w:rsidRPr="004E22EF">
        <w:rPr>
          <w:rFonts w:ascii="Arial" w:hAnsi="Arial" w:cs="Arial"/>
        </w:rPr>
        <w:t xml:space="preserve">. Available at: </w:t>
      </w:r>
      <w:hyperlink r:id="rId102" w:tgtFrame="_new" w:history="1">
        <w:r w:rsidRPr="004E22EF">
          <w:rPr>
            <w:rStyle w:val="Hyperlink"/>
            <w:rFonts w:ascii="Arial" w:hAnsi="Arial" w:cs="Arial"/>
          </w:rPr>
          <w:t>https://www.who.int/data/gho/data/themes/global-dementia-observatory-gdo</w:t>
        </w:r>
      </w:hyperlink>
      <w:r w:rsidRPr="004E22EF">
        <w:rPr>
          <w:rFonts w:ascii="Arial" w:hAnsi="Arial" w:cs="Arial"/>
        </w:rPr>
        <w:t xml:space="preserve"> (Accessed: 7 June 2026). </w:t>
      </w:r>
    </w:p>
    <w:p w14:paraId="07E37236" w14:textId="77777777" w:rsidR="004E22EF" w:rsidRDefault="004E22EF" w:rsidP="004E22EF">
      <w:pPr>
        <w:pStyle w:val="NormalWeb"/>
        <w:spacing w:line="360" w:lineRule="auto"/>
      </w:pPr>
      <w:r>
        <w:t xml:space="preserve"> Xie, B. (2011) ‘Older adults, e-health literacy, and collaborative learning’, </w:t>
      </w:r>
      <w:r>
        <w:rPr>
          <w:rStyle w:val="Emphasis"/>
        </w:rPr>
        <w:t>Journal of the American Society for Information Science and Technology</w:t>
      </w:r>
      <w:r>
        <w:t xml:space="preserve">, 62(5), pp. 933–946. Available at: </w:t>
      </w:r>
      <w:hyperlink r:id="rId103" w:history="1">
        <w:r w:rsidRPr="00DE44C3">
          <w:rPr>
            <w:rStyle w:val="Hyperlink"/>
          </w:rPr>
          <w:t>https://doi.org/10.1002/asi.21501</w:t>
        </w:r>
      </w:hyperlink>
      <w:r>
        <w:t xml:space="preserve"> </w:t>
      </w:r>
      <w:r>
        <w:t xml:space="preserve"> (Accessed: 16 June 2026).</w:t>
      </w:r>
    </w:p>
    <w:p w14:paraId="3BA13BB0" w14:textId="77777777" w:rsidR="004E22EF" w:rsidRDefault="004E22EF" w:rsidP="004E22EF">
      <w:pPr>
        <w:pStyle w:val="NormalWeb"/>
        <w:spacing w:line="360" w:lineRule="auto"/>
      </w:pPr>
      <w:r>
        <w:t xml:space="preserve">Yates, J.A., Clare, L. and Woods, R.T. (2017) ‘Cognitive training and healthy ageing’, </w:t>
      </w:r>
      <w:r>
        <w:rPr>
          <w:rStyle w:val="Emphasis"/>
        </w:rPr>
        <w:t>Clinical Interventions in Aging</w:t>
      </w:r>
      <w:r>
        <w:t xml:space="preserve">, 12, pp. 713–722. Available at: </w:t>
      </w:r>
      <w:hyperlink r:id="rId104" w:history="1">
        <w:r w:rsidRPr="00DE44C3">
          <w:rPr>
            <w:rStyle w:val="Hyperlink"/>
          </w:rPr>
          <w:t>https://doi.org/10.2147/CIA.S111151</w:t>
        </w:r>
      </w:hyperlink>
      <w:r>
        <w:t xml:space="preserve"> </w:t>
      </w:r>
      <w:r>
        <w:t xml:space="preserve"> (Accessed: 16 June 2026).</w:t>
      </w:r>
    </w:p>
    <w:p w14:paraId="337BA003" w14:textId="77777777" w:rsidR="004E22EF" w:rsidRDefault="004E22EF" w:rsidP="004E22EF">
      <w:pPr>
        <w:pStyle w:val="NormalWeb"/>
        <w:spacing w:line="360" w:lineRule="auto"/>
      </w:pPr>
      <w:r>
        <w:t xml:space="preserve">Zaidi, A. (2015) </w:t>
      </w:r>
      <w:r>
        <w:rPr>
          <w:rStyle w:val="Emphasis"/>
        </w:rPr>
        <w:t>Active Ageing Index 2014</w:t>
      </w:r>
      <w:r>
        <w:t>. Brussels: European Commission.</w:t>
      </w:r>
    </w:p>
    <w:p w14:paraId="28B65B19" w14:textId="77777777" w:rsidR="004E22EF" w:rsidRDefault="004E22EF" w:rsidP="004E22EF">
      <w:pPr>
        <w:pStyle w:val="NormalWeb"/>
        <w:spacing w:line="360" w:lineRule="auto"/>
      </w:pPr>
      <w:r>
        <w:t xml:space="preserve"> Zygouris, S. and Tsolaki, M. (2015) ‘Computerized cognitive testing for older adults’, </w:t>
      </w:r>
      <w:r>
        <w:rPr>
          <w:rStyle w:val="Emphasis"/>
        </w:rPr>
        <w:t>American Journal of Alzheimer’s Disease &amp; Other Dementias</w:t>
      </w:r>
      <w:r>
        <w:t xml:space="preserve">, 30(1), pp. 13–28. Available at: </w:t>
      </w:r>
      <w:hyperlink r:id="rId105" w:history="1">
        <w:r w:rsidRPr="00DE44C3">
          <w:rPr>
            <w:rStyle w:val="Hyperlink"/>
          </w:rPr>
          <w:t>https://doi.org/10.1177/1533317514522852</w:t>
        </w:r>
      </w:hyperlink>
      <w:r>
        <w:t xml:space="preserve"> </w:t>
      </w:r>
      <w:r>
        <w:t xml:space="preserve"> (Accessed: 16 June 2026).</w:t>
      </w:r>
    </w:p>
    <w:p w14:paraId="0C6BD14A" w14:textId="77777777" w:rsidR="00FD6CC1" w:rsidRDefault="00FD6CC1" w:rsidP="000017C6">
      <w:pPr>
        <w:spacing w:line="360" w:lineRule="auto"/>
        <w:rPr>
          <w:rFonts w:ascii="Arial" w:hAnsi="Arial" w:cs="Arial"/>
        </w:rPr>
      </w:pPr>
    </w:p>
    <w:p w14:paraId="0565FF3D" w14:textId="77777777" w:rsidR="00FD6CC1" w:rsidRDefault="00FD6CC1" w:rsidP="000017C6">
      <w:pPr>
        <w:spacing w:line="360" w:lineRule="auto"/>
        <w:rPr>
          <w:rFonts w:ascii="Arial" w:hAnsi="Arial" w:cs="Arial"/>
        </w:rPr>
      </w:pPr>
    </w:p>
    <w:p w14:paraId="7DE31F06" w14:textId="77777777" w:rsidR="00FD6CC1" w:rsidRDefault="00FD6CC1" w:rsidP="000017C6">
      <w:pPr>
        <w:spacing w:line="360" w:lineRule="auto"/>
        <w:rPr>
          <w:rFonts w:ascii="Arial" w:hAnsi="Arial" w:cs="Arial"/>
        </w:rPr>
      </w:pPr>
    </w:p>
    <w:p w14:paraId="2447A479" w14:textId="77777777" w:rsidR="00FD6CC1" w:rsidRDefault="00FD6CC1" w:rsidP="000017C6">
      <w:pPr>
        <w:spacing w:line="360" w:lineRule="auto"/>
        <w:rPr>
          <w:rFonts w:ascii="Arial" w:hAnsi="Arial" w:cs="Arial"/>
        </w:rPr>
      </w:pPr>
    </w:p>
    <w:p w14:paraId="4A198142" w14:textId="77777777" w:rsidR="00FD6CC1" w:rsidRDefault="00FD6CC1" w:rsidP="000017C6">
      <w:pPr>
        <w:spacing w:line="360" w:lineRule="auto"/>
        <w:rPr>
          <w:rFonts w:ascii="Arial" w:hAnsi="Arial" w:cs="Arial"/>
        </w:rPr>
      </w:pPr>
    </w:p>
    <w:p w14:paraId="11F9EA09" w14:textId="77777777" w:rsidR="00FD6CC1" w:rsidRPr="00543963" w:rsidRDefault="00FD6CC1" w:rsidP="000017C6">
      <w:pPr>
        <w:spacing w:line="360" w:lineRule="auto"/>
        <w:rPr>
          <w:rFonts w:ascii="Arial" w:hAnsi="Arial" w:cs="Arial"/>
        </w:rPr>
      </w:pPr>
    </w:p>
    <w:p w14:paraId="6B732C7A" w14:textId="58F5F8BF" w:rsidR="00890F44" w:rsidRDefault="00890F44" w:rsidP="000017C6">
      <w:pPr>
        <w:spacing w:line="360" w:lineRule="auto"/>
        <w:rPr>
          <w:rFonts w:ascii="Arial" w:hAnsi="Arial" w:cs="Arial"/>
          <w:b/>
          <w:bCs/>
          <w:sz w:val="24"/>
          <w:szCs w:val="24"/>
        </w:rPr>
      </w:pPr>
      <w:r>
        <w:rPr>
          <w:rFonts w:ascii="Arial" w:hAnsi="Arial" w:cs="Arial"/>
          <w:b/>
          <w:bCs/>
          <w:sz w:val="24"/>
          <w:szCs w:val="24"/>
        </w:rPr>
        <w:t>Figure References:</w:t>
      </w:r>
    </w:p>
    <w:p w14:paraId="1934BCAD" w14:textId="7EAC0938" w:rsidR="00890F44" w:rsidRPr="00890F44" w:rsidRDefault="00890F44" w:rsidP="000017C6">
      <w:pPr>
        <w:spacing w:line="360" w:lineRule="auto"/>
        <w:rPr>
          <w:rFonts w:ascii="Arial" w:hAnsi="Arial" w:cs="Arial"/>
          <w:sz w:val="24"/>
          <w:szCs w:val="24"/>
        </w:rPr>
      </w:pPr>
      <w:r w:rsidRPr="00890F44">
        <w:rPr>
          <w:rFonts w:ascii="Arial" w:hAnsi="Arial" w:cs="Arial"/>
          <w:sz w:val="24"/>
          <w:szCs w:val="24"/>
        </w:rPr>
        <w:t xml:space="preserve">McLeroy, K.R., Bibeau, D., Steckler, A. and Glanz, K. (1988) ‘An ecological perspective on health promotion programs’, </w:t>
      </w:r>
      <w:r w:rsidRPr="00890F44">
        <w:rPr>
          <w:rFonts w:ascii="Arial" w:hAnsi="Arial" w:cs="Arial"/>
          <w:i/>
          <w:iCs/>
          <w:sz w:val="24"/>
          <w:szCs w:val="24"/>
        </w:rPr>
        <w:t>Health Education Quarterly</w:t>
      </w:r>
      <w:r w:rsidRPr="00890F44">
        <w:rPr>
          <w:rFonts w:ascii="Arial" w:hAnsi="Arial" w:cs="Arial"/>
          <w:sz w:val="24"/>
          <w:szCs w:val="24"/>
        </w:rPr>
        <w:t>, 15(4), pp. 351–377.</w:t>
      </w:r>
    </w:p>
    <w:p w14:paraId="3BAC642B" w14:textId="512D1D58" w:rsidR="00BA2E3C" w:rsidRPr="00543963" w:rsidRDefault="00BA2E3C" w:rsidP="000017C6">
      <w:pPr>
        <w:spacing w:line="360" w:lineRule="auto"/>
        <w:rPr>
          <w:rFonts w:ascii="Arial" w:hAnsi="Arial" w:cs="Arial"/>
        </w:rPr>
      </w:pPr>
      <w:r w:rsidRPr="00543963">
        <w:rPr>
          <w:rFonts w:ascii="Arial" w:hAnsi="Arial" w:cs="Arial"/>
        </w:rPr>
        <w:br w:type="page"/>
      </w:r>
    </w:p>
    <w:p w14:paraId="05ED85AA" w14:textId="77777777" w:rsidR="00BA2E3C" w:rsidRDefault="00BA2E3C" w:rsidP="001C3F77">
      <w:pPr>
        <w:spacing w:line="360" w:lineRule="auto"/>
        <w:ind w:left="360"/>
        <w:rPr>
          <w:rFonts w:ascii="Arial" w:hAnsi="Arial" w:cs="Arial"/>
          <w:b/>
          <w:bCs/>
        </w:rPr>
        <w:sectPr w:rsidR="00BA2E3C" w:rsidSect="00543963">
          <w:pgSz w:w="11906" w:h="16838"/>
          <w:pgMar w:top="1440" w:right="1440" w:bottom="1440" w:left="1440" w:header="708" w:footer="708" w:gutter="0"/>
          <w:pgNumType w:start="0"/>
          <w:cols w:space="708"/>
          <w:titlePg/>
          <w:docGrid w:linePitch="360"/>
        </w:sectPr>
      </w:pPr>
    </w:p>
    <w:p w14:paraId="00A47F83" w14:textId="4E5C562B" w:rsidR="00BA2E3C" w:rsidRPr="00543963" w:rsidRDefault="00BA2E3C" w:rsidP="00543963">
      <w:pPr>
        <w:pStyle w:val="Heading1"/>
        <w:rPr>
          <w:rFonts w:ascii="Arial" w:hAnsi="Arial" w:cs="Arial"/>
          <w:b/>
          <w:bCs/>
          <w:sz w:val="28"/>
          <w:szCs w:val="28"/>
        </w:rPr>
      </w:pPr>
      <w:bookmarkStart w:id="91" w:name="_Toc232034669"/>
      <w:r w:rsidRPr="00543963">
        <w:rPr>
          <w:rFonts w:ascii="Arial" w:hAnsi="Arial" w:cs="Arial"/>
          <w:b/>
          <w:bCs/>
          <w:sz w:val="28"/>
          <w:szCs w:val="28"/>
        </w:rPr>
        <w:lastRenderedPageBreak/>
        <w:t>Appendi</w:t>
      </w:r>
      <w:r w:rsidR="00925E8B" w:rsidRPr="00543963">
        <w:rPr>
          <w:rFonts w:ascii="Arial" w:hAnsi="Arial" w:cs="Arial"/>
          <w:b/>
          <w:bCs/>
          <w:sz w:val="28"/>
          <w:szCs w:val="28"/>
        </w:rPr>
        <w:t>x:</w:t>
      </w:r>
      <w:bookmarkEnd w:id="91"/>
    </w:p>
    <w:p w14:paraId="75BE9CB3" w14:textId="092FCAD9" w:rsidR="00BA2E3C" w:rsidRPr="00543963" w:rsidRDefault="00BA2E3C" w:rsidP="001C3F77">
      <w:pPr>
        <w:spacing w:line="360" w:lineRule="auto"/>
        <w:ind w:left="360"/>
        <w:rPr>
          <w:rFonts w:ascii="Arial" w:hAnsi="Arial" w:cs="Arial"/>
          <w:b/>
          <w:bCs/>
        </w:rPr>
      </w:pPr>
    </w:p>
    <w:p w14:paraId="65EC2021" w14:textId="7122DDB3" w:rsidR="000178E2" w:rsidRPr="000178E2" w:rsidRDefault="000178E2" w:rsidP="000178E2">
      <w:pPr>
        <w:pStyle w:val="Caption"/>
        <w:keepNext/>
        <w:rPr>
          <w:rFonts w:ascii="Arial" w:hAnsi="Arial" w:cs="Arial"/>
          <w:i w:val="0"/>
          <w:iCs w:val="0"/>
          <w:sz w:val="22"/>
          <w:szCs w:val="22"/>
        </w:rPr>
      </w:pPr>
      <w:bookmarkStart w:id="92" w:name="_Toc231944277"/>
      <w:r w:rsidRPr="000178E2">
        <w:rPr>
          <w:rFonts w:ascii="Arial" w:hAnsi="Arial" w:cs="Arial"/>
          <w:i w:val="0"/>
          <w:iCs w:val="0"/>
          <w:sz w:val="22"/>
          <w:szCs w:val="22"/>
        </w:rPr>
        <w:t xml:space="preserve">Table </w:t>
      </w:r>
      <w:r w:rsidRPr="000178E2">
        <w:rPr>
          <w:rFonts w:ascii="Arial" w:hAnsi="Arial" w:cs="Arial"/>
          <w:i w:val="0"/>
          <w:iCs w:val="0"/>
          <w:sz w:val="22"/>
          <w:szCs w:val="22"/>
        </w:rPr>
        <w:fldChar w:fldCharType="begin"/>
      </w:r>
      <w:r w:rsidRPr="000178E2">
        <w:rPr>
          <w:rFonts w:ascii="Arial" w:hAnsi="Arial" w:cs="Arial"/>
          <w:i w:val="0"/>
          <w:iCs w:val="0"/>
          <w:sz w:val="22"/>
          <w:szCs w:val="22"/>
        </w:rPr>
        <w:instrText xml:space="preserve"> SEQ Table \* ARABIC </w:instrText>
      </w:r>
      <w:r w:rsidRPr="000178E2">
        <w:rPr>
          <w:rFonts w:ascii="Arial" w:hAnsi="Arial" w:cs="Arial"/>
          <w:i w:val="0"/>
          <w:iCs w:val="0"/>
          <w:sz w:val="22"/>
          <w:szCs w:val="22"/>
        </w:rPr>
        <w:fldChar w:fldCharType="separate"/>
      </w:r>
      <w:r>
        <w:rPr>
          <w:rFonts w:ascii="Arial" w:hAnsi="Arial" w:cs="Arial"/>
          <w:i w:val="0"/>
          <w:iCs w:val="0"/>
          <w:noProof/>
          <w:sz w:val="22"/>
          <w:szCs w:val="22"/>
        </w:rPr>
        <w:t>3</w:t>
      </w:r>
      <w:r w:rsidRPr="000178E2">
        <w:rPr>
          <w:rFonts w:ascii="Arial" w:hAnsi="Arial" w:cs="Arial"/>
          <w:i w:val="0"/>
          <w:iCs w:val="0"/>
          <w:sz w:val="22"/>
          <w:szCs w:val="22"/>
        </w:rPr>
        <w:fldChar w:fldCharType="end"/>
      </w:r>
      <w:r w:rsidRPr="000178E2">
        <w:rPr>
          <w:rFonts w:ascii="Arial" w:hAnsi="Arial" w:cs="Arial"/>
          <w:i w:val="0"/>
          <w:iCs w:val="0"/>
          <w:sz w:val="22"/>
          <w:szCs w:val="22"/>
          <w:lang w:val="en-US"/>
        </w:rPr>
        <w:t xml:space="preserve"> Data Extraction Table.</w:t>
      </w:r>
      <w:bookmarkEnd w:id="92"/>
    </w:p>
    <w:tbl>
      <w:tblPr>
        <w:tblStyle w:val="TableGrid"/>
        <w:tblW w:w="0" w:type="auto"/>
        <w:tblLook w:val="04A0" w:firstRow="1" w:lastRow="0" w:firstColumn="1" w:lastColumn="0" w:noHBand="0" w:noVBand="1"/>
      </w:tblPr>
      <w:tblGrid>
        <w:gridCol w:w="1261"/>
        <w:gridCol w:w="1384"/>
        <w:gridCol w:w="1563"/>
        <w:gridCol w:w="1206"/>
        <w:gridCol w:w="2174"/>
        <w:gridCol w:w="1373"/>
        <w:gridCol w:w="1829"/>
        <w:gridCol w:w="1618"/>
        <w:gridCol w:w="1540"/>
      </w:tblGrid>
      <w:tr w:rsidR="007A61B2" w:rsidRPr="00543963" w14:paraId="67E381ED" w14:textId="77777777" w:rsidTr="007A61B2">
        <w:tc>
          <w:tcPr>
            <w:tcW w:w="0" w:type="auto"/>
            <w:hideMark/>
          </w:tcPr>
          <w:p w14:paraId="3CEF7C0F"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Author (Year)</w:t>
            </w:r>
          </w:p>
        </w:tc>
        <w:tc>
          <w:tcPr>
            <w:tcW w:w="0" w:type="auto"/>
            <w:hideMark/>
          </w:tcPr>
          <w:p w14:paraId="4A772570"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Objective</w:t>
            </w:r>
          </w:p>
        </w:tc>
        <w:tc>
          <w:tcPr>
            <w:tcW w:w="0" w:type="auto"/>
            <w:hideMark/>
          </w:tcPr>
          <w:p w14:paraId="57E4194B"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Design</w:t>
            </w:r>
          </w:p>
        </w:tc>
        <w:tc>
          <w:tcPr>
            <w:tcW w:w="0" w:type="auto"/>
            <w:hideMark/>
          </w:tcPr>
          <w:p w14:paraId="64AB49C1"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Sample</w:t>
            </w:r>
          </w:p>
        </w:tc>
        <w:tc>
          <w:tcPr>
            <w:tcW w:w="0" w:type="auto"/>
            <w:hideMark/>
          </w:tcPr>
          <w:p w14:paraId="1A396674"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Setting</w:t>
            </w:r>
          </w:p>
        </w:tc>
        <w:tc>
          <w:tcPr>
            <w:tcW w:w="0" w:type="auto"/>
            <w:hideMark/>
          </w:tcPr>
          <w:p w14:paraId="271C34DA"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Methods</w:t>
            </w:r>
          </w:p>
        </w:tc>
        <w:tc>
          <w:tcPr>
            <w:tcW w:w="0" w:type="auto"/>
            <w:hideMark/>
          </w:tcPr>
          <w:p w14:paraId="00245854"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Main Findings/Results</w:t>
            </w:r>
          </w:p>
        </w:tc>
        <w:tc>
          <w:tcPr>
            <w:tcW w:w="0" w:type="auto"/>
            <w:hideMark/>
          </w:tcPr>
          <w:p w14:paraId="0D5D4CC9"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Strengths</w:t>
            </w:r>
          </w:p>
        </w:tc>
        <w:tc>
          <w:tcPr>
            <w:tcW w:w="0" w:type="auto"/>
            <w:hideMark/>
          </w:tcPr>
          <w:p w14:paraId="4F576C53"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Limitations</w:t>
            </w:r>
          </w:p>
        </w:tc>
      </w:tr>
      <w:tr w:rsidR="007A61B2" w:rsidRPr="00543963" w14:paraId="675F70B4" w14:textId="77777777" w:rsidTr="007A61B2">
        <w:tc>
          <w:tcPr>
            <w:tcW w:w="0" w:type="auto"/>
            <w:hideMark/>
          </w:tcPr>
          <w:p w14:paraId="1DFC41FB"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Coley et al. (2022)</w:t>
            </w:r>
          </w:p>
        </w:tc>
        <w:tc>
          <w:tcPr>
            <w:tcW w:w="0" w:type="auto"/>
            <w:hideMark/>
          </w:tcPr>
          <w:p w14:paraId="717C0EB3"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Examine engagement with an eHealth intervention and its relationship with dementia risk factors</w:t>
            </w:r>
          </w:p>
        </w:tc>
        <w:tc>
          <w:tcPr>
            <w:tcW w:w="0" w:type="auto"/>
            <w:hideMark/>
          </w:tcPr>
          <w:p w14:paraId="3F4CE509"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Secondary analysis of 18-month multinational RCT</w:t>
            </w:r>
          </w:p>
        </w:tc>
        <w:tc>
          <w:tcPr>
            <w:tcW w:w="0" w:type="auto"/>
            <w:hideMark/>
          </w:tcPr>
          <w:p w14:paraId="03FB556D"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 at risk of dementia</w:t>
            </w:r>
          </w:p>
        </w:tc>
        <w:tc>
          <w:tcPr>
            <w:tcW w:w="0" w:type="auto"/>
            <w:hideMark/>
          </w:tcPr>
          <w:p w14:paraId="5C08F131"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Multinational</w:t>
            </w:r>
          </w:p>
        </w:tc>
        <w:tc>
          <w:tcPr>
            <w:tcW w:w="0" w:type="auto"/>
            <w:hideMark/>
          </w:tcPr>
          <w:p w14:paraId="5E19C049"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Analysis of intervention engagement and dementia risk factors</w:t>
            </w:r>
          </w:p>
        </w:tc>
        <w:tc>
          <w:tcPr>
            <w:tcW w:w="0" w:type="auto"/>
            <w:hideMark/>
          </w:tcPr>
          <w:p w14:paraId="1CF2A868"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Higher engagement was associated with healthier lifestyle behaviours and reduced dementia risk factors</w:t>
            </w:r>
          </w:p>
        </w:tc>
        <w:tc>
          <w:tcPr>
            <w:tcW w:w="0" w:type="auto"/>
            <w:hideMark/>
          </w:tcPr>
          <w:p w14:paraId="2433693C"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Large sample; longitudinal design</w:t>
            </w:r>
          </w:p>
        </w:tc>
        <w:tc>
          <w:tcPr>
            <w:tcW w:w="0" w:type="auto"/>
            <w:hideMark/>
          </w:tcPr>
          <w:p w14:paraId="6358F943"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Secondary analysis; reliance on self-reported measures</w:t>
            </w:r>
          </w:p>
        </w:tc>
      </w:tr>
      <w:tr w:rsidR="007A61B2" w:rsidRPr="00543963" w14:paraId="2EB0B4A2" w14:textId="77777777" w:rsidTr="007A61B2">
        <w:tc>
          <w:tcPr>
            <w:tcW w:w="0" w:type="auto"/>
            <w:hideMark/>
          </w:tcPr>
          <w:p w14:paraId="5373A2C6"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Bunyan et al. (2024)</w:t>
            </w:r>
          </w:p>
        </w:tc>
        <w:tc>
          <w:tcPr>
            <w:tcW w:w="0" w:type="auto"/>
            <w:hideMark/>
          </w:tcPr>
          <w:p w14:paraId="163869AA"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 xml:space="preserve">Assess effectiveness of a digital </w:t>
            </w:r>
            <w:r w:rsidRPr="00543963">
              <w:rPr>
                <w:rFonts w:ascii="Arial" w:eastAsia="Times New Roman" w:hAnsi="Arial" w:cs="Arial"/>
                <w:kern w:val="0"/>
                <w:sz w:val="24"/>
                <w:szCs w:val="24"/>
                <w:lang w:eastAsia="en-IN" w:bidi="gu-IN"/>
                <w14:ligatures w14:val="none"/>
              </w:rPr>
              <w:lastRenderedPageBreak/>
              <w:t>lifestyle programme for dementia prevention</w:t>
            </w:r>
          </w:p>
        </w:tc>
        <w:tc>
          <w:tcPr>
            <w:tcW w:w="0" w:type="auto"/>
            <w:hideMark/>
          </w:tcPr>
          <w:p w14:paraId="0D3A492C"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lastRenderedPageBreak/>
              <w:t>Intervention study</w:t>
            </w:r>
          </w:p>
        </w:tc>
        <w:tc>
          <w:tcPr>
            <w:tcW w:w="0" w:type="auto"/>
            <w:hideMark/>
          </w:tcPr>
          <w:p w14:paraId="1015C91F"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w:t>
            </w:r>
          </w:p>
        </w:tc>
        <w:tc>
          <w:tcPr>
            <w:tcW w:w="0" w:type="auto"/>
            <w:hideMark/>
          </w:tcPr>
          <w:p w14:paraId="2ED15D37"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Digital/community setting</w:t>
            </w:r>
          </w:p>
        </w:tc>
        <w:tc>
          <w:tcPr>
            <w:tcW w:w="0" w:type="auto"/>
            <w:hideMark/>
          </w:tcPr>
          <w:p w14:paraId="30F1CE3D"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Digital lifestyle intervention</w:t>
            </w:r>
          </w:p>
        </w:tc>
        <w:tc>
          <w:tcPr>
            <w:tcW w:w="0" w:type="auto"/>
            <w:hideMark/>
          </w:tcPr>
          <w:p w14:paraId="4781CA09"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 xml:space="preserve">Participants improved lifestyle behaviours </w:t>
            </w:r>
            <w:r w:rsidRPr="00543963">
              <w:rPr>
                <w:rFonts w:ascii="Arial" w:eastAsia="Times New Roman" w:hAnsi="Arial" w:cs="Arial"/>
                <w:kern w:val="0"/>
                <w:sz w:val="24"/>
                <w:szCs w:val="24"/>
                <w:lang w:eastAsia="en-IN" w:bidi="gu-IN"/>
                <w14:ligatures w14:val="none"/>
              </w:rPr>
              <w:lastRenderedPageBreak/>
              <w:t>associated with brain health</w:t>
            </w:r>
          </w:p>
        </w:tc>
        <w:tc>
          <w:tcPr>
            <w:tcW w:w="0" w:type="auto"/>
            <w:hideMark/>
          </w:tcPr>
          <w:p w14:paraId="593086DF"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lastRenderedPageBreak/>
              <w:t xml:space="preserve">Focus on prevention and </w:t>
            </w:r>
            <w:r w:rsidRPr="00543963">
              <w:rPr>
                <w:rFonts w:ascii="Arial" w:eastAsia="Times New Roman" w:hAnsi="Arial" w:cs="Arial"/>
                <w:kern w:val="0"/>
                <w:sz w:val="24"/>
                <w:szCs w:val="24"/>
                <w:lang w:eastAsia="en-IN" w:bidi="gu-IN"/>
                <w14:ligatures w14:val="none"/>
              </w:rPr>
              <w:lastRenderedPageBreak/>
              <w:t>behaviour change</w:t>
            </w:r>
          </w:p>
        </w:tc>
        <w:tc>
          <w:tcPr>
            <w:tcW w:w="0" w:type="auto"/>
            <w:hideMark/>
          </w:tcPr>
          <w:p w14:paraId="35B2FD6B"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lastRenderedPageBreak/>
              <w:t>Limited follow-up period</w:t>
            </w:r>
          </w:p>
        </w:tc>
      </w:tr>
      <w:tr w:rsidR="007A61B2" w:rsidRPr="00543963" w14:paraId="3C19D4CC" w14:textId="77777777" w:rsidTr="007A61B2">
        <w:tc>
          <w:tcPr>
            <w:tcW w:w="0" w:type="auto"/>
            <w:hideMark/>
          </w:tcPr>
          <w:p w14:paraId="4C0E7E9F"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Rosenberg et al. (2024)</w:t>
            </w:r>
          </w:p>
        </w:tc>
        <w:tc>
          <w:tcPr>
            <w:tcW w:w="0" w:type="auto"/>
            <w:hideMark/>
          </w:tcPr>
          <w:p w14:paraId="631C767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Evaluate feasibility and effectiveness of a digital multimodal intervention</w:t>
            </w:r>
          </w:p>
        </w:tc>
        <w:tc>
          <w:tcPr>
            <w:tcW w:w="0" w:type="auto"/>
            <w:hideMark/>
          </w:tcPr>
          <w:p w14:paraId="55F8E7B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Randomised controlled feasibility trial</w:t>
            </w:r>
          </w:p>
        </w:tc>
        <w:tc>
          <w:tcPr>
            <w:tcW w:w="0" w:type="auto"/>
            <w:hideMark/>
          </w:tcPr>
          <w:p w14:paraId="48DDBAA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w:t>
            </w:r>
          </w:p>
        </w:tc>
        <w:tc>
          <w:tcPr>
            <w:tcW w:w="0" w:type="auto"/>
            <w:hideMark/>
          </w:tcPr>
          <w:p w14:paraId="7D4DB54F"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Digital intervention setting</w:t>
            </w:r>
          </w:p>
        </w:tc>
        <w:tc>
          <w:tcPr>
            <w:tcW w:w="0" w:type="auto"/>
            <w:hideMark/>
          </w:tcPr>
          <w:p w14:paraId="29319D73"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Multimodal digital programme</w:t>
            </w:r>
          </w:p>
        </w:tc>
        <w:tc>
          <w:tcPr>
            <w:tcW w:w="0" w:type="auto"/>
            <w:hideMark/>
          </w:tcPr>
          <w:p w14:paraId="6F720118"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Cognitive and health improvements observed among participants</w:t>
            </w:r>
          </w:p>
        </w:tc>
        <w:tc>
          <w:tcPr>
            <w:tcW w:w="0" w:type="auto"/>
            <w:hideMark/>
          </w:tcPr>
          <w:p w14:paraId="03A0D807"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Multimodal approach; feasibility evidence</w:t>
            </w:r>
          </w:p>
        </w:tc>
        <w:tc>
          <w:tcPr>
            <w:tcW w:w="0" w:type="auto"/>
            <w:hideMark/>
          </w:tcPr>
          <w:p w14:paraId="4C8C440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Limited generalisability due to feasibility design</w:t>
            </w:r>
          </w:p>
        </w:tc>
      </w:tr>
      <w:tr w:rsidR="007A61B2" w:rsidRPr="00543963" w14:paraId="305BCDD6" w14:textId="77777777" w:rsidTr="007A61B2">
        <w:tc>
          <w:tcPr>
            <w:tcW w:w="0" w:type="auto"/>
            <w:hideMark/>
          </w:tcPr>
          <w:p w14:paraId="4605684E"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Bott et al. (2018)</w:t>
            </w:r>
          </w:p>
        </w:tc>
        <w:tc>
          <w:tcPr>
            <w:tcW w:w="0" w:type="auto"/>
            <w:hideMark/>
          </w:tcPr>
          <w:p w14:paraId="587F5C2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 xml:space="preserve">Investigate a remote lifestyle intervention targeting cognitive </w:t>
            </w:r>
            <w:r w:rsidRPr="00543963">
              <w:rPr>
                <w:rFonts w:ascii="Arial" w:eastAsia="Times New Roman" w:hAnsi="Arial" w:cs="Arial"/>
                <w:kern w:val="0"/>
                <w:sz w:val="24"/>
                <w:szCs w:val="24"/>
                <w:lang w:eastAsia="en-IN" w:bidi="gu-IN"/>
                <w14:ligatures w14:val="none"/>
              </w:rPr>
              <w:lastRenderedPageBreak/>
              <w:t>decline prevention</w:t>
            </w:r>
          </w:p>
        </w:tc>
        <w:tc>
          <w:tcPr>
            <w:tcW w:w="0" w:type="auto"/>
            <w:hideMark/>
          </w:tcPr>
          <w:p w14:paraId="28FEA8D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lastRenderedPageBreak/>
              <w:t>Study protocol and baseline analysis</w:t>
            </w:r>
          </w:p>
        </w:tc>
        <w:tc>
          <w:tcPr>
            <w:tcW w:w="0" w:type="auto"/>
            <w:hideMark/>
          </w:tcPr>
          <w:p w14:paraId="4C9F4EAA"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w:t>
            </w:r>
          </w:p>
        </w:tc>
        <w:tc>
          <w:tcPr>
            <w:tcW w:w="0" w:type="auto"/>
            <w:hideMark/>
          </w:tcPr>
          <w:p w14:paraId="1699A973"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Remote intervention setting</w:t>
            </w:r>
          </w:p>
        </w:tc>
        <w:tc>
          <w:tcPr>
            <w:tcW w:w="0" w:type="auto"/>
            <w:hideMark/>
          </w:tcPr>
          <w:p w14:paraId="2006648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Baseline assessment and protocol evaluation</w:t>
            </w:r>
          </w:p>
        </w:tc>
        <w:tc>
          <w:tcPr>
            <w:tcW w:w="0" w:type="auto"/>
            <w:hideMark/>
          </w:tcPr>
          <w:p w14:paraId="304AD739"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Demonstrated feasibility of delivering remote prevention interventions</w:t>
            </w:r>
          </w:p>
        </w:tc>
        <w:tc>
          <w:tcPr>
            <w:tcW w:w="0" w:type="auto"/>
            <w:hideMark/>
          </w:tcPr>
          <w:p w14:paraId="422F732F"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Innovative remote delivery model</w:t>
            </w:r>
          </w:p>
        </w:tc>
        <w:tc>
          <w:tcPr>
            <w:tcW w:w="0" w:type="auto"/>
            <w:hideMark/>
          </w:tcPr>
          <w:p w14:paraId="3162A4DF"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No outcome data reported at baseline stage</w:t>
            </w:r>
          </w:p>
        </w:tc>
      </w:tr>
      <w:tr w:rsidR="007A61B2" w:rsidRPr="00543963" w14:paraId="761A0E58" w14:textId="77777777" w:rsidTr="007A61B2">
        <w:tc>
          <w:tcPr>
            <w:tcW w:w="0" w:type="auto"/>
            <w:hideMark/>
          </w:tcPr>
          <w:p w14:paraId="4CF467E1"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Fishman et al. (2025)</w:t>
            </w:r>
          </w:p>
        </w:tc>
        <w:tc>
          <w:tcPr>
            <w:tcW w:w="0" w:type="auto"/>
            <w:hideMark/>
          </w:tcPr>
          <w:p w14:paraId="5741F41C"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Assess impact of digital education on dementia risk awareness and behaviour change</w:t>
            </w:r>
          </w:p>
        </w:tc>
        <w:tc>
          <w:tcPr>
            <w:tcW w:w="0" w:type="auto"/>
            <w:hideMark/>
          </w:tcPr>
          <w:p w14:paraId="183EBA0E"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Educational intervention study</w:t>
            </w:r>
          </w:p>
        </w:tc>
        <w:tc>
          <w:tcPr>
            <w:tcW w:w="0" w:type="auto"/>
            <w:hideMark/>
          </w:tcPr>
          <w:p w14:paraId="3974636F"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w:t>
            </w:r>
          </w:p>
        </w:tc>
        <w:tc>
          <w:tcPr>
            <w:tcW w:w="0" w:type="auto"/>
            <w:hideMark/>
          </w:tcPr>
          <w:p w14:paraId="4117639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Digital education setting</w:t>
            </w:r>
          </w:p>
        </w:tc>
        <w:tc>
          <w:tcPr>
            <w:tcW w:w="0" w:type="auto"/>
            <w:hideMark/>
          </w:tcPr>
          <w:p w14:paraId="3953FED5"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Online educational intervention</w:t>
            </w:r>
          </w:p>
        </w:tc>
        <w:tc>
          <w:tcPr>
            <w:tcW w:w="0" w:type="auto"/>
            <w:hideMark/>
          </w:tcPr>
          <w:p w14:paraId="6663F197"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Increased awareness and motivation for healthier behaviours</w:t>
            </w:r>
          </w:p>
        </w:tc>
        <w:tc>
          <w:tcPr>
            <w:tcW w:w="0" w:type="auto"/>
            <w:hideMark/>
          </w:tcPr>
          <w:p w14:paraId="2338213F"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Strong focus on preventive education</w:t>
            </w:r>
          </w:p>
        </w:tc>
        <w:tc>
          <w:tcPr>
            <w:tcW w:w="0" w:type="auto"/>
            <w:hideMark/>
          </w:tcPr>
          <w:p w14:paraId="3B603D3D"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Behaviour change outcomes may be short-term</w:t>
            </w:r>
          </w:p>
        </w:tc>
      </w:tr>
      <w:tr w:rsidR="007A61B2" w:rsidRPr="00543963" w14:paraId="48280F85" w14:textId="77777777" w:rsidTr="007A61B2">
        <w:tc>
          <w:tcPr>
            <w:tcW w:w="0" w:type="auto"/>
            <w:hideMark/>
          </w:tcPr>
          <w:p w14:paraId="60A54738"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Riera et al. (2025)</w:t>
            </w:r>
          </w:p>
        </w:tc>
        <w:tc>
          <w:tcPr>
            <w:tcW w:w="0" w:type="auto"/>
            <w:hideMark/>
          </w:tcPr>
          <w:p w14:paraId="3FAA15EC"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Evaluate digital coaching on cognitive concerns and quality of life</w:t>
            </w:r>
          </w:p>
        </w:tc>
        <w:tc>
          <w:tcPr>
            <w:tcW w:w="0" w:type="auto"/>
            <w:hideMark/>
          </w:tcPr>
          <w:p w14:paraId="7B17CBC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Intervention study</w:t>
            </w:r>
          </w:p>
        </w:tc>
        <w:tc>
          <w:tcPr>
            <w:tcW w:w="0" w:type="auto"/>
            <w:hideMark/>
          </w:tcPr>
          <w:p w14:paraId="5AF0C730"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 with cognitive concerns</w:t>
            </w:r>
          </w:p>
        </w:tc>
        <w:tc>
          <w:tcPr>
            <w:tcW w:w="0" w:type="auto"/>
            <w:hideMark/>
          </w:tcPr>
          <w:p w14:paraId="62166410"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Digital health setting</w:t>
            </w:r>
          </w:p>
        </w:tc>
        <w:tc>
          <w:tcPr>
            <w:tcW w:w="0" w:type="auto"/>
            <w:hideMark/>
          </w:tcPr>
          <w:p w14:paraId="10099BAC"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Personalised digital coaching</w:t>
            </w:r>
          </w:p>
        </w:tc>
        <w:tc>
          <w:tcPr>
            <w:tcW w:w="0" w:type="auto"/>
            <w:hideMark/>
          </w:tcPr>
          <w:p w14:paraId="5BA5D180"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Improvements in quality of life and health behaviours reported</w:t>
            </w:r>
          </w:p>
        </w:tc>
        <w:tc>
          <w:tcPr>
            <w:tcW w:w="0" w:type="auto"/>
            <w:hideMark/>
          </w:tcPr>
          <w:p w14:paraId="0363084D"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Personalised coaching approach</w:t>
            </w:r>
          </w:p>
        </w:tc>
        <w:tc>
          <w:tcPr>
            <w:tcW w:w="0" w:type="auto"/>
            <w:hideMark/>
          </w:tcPr>
          <w:p w14:paraId="09421B90"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Potential selection bias</w:t>
            </w:r>
          </w:p>
        </w:tc>
      </w:tr>
      <w:tr w:rsidR="007A61B2" w:rsidRPr="00543963" w14:paraId="047AF1DC" w14:textId="77777777" w:rsidTr="007A61B2">
        <w:tc>
          <w:tcPr>
            <w:tcW w:w="0" w:type="auto"/>
            <w:hideMark/>
          </w:tcPr>
          <w:p w14:paraId="43E84199"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lastRenderedPageBreak/>
              <w:t>Bunyan et al. (2025)</w:t>
            </w:r>
          </w:p>
        </w:tc>
        <w:tc>
          <w:tcPr>
            <w:tcW w:w="0" w:type="auto"/>
            <w:hideMark/>
          </w:tcPr>
          <w:p w14:paraId="40297415"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Explore long-term engagement with digital interventions</w:t>
            </w:r>
          </w:p>
        </w:tc>
        <w:tc>
          <w:tcPr>
            <w:tcW w:w="0" w:type="auto"/>
            <w:hideMark/>
          </w:tcPr>
          <w:p w14:paraId="115719E1"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Longitudinal cohort study</w:t>
            </w:r>
          </w:p>
        </w:tc>
        <w:tc>
          <w:tcPr>
            <w:tcW w:w="0" w:type="auto"/>
            <w:hideMark/>
          </w:tcPr>
          <w:p w14:paraId="558894D1"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w:t>
            </w:r>
          </w:p>
        </w:tc>
        <w:tc>
          <w:tcPr>
            <w:tcW w:w="0" w:type="auto"/>
            <w:hideMark/>
          </w:tcPr>
          <w:p w14:paraId="73C20C16"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Long-term digital intervention setting</w:t>
            </w:r>
          </w:p>
        </w:tc>
        <w:tc>
          <w:tcPr>
            <w:tcW w:w="0" w:type="auto"/>
            <w:hideMark/>
          </w:tcPr>
          <w:p w14:paraId="765692FD"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Follow-up assessment of intervention use</w:t>
            </w:r>
          </w:p>
        </w:tc>
        <w:tc>
          <w:tcPr>
            <w:tcW w:w="0" w:type="auto"/>
            <w:hideMark/>
          </w:tcPr>
          <w:p w14:paraId="7251DC6F"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Sustained engagement varied according to participant characteristics</w:t>
            </w:r>
          </w:p>
        </w:tc>
        <w:tc>
          <w:tcPr>
            <w:tcW w:w="0" w:type="auto"/>
            <w:hideMark/>
          </w:tcPr>
          <w:p w14:paraId="49827726"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Long-term perspective on adherence</w:t>
            </w:r>
          </w:p>
        </w:tc>
        <w:tc>
          <w:tcPr>
            <w:tcW w:w="0" w:type="auto"/>
            <w:hideMark/>
          </w:tcPr>
          <w:p w14:paraId="2D21CB2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Attrition over time</w:t>
            </w:r>
          </w:p>
        </w:tc>
      </w:tr>
      <w:tr w:rsidR="007A61B2" w:rsidRPr="00543963" w14:paraId="0B588750" w14:textId="77777777" w:rsidTr="007A61B2">
        <w:tc>
          <w:tcPr>
            <w:tcW w:w="0" w:type="auto"/>
            <w:hideMark/>
          </w:tcPr>
          <w:p w14:paraId="7B9D26DC"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Schroeder et al. (2025)</w:t>
            </w:r>
          </w:p>
        </w:tc>
        <w:tc>
          <w:tcPr>
            <w:tcW w:w="0" w:type="auto"/>
            <w:hideMark/>
          </w:tcPr>
          <w:p w14:paraId="56E8D0FD"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Investigate adherence to digital monitoring tools among older adults</w:t>
            </w:r>
          </w:p>
        </w:tc>
        <w:tc>
          <w:tcPr>
            <w:tcW w:w="0" w:type="auto"/>
            <w:hideMark/>
          </w:tcPr>
          <w:p w14:paraId="3CA6588C"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Observational study</w:t>
            </w:r>
          </w:p>
        </w:tc>
        <w:tc>
          <w:tcPr>
            <w:tcW w:w="0" w:type="auto"/>
            <w:hideMark/>
          </w:tcPr>
          <w:p w14:paraId="549FB625"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w:t>
            </w:r>
          </w:p>
        </w:tc>
        <w:tc>
          <w:tcPr>
            <w:tcW w:w="0" w:type="auto"/>
            <w:hideMark/>
          </w:tcPr>
          <w:p w14:paraId="0E1B87A1"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Real-world technology setting</w:t>
            </w:r>
          </w:p>
        </w:tc>
        <w:tc>
          <w:tcPr>
            <w:tcW w:w="0" w:type="auto"/>
            <w:hideMark/>
          </w:tcPr>
          <w:p w14:paraId="512EEB5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Monitoring adherence and usage patterns</w:t>
            </w:r>
          </w:p>
        </w:tc>
        <w:tc>
          <w:tcPr>
            <w:tcW w:w="0" w:type="auto"/>
            <w:hideMark/>
          </w:tcPr>
          <w:p w14:paraId="1006C611"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Adherence influenced by usability and perceived usefulness</w:t>
            </w:r>
          </w:p>
        </w:tc>
        <w:tc>
          <w:tcPr>
            <w:tcW w:w="0" w:type="auto"/>
            <w:hideMark/>
          </w:tcPr>
          <w:p w14:paraId="6EE937C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Real-world technology use</w:t>
            </w:r>
          </w:p>
        </w:tc>
        <w:tc>
          <w:tcPr>
            <w:tcW w:w="0" w:type="auto"/>
            <w:hideMark/>
          </w:tcPr>
          <w:p w14:paraId="040D3FE3"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Findings limited to specific technologies</w:t>
            </w:r>
          </w:p>
        </w:tc>
      </w:tr>
      <w:tr w:rsidR="007A61B2" w:rsidRPr="00543963" w14:paraId="46988313" w14:textId="77777777" w:rsidTr="007A61B2">
        <w:tc>
          <w:tcPr>
            <w:tcW w:w="0" w:type="auto"/>
            <w:hideMark/>
          </w:tcPr>
          <w:p w14:paraId="5E4BC31B"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Essery et al. (2021)</w:t>
            </w:r>
          </w:p>
        </w:tc>
        <w:tc>
          <w:tcPr>
            <w:tcW w:w="0" w:type="auto"/>
            <w:hideMark/>
          </w:tcPr>
          <w:p w14:paraId="1B88C1BF"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 xml:space="preserve">Develop and optimise the Active Brains </w:t>
            </w:r>
            <w:r w:rsidRPr="00543963">
              <w:rPr>
                <w:rFonts w:ascii="Arial" w:eastAsia="Times New Roman" w:hAnsi="Arial" w:cs="Arial"/>
                <w:kern w:val="0"/>
                <w:sz w:val="24"/>
                <w:szCs w:val="24"/>
                <w:lang w:eastAsia="en-IN" w:bidi="gu-IN"/>
                <w14:ligatures w14:val="none"/>
              </w:rPr>
              <w:lastRenderedPageBreak/>
              <w:t>intervention</w:t>
            </w:r>
          </w:p>
        </w:tc>
        <w:tc>
          <w:tcPr>
            <w:tcW w:w="0" w:type="auto"/>
            <w:hideMark/>
          </w:tcPr>
          <w:p w14:paraId="687D752E"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lastRenderedPageBreak/>
              <w:t>Intervention development study</w:t>
            </w:r>
          </w:p>
        </w:tc>
        <w:tc>
          <w:tcPr>
            <w:tcW w:w="0" w:type="auto"/>
            <w:hideMark/>
          </w:tcPr>
          <w:p w14:paraId="300559C7"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w:t>
            </w:r>
          </w:p>
        </w:tc>
        <w:tc>
          <w:tcPr>
            <w:tcW w:w="0" w:type="auto"/>
            <w:hideMark/>
          </w:tcPr>
          <w:p w14:paraId="5851E8A1"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Digital cognitive health setting</w:t>
            </w:r>
          </w:p>
        </w:tc>
        <w:tc>
          <w:tcPr>
            <w:tcW w:w="0" w:type="auto"/>
            <w:hideMark/>
          </w:tcPr>
          <w:p w14:paraId="59565150"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User-centred intervention development</w:t>
            </w:r>
          </w:p>
        </w:tc>
        <w:tc>
          <w:tcPr>
            <w:tcW w:w="0" w:type="auto"/>
            <w:hideMark/>
          </w:tcPr>
          <w:p w14:paraId="5F7A485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User-centred design enhanced engagement potential</w:t>
            </w:r>
          </w:p>
        </w:tc>
        <w:tc>
          <w:tcPr>
            <w:tcW w:w="0" w:type="auto"/>
            <w:hideMark/>
          </w:tcPr>
          <w:p w14:paraId="71355EF5"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Strong theoretical and behavioural framework</w:t>
            </w:r>
          </w:p>
        </w:tc>
        <w:tc>
          <w:tcPr>
            <w:tcW w:w="0" w:type="auto"/>
            <w:hideMark/>
          </w:tcPr>
          <w:p w14:paraId="2788CFCC"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No effectiveness outcomes reported</w:t>
            </w:r>
          </w:p>
        </w:tc>
      </w:tr>
      <w:tr w:rsidR="007A61B2" w:rsidRPr="00543963" w14:paraId="4EC7CF38" w14:textId="77777777" w:rsidTr="007A61B2">
        <w:tc>
          <w:tcPr>
            <w:tcW w:w="0" w:type="auto"/>
            <w:hideMark/>
          </w:tcPr>
          <w:p w14:paraId="63E9520E"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Peng et al. (2024)</w:t>
            </w:r>
          </w:p>
        </w:tc>
        <w:tc>
          <w:tcPr>
            <w:tcW w:w="0" w:type="auto"/>
            <w:hideMark/>
          </w:tcPr>
          <w:p w14:paraId="08FDE158"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Examine links between digital technology use and dementia risk</w:t>
            </w:r>
          </w:p>
        </w:tc>
        <w:tc>
          <w:tcPr>
            <w:tcW w:w="0" w:type="auto"/>
            <w:hideMark/>
          </w:tcPr>
          <w:p w14:paraId="0EBAA2EC"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Observational study</w:t>
            </w:r>
          </w:p>
        </w:tc>
        <w:tc>
          <w:tcPr>
            <w:tcW w:w="0" w:type="auto"/>
            <w:hideMark/>
          </w:tcPr>
          <w:p w14:paraId="2908E2D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w:t>
            </w:r>
          </w:p>
        </w:tc>
        <w:tc>
          <w:tcPr>
            <w:tcW w:w="0" w:type="auto"/>
            <w:hideMark/>
          </w:tcPr>
          <w:p w14:paraId="54F256C6"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Population-based setting</w:t>
            </w:r>
          </w:p>
        </w:tc>
        <w:tc>
          <w:tcPr>
            <w:tcW w:w="0" w:type="auto"/>
            <w:hideMark/>
          </w:tcPr>
          <w:p w14:paraId="6FF7C48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Assessment of technology use and dementia risk</w:t>
            </w:r>
          </w:p>
        </w:tc>
        <w:tc>
          <w:tcPr>
            <w:tcW w:w="0" w:type="auto"/>
            <w:hideMark/>
          </w:tcPr>
          <w:p w14:paraId="0F3AECF3"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Greater technology engagement associated with lower dementia risk</w:t>
            </w:r>
          </w:p>
        </w:tc>
        <w:tc>
          <w:tcPr>
            <w:tcW w:w="0" w:type="auto"/>
            <w:hideMark/>
          </w:tcPr>
          <w:p w14:paraId="62A0D67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Population-based evidence</w:t>
            </w:r>
          </w:p>
        </w:tc>
        <w:tc>
          <w:tcPr>
            <w:tcW w:w="0" w:type="auto"/>
            <w:hideMark/>
          </w:tcPr>
          <w:p w14:paraId="4F50187A"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Causality cannot be inferred</w:t>
            </w:r>
          </w:p>
        </w:tc>
      </w:tr>
      <w:tr w:rsidR="007A61B2" w:rsidRPr="00543963" w14:paraId="600C3DF5" w14:textId="77777777" w:rsidTr="007A61B2">
        <w:tc>
          <w:tcPr>
            <w:tcW w:w="0" w:type="auto"/>
            <w:hideMark/>
          </w:tcPr>
          <w:p w14:paraId="62657B72"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Money et al. (2024)</w:t>
            </w:r>
          </w:p>
        </w:tc>
        <w:tc>
          <w:tcPr>
            <w:tcW w:w="0" w:type="auto"/>
            <w:hideMark/>
          </w:tcPr>
          <w:p w14:paraId="6A3DB807"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Explore barriers and facilitators to digital engagement</w:t>
            </w:r>
          </w:p>
        </w:tc>
        <w:tc>
          <w:tcPr>
            <w:tcW w:w="0" w:type="auto"/>
            <w:hideMark/>
          </w:tcPr>
          <w:p w14:paraId="5CC9C8CC"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Qualitative interview study</w:t>
            </w:r>
          </w:p>
        </w:tc>
        <w:tc>
          <w:tcPr>
            <w:tcW w:w="0" w:type="auto"/>
            <w:hideMark/>
          </w:tcPr>
          <w:p w14:paraId="4429154C"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w:t>
            </w:r>
          </w:p>
        </w:tc>
        <w:tc>
          <w:tcPr>
            <w:tcW w:w="0" w:type="auto"/>
            <w:hideMark/>
          </w:tcPr>
          <w:p w14:paraId="7722E09E"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Community setting</w:t>
            </w:r>
          </w:p>
        </w:tc>
        <w:tc>
          <w:tcPr>
            <w:tcW w:w="0" w:type="auto"/>
            <w:hideMark/>
          </w:tcPr>
          <w:p w14:paraId="10100FB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Semi-structured interviews</w:t>
            </w:r>
          </w:p>
        </w:tc>
        <w:tc>
          <w:tcPr>
            <w:tcW w:w="0" w:type="auto"/>
            <w:hideMark/>
          </w:tcPr>
          <w:p w14:paraId="53371B1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Digital literacy, confidence, and support affected engagement</w:t>
            </w:r>
          </w:p>
        </w:tc>
        <w:tc>
          <w:tcPr>
            <w:tcW w:w="0" w:type="auto"/>
            <w:hideMark/>
          </w:tcPr>
          <w:p w14:paraId="0416619A"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Rich qualitative insights</w:t>
            </w:r>
          </w:p>
        </w:tc>
        <w:tc>
          <w:tcPr>
            <w:tcW w:w="0" w:type="auto"/>
            <w:hideMark/>
          </w:tcPr>
          <w:p w14:paraId="69AAFF2D"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Small sample and limited transferability</w:t>
            </w:r>
          </w:p>
        </w:tc>
      </w:tr>
      <w:tr w:rsidR="007A61B2" w:rsidRPr="00543963" w14:paraId="7CC1FEBF" w14:textId="77777777" w:rsidTr="007A61B2">
        <w:tc>
          <w:tcPr>
            <w:tcW w:w="0" w:type="auto"/>
            <w:hideMark/>
          </w:tcPr>
          <w:p w14:paraId="50B1CD53"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Kebede et al. (2022)</w:t>
            </w:r>
          </w:p>
        </w:tc>
        <w:tc>
          <w:tcPr>
            <w:tcW w:w="0" w:type="auto"/>
            <w:hideMark/>
          </w:tcPr>
          <w:p w14:paraId="501EC38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 xml:space="preserve">Identify barriers and facilitators </w:t>
            </w:r>
            <w:r w:rsidRPr="00543963">
              <w:rPr>
                <w:rFonts w:ascii="Arial" w:eastAsia="Times New Roman" w:hAnsi="Arial" w:cs="Arial"/>
                <w:kern w:val="0"/>
                <w:sz w:val="24"/>
                <w:szCs w:val="24"/>
                <w:lang w:eastAsia="en-IN" w:bidi="gu-IN"/>
                <w14:ligatures w14:val="none"/>
              </w:rPr>
              <w:lastRenderedPageBreak/>
              <w:t>to digital technology engagement</w:t>
            </w:r>
          </w:p>
        </w:tc>
        <w:tc>
          <w:tcPr>
            <w:tcW w:w="0" w:type="auto"/>
            <w:hideMark/>
          </w:tcPr>
          <w:p w14:paraId="473F7B0A"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lastRenderedPageBreak/>
              <w:t>Scoping review</w:t>
            </w:r>
          </w:p>
        </w:tc>
        <w:tc>
          <w:tcPr>
            <w:tcW w:w="0" w:type="auto"/>
            <w:hideMark/>
          </w:tcPr>
          <w:p w14:paraId="69601189"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Existing literature on older adults</w:t>
            </w:r>
          </w:p>
        </w:tc>
        <w:tc>
          <w:tcPr>
            <w:tcW w:w="0" w:type="auto"/>
            <w:hideMark/>
          </w:tcPr>
          <w:p w14:paraId="258DABFB"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Multiple settings</w:t>
            </w:r>
          </w:p>
        </w:tc>
        <w:tc>
          <w:tcPr>
            <w:tcW w:w="0" w:type="auto"/>
            <w:hideMark/>
          </w:tcPr>
          <w:p w14:paraId="470B95A6"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Literature synthesis</w:t>
            </w:r>
          </w:p>
        </w:tc>
        <w:tc>
          <w:tcPr>
            <w:tcW w:w="0" w:type="auto"/>
            <w:hideMark/>
          </w:tcPr>
          <w:p w14:paraId="2278D680"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 xml:space="preserve">Digital literacy, motivation, and accessibility </w:t>
            </w:r>
            <w:r w:rsidRPr="00543963">
              <w:rPr>
                <w:rFonts w:ascii="Arial" w:eastAsia="Times New Roman" w:hAnsi="Arial" w:cs="Arial"/>
                <w:kern w:val="0"/>
                <w:sz w:val="24"/>
                <w:szCs w:val="24"/>
                <w:lang w:eastAsia="en-IN" w:bidi="gu-IN"/>
                <w14:ligatures w14:val="none"/>
              </w:rPr>
              <w:lastRenderedPageBreak/>
              <w:t>identified as key factors</w:t>
            </w:r>
          </w:p>
        </w:tc>
        <w:tc>
          <w:tcPr>
            <w:tcW w:w="0" w:type="auto"/>
            <w:hideMark/>
          </w:tcPr>
          <w:p w14:paraId="10C9B42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lastRenderedPageBreak/>
              <w:t>Comprehensive evidence synthesis</w:t>
            </w:r>
          </w:p>
        </w:tc>
        <w:tc>
          <w:tcPr>
            <w:tcW w:w="0" w:type="auto"/>
            <w:hideMark/>
          </w:tcPr>
          <w:p w14:paraId="251048B5"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 xml:space="preserve">Limited quality assessment </w:t>
            </w:r>
            <w:r w:rsidRPr="00543963">
              <w:rPr>
                <w:rFonts w:ascii="Arial" w:eastAsia="Times New Roman" w:hAnsi="Arial" w:cs="Arial"/>
                <w:kern w:val="0"/>
                <w:sz w:val="24"/>
                <w:szCs w:val="24"/>
                <w:lang w:eastAsia="en-IN" w:bidi="gu-IN"/>
                <w14:ligatures w14:val="none"/>
              </w:rPr>
              <w:lastRenderedPageBreak/>
              <w:t>of included studies</w:t>
            </w:r>
          </w:p>
        </w:tc>
      </w:tr>
      <w:tr w:rsidR="007A61B2" w:rsidRPr="00543963" w14:paraId="4C7E941F" w14:textId="77777777" w:rsidTr="007A61B2">
        <w:tc>
          <w:tcPr>
            <w:tcW w:w="0" w:type="auto"/>
            <w:hideMark/>
          </w:tcPr>
          <w:p w14:paraId="3956F207"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lastRenderedPageBreak/>
              <w:t>Schmidt et al. (2025)</w:t>
            </w:r>
          </w:p>
        </w:tc>
        <w:tc>
          <w:tcPr>
            <w:tcW w:w="0" w:type="auto"/>
            <w:hideMark/>
          </w:tcPr>
          <w:p w14:paraId="578FCE2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Explore perceptions of technology among people with Mild Cognitive Impairment (MCI)</w:t>
            </w:r>
          </w:p>
        </w:tc>
        <w:tc>
          <w:tcPr>
            <w:tcW w:w="0" w:type="auto"/>
            <w:hideMark/>
          </w:tcPr>
          <w:p w14:paraId="42E3D527"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Scoping review</w:t>
            </w:r>
          </w:p>
        </w:tc>
        <w:tc>
          <w:tcPr>
            <w:tcW w:w="0" w:type="auto"/>
            <w:hideMark/>
          </w:tcPr>
          <w:p w14:paraId="39751B1A"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Individuals with MCI</w:t>
            </w:r>
          </w:p>
        </w:tc>
        <w:tc>
          <w:tcPr>
            <w:tcW w:w="0" w:type="auto"/>
            <w:hideMark/>
          </w:tcPr>
          <w:p w14:paraId="5C9D776E"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Multiple healthcare/community settings</w:t>
            </w:r>
          </w:p>
        </w:tc>
        <w:tc>
          <w:tcPr>
            <w:tcW w:w="0" w:type="auto"/>
            <w:hideMark/>
          </w:tcPr>
          <w:p w14:paraId="1FFB9FA3"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Review of technology perspectives</w:t>
            </w:r>
          </w:p>
        </w:tc>
        <w:tc>
          <w:tcPr>
            <w:tcW w:w="0" w:type="auto"/>
            <w:hideMark/>
          </w:tcPr>
          <w:p w14:paraId="1328008B"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Usability, confidence, and support influenced technology acceptance</w:t>
            </w:r>
          </w:p>
        </w:tc>
        <w:tc>
          <w:tcPr>
            <w:tcW w:w="0" w:type="auto"/>
            <w:hideMark/>
          </w:tcPr>
          <w:p w14:paraId="00A97D30"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Focus on MCI population</w:t>
            </w:r>
          </w:p>
        </w:tc>
        <w:tc>
          <w:tcPr>
            <w:tcW w:w="0" w:type="auto"/>
            <w:hideMark/>
          </w:tcPr>
          <w:p w14:paraId="01343FC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Heterogeneity of included studies</w:t>
            </w:r>
          </w:p>
        </w:tc>
      </w:tr>
      <w:tr w:rsidR="007A61B2" w:rsidRPr="00543963" w14:paraId="3725CA43" w14:textId="77777777" w:rsidTr="007A61B2">
        <w:tc>
          <w:tcPr>
            <w:tcW w:w="0" w:type="auto"/>
            <w:hideMark/>
          </w:tcPr>
          <w:p w14:paraId="2F0559C4"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Panzavolta et al. (2025)</w:t>
            </w:r>
          </w:p>
        </w:tc>
        <w:tc>
          <w:tcPr>
            <w:tcW w:w="0" w:type="auto"/>
            <w:hideMark/>
          </w:tcPr>
          <w:p w14:paraId="7B518007"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 xml:space="preserve">Examine barriers affecting technology adoption in </w:t>
            </w:r>
            <w:r w:rsidRPr="00543963">
              <w:rPr>
                <w:rFonts w:ascii="Arial" w:eastAsia="Times New Roman" w:hAnsi="Arial" w:cs="Arial"/>
                <w:kern w:val="0"/>
                <w:sz w:val="24"/>
                <w:szCs w:val="24"/>
                <w:lang w:eastAsia="en-IN" w:bidi="gu-IN"/>
                <w14:ligatures w14:val="none"/>
              </w:rPr>
              <w:lastRenderedPageBreak/>
              <w:t>dementia care</w:t>
            </w:r>
          </w:p>
        </w:tc>
        <w:tc>
          <w:tcPr>
            <w:tcW w:w="0" w:type="auto"/>
            <w:hideMark/>
          </w:tcPr>
          <w:p w14:paraId="00A985DB"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lastRenderedPageBreak/>
              <w:t>Qualitative and mixed-method evidence synthesis</w:t>
            </w:r>
          </w:p>
        </w:tc>
        <w:tc>
          <w:tcPr>
            <w:tcW w:w="0" w:type="auto"/>
            <w:hideMark/>
          </w:tcPr>
          <w:p w14:paraId="0280D909"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Individuals with dementia and caregivers</w:t>
            </w:r>
          </w:p>
        </w:tc>
        <w:tc>
          <w:tcPr>
            <w:tcW w:w="0" w:type="auto"/>
            <w:hideMark/>
          </w:tcPr>
          <w:p w14:paraId="2412E3C6"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Dementia care settings</w:t>
            </w:r>
          </w:p>
        </w:tc>
        <w:tc>
          <w:tcPr>
            <w:tcW w:w="0" w:type="auto"/>
            <w:hideMark/>
          </w:tcPr>
          <w:p w14:paraId="03B8D612"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Evidence synthesis</w:t>
            </w:r>
          </w:p>
        </w:tc>
        <w:tc>
          <w:tcPr>
            <w:tcW w:w="0" w:type="auto"/>
            <w:hideMark/>
          </w:tcPr>
          <w:p w14:paraId="64F91F08"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Memory difficulties, confidence, and accessibility barriers emerged</w:t>
            </w:r>
          </w:p>
        </w:tc>
        <w:tc>
          <w:tcPr>
            <w:tcW w:w="0" w:type="auto"/>
            <w:hideMark/>
          </w:tcPr>
          <w:p w14:paraId="442857BA"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Dementia-specific focus</w:t>
            </w:r>
          </w:p>
        </w:tc>
        <w:tc>
          <w:tcPr>
            <w:tcW w:w="0" w:type="auto"/>
            <w:hideMark/>
          </w:tcPr>
          <w:p w14:paraId="5ABA463F"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Findings may not apply to all populations</w:t>
            </w:r>
          </w:p>
        </w:tc>
      </w:tr>
      <w:tr w:rsidR="007A61B2" w:rsidRPr="00543963" w14:paraId="42D3F890" w14:textId="77777777" w:rsidTr="007A61B2">
        <w:tc>
          <w:tcPr>
            <w:tcW w:w="0" w:type="auto"/>
            <w:hideMark/>
          </w:tcPr>
          <w:p w14:paraId="3FCD2AFB"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Da et al. (2025)</w:t>
            </w:r>
          </w:p>
        </w:tc>
        <w:tc>
          <w:tcPr>
            <w:tcW w:w="0" w:type="auto"/>
            <w:hideMark/>
          </w:tcPr>
          <w:p w14:paraId="3CF6B354"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Explore factors influencing engagement with digital health technologies</w:t>
            </w:r>
          </w:p>
        </w:tc>
        <w:tc>
          <w:tcPr>
            <w:tcW w:w="0" w:type="auto"/>
            <w:hideMark/>
          </w:tcPr>
          <w:p w14:paraId="5F4A76AE"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Scoping review/protocol study</w:t>
            </w:r>
          </w:p>
        </w:tc>
        <w:tc>
          <w:tcPr>
            <w:tcW w:w="0" w:type="auto"/>
            <w:hideMark/>
          </w:tcPr>
          <w:p w14:paraId="46B7D0E5"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 with cognitive impairment</w:t>
            </w:r>
          </w:p>
        </w:tc>
        <w:tc>
          <w:tcPr>
            <w:tcW w:w="0" w:type="auto"/>
            <w:hideMark/>
          </w:tcPr>
          <w:p w14:paraId="14D5B94F"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Digital health settings</w:t>
            </w:r>
          </w:p>
        </w:tc>
        <w:tc>
          <w:tcPr>
            <w:tcW w:w="0" w:type="auto"/>
            <w:hideMark/>
          </w:tcPr>
          <w:p w14:paraId="6632D68D"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Literature review and protocol analysis</w:t>
            </w:r>
          </w:p>
        </w:tc>
        <w:tc>
          <w:tcPr>
            <w:tcW w:w="0" w:type="auto"/>
            <w:hideMark/>
          </w:tcPr>
          <w:p w14:paraId="475DCAAB"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Cognitive load and usability influenced engagement</w:t>
            </w:r>
          </w:p>
        </w:tc>
        <w:tc>
          <w:tcPr>
            <w:tcW w:w="0" w:type="auto"/>
            <w:hideMark/>
          </w:tcPr>
          <w:p w14:paraId="7434EE17"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Focus on cognitive impairment</w:t>
            </w:r>
          </w:p>
        </w:tc>
        <w:tc>
          <w:tcPr>
            <w:tcW w:w="0" w:type="auto"/>
            <w:hideMark/>
          </w:tcPr>
          <w:p w14:paraId="2D9EDEBE"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Limited outcome evidence</w:t>
            </w:r>
          </w:p>
        </w:tc>
      </w:tr>
      <w:tr w:rsidR="007A61B2" w:rsidRPr="00543963" w14:paraId="1C38C076" w14:textId="77777777" w:rsidTr="007A61B2">
        <w:tc>
          <w:tcPr>
            <w:tcW w:w="0" w:type="auto"/>
            <w:hideMark/>
          </w:tcPr>
          <w:p w14:paraId="58F38879" w14:textId="77777777" w:rsidR="007A61B2" w:rsidRPr="00543963" w:rsidRDefault="007A61B2" w:rsidP="007A61B2">
            <w:pPr>
              <w:spacing w:line="360" w:lineRule="auto"/>
              <w:jc w:val="center"/>
              <w:rPr>
                <w:rFonts w:ascii="Arial" w:eastAsia="Times New Roman" w:hAnsi="Arial" w:cs="Arial"/>
                <w:b/>
                <w:bCs/>
                <w:kern w:val="0"/>
                <w:sz w:val="24"/>
                <w:szCs w:val="24"/>
                <w:lang w:eastAsia="en-IN" w:bidi="gu-IN"/>
                <w14:ligatures w14:val="none"/>
              </w:rPr>
            </w:pPr>
            <w:r w:rsidRPr="00543963">
              <w:rPr>
                <w:rFonts w:ascii="Arial" w:eastAsia="Times New Roman" w:hAnsi="Arial" w:cs="Arial"/>
                <w:b/>
                <w:bCs/>
                <w:kern w:val="0"/>
                <w:sz w:val="24"/>
                <w:szCs w:val="24"/>
                <w:lang w:eastAsia="en-IN" w:bidi="gu-IN"/>
                <w14:ligatures w14:val="none"/>
              </w:rPr>
              <w:t>Glenn et al. (2019)</w:t>
            </w:r>
          </w:p>
        </w:tc>
        <w:tc>
          <w:tcPr>
            <w:tcW w:w="0" w:type="auto"/>
            <w:hideMark/>
          </w:tcPr>
          <w:p w14:paraId="11C773D5"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Assess engagement and cognitive outcomes from digital cognitive training</w:t>
            </w:r>
          </w:p>
        </w:tc>
        <w:tc>
          <w:tcPr>
            <w:tcW w:w="0" w:type="auto"/>
            <w:hideMark/>
          </w:tcPr>
          <w:p w14:paraId="2BB37F1B"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Intervention study</w:t>
            </w:r>
          </w:p>
        </w:tc>
        <w:tc>
          <w:tcPr>
            <w:tcW w:w="0" w:type="auto"/>
            <w:hideMark/>
          </w:tcPr>
          <w:p w14:paraId="202008A6"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Older adults</w:t>
            </w:r>
          </w:p>
        </w:tc>
        <w:tc>
          <w:tcPr>
            <w:tcW w:w="0" w:type="auto"/>
            <w:hideMark/>
          </w:tcPr>
          <w:p w14:paraId="07F899FB"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Digital cognitive training setting</w:t>
            </w:r>
          </w:p>
        </w:tc>
        <w:tc>
          <w:tcPr>
            <w:tcW w:w="0" w:type="auto"/>
            <w:hideMark/>
          </w:tcPr>
          <w:p w14:paraId="6737E535"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Cognitive training programme evaluation</w:t>
            </w:r>
          </w:p>
        </w:tc>
        <w:tc>
          <w:tcPr>
            <w:tcW w:w="0" w:type="auto"/>
            <w:hideMark/>
          </w:tcPr>
          <w:p w14:paraId="666116D7"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Improvements reported in memory, attention, and processing speed</w:t>
            </w:r>
          </w:p>
        </w:tc>
        <w:tc>
          <w:tcPr>
            <w:tcW w:w="0" w:type="auto"/>
            <w:hideMark/>
          </w:tcPr>
          <w:p w14:paraId="35B62839" w14:textId="321BCBFF" w:rsidR="007A61B2" w:rsidRPr="00543963" w:rsidRDefault="007A61B2" w:rsidP="007A61B2">
            <w:pPr>
              <w:spacing w:line="360" w:lineRule="auto"/>
              <w:rPr>
                <w:rFonts w:ascii="Arial" w:eastAsia="Times New Roman" w:hAnsi="Arial" w:cs="Arial"/>
                <w:kern w:val="0"/>
                <w:sz w:val="24"/>
                <w:szCs w:val="24"/>
                <w:lang w:eastAsia="en-IN" w:bidi="gu-IN"/>
                <w14:ligatures w14:val="none"/>
              </w:rPr>
            </w:pPr>
            <w:r w:rsidRPr="00543963">
              <w:rPr>
                <w:rFonts w:ascii="Arial" w:eastAsia="Times New Roman" w:hAnsi="Arial" w:cs="Arial"/>
                <w:kern w:val="0"/>
                <w:sz w:val="24"/>
                <w:szCs w:val="24"/>
                <w:lang w:eastAsia="en-IN" w:bidi="gu-IN"/>
                <w14:ligatures w14:val="none"/>
              </w:rPr>
              <w:t>Objective cognitive outcom</w:t>
            </w:r>
            <w:r w:rsidR="00254CC2">
              <w:rPr>
                <w:rFonts w:ascii="Arial" w:eastAsia="Times New Roman" w:hAnsi="Arial" w:cs="Arial"/>
                <w:kern w:val="0"/>
                <w:sz w:val="24"/>
                <w:szCs w:val="24"/>
                <w:lang w:eastAsia="en-IN" w:bidi="gu-IN"/>
                <w14:ligatures w14:val="none"/>
              </w:rPr>
              <w:t>e</w:t>
            </w:r>
          </w:p>
        </w:tc>
        <w:tc>
          <w:tcPr>
            <w:tcW w:w="0" w:type="auto"/>
            <w:hideMark/>
          </w:tcPr>
          <w:p w14:paraId="2831DEB0" w14:textId="77777777" w:rsidR="007A61B2" w:rsidRPr="00543963" w:rsidRDefault="007A61B2" w:rsidP="007A61B2">
            <w:pPr>
              <w:spacing w:line="360" w:lineRule="auto"/>
              <w:rPr>
                <w:rFonts w:ascii="Arial" w:eastAsia="Times New Roman" w:hAnsi="Arial" w:cs="Arial"/>
                <w:kern w:val="0"/>
                <w:sz w:val="24"/>
                <w:szCs w:val="24"/>
                <w:lang w:eastAsia="en-IN" w:bidi="gu-IN"/>
                <w14:ligatures w14:val="none"/>
              </w:rPr>
            </w:pPr>
          </w:p>
        </w:tc>
      </w:tr>
    </w:tbl>
    <w:p w14:paraId="395F0ED9" w14:textId="77777777" w:rsidR="001F2403" w:rsidRPr="00543963" w:rsidRDefault="001F2403">
      <w:pPr>
        <w:rPr>
          <w:rFonts w:ascii="Arial" w:hAnsi="Arial" w:cs="Arial"/>
          <w:b/>
          <w:bCs/>
        </w:rPr>
      </w:pPr>
    </w:p>
    <w:p w14:paraId="601DCCB5" w14:textId="77777777" w:rsidR="001F2403" w:rsidRPr="00543963" w:rsidRDefault="001F2403">
      <w:pPr>
        <w:rPr>
          <w:rFonts w:ascii="Arial" w:hAnsi="Arial" w:cs="Arial"/>
          <w:b/>
          <w:bCs/>
        </w:rPr>
      </w:pPr>
    </w:p>
    <w:p w14:paraId="3FA56511" w14:textId="77777777" w:rsidR="007A61B2" w:rsidRPr="00543963" w:rsidRDefault="007A61B2" w:rsidP="00543963">
      <w:pPr>
        <w:pStyle w:val="Heading1"/>
        <w:rPr>
          <w:rFonts w:ascii="Arial" w:hAnsi="Arial" w:cs="Arial"/>
          <w:b/>
          <w:sz w:val="28"/>
          <w:szCs w:val="28"/>
        </w:rPr>
      </w:pPr>
      <w:bookmarkStart w:id="93" w:name="_Toc232034670"/>
      <w:r w:rsidRPr="00543963">
        <w:rPr>
          <w:rFonts w:ascii="Arial" w:hAnsi="Arial" w:cs="Arial"/>
          <w:b/>
          <w:sz w:val="28"/>
          <w:szCs w:val="28"/>
        </w:rPr>
        <w:lastRenderedPageBreak/>
        <w:t>Appendix 2 – Critical Appraisals</w:t>
      </w:r>
      <w:bookmarkEnd w:id="93"/>
    </w:p>
    <w:p w14:paraId="47230D93" w14:textId="77777777" w:rsidR="007A61B2" w:rsidRPr="00543963" w:rsidRDefault="007A61B2" w:rsidP="007A61B2">
      <w:pPr>
        <w:spacing w:line="360" w:lineRule="auto"/>
        <w:jc w:val="both"/>
        <w:rPr>
          <w:rFonts w:ascii="Arial" w:hAnsi="Arial" w:cs="Arial"/>
        </w:rPr>
      </w:pPr>
      <w:r w:rsidRPr="00543963">
        <w:rPr>
          <w:rFonts w:ascii="Arial" w:hAnsi="Arial" w:cs="Arial"/>
        </w:rPr>
        <w:t>APPENDIX 1 – CRITICAL APPRAISALS</w:t>
      </w:r>
    </w:p>
    <w:p w14:paraId="20A17A08" w14:textId="7DB2A6EA" w:rsidR="000178E2" w:rsidRPr="000178E2" w:rsidRDefault="000178E2" w:rsidP="000178E2">
      <w:pPr>
        <w:pStyle w:val="Caption"/>
        <w:keepNext/>
        <w:rPr>
          <w:rFonts w:ascii="Arial" w:hAnsi="Arial" w:cs="Arial"/>
          <w:i w:val="0"/>
          <w:iCs w:val="0"/>
          <w:sz w:val="22"/>
          <w:szCs w:val="22"/>
        </w:rPr>
      </w:pPr>
      <w:bookmarkStart w:id="94" w:name="_Toc231944278"/>
      <w:r w:rsidRPr="000178E2">
        <w:rPr>
          <w:rFonts w:ascii="Arial" w:hAnsi="Arial" w:cs="Arial"/>
          <w:i w:val="0"/>
          <w:iCs w:val="0"/>
          <w:sz w:val="22"/>
          <w:szCs w:val="22"/>
        </w:rPr>
        <w:t xml:space="preserve">Table </w:t>
      </w:r>
      <w:r w:rsidRPr="000178E2">
        <w:rPr>
          <w:rFonts w:ascii="Arial" w:hAnsi="Arial" w:cs="Arial"/>
          <w:i w:val="0"/>
          <w:iCs w:val="0"/>
          <w:sz w:val="22"/>
          <w:szCs w:val="22"/>
        </w:rPr>
        <w:fldChar w:fldCharType="begin"/>
      </w:r>
      <w:r w:rsidRPr="000178E2">
        <w:rPr>
          <w:rFonts w:ascii="Arial" w:hAnsi="Arial" w:cs="Arial"/>
          <w:i w:val="0"/>
          <w:iCs w:val="0"/>
          <w:sz w:val="22"/>
          <w:szCs w:val="22"/>
        </w:rPr>
        <w:instrText xml:space="preserve"> SEQ Table \* ARABIC </w:instrText>
      </w:r>
      <w:r w:rsidRPr="000178E2">
        <w:rPr>
          <w:rFonts w:ascii="Arial" w:hAnsi="Arial" w:cs="Arial"/>
          <w:i w:val="0"/>
          <w:iCs w:val="0"/>
          <w:sz w:val="22"/>
          <w:szCs w:val="22"/>
        </w:rPr>
        <w:fldChar w:fldCharType="separate"/>
      </w:r>
      <w:r>
        <w:rPr>
          <w:rFonts w:ascii="Arial" w:hAnsi="Arial" w:cs="Arial"/>
          <w:i w:val="0"/>
          <w:iCs w:val="0"/>
          <w:noProof/>
          <w:sz w:val="22"/>
          <w:szCs w:val="22"/>
        </w:rPr>
        <w:t>4</w:t>
      </w:r>
      <w:r w:rsidRPr="000178E2">
        <w:rPr>
          <w:rFonts w:ascii="Arial" w:hAnsi="Arial" w:cs="Arial"/>
          <w:i w:val="0"/>
          <w:iCs w:val="0"/>
          <w:sz w:val="22"/>
          <w:szCs w:val="22"/>
        </w:rPr>
        <w:fldChar w:fldCharType="end"/>
      </w:r>
      <w:r w:rsidRPr="000178E2">
        <w:rPr>
          <w:rFonts w:ascii="Arial" w:hAnsi="Arial" w:cs="Arial"/>
          <w:i w:val="0"/>
          <w:iCs w:val="0"/>
          <w:sz w:val="22"/>
          <w:szCs w:val="22"/>
          <w:lang w:val="en-US"/>
        </w:rPr>
        <w:t>CASP (2024) Critical Appraisal Tool for Qualitative Research</w:t>
      </w:r>
      <w:bookmarkEnd w:id="94"/>
    </w:p>
    <w:tbl>
      <w:tblPr>
        <w:tblStyle w:val="TableGrid"/>
        <w:tblW w:w="15310" w:type="dxa"/>
        <w:tblInd w:w="-714" w:type="dxa"/>
        <w:tblLook w:val="04A0" w:firstRow="1" w:lastRow="0" w:firstColumn="1" w:lastColumn="0" w:noHBand="0" w:noVBand="1"/>
      </w:tblPr>
      <w:tblGrid>
        <w:gridCol w:w="3487"/>
        <w:gridCol w:w="2056"/>
        <w:gridCol w:w="1812"/>
        <w:gridCol w:w="1763"/>
        <w:gridCol w:w="2068"/>
        <w:gridCol w:w="1836"/>
        <w:gridCol w:w="2288"/>
      </w:tblGrid>
      <w:tr w:rsidR="00ED765D" w:rsidRPr="00543963" w14:paraId="3CED477D" w14:textId="77777777" w:rsidTr="00ED765D">
        <w:tc>
          <w:tcPr>
            <w:tcW w:w="3487" w:type="dxa"/>
            <w:hideMark/>
          </w:tcPr>
          <w:p w14:paraId="18723341" w14:textId="77777777" w:rsidR="00ED765D" w:rsidRPr="00543963" w:rsidRDefault="00ED765D" w:rsidP="00ED765D">
            <w:pPr>
              <w:spacing w:after="160" w:line="360" w:lineRule="auto"/>
              <w:ind w:left="360"/>
              <w:rPr>
                <w:rFonts w:ascii="Arial" w:hAnsi="Arial" w:cs="Arial"/>
                <w:b/>
                <w:bCs/>
              </w:rPr>
            </w:pPr>
            <w:r w:rsidRPr="00543963">
              <w:rPr>
                <w:rFonts w:ascii="Arial" w:hAnsi="Arial" w:cs="Arial"/>
                <w:b/>
                <w:bCs/>
              </w:rPr>
              <w:t>CASP Question</w:t>
            </w:r>
          </w:p>
        </w:tc>
        <w:tc>
          <w:tcPr>
            <w:tcW w:w="2056" w:type="dxa"/>
            <w:hideMark/>
          </w:tcPr>
          <w:p w14:paraId="702515FC" w14:textId="77777777" w:rsidR="00ED765D" w:rsidRPr="00543963" w:rsidRDefault="00ED765D" w:rsidP="00ED765D">
            <w:pPr>
              <w:spacing w:after="160" w:line="360" w:lineRule="auto"/>
              <w:ind w:left="360"/>
              <w:rPr>
                <w:rFonts w:ascii="Arial" w:hAnsi="Arial" w:cs="Arial"/>
              </w:rPr>
            </w:pPr>
            <w:r w:rsidRPr="00543963">
              <w:rPr>
                <w:rFonts w:ascii="Arial" w:hAnsi="Arial" w:cs="Arial"/>
              </w:rPr>
              <w:t>Glenn et al. (2019)</w:t>
            </w:r>
          </w:p>
        </w:tc>
        <w:tc>
          <w:tcPr>
            <w:tcW w:w="0" w:type="auto"/>
            <w:hideMark/>
          </w:tcPr>
          <w:p w14:paraId="59C9486D" w14:textId="77777777" w:rsidR="00ED765D" w:rsidRPr="00543963" w:rsidRDefault="00ED765D" w:rsidP="00ED765D">
            <w:pPr>
              <w:spacing w:after="160" w:line="360" w:lineRule="auto"/>
              <w:ind w:left="360"/>
              <w:rPr>
                <w:rFonts w:ascii="Arial" w:hAnsi="Arial" w:cs="Arial"/>
              </w:rPr>
            </w:pPr>
            <w:r w:rsidRPr="00543963">
              <w:rPr>
                <w:rFonts w:ascii="Arial" w:hAnsi="Arial" w:cs="Arial"/>
              </w:rPr>
              <w:t>Schmidt et al. (2025)</w:t>
            </w:r>
          </w:p>
        </w:tc>
        <w:tc>
          <w:tcPr>
            <w:tcW w:w="0" w:type="auto"/>
            <w:hideMark/>
          </w:tcPr>
          <w:p w14:paraId="19EC5C62" w14:textId="77777777" w:rsidR="00ED765D" w:rsidRPr="00543963" w:rsidRDefault="00ED765D" w:rsidP="00ED765D">
            <w:pPr>
              <w:spacing w:after="160" w:line="360" w:lineRule="auto"/>
              <w:ind w:left="360"/>
              <w:rPr>
                <w:rFonts w:ascii="Arial" w:hAnsi="Arial" w:cs="Arial"/>
              </w:rPr>
            </w:pPr>
            <w:r w:rsidRPr="00543963">
              <w:rPr>
                <w:rFonts w:ascii="Arial" w:hAnsi="Arial" w:cs="Arial"/>
              </w:rPr>
              <w:t>Panzavolta et al. (2025)</w:t>
            </w:r>
          </w:p>
        </w:tc>
        <w:tc>
          <w:tcPr>
            <w:tcW w:w="0" w:type="auto"/>
            <w:hideMark/>
          </w:tcPr>
          <w:p w14:paraId="1BA0ECD4" w14:textId="77777777" w:rsidR="00ED765D" w:rsidRPr="00543963" w:rsidRDefault="00ED765D" w:rsidP="00ED765D">
            <w:pPr>
              <w:spacing w:after="160" w:line="360" w:lineRule="auto"/>
              <w:ind w:left="360"/>
              <w:rPr>
                <w:rFonts w:ascii="Arial" w:hAnsi="Arial" w:cs="Arial"/>
              </w:rPr>
            </w:pPr>
            <w:r w:rsidRPr="00543963">
              <w:rPr>
                <w:rFonts w:ascii="Arial" w:hAnsi="Arial" w:cs="Arial"/>
              </w:rPr>
              <w:t>Kebede et al. (2022)</w:t>
            </w:r>
          </w:p>
        </w:tc>
        <w:tc>
          <w:tcPr>
            <w:tcW w:w="0" w:type="auto"/>
            <w:hideMark/>
          </w:tcPr>
          <w:p w14:paraId="07AA3099" w14:textId="77777777" w:rsidR="00ED765D" w:rsidRPr="00543963" w:rsidRDefault="00ED765D" w:rsidP="00ED765D">
            <w:pPr>
              <w:spacing w:after="160" w:line="360" w:lineRule="auto"/>
              <w:ind w:left="360"/>
              <w:rPr>
                <w:rFonts w:ascii="Arial" w:hAnsi="Arial" w:cs="Arial"/>
              </w:rPr>
            </w:pPr>
            <w:r w:rsidRPr="00543963">
              <w:rPr>
                <w:rFonts w:ascii="Arial" w:hAnsi="Arial" w:cs="Arial"/>
              </w:rPr>
              <w:t>Da et al. (2025)</w:t>
            </w:r>
          </w:p>
        </w:tc>
        <w:tc>
          <w:tcPr>
            <w:tcW w:w="2288" w:type="dxa"/>
            <w:hideMark/>
          </w:tcPr>
          <w:p w14:paraId="27171E2C" w14:textId="77777777" w:rsidR="00ED765D" w:rsidRPr="00543963" w:rsidRDefault="00ED765D" w:rsidP="00ED765D">
            <w:pPr>
              <w:spacing w:after="160" w:line="360" w:lineRule="auto"/>
              <w:ind w:left="360"/>
              <w:rPr>
                <w:rFonts w:ascii="Arial" w:hAnsi="Arial" w:cs="Arial"/>
              </w:rPr>
            </w:pPr>
            <w:r w:rsidRPr="00543963">
              <w:rPr>
                <w:rFonts w:ascii="Arial" w:hAnsi="Arial" w:cs="Arial"/>
              </w:rPr>
              <w:t>Other Studies (Non-qualitative)</w:t>
            </w:r>
          </w:p>
        </w:tc>
      </w:tr>
      <w:tr w:rsidR="00ED765D" w:rsidRPr="00543963" w14:paraId="26A73B96" w14:textId="77777777" w:rsidTr="00ED765D">
        <w:tc>
          <w:tcPr>
            <w:tcW w:w="3487" w:type="dxa"/>
            <w:hideMark/>
          </w:tcPr>
          <w:p w14:paraId="75DC6784" w14:textId="77777777" w:rsidR="00ED765D" w:rsidRPr="00543963" w:rsidRDefault="00ED765D" w:rsidP="00ED765D">
            <w:pPr>
              <w:spacing w:after="160" w:line="360" w:lineRule="auto"/>
              <w:ind w:left="360"/>
              <w:rPr>
                <w:rFonts w:ascii="Arial" w:hAnsi="Arial" w:cs="Arial"/>
                <w:b/>
                <w:bCs/>
              </w:rPr>
            </w:pPr>
            <w:r w:rsidRPr="00543963">
              <w:rPr>
                <w:rFonts w:ascii="Arial" w:hAnsi="Arial" w:cs="Arial"/>
                <w:b/>
                <w:bCs/>
              </w:rPr>
              <w:t>Clear statement of aims?</w:t>
            </w:r>
          </w:p>
        </w:tc>
        <w:tc>
          <w:tcPr>
            <w:tcW w:w="2056" w:type="dxa"/>
            <w:hideMark/>
          </w:tcPr>
          <w:p w14:paraId="237C1C61"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aimed to assess engagement and cognitive outcomes of digital cognitive training</w:t>
            </w:r>
          </w:p>
        </w:tc>
        <w:tc>
          <w:tcPr>
            <w:tcW w:w="0" w:type="auto"/>
            <w:hideMark/>
          </w:tcPr>
          <w:p w14:paraId="6B597E97"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aimed to explore technology perceptions among older adults with MCI</w:t>
            </w:r>
          </w:p>
        </w:tc>
        <w:tc>
          <w:tcPr>
            <w:tcW w:w="0" w:type="auto"/>
            <w:hideMark/>
          </w:tcPr>
          <w:p w14:paraId="635A6063"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aimed to identify barriers to technology adoption in dementia care</w:t>
            </w:r>
          </w:p>
        </w:tc>
        <w:tc>
          <w:tcPr>
            <w:tcW w:w="0" w:type="auto"/>
            <w:hideMark/>
          </w:tcPr>
          <w:p w14:paraId="1D30A7C9"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aimed to identify barriers and facilitators to digital engagement</w:t>
            </w:r>
          </w:p>
        </w:tc>
        <w:tc>
          <w:tcPr>
            <w:tcW w:w="0" w:type="auto"/>
            <w:hideMark/>
          </w:tcPr>
          <w:p w14:paraId="6EA17A1F"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aimed to explore engagement factors affecting digital health use in cognitive impairment</w:t>
            </w:r>
          </w:p>
        </w:tc>
        <w:tc>
          <w:tcPr>
            <w:tcW w:w="2288" w:type="dxa"/>
            <w:hideMark/>
          </w:tcPr>
          <w:p w14:paraId="43D6E8A1"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r>
      <w:tr w:rsidR="00ED765D" w:rsidRPr="00543963" w14:paraId="3E6A3E3F" w14:textId="77777777" w:rsidTr="00ED765D">
        <w:tc>
          <w:tcPr>
            <w:tcW w:w="3487" w:type="dxa"/>
            <w:hideMark/>
          </w:tcPr>
          <w:p w14:paraId="78A5ADD3" w14:textId="77777777" w:rsidR="00ED765D" w:rsidRPr="00543963" w:rsidRDefault="00ED765D" w:rsidP="00ED765D">
            <w:pPr>
              <w:spacing w:after="160" w:line="360" w:lineRule="auto"/>
              <w:ind w:left="360"/>
              <w:rPr>
                <w:rFonts w:ascii="Arial" w:hAnsi="Arial" w:cs="Arial"/>
                <w:b/>
                <w:bCs/>
              </w:rPr>
            </w:pPr>
            <w:r w:rsidRPr="00543963">
              <w:rPr>
                <w:rFonts w:ascii="Arial" w:hAnsi="Arial" w:cs="Arial"/>
                <w:b/>
                <w:bCs/>
              </w:rPr>
              <w:t>Qualitative methodology appropriate?</w:t>
            </w:r>
          </w:p>
        </w:tc>
        <w:tc>
          <w:tcPr>
            <w:tcW w:w="2056" w:type="dxa"/>
            <w:hideMark/>
          </w:tcPr>
          <w:p w14:paraId="070A6AAC"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explored user engagement and experiences</w:t>
            </w:r>
          </w:p>
        </w:tc>
        <w:tc>
          <w:tcPr>
            <w:tcW w:w="0" w:type="auto"/>
            <w:hideMark/>
          </w:tcPr>
          <w:p w14:paraId="35AAF511"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explored perceptions and acceptance of technology</w:t>
            </w:r>
          </w:p>
        </w:tc>
        <w:tc>
          <w:tcPr>
            <w:tcW w:w="0" w:type="auto"/>
            <w:hideMark/>
          </w:tcPr>
          <w:p w14:paraId="7A8869EF"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focused on dementia-related experiences and barriers</w:t>
            </w:r>
          </w:p>
        </w:tc>
        <w:tc>
          <w:tcPr>
            <w:tcW w:w="0" w:type="auto"/>
            <w:hideMark/>
          </w:tcPr>
          <w:p w14:paraId="5E54F114"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scoping review suitable for evidence mapping</w:t>
            </w:r>
          </w:p>
        </w:tc>
        <w:tc>
          <w:tcPr>
            <w:tcW w:w="0" w:type="auto"/>
            <w:hideMark/>
          </w:tcPr>
          <w:p w14:paraId="7BB184D2"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review methodology appropriate for synthesising evidence</w:t>
            </w:r>
          </w:p>
        </w:tc>
        <w:tc>
          <w:tcPr>
            <w:tcW w:w="2288" w:type="dxa"/>
            <w:hideMark/>
          </w:tcPr>
          <w:p w14:paraId="64417674"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r>
      <w:tr w:rsidR="00ED765D" w:rsidRPr="00543963" w14:paraId="3196596E" w14:textId="77777777" w:rsidTr="00ED765D">
        <w:tc>
          <w:tcPr>
            <w:tcW w:w="3487" w:type="dxa"/>
            <w:hideMark/>
          </w:tcPr>
          <w:p w14:paraId="0CE2C544" w14:textId="77777777" w:rsidR="00ED765D" w:rsidRPr="00543963" w:rsidRDefault="00ED765D" w:rsidP="00ED765D">
            <w:pPr>
              <w:spacing w:after="160" w:line="360" w:lineRule="auto"/>
              <w:ind w:left="360"/>
              <w:rPr>
                <w:rFonts w:ascii="Arial" w:hAnsi="Arial" w:cs="Arial"/>
                <w:b/>
                <w:bCs/>
              </w:rPr>
            </w:pPr>
            <w:r w:rsidRPr="00543963">
              <w:rPr>
                <w:rFonts w:ascii="Arial" w:hAnsi="Arial" w:cs="Arial"/>
                <w:b/>
                <w:bCs/>
              </w:rPr>
              <w:lastRenderedPageBreak/>
              <w:t>Research design appropriate?</w:t>
            </w:r>
          </w:p>
        </w:tc>
        <w:tc>
          <w:tcPr>
            <w:tcW w:w="2056" w:type="dxa"/>
            <w:hideMark/>
          </w:tcPr>
          <w:p w14:paraId="72B67507"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intervention evaluation aligned with study aim</w:t>
            </w:r>
          </w:p>
        </w:tc>
        <w:tc>
          <w:tcPr>
            <w:tcW w:w="0" w:type="auto"/>
            <w:hideMark/>
          </w:tcPr>
          <w:p w14:paraId="5CB477A4"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scoping review appropriate for broad exploration</w:t>
            </w:r>
          </w:p>
        </w:tc>
        <w:tc>
          <w:tcPr>
            <w:tcW w:w="0" w:type="auto"/>
            <w:hideMark/>
          </w:tcPr>
          <w:p w14:paraId="125EB036"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evidence synthesis appropriate for identifying barriers</w:t>
            </w:r>
          </w:p>
        </w:tc>
        <w:tc>
          <w:tcPr>
            <w:tcW w:w="0" w:type="auto"/>
            <w:hideMark/>
          </w:tcPr>
          <w:p w14:paraId="559AD518"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scoping review design appropriate</w:t>
            </w:r>
          </w:p>
        </w:tc>
        <w:tc>
          <w:tcPr>
            <w:tcW w:w="0" w:type="auto"/>
            <w:hideMark/>
          </w:tcPr>
          <w:p w14:paraId="2FEDCC84"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review design appropriate</w:t>
            </w:r>
          </w:p>
        </w:tc>
        <w:tc>
          <w:tcPr>
            <w:tcW w:w="2288" w:type="dxa"/>
            <w:hideMark/>
          </w:tcPr>
          <w:p w14:paraId="50CBB2C7"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r>
      <w:tr w:rsidR="00ED765D" w:rsidRPr="00543963" w14:paraId="7E7361D1" w14:textId="77777777" w:rsidTr="00ED765D">
        <w:tc>
          <w:tcPr>
            <w:tcW w:w="3487" w:type="dxa"/>
            <w:hideMark/>
          </w:tcPr>
          <w:p w14:paraId="6FF1A255" w14:textId="77777777" w:rsidR="00ED765D" w:rsidRPr="00543963" w:rsidRDefault="00ED765D" w:rsidP="00ED765D">
            <w:pPr>
              <w:spacing w:after="160" w:line="360" w:lineRule="auto"/>
              <w:ind w:left="360"/>
              <w:rPr>
                <w:rFonts w:ascii="Arial" w:hAnsi="Arial" w:cs="Arial"/>
                <w:b/>
                <w:bCs/>
              </w:rPr>
            </w:pPr>
            <w:r w:rsidRPr="00543963">
              <w:rPr>
                <w:rFonts w:ascii="Arial" w:hAnsi="Arial" w:cs="Arial"/>
                <w:b/>
                <w:bCs/>
              </w:rPr>
              <w:t>Recruitment strategy appropriate?</w:t>
            </w:r>
          </w:p>
        </w:tc>
        <w:tc>
          <w:tcPr>
            <w:tcW w:w="2056" w:type="dxa"/>
            <w:hideMark/>
          </w:tcPr>
          <w:p w14:paraId="23ED7AC3" w14:textId="77777777" w:rsidR="00ED765D" w:rsidRPr="00543963" w:rsidRDefault="00ED765D" w:rsidP="00ED765D">
            <w:pPr>
              <w:spacing w:after="160" w:line="360" w:lineRule="auto"/>
              <w:ind w:left="360"/>
              <w:rPr>
                <w:rFonts w:ascii="Arial" w:hAnsi="Arial" w:cs="Arial"/>
              </w:rPr>
            </w:pPr>
            <w:r w:rsidRPr="00543963">
              <w:rPr>
                <w:rFonts w:ascii="Arial" w:hAnsi="Arial" w:cs="Arial"/>
              </w:rPr>
              <w:t>Partially – participant recruitment details limited</w:t>
            </w:r>
          </w:p>
        </w:tc>
        <w:tc>
          <w:tcPr>
            <w:tcW w:w="0" w:type="auto"/>
            <w:hideMark/>
          </w:tcPr>
          <w:p w14:paraId="688B4342"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 – review study</w:t>
            </w:r>
          </w:p>
        </w:tc>
        <w:tc>
          <w:tcPr>
            <w:tcW w:w="0" w:type="auto"/>
            <w:hideMark/>
          </w:tcPr>
          <w:p w14:paraId="41A03290"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 – evidence synthesis</w:t>
            </w:r>
          </w:p>
        </w:tc>
        <w:tc>
          <w:tcPr>
            <w:tcW w:w="0" w:type="auto"/>
            <w:hideMark/>
          </w:tcPr>
          <w:p w14:paraId="39C09442"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 – review study</w:t>
            </w:r>
          </w:p>
        </w:tc>
        <w:tc>
          <w:tcPr>
            <w:tcW w:w="0" w:type="auto"/>
            <w:hideMark/>
          </w:tcPr>
          <w:p w14:paraId="2C046891"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 – review study</w:t>
            </w:r>
          </w:p>
        </w:tc>
        <w:tc>
          <w:tcPr>
            <w:tcW w:w="2288" w:type="dxa"/>
            <w:hideMark/>
          </w:tcPr>
          <w:p w14:paraId="402C4C2E"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r>
      <w:tr w:rsidR="00ED765D" w:rsidRPr="00543963" w14:paraId="1096D1DA" w14:textId="77777777" w:rsidTr="00ED765D">
        <w:tc>
          <w:tcPr>
            <w:tcW w:w="3487" w:type="dxa"/>
            <w:hideMark/>
          </w:tcPr>
          <w:p w14:paraId="2B7C785A" w14:textId="77777777" w:rsidR="00ED765D" w:rsidRPr="00543963" w:rsidRDefault="00ED765D" w:rsidP="00ED765D">
            <w:pPr>
              <w:spacing w:after="160" w:line="360" w:lineRule="auto"/>
              <w:ind w:left="360"/>
              <w:rPr>
                <w:rFonts w:ascii="Arial" w:hAnsi="Arial" w:cs="Arial"/>
                <w:b/>
                <w:bCs/>
              </w:rPr>
            </w:pPr>
            <w:r w:rsidRPr="00543963">
              <w:rPr>
                <w:rFonts w:ascii="Arial" w:hAnsi="Arial" w:cs="Arial"/>
                <w:b/>
                <w:bCs/>
              </w:rPr>
              <w:t>Data collection addressed research issue?</w:t>
            </w:r>
          </w:p>
        </w:tc>
        <w:tc>
          <w:tcPr>
            <w:tcW w:w="2056" w:type="dxa"/>
            <w:hideMark/>
          </w:tcPr>
          <w:p w14:paraId="6121DE0C"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engagement metrics and cognitive outcome measures collected</w:t>
            </w:r>
          </w:p>
        </w:tc>
        <w:tc>
          <w:tcPr>
            <w:tcW w:w="0" w:type="auto"/>
            <w:hideMark/>
          </w:tcPr>
          <w:p w14:paraId="6B506BE4"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systematic search and selection procedures used</w:t>
            </w:r>
          </w:p>
        </w:tc>
        <w:tc>
          <w:tcPr>
            <w:tcW w:w="0" w:type="auto"/>
            <w:hideMark/>
          </w:tcPr>
          <w:p w14:paraId="0747FB80"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evidence gathered from relevant dementia-care studies</w:t>
            </w:r>
          </w:p>
        </w:tc>
        <w:tc>
          <w:tcPr>
            <w:tcW w:w="0" w:type="auto"/>
            <w:hideMark/>
          </w:tcPr>
          <w:p w14:paraId="6F87FFBD" w14:textId="435A122F" w:rsidR="00ED765D" w:rsidRPr="00543963" w:rsidRDefault="00ED765D" w:rsidP="00ED765D">
            <w:pPr>
              <w:spacing w:after="160" w:line="360" w:lineRule="auto"/>
              <w:ind w:left="360"/>
              <w:rPr>
                <w:rFonts w:ascii="Arial" w:hAnsi="Arial" w:cs="Arial"/>
              </w:rPr>
            </w:pPr>
            <w:r w:rsidRPr="00543963">
              <w:rPr>
                <w:rFonts w:ascii="Arial" w:hAnsi="Arial" w:cs="Arial"/>
              </w:rPr>
              <w:t xml:space="preserve">Yes – comprehensive evidence </w:t>
            </w:r>
            <w:r w:rsidR="00FE1995" w:rsidRPr="00543963">
              <w:rPr>
                <w:rFonts w:ascii="Arial" w:hAnsi="Arial" w:cs="Arial"/>
              </w:rPr>
              <w:t>searches</w:t>
            </w:r>
            <w:r w:rsidRPr="00543963">
              <w:rPr>
                <w:rFonts w:ascii="Arial" w:hAnsi="Arial" w:cs="Arial"/>
              </w:rPr>
              <w:t xml:space="preserve"> undertaken</w:t>
            </w:r>
          </w:p>
        </w:tc>
        <w:tc>
          <w:tcPr>
            <w:tcW w:w="0" w:type="auto"/>
            <w:hideMark/>
          </w:tcPr>
          <w:p w14:paraId="4F6AF63D"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broad literature search addressed research question</w:t>
            </w:r>
          </w:p>
        </w:tc>
        <w:tc>
          <w:tcPr>
            <w:tcW w:w="2288" w:type="dxa"/>
            <w:hideMark/>
          </w:tcPr>
          <w:p w14:paraId="5575504F"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r>
      <w:tr w:rsidR="00ED765D" w:rsidRPr="00543963" w14:paraId="259FD4C3" w14:textId="77777777" w:rsidTr="00ED765D">
        <w:tc>
          <w:tcPr>
            <w:tcW w:w="3487" w:type="dxa"/>
            <w:hideMark/>
          </w:tcPr>
          <w:p w14:paraId="04FD41EF" w14:textId="77777777" w:rsidR="00ED765D" w:rsidRPr="00543963" w:rsidRDefault="00ED765D" w:rsidP="00ED765D">
            <w:pPr>
              <w:spacing w:after="160" w:line="360" w:lineRule="auto"/>
              <w:ind w:left="360"/>
              <w:rPr>
                <w:rFonts w:ascii="Arial" w:hAnsi="Arial" w:cs="Arial"/>
                <w:b/>
                <w:bCs/>
              </w:rPr>
            </w:pPr>
            <w:r w:rsidRPr="00543963">
              <w:rPr>
                <w:rFonts w:ascii="Arial" w:hAnsi="Arial" w:cs="Arial"/>
                <w:b/>
                <w:bCs/>
              </w:rPr>
              <w:t>Researcher–participant relationship considered?</w:t>
            </w:r>
          </w:p>
        </w:tc>
        <w:tc>
          <w:tcPr>
            <w:tcW w:w="2056" w:type="dxa"/>
            <w:hideMark/>
          </w:tcPr>
          <w:p w14:paraId="02D727F9"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clearly reported</w:t>
            </w:r>
          </w:p>
        </w:tc>
        <w:tc>
          <w:tcPr>
            <w:tcW w:w="0" w:type="auto"/>
            <w:hideMark/>
          </w:tcPr>
          <w:p w14:paraId="13252D23"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c>
          <w:tcPr>
            <w:tcW w:w="0" w:type="auto"/>
            <w:hideMark/>
          </w:tcPr>
          <w:p w14:paraId="14415B9B" w14:textId="77777777" w:rsidR="00ED765D" w:rsidRPr="00543963" w:rsidRDefault="00ED765D" w:rsidP="00ED765D">
            <w:pPr>
              <w:spacing w:after="160" w:line="360" w:lineRule="auto"/>
              <w:ind w:left="360"/>
              <w:rPr>
                <w:rFonts w:ascii="Arial" w:hAnsi="Arial" w:cs="Arial"/>
              </w:rPr>
            </w:pPr>
            <w:r w:rsidRPr="00543963">
              <w:rPr>
                <w:rFonts w:ascii="Arial" w:hAnsi="Arial" w:cs="Arial"/>
              </w:rPr>
              <w:t xml:space="preserve">Not clearly reported within </w:t>
            </w:r>
            <w:r w:rsidRPr="00543963">
              <w:rPr>
                <w:rFonts w:ascii="Arial" w:hAnsi="Arial" w:cs="Arial"/>
              </w:rPr>
              <w:lastRenderedPageBreak/>
              <w:t>included studies</w:t>
            </w:r>
          </w:p>
        </w:tc>
        <w:tc>
          <w:tcPr>
            <w:tcW w:w="0" w:type="auto"/>
            <w:hideMark/>
          </w:tcPr>
          <w:p w14:paraId="2A640328" w14:textId="77777777" w:rsidR="00ED765D" w:rsidRPr="00543963" w:rsidRDefault="00ED765D" w:rsidP="00ED765D">
            <w:pPr>
              <w:spacing w:after="160" w:line="360" w:lineRule="auto"/>
              <w:ind w:left="360"/>
              <w:rPr>
                <w:rFonts w:ascii="Arial" w:hAnsi="Arial" w:cs="Arial"/>
              </w:rPr>
            </w:pPr>
            <w:r w:rsidRPr="00543963">
              <w:rPr>
                <w:rFonts w:ascii="Arial" w:hAnsi="Arial" w:cs="Arial"/>
              </w:rPr>
              <w:lastRenderedPageBreak/>
              <w:t>Not applicable</w:t>
            </w:r>
          </w:p>
        </w:tc>
        <w:tc>
          <w:tcPr>
            <w:tcW w:w="0" w:type="auto"/>
            <w:hideMark/>
          </w:tcPr>
          <w:p w14:paraId="59D9D1B3"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c>
          <w:tcPr>
            <w:tcW w:w="2288" w:type="dxa"/>
            <w:hideMark/>
          </w:tcPr>
          <w:p w14:paraId="144E9466"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r>
      <w:tr w:rsidR="00ED765D" w:rsidRPr="00543963" w14:paraId="4D8B61D9" w14:textId="77777777" w:rsidTr="00ED765D">
        <w:tc>
          <w:tcPr>
            <w:tcW w:w="3487" w:type="dxa"/>
            <w:hideMark/>
          </w:tcPr>
          <w:p w14:paraId="7FB21028" w14:textId="77777777" w:rsidR="00ED765D" w:rsidRPr="00543963" w:rsidRDefault="00ED765D" w:rsidP="00ED765D">
            <w:pPr>
              <w:spacing w:after="160" w:line="360" w:lineRule="auto"/>
              <w:ind w:left="360"/>
              <w:rPr>
                <w:rFonts w:ascii="Arial" w:hAnsi="Arial" w:cs="Arial"/>
                <w:b/>
                <w:bCs/>
              </w:rPr>
            </w:pPr>
            <w:r w:rsidRPr="00543963">
              <w:rPr>
                <w:rFonts w:ascii="Arial" w:hAnsi="Arial" w:cs="Arial"/>
                <w:b/>
                <w:bCs/>
              </w:rPr>
              <w:t>Ethical issues considered?</w:t>
            </w:r>
          </w:p>
        </w:tc>
        <w:tc>
          <w:tcPr>
            <w:tcW w:w="2056" w:type="dxa"/>
            <w:hideMark/>
          </w:tcPr>
          <w:p w14:paraId="6D22CE22"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clearly reported</w:t>
            </w:r>
          </w:p>
        </w:tc>
        <w:tc>
          <w:tcPr>
            <w:tcW w:w="0" w:type="auto"/>
            <w:hideMark/>
          </w:tcPr>
          <w:p w14:paraId="6B4AD513"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c>
          <w:tcPr>
            <w:tcW w:w="0" w:type="auto"/>
            <w:hideMark/>
          </w:tcPr>
          <w:p w14:paraId="30DD3B4E"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explicitly reported</w:t>
            </w:r>
          </w:p>
        </w:tc>
        <w:tc>
          <w:tcPr>
            <w:tcW w:w="0" w:type="auto"/>
            <w:hideMark/>
          </w:tcPr>
          <w:p w14:paraId="3238ED7D"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c>
          <w:tcPr>
            <w:tcW w:w="0" w:type="auto"/>
            <w:hideMark/>
          </w:tcPr>
          <w:p w14:paraId="4CFB9932"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c>
          <w:tcPr>
            <w:tcW w:w="2288" w:type="dxa"/>
            <w:hideMark/>
          </w:tcPr>
          <w:p w14:paraId="6B30E343"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r>
      <w:tr w:rsidR="00ED765D" w:rsidRPr="00543963" w14:paraId="15B4562D" w14:textId="77777777" w:rsidTr="00ED765D">
        <w:tc>
          <w:tcPr>
            <w:tcW w:w="3487" w:type="dxa"/>
            <w:hideMark/>
          </w:tcPr>
          <w:p w14:paraId="773599DF" w14:textId="77777777" w:rsidR="00ED765D" w:rsidRPr="00543963" w:rsidRDefault="00ED765D" w:rsidP="00ED765D">
            <w:pPr>
              <w:spacing w:after="160" w:line="360" w:lineRule="auto"/>
              <w:ind w:left="360"/>
              <w:rPr>
                <w:rFonts w:ascii="Arial" w:hAnsi="Arial" w:cs="Arial"/>
                <w:b/>
                <w:bCs/>
              </w:rPr>
            </w:pPr>
            <w:r w:rsidRPr="00543963">
              <w:rPr>
                <w:rFonts w:ascii="Arial" w:hAnsi="Arial" w:cs="Arial"/>
                <w:b/>
                <w:bCs/>
              </w:rPr>
              <w:t>Data analysis rigorous?</w:t>
            </w:r>
          </w:p>
        </w:tc>
        <w:tc>
          <w:tcPr>
            <w:tcW w:w="2056" w:type="dxa"/>
            <w:hideMark/>
          </w:tcPr>
          <w:p w14:paraId="5E5CEA42" w14:textId="77777777" w:rsidR="00ED765D" w:rsidRPr="00543963" w:rsidRDefault="00ED765D" w:rsidP="00ED765D">
            <w:pPr>
              <w:spacing w:after="160" w:line="360" w:lineRule="auto"/>
              <w:ind w:left="360"/>
              <w:rPr>
                <w:rFonts w:ascii="Arial" w:hAnsi="Arial" w:cs="Arial"/>
              </w:rPr>
            </w:pPr>
            <w:r w:rsidRPr="00543963">
              <w:rPr>
                <w:rFonts w:ascii="Arial" w:hAnsi="Arial" w:cs="Arial"/>
              </w:rPr>
              <w:t>Moderate – analysis conducted but methodological detail limited</w:t>
            </w:r>
          </w:p>
        </w:tc>
        <w:tc>
          <w:tcPr>
            <w:tcW w:w="0" w:type="auto"/>
            <w:hideMark/>
          </w:tcPr>
          <w:p w14:paraId="2D93D5B2"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structured review and synthesis approach</w:t>
            </w:r>
          </w:p>
        </w:tc>
        <w:tc>
          <w:tcPr>
            <w:tcW w:w="0" w:type="auto"/>
            <w:hideMark/>
          </w:tcPr>
          <w:p w14:paraId="1B79E0D6"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systematic synthesis of findings</w:t>
            </w:r>
          </w:p>
        </w:tc>
        <w:tc>
          <w:tcPr>
            <w:tcW w:w="0" w:type="auto"/>
            <w:hideMark/>
          </w:tcPr>
          <w:p w14:paraId="2DB33D0C"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structured evidence mapping and synthesis</w:t>
            </w:r>
          </w:p>
        </w:tc>
        <w:tc>
          <w:tcPr>
            <w:tcW w:w="0" w:type="auto"/>
            <w:hideMark/>
          </w:tcPr>
          <w:p w14:paraId="5039BDE4"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structured review methodology</w:t>
            </w:r>
          </w:p>
        </w:tc>
        <w:tc>
          <w:tcPr>
            <w:tcW w:w="2288" w:type="dxa"/>
            <w:hideMark/>
          </w:tcPr>
          <w:p w14:paraId="5236A713" w14:textId="77777777" w:rsidR="00ED765D" w:rsidRPr="00543963" w:rsidRDefault="00ED765D" w:rsidP="00ED765D">
            <w:pPr>
              <w:spacing w:after="160" w:line="360" w:lineRule="auto"/>
              <w:ind w:left="360"/>
              <w:rPr>
                <w:rFonts w:ascii="Arial" w:hAnsi="Arial" w:cs="Arial"/>
              </w:rPr>
            </w:pPr>
            <w:r w:rsidRPr="00543963">
              <w:rPr>
                <w:rFonts w:ascii="Arial" w:hAnsi="Arial" w:cs="Arial"/>
              </w:rPr>
              <w:t>Not applicable</w:t>
            </w:r>
          </w:p>
        </w:tc>
      </w:tr>
      <w:tr w:rsidR="00ED765D" w:rsidRPr="00543963" w14:paraId="3FF95F56" w14:textId="77777777" w:rsidTr="00ED765D">
        <w:tc>
          <w:tcPr>
            <w:tcW w:w="3487" w:type="dxa"/>
            <w:hideMark/>
          </w:tcPr>
          <w:p w14:paraId="425AC0C2" w14:textId="77777777" w:rsidR="00ED765D" w:rsidRPr="00543963" w:rsidRDefault="00ED765D" w:rsidP="00ED765D">
            <w:pPr>
              <w:spacing w:after="160" w:line="360" w:lineRule="auto"/>
              <w:ind w:left="360"/>
              <w:rPr>
                <w:rFonts w:ascii="Arial" w:hAnsi="Arial" w:cs="Arial"/>
                <w:b/>
                <w:bCs/>
              </w:rPr>
            </w:pPr>
            <w:r w:rsidRPr="00543963">
              <w:rPr>
                <w:rFonts w:ascii="Arial" w:hAnsi="Arial" w:cs="Arial"/>
                <w:b/>
                <w:bCs/>
              </w:rPr>
              <w:t>Clear statement of findings?</w:t>
            </w:r>
          </w:p>
        </w:tc>
        <w:tc>
          <w:tcPr>
            <w:tcW w:w="2056" w:type="dxa"/>
            <w:hideMark/>
          </w:tcPr>
          <w:p w14:paraId="2EA1A619"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cognitive and engagement outcomes clearly reported</w:t>
            </w:r>
          </w:p>
        </w:tc>
        <w:tc>
          <w:tcPr>
            <w:tcW w:w="0" w:type="auto"/>
            <w:hideMark/>
          </w:tcPr>
          <w:p w14:paraId="0A6DDBD6"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usability, confidence and support factors clearly identified</w:t>
            </w:r>
          </w:p>
        </w:tc>
        <w:tc>
          <w:tcPr>
            <w:tcW w:w="0" w:type="auto"/>
            <w:hideMark/>
          </w:tcPr>
          <w:p w14:paraId="3397508C"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dementia-specific barriers clearly reported</w:t>
            </w:r>
          </w:p>
        </w:tc>
        <w:tc>
          <w:tcPr>
            <w:tcW w:w="0" w:type="auto"/>
            <w:hideMark/>
          </w:tcPr>
          <w:p w14:paraId="4EF9E05A"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key facilitators and barriers clearly summarised</w:t>
            </w:r>
          </w:p>
        </w:tc>
        <w:tc>
          <w:tcPr>
            <w:tcW w:w="0" w:type="auto"/>
            <w:hideMark/>
          </w:tcPr>
          <w:p w14:paraId="6320C033"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 cognitive load and usability barriers clearly summarised</w:t>
            </w:r>
          </w:p>
        </w:tc>
        <w:tc>
          <w:tcPr>
            <w:tcW w:w="2288" w:type="dxa"/>
            <w:hideMark/>
          </w:tcPr>
          <w:p w14:paraId="7A7A46C1" w14:textId="77777777" w:rsidR="00ED765D" w:rsidRPr="00543963" w:rsidRDefault="00ED765D" w:rsidP="00ED765D">
            <w:pPr>
              <w:spacing w:after="160" w:line="360" w:lineRule="auto"/>
              <w:ind w:left="360"/>
              <w:rPr>
                <w:rFonts w:ascii="Arial" w:hAnsi="Arial" w:cs="Arial"/>
              </w:rPr>
            </w:pPr>
            <w:r w:rsidRPr="00543963">
              <w:rPr>
                <w:rFonts w:ascii="Arial" w:hAnsi="Arial" w:cs="Arial"/>
              </w:rPr>
              <w:t>Yes (outside CASP scope)</w:t>
            </w:r>
          </w:p>
        </w:tc>
      </w:tr>
      <w:tr w:rsidR="00ED765D" w:rsidRPr="00543963" w14:paraId="404A3F09" w14:textId="77777777" w:rsidTr="00ED765D">
        <w:tc>
          <w:tcPr>
            <w:tcW w:w="3487" w:type="dxa"/>
            <w:hideMark/>
          </w:tcPr>
          <w:p w14:paraId="5CCB3E95" w14:textId="77777777" w:rsidR="00ED765D" w:rsidRPr="00543963" w:rsidRDefault="00ED765D" w:rsidP="00ED765D">
            <w:pPr>
              <w:spacing w:after="160" w:line="360" w:lineRule="auto"/>
              <w:ind w:left="360"/>
              <w:rPr>
                <w:rFonts w:ascii="Arial" w:hAnsi="Arial" w:cs="Arial"/>
                <w:b/>
                <w:bCs/>
              </w:rPr>
            </w:pPr>
            <w:r w:rsidRPr="00543963">
              <w:rPr>
                <w:rFonts w:ascii="Arial" w:hAnsi="Arial" w:cs="Arial"/>
                <w:b/>
                <w:bCs/>
              </w:rPr>
              <w:t>Value of the research?</w:t>
            </w:r>
          </w:p>
        </w:tc>
        <w:tc>
          <w:tcPr>
            <w:tcW w:w="2056" w:type="dxa"/>
            <w:hideMark/>
          </w:tcPr>
          <w:p w14:paraId="7C2CB9E2" w14:textId="77777777" w:rsidR="00ED765D" w:rsidRPr="00543963" w:rsidRDefault="00ED765D" w:rsidP="00ED765D">
            <w:pPr>
              <w:spacing w:after="160" w:line="360" w:lineRule="auto"/>
              <w:ind w:left="360"/>
              <w:rPr>
                <w:rFonts w:ascii="Arial" w:hAnsi="Arial" w:cs="Arial"/>
              </w:rPr>
            </w:pPr>
            <w:r w:rsidRPr="00543963">
              <w:rPr>
                <w:rFonts w:ascii="Arial" w:hAnsi="Arial" w:cs="Arial"/>
              </w:rPr>
              <w:t xml:space="preserve">High – demonstrates potential cognitive </w:t>
            </w:r>
            <w:r w:rsidRPr="00543963">
              <w:rPr>
                <w:rFonts w:ascii="Arial" w:hAnsi="Arial" w:cs="Arial"/>
              </w:rPr>
              <w:lastRenderedPageBreak/>
              <w:t>benefits and engagement outcomes</w:t>
            </w:r>
          </w:p>
        </w:tc>
        <w:tc>
          <w:tcPr>
            <w:tcW w:w="0" w:type="auto"/>
            <w:hideMark/>
          </w:tcPr>
          <w:p w14:paraId="5AE4188C" w14:textId="77777777" w:rsidR="00ED765D" w:rsidRPr="00543963" w:rsidRDefault="00ED765D" w:rsidP="00ED765D">
            <w:pPr>
              <w:spacing w:after="160" w:line="360" w:lineRule="auto"/>
              <w:ind w:left="360"/>
              <w:rPr>
                <w:rFonts w:ascii="Arial" w:hAnsi="Arial" w:cs="Arial"/>
              </w:rPr>
            </w:pPr>
            <w:r w:rsidRPr="00543963">
              <w:rPr>
                <w:rFonts w:ascii="Arial" w:hAnsi="Arial" w:cs="Arial"/>
              </w:rPr>
              <w:lastRenderedPageBreak/>
              <w:t xml:space="preserve">High – informs design of technologies </w:t>
            </w:r>
            <w:r w:rsidRPr="00543963">
              <w:rPr>
                <w:rFonts w:ascii="Arial" w:hAnsi="Arial" w:cs="Arial"/>
              </w:rPr>
              <w:lastRenderedPageBreak/>
              <w:t>for people with MCI</w:t>
            </w:r>
          </w:p>
        </w:tc>
        <w:tc>
          <w:tcPr>
            <w:tcW w:w="0" w:type="auto"/>
            <w:hideMark/>
          </w:tcPr>
          <w:p w14:paraId="7B8EA007" w14:textId="77777777" w:rsidR="00ED765D" w:rsidRPr="00543963" w:rsidRDefault="00ED765D" w:rsidP="00ED765D">
            <w:pPr>
              <w:spacing w:after="160" w:line="360" w:lineRule="auto"/>
              <w:ind w:left="360"/>
              <w:rPr>
                <w:rFonts w:ascii="Arial" w:hAnsi="Arial" w:cs="Arial"/>
              </w:rPr>
            </w:pPr>
            <w:r w:rsidRPr="00543963">
              <w:rPr>
                <w:rFonts w:ascii="Arial" w:hAnsi="Arial" w:cs="Arial"/>
              </w:rPr>
              <w:lastRenderedPageBreak/>
              <w:t xml:space="preserve">High – provides dementia-specific </w:t>
            </w:r>
            <w:r w:rsidRPr="00543963">
              <w:rPr>
                <w:rFonts w:ascii="Arial" w:hAnsi="Arial" w:cs="Arial"/>
              </w:rPr>
              <w:lastRenderedPageBreak/>
              <w:t>insights into technology adoption barriers</w:t>
            </w:r>
          </w:p>
        </w:tc>
        <w:tc>
          <w:tcPr>
            <w:tcW w:w="0" w:type="auto"/>
            <w:hideMark/>
          </w:tcPr>
          <w:p w14:paraId="299E1F56" w14:textId="77777777" w:rsidR="00ED765D" w:rsidRPr="00543963" w:rsidRDefault="00ED765D" w:rsidP="00ED765D">
            <w:pPr>
              <w:spacing w:after="160" w:line="360" w:lineRule="auto"/>
              <w:ind w:left="360"/>
              <w:rPr>
                <w:rFonts w:ascii="Arial" w:hAnsi="Arial" w:cs="Arial"/>
              </w:rPr>
            </w:pPr>
            <w:r w:rsidRPr="00543963">
              <w:rPr>
                <w:rFonts w:ascii="Arial" w:hAnsi="Arial" w:cs="Arial"/>
              </w:rPr>
              <w:lastRenderedPageBreak/>
              <w:t xml:space="preserve">High – synthesises evidence on digital </w:t>
            </w:r>
            <w:r w:rsidRPr="00543963">
              <w:rPr>
                <w:rFonts w:ascii="Arial" w:hAnsi="Arial" w:cs="Arial"/>
              </w:rPr>
              <w:lastRenderedPageBreak/>
              <w:t>engagement among older adults</w:t>
            </w:r>
          </w:p>
        </w:tc>
        <w:tc>
          <w:tcPr>
            <w:tcW w:w="0" w:type="auto"/>
            <w:hideMark/>
          </w:tcPr>
          <w:p w14:paraId="3224E436" w14:textId="77777777" w:rsidR="00ED765D" w:rsidRPr="00543963" w:rsidRDefault="00ED765D" w:rsidP="00ED765D">
            <w:pPr>
              <w:spacing w:after="160" w:line="360" w:lineRule="auto"/>
              <w:ind w:left="360"/>
              <w:rPr>
                <w:rFonts w:ascii="Arial" w:hAnsi="Arial" w:cs="Arial"/>
              </w:rPr>
            </w:pPr>
            <w:r w:rsidRPr="00543963">
              <w:rPr>
                <w:rFonts w:ascii="Arial" w:hAnsi="Arial" w:cs="Arial"/>
              </w:rPr>
              <w:lastRenderedPageBreak/>
              <w:t xml:space="preserve">High – highlights usability challenges </w:t>
            </w:r>
            <w:r w:rsidRPr="00543963">
              <w:rPr>
                <w:rFonts w:ascii="Arial" w:hAnsi="Arial" w:cs="Arial"/>
              </w:rPr>
              <w:lastRenderedPageBreak/>
              <w:t>affecting engagement in cognitive impairment</w:t>
            </w:r>
          </w:p>
        </w:tc>
        <w:tc>
          <w:tcPr>
            <w:tcW w:w="2288" w:type="dxa"/>
            <w:hideMark/>
          </w:tcPr>
          <w:p w14:paraId="4C53A769" w14:textId="77777777" w:rsidR="00ED765D" w:rsidRPr="00543963" w:rsidRDefault="00ED765D" w:rsidP="00ED765D">
            <w:pPr>
              <w:spacing w:after="160" w:line="360" w:lineRule="auto"/>
              <w:ind w:left="360"/>
              <w:rPr>
                <w:rFonts w:ascii="Arial" w:hAnsi="Arial" w:cs="Arial"/>
              </w:rPr>
            </w:pPr>
            <w:r w:rsidRPr="00543963">
              <w:rPr>
                <w:rFonts w:ascii="Arial" w:hAnsi="Arial" w:cs="Arial"/>
              </w:rPr>
              <w:lastRenderedPageBreak/>
              <w:t>High (appraised using alternative tools)</w:t>
            </w:r>
          </w:p>
        </w:tc>
      </w:tr>
    </w:tbl>
    <w:p w14:paraId="514A702F" w14:textId="77777777" w:rsidR="00EF1DA9" w:rsidRPr="00543963" w:rsidRDefault="00EF1DA9" w:rsidP="00ED765D">
      <w:pPr>
        <w:spacing w:line="360" w:lineRule="auto"/>
        <w:rPr>
          <w:rFonts w:ascii="Arial" w:hAnsi="Arial" w:cs="Arial"/>
          <w:b/>
          <w:bCs/>
        </w:rPr>
      </w:pPr>
    </w:p>
    <w:p w14:paraId="38B97723" w14:textId="33C61618" w:rsidR="00BA2E3C" w:rsidRPr="00543963" w:rsidRDefault="00BA2E3C" w:rsidP="000178E2">
      <w:pPr>
        <w:spacing w:line="360" w:lineRule="auto"/>
        <w:rPr>
          <w:rFonts w:ascii="Arial" w:hAnsi="Arial" w:cs="Arial"/>
          <w:b/>
          <w:bCs/>
        </w:rPr>
      </w:pPr>
      <w:r w:rsidRPr="00543963">
        <w:rPr>
          <w:rFonts w:ascii="Arial" w:hAnsi="Arial" w:cs="Arial"/>
          <w:b/>
          <w:bCs/>
        </w:rPr>
        <w:t>Appendix 2: Critical Appraisal Tables</w:t>
      </w:r>
    </w:p>
    <w:p w14:paraId="47262AD8" w14:textId="212E3101" w:rsidR="00634BC2" w:rsidRPr="000178E2" w:rsidRDefault="00BA2E3C" w:rsidP="00CF6342">
      <w:pPr>
        <w:rPr>
          <w:rFonts w:ascii="Arial" w:hAnsi="Arial" w:cs="Arial"/>
          <w:b/>
          <w:bCs/>
        </w:rPr>
      </w:pPr>
      <w:r w:rsidRPr="000178E2">
        <w:rPr>
          <w:rFonts w:ascii="Arial" w:hAnsi="Arial" w:cs="Arial"/>
          <w:b/>
          <w:bCs/>
        </w:rPr>
        <w:t>CASP (2024) Critical Appraisal Tool for Qualitative Research</w:t>
      </w:r>
    </w:p>
    <w:p w14:paraId="4FBD3619" w14:textId="3E76AADE" w:rsidR="00634BC2" w:rsidRPr="000178E2" w:rsidRDefault="000178E2" w:rsidP="000178E2">
      <w:pPr>
        <w:pStyle w:val="Caption"/>
        <w:keepNext/>
        <w:rPr>
          <w:rFonts w:ascii="Arial" w:hAnsi="Arial" w:cs="Arial"/>
          <w:i w:val="0"/>
          <w:iCs w:val="0"/>
          <w:sz w:val="22"/>
          <w:szCs w:val="22"/>
        </w:rPr>
      </w:pPr>
      <w:bookmarkStart w:id="95" w:name="_Toc231944279"/>
      <w:r w:rsidRPr="000178E2">
        <w:rPr>
          <w:rFonts w:ascii="Arial" w:hAnsi="Arial" w:cs="Arial"/>
          <w:i w:val="0"/>
          <w:iCs w:val="0"/>
          <w:sz w:val="22"/>
          <w:szCs w:val="22"/>
        </w:rPr>
        <w:t xml:space="preserve">Table </w:t>
      </w:r>
      <w:r w:rsidRPr="000178E2">
        <w:rPr>
          <w:rFonts w:ascii="Arial" w:hAnsi="Arial" w:cs="Arial"/>
          <w:i w:val="0"/>
          <w:iCs w:val="0"/>
          <w:sz w:val="22"/>
          <w:szCs w:val="22"/>
        </w:rPr>
        <w:fldChar w:fldCharType="begin"/>
      </w:r>
      <w:r w:rsidRPr="000178E2">
        <w:rPr>
          <w:rFonts w:ascii="Arial" w:hAnsi="Arial" w:cs="Arial"/>
          <w:i w:val="0"/>
          <w:iCs w:val="0"/>
          <w:sz w:val="22"/>
          <w:szCs w:val="22"/>
        </w:rPr>
        <w:instrText xml:space="preserve"> SEQ Table \* ARABIC </w:instrText>
      </w:r>
      <w:r w:rsidRPr="000178E2">
        <w:rPr>
          <w:rFonts w:ascii="Arial" w:hAnsi="Arial" w:cs="Arial"/>
          <w:i w:val="0"/>
          <w:iCs w:val="0"/>
          <w:sz w:val="22"/>
          <w:szCs w:val="22"/>
        </w:rPr>
        <w:fldChar w:fldCharType="separate"/>
      </w:r>
      <w:r>
        <w:rPr>
          <w:rFonts w:ascii="Arial" w:hAnsi="Arial" w:cs="Arial"/>
          <w:i w:val="0"/>
          <w:iCs w:val="0"/>
          <w:noProof/>
          <w:sz w:val="22"/>
          <w:szCs w:val="22"/>
        </w:rPr>
        <w:t>5</w:t>
      </w:r>
      <w:r w:rsidRPr="000178E2">
        <w:rPr>
          <w:rFonts w:ascii="Arial" w:hAnsi="Arial" w:cs="Arial"/>
          <w:i w:val="0"/>
          <w:iCs w:val="0"/>
          <w:sz w:val="22"/>
          <w:szCs w:val="22"/>
        </w:rPr>
        <w:fldChar w:fldCharType="end"/>
      </w:r>
      <w:r w:rsidRPr="000178E2">
        <w:rPr>
          <w:rFonts w:ascii="Arial" w:hAnsi="Arial" w:cs="Arial"/>
          <w:i w:val="0"/>
          <w:iCs w:val="0"/>
          <w:sz w:val="22"/>
          <w:szCs w:val="22"/>
          <w:lang w:val="en-US"/>
        </w:rPr>
        <w:t xml:space="preserve"> JBI (2017) Critical Appraisal Checklist for Analytical Cross-Sectional Studies</w:t>
      </w:r>
      <w:bookmarkEnd w:id="95"/>
    </w:p>
    <w:tbl>
      <w:tblPr>
        <w:tblStyle w:val="TableGrid"/>
        <w:tblW w:w="0" w:type="auto"/>
        <w:tblLook w:val="04A0" w:firstRow="1" w:lastRow="0" w:firstColumn="1" w:lastColumn="0" w:noHBand="0" w:noVBand="1"/>
      </w:tblPr>
      <w:tblGrid>
        <w:gridCol w:w="4896"/>
        <w:gridCol w:w="4700"/>
        <w:gridCol w:w="4352"/>
      </w:tblGrid>
      <w:tr w:rsidR="00634BC2" w:rsidRPr="00543963" w14:paraId="0BEB4022" w14:textId="77777777" w:rsidTr="00634BC2">
        <w:tc>
          <w:tcPr>
            <w:tcW w:w="0" w:type="auto"/>
            <w:hideMark/>
          </w:tcPr>
          <w:p w14:paraId="28D13D84"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Questions</w:t>
            </w:r>
          </w:p>
        </w:tc>
        <w:tc>
          <w:tcPr>
            <w:tcW w:w="0" w:type="auto"/>
            <w:hideMark/>
          </w:tcPr>
          <w:p w14:paraId="7E31C206"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Peng et al. (2024)</w:t>
            </w:r>
          </w:p>
        </w:tc>
        <w:tc>
          <w:tcPr>
            <w:tcW w:w="0" w:type="auto"/>
            <w:hideMark/>
          </w:tcPr>
          <w:p w14:paraId="55ED4E8C"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Schroeder et al. (2025)</w:t>
            </w:r>
          </w:p>
        </w:tc>
      </w:tr>
      <w:tr w:rsidR="00634BC2" w:rsidRPr="00543963" w14:paraId="5910CB5E" w14:textId="77777777" w:rsidTr="00634BC2">
        <w:tc>
          <w:tcPr>
            <w:tcW w:w="0" w:type="auto"/>
            <w:hideMark/>
          </w:tcPr>
          <w:p w14:paraId="5B0801B6" w14:textId="77777777" w:rsidR="00634BC2" w:rsidRPr="00543963" w:rsidRDefault="00634BC2" w:rsidP="00634BC2">
            <w:pPr>
              <w:spacing w:after="160" w:line="259" w:lineRule="auto"/>
              <w:rPr>
                <w:rFonts w:ascii="Arial" w:hAnsi="Arial" w:cs="Arial"/>
              </w:rPr>
            </w:pPr>
            <w:r w:rsidRPr="00543963">
              <w:rPr>
                <w:rFonts w:ascii="Arial" w:hAnsi="Arial" w:cs="Arial"/>
              </w:rPr>
              <w:t>Were the criteria for inclusion in the sample clearly defined?</w:t>
            </w:r>
          </w:p>
        </w:tc>
        <w:tc>
          <w:tcPr>
            <w:tcW w:w="0" w:type="auto"/>
            <w:hideMark/>
          </w:tcPr>
          <w:p w14:paraId="5D368725" w14:textId="77777777" w:rsidR="00634BC2" w:rsidRPr="00543963" w:rsidRDefault="00634BC2" w:rsidP="00634BC2">
            <w:pPr>
              <w:spacing w:after="160" w:line="259" w:lineRule="auto"/>
              <w:rPr>
                <w:rFonts w:ascii="Arial" w:hAnsi="Arial" w:cs="Arial"/>
              </w:rPr>
            </w:pPr>
            <w:r w:rsidRPr="00543963">
              <w:rPr>
                <w:rFonts w:ascii="Arial" w:hAnsi="Arial" w:cs="Arial"/>
              </w:rPr>
              <w:t>Yes – participant eligibility criteria reported</w:t>
            </w:r>
          </w:p>
        </w:tc>
        <w:tc>
          <w:tcPr>
            <w:tcW w:w="0" w:type="auto"/>
            <w:hideMark/>
          </w:tcPr>
          <w:p w14:paraId="0FEB8317" w14:textId="77777777" w:rsidR="00634BC2" w:rsidRPr="00543963" w:rsidRDefault="00634BC2" w:rsidP="00634BC2">
            <w:pPr>
              <w:spacing w:after="160" w:line="259" w:lineRule="auto"/>
              <w:rPr>
                <w:rFonts w:ascii="Arial" w:hAnsi="Arial" w:cs="Arial"/>
              </w:rPr>
            </w:pPr>
            <w:r w:rsidRPr="00543963">
              <w:rPr>
                <w:rFonts w:ascii="Arial" w:hAnsi="Arial" w:cs="Arial"/>
              </w:rPr>
              <w:t>Yes – inclusion criteria clearly stated</w:t>
            </w:r>
          </w:p>
        </w:tc>
      </w:tr>
      <w:tr w:rsidR="00634BC2" w:rsidRPr="00543963" w14:paraId="15FE410D" w14:textId="77777777" w:rsidTr="00634BC2">
        <w:tc>
          <w:tcPr>
            <w:tcW w:w="0" w:type="auto"/>
            <w:hideMark/>
          </w:tcPr>
          <w:p w14:paraId="7456AFF5" w14:textId="77777777" w:rsidR="00634BC2" w:rsidRPr="00543963" w:rsidRDefault="00634BC2" w:rsidP="00634BC2">
            <w:pPr>
              <w:spacing w:after="160" w:line="259" w:lineRule="auto"/>
              <w:rPr>
                <w:rFonts w:ascii="Arial" w:hAnsi="Arial" w:cs="Arial"/>
              </w:rPr>
            </w:pPr>
            <w:r w:rsidRPr="00543963">
              <w:rPr>
                <w:rFonts w:ascii="Arial" w:hAnsi="Arial" w:cs="Arial"/>
              </w:rPr>
              <w:t>Were the study subjects and the setting described in detail?</w:t>
            </w:r>
          </w:p>
        </w:tc>
        <w:tc>
          <w:tcPr>
            <w:tcW w:w="0" w:type="auto"/>
            <w:hideMark/>
          </w:tcPr>
          <w:p w14:paraId="3CA94FE7" w14:textId="77777777" w:rsidR="00634BC2" w:rsidRPr="00543963" w:rsidRDefault="00634BC2" w:rsidP="00634BC2">
            <w:pPr>
              <w:spacing w:after="160" w:line="259" w:lineRule="auto"/>
              <w:rPr>
                <w:rFonts w:ascii="Arial" w:hAnsi="Arial" w:cs="Arial"/>
              </w:rPr>
            </w:pPr>
            <w:r w:rsidRPr="00543963">
              <w:rPr>
                <w:rFonts w:ascii="Arial" w:hAnsi="Arial" w:cs="Arial"/>
              </w:rPr>
              <w:t>Yes – population and study setting described</w:t>
            </w:r>
          </w:p>
        </w:tc>
        <w:tc>
          <w:tcPr>
            <w:tcW w:w="0" w:type="auto"/>
            <w:hideMark/>
          </w:tcPr>
          <w:p w14:paraId="466B1B2C" w14:textId="77777777" w:rsidR="00634BC2" w:rsidRPr="00543963" w:rsidRDefault="00634BC2" w:rsidP="00634BC2">
            <w:pPr>
              <w:spacing w:after="160" w:line="259" w:lineRule="auto"/>
              <w:rPr>
                <w:rFonts w:ascii="Arial" w:hAnsi="Arial" w:cs="Arial"/>
              </w:rPr>
            </w:pPr>
            <w:r w:rsidRPr="00543963">
              <w:rPr>
                <w:rFonts w:ascii="Arial" w:hAnsi="Arial" w:cs="Arial"/>
              </w:rPr>
              <w:t>Yes – participant characteristics and setting described</w:t>
            </w:r>
          </w:p>
        </w:tc>
      </w:tr>
      <w:tr w:rsidR="00634BC2" w:rsidRPr="00543963" w14:paraId="40BEA611" w14:textId="77777777" w:rsidTr="00634BC2">
        <w:tc>
          <w:tcPr>
            <w:tcW w:w="0" w:type="auto"/>
            <w:hideMark/>
          </w:tcPr>
          <w:p w14:paraId="56124FEF" w14:textId="77777777" w:rsidR="00634BC2" w:rsidRPr="00543963" w:rsidRDefault="00634BC2" w:rsidP="00634BC2">
            <w:pPr>
              <w:spacing w:after="160" w:line="259" w:lineRule="auto"/>
              <w:rPr>
                <w:rFonts w:ascii="Arial" w:hAnsi="Arial" w:cs="Arial"/>
              </w:rPr>
            </w:pPr>
            <w:r w:rsidRPr="00543963">
              <w:rPr>
                <w:rFonts w:ascii="Arial" w:hAnsi="Arial" w:cs="Arial"/>
              </w:rPr>
              <w:t>Was the exposure measured in a valid and reliable way?</w:t>
            </w:r>
          </w:p>
        </w:tc>
        <w:tc>
          <w:tcPr>
            <w:tcW w:w="0" w:type="auto"/>
            <w:hideMark/>
          </w:tcPr>
          <w:p w14:paraId="17917737" w14:textId="77777777" w:rsidR="00634BC2" w:rsidRPr="00543963" w:rsidRDefault="00634BC2" w:rsidP="00634BC2">
            <w:pPr>
              <w:spacing w:after="160" w:line="259" w:lineRule="auto"/>
              <w:rPr>
                <w:rFonts w:ascii="Arial" w:hAnsi="Arial" w:cs="Arial"/>
              </w:rPr>
            </w:pPr>
            <w:r w:rsidRPr="00543963">
              <w:rPr>
                <w:rFonts w:ascii="Arial" w:hAnsi="Arial" w:cs="Arial"/>
              </w:rPr>
              <w:t>Yes – digital technology utilisation measured systematically</w:t>
            </w:r>
          </w:p>
        </w:tc>
        <w:tc>
          <w:tcPr>
            <w:tcW w:w="0" w:type="auto"/>
            <w:hideMark/>
          </w:tcPr>
          <w:p w14:paraId="42974854" w14:textId="77777777" w:rsidR="00634BC2" w:rsidRPr="00543963" w:rsidRDefault="00634BC2" w:rsidP="00634BC2">
            <w:pPr>
              <w:spacing w:after="160" w:line="259" w:lineRule="auto"/>
              <w:rPr>
                <w:rFonts w:ascii="Arial" w:hAnsi="Arial" w:cs="Arial"/>
              </w:rPr>
            </w:pPr>
            <w:r w:rsidRPr="00543963">
              <w:rPr>
                <w:rFonts w:ascii="Arial" w:hAnsi="Arial" w:cs="Arial"/>
              </w:rPr>
              <w:t>Yes – adherence and technology use measured consistently</w:t>
            </w:r>
          </w:p>
        </w:tc>
      </w:tr>
      <w:tr w:rsidR="00634BC2" w:rsidRPr="00543963" w14:paraId="29154285" w14:textId="77777777" w:rsidTr="00634BC2">
        <w:tc>
          <w:tcPr>
            <w:tcW w:w="0" w:type="auto"/>
            <w:hideMark/>
          </w:tcPr>
          <w:p w14:paraId="6CF5B510" w14:textId="77777777" w:rsidR="00634BC2" w:rsidRPr="00543963" w:rsidRDefault="00634BC2" w:rsidP="00634BC2">
            <w:pPr>
              <w:spacing w:after="160" w:line="259" w:lineRule="auto"/>
              <w:rPr>
                <w:rFonts w:ascii="Arial" w:hAnsi="Arial" w:cs="Arial"/>
              </w:rPr>
            </w:pPr>
            <w:r w:rsidRPr="00543963">
              <w:rPr>
                <w:rFonts w:ascii="Arial" w:hAnsi="Arial" w:cs="Arial"/>
              </w:rPr>
              <w:t>Were objective, standard criteria used for measurement of the condition?</w:t>
            </w:r>
          </w:p>
        </w:tc>
        <w:tc>
          <w:tcPr>
            <w:tcW w:w="0" w:type="auto"/>
            <w:hideMark/>
          </w:tcPr>
          <w:p w14:paraId="29300D51" w14:textId="77777777" w:rsidR="00634BC2" w:rsidRPr="00543963" w:rsidRDefault="00634BC2" w:rsidP="00634BC2">
            <w:pPr>
              <w:spacing w:after="160" w:line="259" w:lineRule="auto"/>
              <w:rPr>
                <w:rFonts w:ascii="Arial" w:hAnsi="Arial" w:cs="Arial"/>
              </w:rPr>
            </w:pPr>
            <w:r w:rsidRPr="00543963">
              <w:rPr>
                <w:rFonts w:ascii="Arial" w:hAnsi="Arial" w:cs="Arial"/>
              </w:rPr>
              <w:t>Yes – dementia risk outcomes assessed using established measures</w:t>
            </w:r>
          </w:p>
        </w:tc>
        <w:tc>
          <w:tcPr>
            <w:tcW w:w="0" w:type="auto"/>
            <w:hideMark/>
          </w:tcPr>
          <w:p w14:paraId="337BA27C" w14:textId="77777777" w:rsidR="00634BC2" w:rsidRPr="00543963" w:rsidRDefault="00634BC2" w:rsidP="00634BC2">
            <w:pPr>
              <w:spacing w:after="160" w:line="259" w:lineRule="auto"/>
              <w:rPr>
                <w:rFonts w:ascii="Arial" w:hAnsi="Arial" w:cs="Arial"/>
              </w:rPr>
            </w:pPr>
            <w:r w:rsidRPr="00543963">
              <w:rPr>
                <w:rFonts w:ascii="Arial" w:hAnsi="Arial" w:cs="Arial"/>
              </w:rPr>
              <w:t>Yes – adherence outcomes measured using predefined criteria</w:t>
            </w:r>
          </w:p>
        </w:tc>
      </w:tr>
      <w:tr w:rsidR="00634BC2" w:rsidRPr="00543963" w14:paraId="5D80A2A8" w14:textId="77777777" w:rsidTr="00634BC2">
        <w:tc>
          <w:tcPr>
            <w:tcW w:w="0" w:type="auto"/>
            <w:hideMark/>
          </w:tcPr>
          <w:p w14:paraId="2FA5A921" w14:textId="1A86270F" w:rsidR="00634BC2" w:rsidRPr="00543963" w:rsidRDefault="00FE1995" w:rsidP="00634BC2">
            <w:pPr>
              <w:spacing w:after="160" w:line="259" w:lineRule="auto"/>
              <w:rPr>
                <w:rFonts w:ascii="Arial" w:hAnsi="Arial" w:cs="Arial"/>
              </w:rPr>
            </w:pPr>
            <w:r w:rsidRPr="00543963">
              <w:rPr>
                <w:rFonts w:ascii="Arial" w:hAnsi="Arial" w:cs="Arial"/>
              </w:rPr>
              <w:t>We’re</w:t>
            </w:r>
            <w:r w:rsidR="00634BC2" w:rsidRPr="00543963">
              <w:rPr>
                <w:rFonts w:ascii="Arial" w:hAnsi="Arial" w:cs="Arial"/>
              </w:rPr>
              <w:t xml:space="preserve"> confounding factors identified?</w:t>
            </w:r>
          </w:p>
        </w:tc>
        <w:tc>
          <w:tcPr>
            <w:tcW w:w="0" w:type="auto"/>
            <w:hideMark/>
          </w:tcPr>
          <w:p w14:paraId="01563567" w14:textId="77777777" w:rsidR="00634BC2" w:rsidRPr="00543963" w:rsidRDefault="00634BC2" w:rsidP="00634BC2">
            <w:pPr>
              <w:spacing w:after="160" w:line="259" w:lineRule="auto"/>
              <w:rPr>
                <w:rFonts w:ascii="Arial" w:hAnsi="Arial" w:cs="Arial"/>
              </w:rPr>
            </w:pPr>
            <w:r w:rsidRPr="00543963">
              <w:rPr>
                <w:rFonts w:ascii="Arial" w:hAnsi="Arial" w:cs="Arial"/>
              </w:rPr>
              <w:t>Partially – some demographic and health factors acknowledged</w:t>
            </w:r>
          </w:p>
        </w:tc>
        <w:tc>
          <w:tcPr>
            <w:tcW w:w="0" w:type="auto"/>
            <w:hideMark/>
          </w:tcPr>
          <w:p w14:paraId="634B5ECC" w14:textId="77777777" w:rsidR="00634BC2" w:rsidRPr="00543963" w:rsidRDefault="00634BC2" w:rsidP="00634BC2">
            <w:pPr>
              <w:spacing w:after="160" w:line="259" w:lineRule="auto"/>
              <w:rPr>
                <w:rFonts w:ascii="Arial" w:hAnsi="Arial" w:cs="Arial"/>
              </w:rPr>
            </w:pPr>
            <w:r w:rsidRPr="00543963">
              <w:rPr>
                <w:rFonts w:ascii="Arial" w:hAnsi="Arial" w:cs="Arial"/>
              </w:rPr>
              <w:t>Partially – potential influencing factors recognised</w:t>
            </w:r>
          </w:p>
        </w:tc>
      </w:tr>
      <w:tr w:rsidR="00634BC2" w:rsidRPr="00543963" w14:paraId="6F9BC564" w14:textId="77777777" w:rsidTr="00634BC2">
        <w:tc>
          <w:tcPr>
            <w:tcW w:w="0" w:type="auto"/>
            <w:hideMark/>
          </w:tcPr>
          <w:p w14:paraId="2AECF793" w14:textId="77777777" w:rsidR="00634BC2" w:rsidRPr="00543963" w:rsidRDefault="00634BC2" w:rsidP="00634BC2">
            <w:pPr>
              <w:spacing w:after="160" w:line="259" w:lineRule="auto"/>
              <w:rPr>
                <w:rFonts w:ascii="Arial" w:hAnsi="Arial" w:cs="Arial"/>
              </w:rPr>
            </w:pPr>
            <w:r w:rsidRPr="00543963">
              <w:rPr>
                <w:rFonts w:ascii="Arial" w:hAnsi="Arial" w:cs="Arial"/>
              </w:rPr>
              <w:t>Were strategies to deal with confounding factors stated?</w:t>
            </w:r>
          </w:p>
        </w:tc>
        <w:tc>
          <w:tcPr>
            <w:tcW w:w="0" w:type="auto"/>
            <w:hideMark/>
          </w:tcPr>
          <w:p w14:paraId="5FE2957F" w14:textId="77777777" w:rsidR="00634BC2" w:rsidRPr="00543963" w:rsidRDefault="00634BC2" w:rsidP="00634BC2">
            <w:pPr>
              <w:spacing w:after="160" w:line="259" w:lineRule="auto"/>
              <w:rPr>
                <w:rFonts w:ascii="Arial" w:hAnsi="Arial" w:cs="Arial"/>
              </w:rPr>
            </w:pPr>
            <w:r w:rsidRPr="00543963">
              <w:rPr>
                <w:rFonts w:ascii="Arial" w:hAnsi="Arial" w:cs="Arial"/>
              </w:rPr>
              <w:t>Partially – statistical adjustment reported but limited</w:t>
            </w:r>
          </w:p>
        </w:tc>
        <w:tc>
          <w:tcPr>
            <w:tcW w:w="0" w:type="auto"/>
            <w:hideMark/>
          </w:tcPr>
          <w:p w14:paraId="128E13D6" w14:textId="77777777" w:rsidR="00634BC2" w:rsidRPr="00543963" w:rsidRDefault="00634BC2" w:rsidP="00634BC2">
            <w:pPr>
              <w:spacing w:after="160" w:line="259" w:lineRule="auto"/>
              <w:rPr>
                <w:rFonts w:ascii="Arial" w:hAnsi="Arial" w:cs="Arial"/>
              </w:rPr>
            </w:pPr>
            <w:r w:rsidRPr="00543963">
              <w:rPr>
                <w:rFonts w:ascii="Arial" w:hAnsi="Arial" w:cs="Arial"/>
              </w:rPr>
              <w:t>No clear strategy reported</w:t>
            </w:r>
          </w:p>
        </w:tc>
      </w:tr>
      <w:tr w:rsidR="00634BC2" w:rsidRPr="00543963" w14:paraId="535DF02E" w14:textId="77777777" w:rsidTr="00634BC2">
        <w:tc>
          <w:tcPr>
            <w:tcW w:w="0" w:type="auto"/>
            <w:hideMark/>
          </w:tcPr>
          <w:p w14:paraId="45F08690" w14:textId="77777777" w:rsidR="00634BC2" w:rsidRPr="00543963" w:rsidRDefault="00634BC2" w:rsidP="00634BC2">
            <w:pPr>
              <w:spacing w:after="160" w:line="259" w:lineRule="auto"/>
              <w:rPr>
                <w:rFonts w:ascii="Arial" w:hAnsi="Arial" w:cs="Arial"/>
              </w:rPr>
            </w:pPr>
            <w:r w:rsidRPr="00543963">
              <w:rPr>
                <w:rFonts w:ascii="Arial" w:hAnsi="Arial" w:cs="Arial"/>
              </w:rPr>
              <w:lastRenderedPageBreak/>
              <w:t>Were the outcomes measured in a valid and reliable way?</w:t>
            </w:r>
          </w:p>
        </w:tc>
        <w:tc>
          <w:tcPr>
            <w:tcW w:w="0" w:type="auto"/>
            <w:hideMark/>
          </w:tcPr>
          <w:p w14:paraId="37671842" w14:textId="77777777" w:rsidR="00634BC2" w:rsidRPr="00543963" w:rsidRDefault="00634BC2" w:rsidP="00634BC2">
            <w:pPr>
              <w:spacing w:after="160" w:line="259" w:lineRule="auto"/>
              <w:rPr>
                <w:rFonts w:ascii="Arial" w:hAnsi="Arial" w:cs="Arial"/>
              </w:rPr>
            </w:pPr>
            <w:r w:rsidRPr="00543963">
              <w:rPr>
                <w:rFonts w:ascii="Arial" w:hAnsi="Arial" w:cs="Arial"/>
              </w:rPr>
              <w:t>Yes – outcomes measured using established methods</w:t>
            </w:r>
          </w:p>
        </w:tc>
        <w:tc>
          <w:tcPr>
            <w:tcW w:w="0" w:type="auto"/>
            <w:hideMark/>
          </w:tcPr>
          <w:p w14:paraId="091A5C92" w14:textId="77777777" w:rsidR="00634BC2" w:rsidRPr="00543963" w:rsidRDefault="00634BC2" w:rsidP="00634BC2">
            <w:pPr>
              <w:spacing w:after="160" w:line="259" w:lineRule="auto"/>
              <w:rPr>
                <w:rFonts w:ascii="Arial" w:hAnsi="Arial" w:cs="Arial"/>
              </w:rPr>
            </w:pPr>
            <w:r w:rsidRPr="00543963">
              <w:rPr>
                <w:rFonts w:ascii="Arial" w:hAnsi="Arial" w:cs="Arial"/>
              </w:rPr>
              <w:t>Yes – outcomes measured consistently</w:t>
            </w:r>
          </w:p>
        </w:tc>
      </w:tr>
      <w:tr w:rsidR="00634BC2" w:rsidRPr="00543963" w14:paraId="0FD07007" w14:textId="77777777" w:rsidTr="00634BC2">
        <w:tc>
          <w:tcPr>
            <w:tcW w:w="0" w:type="auto"/>
            <w:hideMark/>
          </w:tcPr>
          <w:p w14:paraId="55D3F5D1" w14:textId="77777777" w:rsidR="00634BC2" w:rsidRPr="00543963" w:rsidRDefault="00634BC2" w:rsidP="00634BC2">
            <w:pPr>
              <w:spacing w:after="160" w:line="259" w:lineRule="auto"/>
              <w:rPr>
                <w:rFonts w:ascii="Arial" w:hAnsi="Arial" w:cs="Arial"/>
              </w:rPr>
            </w:pPr>
            <w:r w:rsidRPr="00543963">
              <w:rPr>
                <w:rFonts w:ascii="Arial" w:hAnsi="Arial" w:cs="Arial"/>
              </w:rPr>
              <w:t>Was appropriate statistical analysis used?</w:t>
            </w:r>
          </w:p>
        </w:tc>
        <w:tc>
          <w:tcPr>
            <w:tcW w:w="0" w:type="auto"/>
            <w:hideMark/>
          </w:tcPr>
          <w:p w14:paraId="3F8A3C5A" w14:textId="77777777" w:rsidR="00634BC2" w:rsidRPr="00543963" w:rsidRDefault="00634BC2" w:rsidP="00634BC2">
            <w:pPr>
              <w:spacing w:after="160" w:line="259" w:lineRule="auto"/>
              <w:rPr>
                <w:rFonts w:ascii="Arial" w:hAnsi="Arial" w:cs="Arial"/>
              </w:rPr>
            </w:pPr>
            <w:r w:rsidRPr="00543963">
              <w:rPr>
                <w:rFonts w:ascii="Arial" w:hAnsi="Arial" w:cs="Arial"/>
              </w:rPr>
              <w:t>Yes – appropriate statistical techniques applied</w:t>
            </w:r>
          </w:p>
        </w:tc>
        <w:tc>
          <w:tcPr>
            <w:tcW w:w="0" w:type="auto"/>
            <w:hideMark/>
          </w:tcPr>
          <w:p w14:paraId="353A11FA" w14:textId="77777777" w:rsidR="00634BC2" w:rsidRPr="00543963" w:rsidRDefault="00634BC2" w:rsidP="00634BC2">
            <w:pPr>
              <w:spacing w:after="160" w:line="259" w:lineRule="auto"/>
              <w:rPr>
                <w:rFonts w:ascii="Arial" w:hAnsi="Arial" w:cs="Arial"/>
              </w:rPr>
            </w:pPr>
            <w:r w:rsidRPr="00543963">
              <w:rPr>
                <w:rFonts w:ascii="Arial" w:hAnsi="Arial" w:cs="Arial"/>
              </w:rPr>
              <w:t>Yes – suitable statistical analysis reported</w:t>
            </w:r>
          </w:p>
        </w:tc>
      </w:tr>
      <w:tr w:rsidR="00634BC2" w:rsidRPr="00543963" w14:paraId="1760C784" w14:textId="77777777" w:rsidTr="00634BC2">
        <w:tc>
          <w:tcPr>
            <w:tcW w:w="0" w:type="auto"/>
            <w:hideMark/>
          </w:tcPr>
          <w:p w14:paraId="4A66659A" w14:textId="77777777" w:rsidR="00634BC2" w:rsidRPr="00543963" w:rsidRDefault="00634BC2" w:rsidP="00634BC2">
            <w:pPr>
              <w:spacing w:after="160" w:line="259" w:lineRule="auto"/>
              <w:rPr>
                <w:rFonts w:ascii="Arial" w:hAnsi="Arial" w:cs="Arial"/>
              </w:rPr>
            </w:pPr>
            <w:r w:rsidRPr="00543963">
              <w:rPr>
                <w:rFonts w:ascii="Arial" w:hAnsi="Arial" w:cs="Arial"/>
              </w:rPr>
              <w:t>Overall appraisal</w:t>
            </w:r>
          </w:p>
        </w:tc>
        <w:tc>
          <w:tcPr>
            <w:tcW w:w="0" w:type="auto"/>
            <w:hideMark/>
          </w:tcPr>
          <w:p w14:paraId="5554B377" w14:textId="77777777" w:rsidR="00634BC2" w:rsidRPr="00543963" w:rsidRDefault="00634BC2" w:rsidP="00634BC2">
            <w:pPr>
              <w:spacing w:after="160" w:line="259" w:lineRule="auto"/>
              <w:rPr>
                <w:rFonts w:ascii="Arial" w:hAnsi="Arial" w:cs="Arial"/>
              </w:rPr>
            </w:pPr>
            <w:r w:rsidRPr="00543963">
              <w:rPr>
                <w:rFonts w:ascii="Arial" w:hAnsi="Arial" w:cs="Arial"/>
              </w:rPr>
              <w:t>Moderate to High Quality</w:t>
            </w:r>
          </w:p>
        </w:tc>
        <w:tc>
          <w:tcPr>
            <w:tcW w:w="0" w:type="auto"/>
            <w:hideMark/>
          </w:tcPr>
          <w:p w14:paraId="2D75B300" w14:textId="77777777" w:rsidR="00634BC2" w:rsidRPr="00543963" w:rsidRDefault="00634BC2" w:rsidP="00634BC2">
            <w:pPr>
              <w:spacing w:after="160" w:line="259" w:lineRule="auto"/>
              <w:rPr>
                <w:rFonts w:ascii="Arial" w:hAnsi="Arial" w:cs="Arial"/>
              </w:rPr>
            </w:pPr>
            <w:r w:rsidRPr="00543963">
              <w:rPr>
                <w:rFonts w:ascii="Arial" w:hAnsi="Arial" w:cs="Arial"/>
              </w:rPr>
              <w:t>Moderate Quality</w:t>
            </w:r>
          </w:p>
        </w:tc>
      </w:tr>
    </w:tbl>
    <w:p w14:paraId="4E271CD8" w14:textId="5C78D3AD" w:rsidR="00BA2E3C" w:rsidRPr="00543963" w:rsidRDefault="00BA2E3C">
      <w:pPr>
        <w:rPr>
          <w:rFonts w:ascii="Arial" w:hAnsi="Arial" w:cs="Arial"/>
        </w:rPr>
      </w:pPr>
    </w:p>
    <w:p w14:paraId="22F2412E" w14:textId="1342DA3A" w:rsidR="00634BC2" w:rsidRPr="000178E2" w:rsidRDefault="000178E2" w:rsidP="000178E2">
      <w:pPr>
        <w:pStyle w:val="Caption"/>
        <w:keepNext/>
        <w:rPr>
          <w:rFonts w:ascii="Arial" w:hAnsi="Arial" w:cs="Arial"/>
          <w:i w:val="0"/>
          <w:iCs w:val="0"/>
          <w:sz w:val="22"/>
          <w:szCs w:val="22"/>
        </w:rPr>
      </w:pPr>
      <w:bookmarkStart w:id="96" w:name="_Toc231944280"/>
      <w:r w:rsidRPr="000178E2">
        <w:rPr>
          <w:rFonts w:ascii="Arial" w:hAnsi="Arial" w:cs="Arial"/>
          <w:i w:val="0"/>
          <w:iCs w:val="0"/>
          <w:sz w:val="22"/>
          <w:szCs w:val="22"/>
        </w:rPr>
        <w:t xml:space="preserve">Table </w:t>
      </w:r>
      <w:r w:rsidRPr="000178E2">
        <w:rPr>
          <w:rFonts w:ascii="Arial" w:hAnsi="Arial" w:cs="Arial"/>
          <w:i w:val="0"/>
          <w:iCs w:val="0"/>
          <w:sz w:val="22"/>
          <w:szCs w:val="22"/>
        </w:rPr>
        <w:fldChar w:fldCharType="begin"/>
      </w:r>
      <w:r w:rsidRPr="000178E2">
        <w:rPr>
          <w:rFonts w:ascii="Arial" w:hAnsi="Arial" w:cs="Arial"/>
          <w:i w:val="0"/>
          <w:iCs w:val="0"/>
          <w:sz w:val="22"/>
          <w:szCs w:val="22"/>
        </w:rPr>
        <w:instrText xml:space="preserve"> SEQ Table \* ARABIC </w:instrText>
      </w:r>
      <w:r w:rsidRPr="000178E2">
        <w:rPr>
          <w:rFonts w:ascii="Arial" w:hAnsi="Arial" w:cs="Arial"/>
          <w:i w:val="0"/>
          <w:iCs w:val="0"/>
          <w:sz w:val="22"/>
          <w:szCs w:val="22"/>
        </w:rPr>
        <w:fldChar w:fldCharType="separate"/>
      </w:r>
      <w:r>
        <w:rPr>
          <w:rFonts w:ascii="Arial" w:hAnsi="Arial" w:cs="Arial"/>
          <w:i w:val="0"/>
          <w:iCs w:val="0"/>
          <w:noProof/>
          <w:sz w:val="22"/>
          <w:szCs w:val="22"/>
        </w:rPr>
        <w:t>6</w:t>
      </w:r>
      <w:r w:rsidRPr="000178E2">
        <w:rPr>
          <w:rFonts w:ascii="Arial" w:hAnsi="Arial" w:cs="Arial"/>
          <w:i w:val="0"/>
          <w:iCs w:val="0"/>
          <w:sz w:val="22"/>
          <w:szCs w:val="22"/>
        </w:rPr>
        <w:fldChar w:fldCharType="end"/>
      </w:r>
      <w:r w:rsidRPr="000178E2">
        <w:rPr>
          <w:rFonts w:ascii="Arial" w:hAnsi="Arial" w:cs="Arial"/>
          <w:i w:val="0"/>
          <w:iCs w:val="0"/>
          <w:sz w:val="22"/>
          <w:szCs w:val="22"/>
          <w:lang w:val="en-US"/>
        </w:rPr>
        <w:t xml:space="preserve"> JBI (2017) Critical Appraisal Checklist for Cohort Studies</w:t>
      </w:r>
      <w:bookmarkEnd w:id="96"/>
    </w:p>
    <w:tbl>
      <w:tblPr>
        <w:tblStyle w:val="TableGrid"/>
        <w:tblW w:w="0" w:type="auto"/>
        <w:tblLook w:val="04A0" w:firstRow="1" w:lastRow="0" w:firstColumn="1" w:lastColumn="0" w:noHBand="0" w:noVBand="1"/>
      </w:tblPr>
      <w:tblGrid>
        <w:gridCol w:w="6160"/>
        <w:gridCol w:w="4125"/>
        <w:gridCol w:w="3663"/>
      </w:tblGrid>
      <w:tr w:rsidR="00634BC2" w:rsidRPr="00543963" w14:paraId="308C901F" w14:textId="77777777" w:rsidTr="00634BC2">
        <w:tc>
          <w:tcPr>
            <w:tcW w:w="0" w:type="auto"/>
            <w:hideMark/>
          </w:tcPr>
          <w:p w14:paraId="42BB44EC"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Questions</w:t>
            </w:r>
          </w:p>
        </w:tc>
        <w:tc>
          <w:tcPr>
            <w:tcW w:w="0" w:type="auto"/>
            <w:hideMark/>
          </w:tcPr>
          <w:p w14:paraId="254FE8F4"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Coley et al. (2022)</w:t>
            </w:r>
          </w:p>
        </w:tc>
        <w:tc>
          <w:tcPr>
            <w:tcW w:w="0" w:type="auto"/>
            <w:hideMark/>
          </w:tcPr>
          <w:p w14:paraId="05A89C9B"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Bunyan et al. (2025)</w:t>
            </w:r>
          </w:p>
        </w:tc>
      </w:tr>
      <w:tr w:rsidR="00634BC2" w:rsidRPr="00543963" w14:paraId="73913431" w14:textId="77777777" w:rsidTr="00634BC2">
        <w:tc>
          <w:tcPr>
            <w:tcW w:w="0" w:type="auto"/>
            <w:hideMark/>
          </w:tcPr>
          <w:p w14:paraId="1B81B661" w14:textId="77777777" w:rsidR="00634BC2" w:rsidRPr="00543963" w:rsidRDefault="00634BC2" w:rsidP="00634BC2">
            <w:pPr>
              <w:spacing w:after="160" w:line="259" w:lineRule="auto"/>
              <w:rPr>
                <w:rFonts w:ascii="Arial" w:hAnsi="Arial" w:cs="Arial"/>
              </w:rPr>
            </w:pPr>
            <w:r w:rsidRPr="00543963">
              <w:rPr>
                <w:rFonts w:ascii="Arial" w:hAnsi="Arial" w:cs="Arial"/>
              </w:rPr>
              <w:t>Were the two groups similar and recruited from the same population?</w:t>
            </w:r>
          </w:p>
        </w:tc>
        <w:tc>
          <w:tcPr>
            <w:tcW w:w="0" w:type="auto"/>
            <w:hideMark/>
          </w:tcPr>
          <w:p w14:paraId="5A3E54CB" w14:textId="77777777" w:rsidR="00634BC2" w:rsidRPr="00543963" w:rsidRDefault="00634BC2" w:rsidP="00634BC2">
            <w:pPr>
              <w:spacing w:after="160" w:line="259" w:lineRule="auto"/>
              <w:rPr>
                <w:rFonts w:ascii="Arial" w:hAnsi="Arial" w:cs="Arial"/>
              </w:rPr>
            </w:pPr>
            <w:r w:rsidRPr="00543963">
              <w:rPr>
                <w:rFonts w:ascii="Arial" w:hAnsi="Arial" w:cs="Arial"/>
              </w:rPr>
              <w:t>Yes – participants recruited from the same intervention population</w:t>
            </w:r>
          </w:p>
        </w:tc>
        <w:tc>
          <w:tcPr>
            <w:tcW w:w="0" w:type="auto"/>
            <w:hideMark/>
          </w:tcPr>
          <w:p w14:paraId="2447DA5F" w14:textId="77777777" w:rsidR="00634BC2" w:rsidRPr="00543963" w:rsidRDefault="00634BC2" w:rsidP="00634BC2">
            <w:pPr>
              <w:spacing w:after="160" w:line="259" w:lineRule="auto"/>
              <w:rPr>
                <w:rFonts w:ascii="Arial" w:hAnsi="Arial" w:cs="Arial"/>
              </w:rPr>
            </w:pPr>
            <w:r w:rsidRPr="00543963">
              <w:rPr>
                <w:rFonts w:ascii="Arial" w:hAnsi="Arial" w:cs="Arial"/>
              </w:rPr>
              <w:t>Yes – participants drawn from the same cohort population</w:t>
            </w:r>
          </w:p>
        </w:tc>
      </w:tr>
      <w:tr w:rsidR="00634BC2" w:rsidRPr="00543963" w14:paraId="0D90B1CF" w14:textId="77777777" w:rsidTr="00634BC2">
        <w:tc>
          <w:tcPr>
            <w:tcW w:w="0" w:type="auto"/>
            <w:hideMark/>
          </w:tcPr>
          <w:p w14:paraId="248C3928" w14:textId="77777777" w:rsidR="00634BC2" w:rsidRPr="00543963" w:rsidRDefault="00634BC2" w:rsidP="00634BC2">
            <w:pPr>
              <w:spacing w:after="160" w:line="259" w:lineRule="auto"/>
              <w:rPr>
                <w:rFonts w:ascii="Arial" w:hAnsi="Arial" w:cs="Arial"/>
              </w:rPr>
            </w:pPr>
            <w:r w:rsidRPr="00543963">
              <w:rPr>
                <w:rFonts w:ascii="Arial" w:hAnsi="Arial" w:cs="Arial"/>
              </w:rPr>
              <w:t>Were the exposures measured similarly to assign people to both exposed and unexposed groups?</w:t>
            </w:r>
          </w:p>
        </w:tc>
        <w:tc>
          <w:tcPr>
            <w:tcW w:w="0" w:type="auto"/>
            <w:hideMark/>
          </w:tcPr>
          <w:p w14:paraId="32798907" w14:textId="77777777" w:rsidR="00634BC2" w:rsidRPr="00543963" w:rsidRDefault="00634BC2" w:rsidP="00634BC2">
            <w:pPr>
              <w:spacing w:after="160" w:line="259" w:lineRule="auto"/>
              <w:rPr>
                <w:rFonts w:ascii="Arial" w:hAnsi="Arial" w:cs="Arial"/>
              </w:rPr>
            </w:pPr>
            <w:r w:rsidRPr="00543963">
              <w:rPr>
                <w:rFonts w:ascii="Arial" w:hAnsi="Arial" w:cs="Arial"/>
              </w:rPr>
              <w:t>Yes – engagement levels measured consistently across participants</w:t>
            </w:r>
          </w:p>
        </w:tc>
        <w:tc>
          <w:tcPr>
            <w:tcW w:w="0" w:type="auto"/>
            <w:hideMark/>
          </w:tcPr>
          <w:p w14:paraId="7B8A8EAE" w14:textId="77777777" w:rsidR="00634BC2" w:rsidRPr="00543963" w:rsidRDefault="00634BC2" w:rsidP="00634BC2">
            <w:pPr>
              <w:spacing w:after="160" w:line="259" w:lineRule="auto"/>
              <w:rPr>
                <w:rFonts w:ascii="Arial" w:hAnsi="Arial" w:cs="Arial"/>
              </w:rPr>
            </w:pPr>
            <w:r w:rsidRPr="00543963">
              <w:rPr>
                <w:rFonts w:ascii="Arial" w:hAnsi="Arial" w:cs="Arial"/>
              </w:rPr>
              <w:t>Yes – engagement exposure measured consistently</w:t>
            </w:r>
          </w:p>
        </w:tc>
      </w:tr>
      <w:tr w:rsidR="00634BC2" w:rsidRPr="00543963" w14:paraId="2382E4C4" w14:textId="77777777" w:rsidTr="00634BC2">
        <w:tc>
          <w:tcPr>
            <w:tcW w:w="0" w:type="auto"/>
            <w:hideMark/>
          </w:tcPr>
          <w:p w14:paraId="03020AC6" w14:textId="77777777" w:rsidR="00634BC2" w:rsidRPr="00543963" w:rsidRDefault="00634BC2" w:rsidP="00634BC2">
            <w:pPr>
              <w:spacing w:after="160" w:line="259" w:lineRule="auto"/>
              <w:rPr>
                <w:rFonts w:ascii="Arial" w:hAnsi="Arial" w:cs="Arial"/>
              </w:rPr>
            </w:pPr>
            <w:r w:rsidRPr="00543963">
              <w:rPr>
                <w:rFonts w:ascii="Arial" w:hAnsi="Arial" w:cs="Arial"/>
              </w:rPr>
              <w:t>Was the exposure measured in a valid and reliable way?</w:t>
            </w:r>
          </w:p>
        </w:tc>
        <w:tc>
          <w:tcPr>
            <w:tcW w:w="0" w:type="auto"/>
            <w:hideMark/>
          </w:tcPr>
          <w:p w14:paraId="006406BB" w14:textId="77777777" w:rsidR="00634BC2" w:rsidRPr="00543963" w:rsidRDefault="00634BC2" w:rsidP="00634BC2">
            <w:pPr>
              <w:spacing w:after="160" w:line="259" w:lineRule="auto"/>
              <w:rPr>
                <w:rFonts w:ascii="Arial" w:hAnsi="Arial" w:cs="Arial"/>
              </w:rPr>
            </w:pPr>
            <w:r w:rsidRPr="00543963">
              <w:rPr>
                <w:rFonts w:ascii="Arial" w:hAnsi="Arial" w:cs="Arial"/>
              </w:rPr>
              <w:t>Yes – standardised engagement measures used</w:t>
            </w:r>
          </w:p>
        </w:tc>
        <w:tc>
          <w:tcPr>
            <w:tcW w:w="0" w:type="auto"/>
            <w:hideMark/>
          </w:tcPr>
          <w:p w14:paraId="1862DB47" w14:textId="77777777" w:rsidR="00634BC2" w:rsidRPr="00543963" w:rsidRDefault="00634BC2" w:rsidP="00634BC2">
            <w:pPr>
              <w:spacing w:after="160" w:line="259" w:lineRule="auto"/>
              <w:rPr>
                <w:rFonts w:ascii="Arial" w:hAnsi="Arial" w:cs="Arial"/>
              </w:rPr>
            </w:pPr>
            <w:r w:rsidRPr="00543963">
              <w:rPr>
                <w:rFonts w:ascii="Arial" w:hAnsi="Arial" w:cs="Arial"/>
              </w:rPr>
              <w:t>Yes – longitudinal engagement measures used</w:t>
            </w:r>
          </w:p>
        </w:tc>
      </w:tr>
      <w:tr w:rsidR="00634BC2" w:rsidRPr="00543963" w14:paraId="4316D8D5" w14:textId="77777777" w:rsidTr="00634BC2">
        <w:tc>
          <w:tcPr>
            <w:tcW w:w="0" w:type="auto"/>
            <w:hideMark/>
          </w:tcPr>
          <w:p w14:paraId="6F8F02B3" w14:textId="1A9283B5" w:rsidR="00634BC2" w:rsidRPr="00543963" w:rsidRDefault="00FE1995" w:rsidP="00634BC2">
            <w:pPr>
              <w:spacing w:after="160" w:line="259" w:lineRule="auto"/>
              <w:rPr>
                <w:rFonts w:ascii="Arial" w:hAnsi="Arial" w:cs="Arial"/>
              </w:rPr>
            </w:pPr>
            <w:r w:rsidRPr="00543963">
              <w:rPr>
                <w:rFonts w:ascii="Arial" w:hAnsi="Arial" w:cs="Arial"/>
              </w:rPr>
              <w:t>We’re</w:t>
            </w:r>
            <w:r w:rsidR="00634BC2" w:rsidRPr="00543963">
              <w:rPr>
                <w:rFonts w:ascii="Arial" w:hAnsi="Arial" w:cs="Arial"/>
              </w:rPr>
              <w:t xml:space="preserve"> confounding factors identified?</w:t>
            </w:r>
          </w:p>
        </w:tc>
        <w:tc>
          <w:tcPr>
            <w:tcW w:w="0" w:type="auto"/>
            <w:hideMark/>
          </w:tcPr>
          <w:p w14:paraId="5C678283" w14:textId="77777777" w:rsidR="00634BC2" w:rsidRPr="00543963" w:rsidRDefault="00634BC2" w:rsidP="00634BC2">
            <w:pPr>
              <w:spacing w:after="160" w:line="259" w:lineRule="auto"/>
              <w:rPr>
                <w:rFonts w:ascii="Arial" w:hAnsi="Arial" w:cs="Arial"/>
              </w:rPr>
            </w:pPr>
            <w:r w:rsidRPr="00543963">
              <w:rPr>
                <w:rFonts w:ascii="Arial" w:hAnsi="Arial" w:cs="Arial"/>
              </w:rPr>
              <w:t>Yes – demographic and health-related factors considered</w:t>
            </w:r>
          </w:p>
        </w:tc>
        <w:tc>
          <w:tcPr>
            <w:tcW w:w="0" w:type="auto"/>
            <w:hideMark/>
          </w:tcPr>
          <w:p w14:paraId="0A06D49A" w14:textId="77777777" w:rsidR="00634BC2" w:rsidRPr="00543963" w:rsidRDefault="00634BC2" w:rsidP="00634BC2">
            <w:pPr>
              <w:spacing w:after="160" w:line="259" w:lineRule="auto"/>
              <w:rPr>
                <w:rFonts w:ascii="Arial" w:hAnsi="Arial" w:cs="Arial"/>
              </w:rPr>
            </w:pPr>
            <w:r w:rsidRPr="00543963">
              <w:rPr>
                <w:rFonts w:ascii="Arial" w:hAnsi="Arial" w:cs="Arial"/>
              </w:rPr>
              <w:t>Partially – some confounding factors acknowledged</w:t>
            </w:r>
          </w:p>
        </w:tc>
      </w:tr>
      <w:tr w:rsidR="00634BC2" w:rsidRPr="00543963" w14:paraId="77BF6CEB" w14:textId="77777777" w:rsidTr="00634BC2">
        <w:tc>
          <w:tcPr>
            <w:tcW w:w="0" w:type="auto"/>
            <w:hideMark/>
          </w:tcPr>
          <w:p w14:paraId="5E8948C1" w14:textId="77777777" w:rsidR="00634BC2" w:rsidRPr="00543963" w:rsidRDefault="00634BC2" w:rsidP="00634BC2">
            <w:pPr>
              <w:spacing w:after="160" w:line="259" w:lineRule="auto"/>
              <w:rPr>
                <w:rFonts w:ascii="Arial" w:hAnsi="Arial" w:cs="Arial"/>
              </w:rPr>
            </w:pPr>
            <w:r w:rsidRPr="00543963">
              <w:rPr>
                <w:rFonts w:ascii="Arial" w:hAnsi="Arial" w:cs="Arial"/>
              </w:rPr>
              <w:t>Were strategies to deal with confounding factors stated?</w:t>
            </w:r>
          </w:p>
        </w:tc>
        <w:tc>
          <w:tcPr>
            <w:tcW w:w="0" w:type="auto"/>
            <w:hideMark/>
          </w:tcPr>
          <w:p w14:paraId="53B90B19" w14:textId="77777777" w:rsidR="00634BC2" w:rsidRPr="00543963" w:rsidRDefault="00634BC2" w:rsidP="00634BC2">
            <w:pPr>
              <w:spacing w:after="160" w:line="259" w:lineRule="auto"/>
              <w:rPr>
                <w:rFonts w:ascii="Arial" w:hAnsi="Arial" w:cs="Arial"/>
              </w:rPr>
            </w:pPr>
            <w:r w:rsidRPr="00543963">
              <w:rPr>
                <w:rFonts w:ascii="Arial" w:hAnsi="Arial" w:cs="Arial"/>
              </w:rPr>
              <w:t>Yes – statistical adjustments reported</w:t>
            </w:r>
          </w:p>
        </w:tc>
        <w:tc>
          <w:tcPr>
            <w:tcW w:w="0" w:type="auto"/>
            <w:hideMark/>
          </w:tcPr>
          <w:p w14:paraId="7CEBA900" w14:textId="77777777" w:rsidR="00634BC2" w:rsidRPr="00543963" w:rsidRDefault="00634BC2" w:rsidP="00634BC2">
            <w:pPr>
              <w:spacing w:after="160" w:line="259" w:lineRule="auto"/>
              <w:rPr>
                <w:rFonts w:ascii="Arial" w:hAnsi="Arial" w:cs="Arial"/>
              </w:rPr>
            </w:pPr>
            <w:r w:rsidRPr="00543963">
              <w:rPr>
                <w:rFonts w:ascii="Arial" w:hAnsi="Arial" w:cs="Arial"/>
              </w:rPr>
              <w:t>Partially – limited discussion of control strategies</w:t>
            </w:r>
          </w:p>
        </w:tc>
      </w:tr>
      <w:tr w:rsidR="00634BC2" w:rsidRPr="00543963" w14:paraId="25638B75" w14:textId="77777777" w:rsidTr="00634BC2">
        <w:tc>
          <w:tcPr>
            <w:tcW w:w="0" w:type="auto"/>
            <w:hideMark/>
          </w:tcPr>
          <w:p w14:paraId="05C26065" w14:textId="77777777" w:rsidR="00634BC2" w:rsidRPr="00543963" w:rsidRDefault="00634BC2" w:rsidP="00634BC2">
            <w:pPr>
              <w:spacing w:after="160" w:line="259" w:lineRule="auto"/>
              <w:rPr>
                <w:rFonts w:ascii="Arial" w:hAnsi="Arial" w:cs="Arial"/>
              </w:rPr>
            </w:pPr>
            <w:r w:rsidRPr="00543963">
              <w:rPr>
                <w:rFonts w:ascii="Arial" w:hAnsi="Arial" w:cs="Arial"/>
              </w:rPr>
              <w:t>Were the groups/participants free of the outcome at the start of the study (or at the moment of exposure)?</w:t>
            </w:r>
          </w:p>
        </w:tc>
        <w:tc>
          <w:tcPr>
            <w:tcW w:w="0" w:type="auto"/>
            <w:hideMark/>
          </w:tcPr>
          <w:p w14:paraId="0CF8C143" w14:textId="77777777" w:rsidR="00634BC2" w:rsidRPr="00543963" w:rsidRDefault="00634BC2" w:rsidP="00634BC2">
            <w:pPr>
              <w:spacing w:after="160" w:line="259" w:lineRule="auto"/>
              <w:rPr>
                <w:rFonts w:ascii="Arial" w:hAnsi="Arial" w:cs="Arial"/>
              </w:rPr>
            </w:pPr>
            <w:r w:rsidRPr="00543963">
              <w:rPr>
                <w:rFonts w:ascii="Arial" w:hAnsi="Arial" w:cs="Arial"/>
              </w:rPr>
              <w:t>Yes – outcomes assessed prospectively over follow-up</w:t>
            </w:r>
          </w:p>
        </w:tc>
        <w:tc>
          <w:tcPr>
            <w:tcW w:w="0" w:type="auto"/>
            <w:hideMark/>
          </w:tcPr>
          <w:p w14:paraId="3E1ACE27" w14:textId="77777777" w:rsidR="00634BC2" w:rsidRPr="00543963" w:rsidRDefault="00634BC2" w:rsidP="00634BC2">
            <w:pPr>
              <w:spacing w:after="160" w:line="259" w:lineRule="auto"/>
              <w:rPr>
                <w:rFonts w:ascii="Arial" w:hAnsi="Arial" w:cs="Arial"/>
              </w:rPr>
            </w:pPr>
            <w:r w:rsidRPr="00543963">
              <w:rPr>
                <w:rFonts w:ascii="Arial" w:hAnsi="Arial" w:cs="Arial"/>
              </w:rPr>
              <w:t>Yes – participants followed prospectively from baseline</w:t>
            </w:r>
          </w:p>
        </w:tc>
      </w:tr>
      <w:tr w:rsidR="00634BC2" w:rsidRPr="00543963" w14:paraId="1478B92E" w14:textId="77777777" w:rsidTr="00634BC2">
        <w:tc>
          <w:tcPr>
            <w:tcW w:w="0" w:type="auto"/>
            <w:hideMark/>
          </w:tcPr>
          <w:p w14:paraId="76E9C072" w14:textId="77777777" w:rsidR="00634BC2" w:rsidRPr="00543963" w:rsidRDefault="00634BC2" w:rsidP="00634BC2">
            <w:pPr>
              <w:spacing w:after="160" w:line="259" w:lineRule="auto"/>
              <w:rPr>
                <w:rFonts w:ascii="Arial" w:hAnsi="Arial" w:cs="Arial"/>
              </w:rPr>
            </w:pPr>
            <w:r w:rsidRPr="00543963">
              <w:rPr>
                <w:rFonts w:ascii="Arial" w:hAnsi="Arial" w:cs="Arial"/>
              </w:rPr>
              <w:t>Were the outcomes measured in a valid and reliable way?</w:t>
            </w:r>
          </w:p>
        </w:tc>
        <w:tc>
          <w:tcPr>
            <w:tcW w:w="0" w:type="auto"/>
            <w:hideMark/>
          </w:tcPr>
          <w:p w14:paraId="0088D76B" w14:textId="77777777" w:rsidR="00634BC2" w:rsidRPr="00543963" w:rsidRDefault="00634BC2" w:rsidP="00634BC2">
            <w:pPr>
              <w:spacing w:after="160" w:line="259" w:lineRule="auto"/>
              <w:rPr>
                <w:rFonts w:ascii="Arial" w:hAnsi="Arial" w:cs="Arial"/>
              </w:rPr>
            </w:pPr>
            <w:r w:rsidRPr="00543963">
              <w:rPr>
                <w:rFonts w:ascii="Arial" w:hAnsi="Arial" w:cs="Arial"/>
              </w:rPr>
              <w:t>Yes – lifestyle and dementia risk outcomes assessed systematically</w:t>
            </w:r>
          </w:p>
        </w:tc>
        <w:tc>
          <w:tcPr>
            <w:tcW w:w="0" w:type="auto"/>
            <w:hideMark/>
          </w:tcPr>
          <w:p w14:paraId="1CBCDD0B" w14:textId="77777777" w:rsidR="00634BC2" w:rsidRPr="00543963" w:rsidRDefault="00634BC2" w:rsidP="00634BC2">
            <w:pPr>
              <w:spacing w:after="160" w:line="259" w:lineRule="auto"/>
              <w:rPr>
                <w:rFonts w:ascii="Arial" w:hAnsi="Arial" w:cs="Arial"/>
              </w:rPr>
            </w:pPr>
            <w:r w:rsidRPr="00543963">
              <w:rPr>
                <w:rFonts w:ascii="Arial" w:hAnsi="Arial" w:cs="Arial"/>
              </w:rPr>
              <w:t>Yes – engagement outcomes measured consistently</w:t>
            </w:r>
          </w:p>
        </w:tc>
      </w:tr>
      <w:tr w:rsidR="00634BC2" w:rsidRPr="00543963" w14:paraId="56721259" w14:textId="77777777" w:rsidTr="00634BC2">
        <w:tc>
          <w:tcPr>
            <w:tcW w:w="0" w:type="auto"/>
            <w:hideMark/>
          </w:tcPr>
          <w:p w14:paraId="7664D1F1" w14:textId="77777777" w:rsidR="00634BC2" w:rsidRPr="00543963" w:rsidRDefault="00634BC2" w:rsidP="00634BC2">
            <w:pPr>
              <w:spacing w:after="160" w:line="259" w:lineRule="auto"/>
              <w:rPr>
                <w:rFonts w:ascii="Arial" w:hAnsi="Arial" w:cs="Arial"/>
              </w:rPr>
            </w:pPr>
            <w:r w:rsidRPr="00543963">
              <w:rPr>
                <w:rFonts w:ascii="Arial" w:hAnsi="Arial" w:cs="Arial"/>
              </w:rPr>
              <w:t>Was the follow-up time reported and sufficient to be long enough for outcomes to occur?</w:t>
            </w:r>
          </w:p>
        </w:tc>
        <w:tc>
          <w:tcPr>
            <w:tcW w:w="0" w:type="auto"/>
            <w:hideMark/>
          </w:tcPr>
          <w:p w14:paraId="14D703E6" w14:textId="77777777" w:rsidR="00634BC2" w:rsidRPr="00543963" w:rsidRDefault="00634BC2" w:rsidP="00634BC2">
            <w:pPr>
              <w:spacing w:after="160" w:line="259" w:lineRule="auto"/>
              <w:rPr>
                <w:rFonts w:ascii="Arial" w:hAnsi="Arial" w:cs="Arial"/>
              </w:rPr>
            </w:pPr>
            <w:r w:rsidRPr="00543963">
              <w:rPr>
                <w:rFonts w:ascii="Arial" w:hAnsi="Arial" w:cs="Arial"/>
              </w:rPr>
              <w:t>Yes – 18-month follow-up period reported</w:t>
            </w:r>
          </w:p>
        </w:tc>
        <w:tc>
          <w:tcPr>
            <w:tcW w:w="0" w:type="auto"/>
            <w:hideMark/>
          </w:tcPr>
          <w:p w14:paraId="17BD5BA9" w14:textId="77777777" w:rsidR="00634BC2" w:rsidRPr="00543963" w:rsidRDefault="00634BC2" w:rsidP="00634BC2">
            <w:pPr>
              <w:spacing w:after="160" w:line="259" w:lineRule="auto"/>
              <w:rPr>
                <w:rFonts w:ascii="Arial" w:hAnsi="Arial" w:cs="Arial"/>
              </w:rPr>
            </w:pPr>
            <w:r w:rsidRPr="00543963">
              <w:rPr>
                <w:rFonts w:ascii="Arial" w:hAnsi="Arial" w:cs="Arial"/>
              </w:rPr>
              <w:t>Yes – long-term follow-up reported</w:t>
            </w:r>
          </w:p>
        </w:tc>
      </w:tr>
      <w:tr w:rsidR="00634BC2" w:rsidRPr="00543963" w14:paraId="76231827" w14:textId="77777777" w:rsidTr="00634BC2">
        <w:tc>
          <w:tcPr>
            <w:tcW w:w="0" w:type="auto"/>
            <w:hideMark/>
          </w:tcPr>
          <w:p w14:paraId="7136C3C2" w14:textId="77777777" w:rsidR="00634BC2" w:rsidRPr="00543963" w:rsidRDefault="00634BC2" w:rsidP="00634BC2">
            <w:pPr>
              <w:spacing w:after="160" w:line="259" w:lineRule="auto"/>
              <w:rPr>
                <w:rFonts w:ascii="Arial" w:hAnsi="Arial" w:cs="Arial"/>
              </w:rPr>
            </w:pPr>
            <w:r w:rsidRPr="00543963">
              <w:rPr>
                <w:rFonts w:ascii="Arial" w:hAnsi="Arial" w:cs="Arial"/>
              </w:rPr>
              <w:lastRenderedPageBreak/>
              <w:t>Was follow-up complete, and if not, were the reasons for loss to follow-up described and explored?</w:t>
            </w:r>
          </w:p>
        </w:tc>
        <w:tc>
          <w:tcPr>
            <w:tcW w:w="0" w:type="auto"/>
            <w:hideMark/>
          </w:tcPr>
          <w:p w14:paraId="5D00EB1A" w14:textId="77777777" w:rsidR="00634BC2" w:rsidRPr="00543963" w:rsidRDefault="00634BC2" w:rsidP="00634BC2">
            <w:pPr>
              <w:spacing w:after="160" w:line="259" w:lineRule="auto"/>
              <w:rPr>
                <w:rFonts w:ascii="Arial" w:hAnsi="Arial" w:cs="Arial"/>
              </w:rPr>
            </w:pPr>
            <w:r w:rsidRPr="00543963">
              <w:rPr>
                <w:rFonts w:ascii="Arial" w:hAnsi="Arial" w:cs="Arial"/>
              </w:rPr>
              <w:t>Partially – attrition reported but some limitations remained</w:t>
            </w:r>
          </w:p>
        </w:tc>
        <w:tc>
          <w:tcPr>
            <w:tcW w:w="0" w:type="auto"/>
            <w:hideMark/>
          </w:tcPr>
          <w:p w14:paraId="07482794" w14:textId="77777777" w:rsidR="00634BC2" w:rsidRPr="00543963" w:rsidRDefault="00634BC2" w:rsidP="00634BC2">
            <w:pPr>
              <w:spacing w:after="160" w:line="259" w:lineRule="auto"/>
              <w:rPr>
                <w:rFonts w:ascii="Arial" w:hAnsi="Arial" w:cs="Arial"/>
              </w:rPr>
            </w:pPr>
            <w:r w:rsidRPr="00543963">
              <w:rPr>
                <w:rFonts w:ascii="Arial" w:hAnsi="Arial" w:cs="Arial"/>
              </w:rPr>
              <w:t>Partially – participant attrition identified</w:t>
            </w:r>
          </w:p>
        </w:tc>
      </w:tr>
      <w:tr w:rsidR="00634BC2" w:rsidRPr="00543963" w14:paraId="2FCA6CE1" w14:textId="77777777" w:rsidTr="00634BC2">
        <w:tc>
          <w:tcPr>
            <w:tcW w:w="0" w:type="auto"/>
            <w:hideMark/>
          </w:tcPr>
          <w:p w14:paraId="3B6283A2" w14:textId="77777777" w:rsidR="00634BC2" w:rsidRPr="00543963" w:rsidRDefault="00634BC2" w:rsidP="00634BC2">
            <w:pPr>
              <w:spacing w:after="160" w:line="259" w:lineRule="auto"/>
              <w:rPr>
                <w:rFonts w:ascii="Arial" w:hAnsi="Arial" w:cs="Arial"/>
              </w:rPr>
            </w:pPr>
            <w:r w:rsidRPr="00543963">
              <w:rPr>
                <w:rFonts w:ascii="Arial" w:hAnsi="Arial" w:cs="Arial"/>
              </w:rPr>
              <w:t>Were strategies to address incomplete follow-up utilised?</w:t>
            </w:r>
          </w:p>
        </w:tc>
        <w:tc>
          <w:tcPr>
            <w:tcW w:w="0" w:type="auto"/>
            <w:hideMark/>
          </w:tcPr>
          <w:p w14:paraId="4D60B43E" w14:textId="77777777" w:rsidR="00634BC2" w:rsidRPr="00543963" w:rsidRDefault="00634BC2" w:rsidP="00634BC2">
            <w:pPr>
              <w:spacing w:after="160" w:line="259" w:lineRule="auto"/>
              <w:rPr>
                <w:rFonts w:ascii="Arial" w:hAnsi="Arial" w:cs="Arial"/>
              </w:rPr>
            </w:pPr>
            <w:r w:rsidRPr="00543963">
              <w:rPr>
                <w:rFonts w:ascii="Arial" w:hAnsi="Arial" w:cs="Arial"/>
              </w:rPr>
              <w:t>Yes – analytical approaches reported</w:t>
            </w:r>
          </w:p>
        </w:tc>
        <w:tc>
          <w:tcPr>
            <w:tcW w:w="0" w:type="auto"/>
            <w:hideMark/>
          </w:tcPr>
          <w:p w14:paraId="11EF98ED" w14:textId="77777777" w:rsidR="00634BC2" w:rsidRPr="00543963" w:rsidRDefault="00634BC2" w:rsidP="00634BC2">
            <w:pPr>
              <w:spacing w:after="160" w:line="259" w:lineRule="auto"/>
              <w:rPr>
                <w:rFonts w:ascii="Arial" w:hAnsi="Arial" w:cs="Arial"/>
              </w:rPr>
            </w:pPr>
            <w:r w:rsidRPr="00543963">
              <w:rPr>
                <w:rFonts w:ascii="Arial" w:hAnsi="Arial" w:cs="Arial"/>
              </w:rPr>
              <w:t>Partially – limited information provided</w:t>
            </w:r>
          </w:p>
        </w:tc>
      </w:tr>
      <w:tr w:rsidR="00634BC2" w:rsidRPr="00543963" w14:paraId="2CBF416D" w14:textId="77777777" w:rsidTr="00634BC2">
        <w:tc>
          <w:tcPr>
            <w:tcW w:w="0" w:type="auto"/>
            <w:hideMark/>
          </w:tcPr>
          <w:p w14:paraId="03BFB0BC" w14:textId="77777777" w:rsidR="00634BC2" w:rsidRPr="00543963" w:rsidRDefault="00634BC2" w:rsidP="00634BC2">
            <w:pPr>
              <w:spacing w:after="160" w:line="259" w:lineRule="auto"/>
              <w:rPr>
                <w:rFonts w:ascii="Arial" w:hAnsi="Arial" w:cs="Arial"/>
              </w:rPr>
            </w:pPr>
            <w:r w:rsidRPr="00543963">
              <w:rPr>
                <w:rFonts w:ascii="Arial" w:hAnsi="Arial" w:cs="Arial"/>
              </w:rPr>
              <w:t>Was appropriate statistical analysis used?</w:t>
            </w:r>
          </w:p>
        </w:tc>
        <w:tc>
          <w:tcPr>
            <w:tcW w:w="0" w:type="auto"/>
            <w:hideMark/>
          </w:tcPr>
          <w:p w14:paraId="6BEBCA3A" w14:textId="77777777" w:rsidR="00634BC2" w:rsidRPr="00543963" w:rsidRDefault="00634BC2" w:rsidP="00634BC2">
            <w:pPr>
              <w:spacing w:after="160" w:line="259" w:lineRule="auto"/>
              <w:rPr>
                <w:rFonts w:ascii="Arial" w:hAnsi="Arial" w:cs="Arial"/>
              </w:rPr>
            </w:pPr>
            <w:r w:rsidRPr="00543963">
              <w:rPr>
                <w:rFonts w:ascii="Arial" w:hAnsi="Arial" w:cs="Arial"/>
              </w:rPr>
              <w:t>Yes – appropriate statistical methods applied</w:t>
            </w:r>
          </w:p>
        </w:tc>
        <w:tc>
          <w:tcPr>
            <w:tcW w:w="0" w:type="auto"/>
            <w:hideMark/>
          </w:tcPr>
          <w:p w14:paraId="4FB9FA2C" w14:textId="77777777" w:rsidR="00634BC2" w:rsidRPr="00543963" w:rsidRDefault="00634BC2" w:rsidP="00634BC2">
            <w:pPr>
              <w:spacing w:after="160" w:line="259" w:lineRule="auto"/>
              <w:rPr>
                <w:rFonts w:ascii="Arial" w:hAnsi="Arial" w:cs="Arial"/>
              </w:rPr>
            </w:pPr>
            <w:r w:rsidRPr="00543963">
              <w:rPr>
                <w:rFonts w:ascii="Arial" w:hAnsi="Arial" w:cs="Arial"/>
              </w:rPr>
              <w:t>Yes – suitable longitudinal analyses conducted</w:t>
            </w:r>
          </w:p>
        </w:tc>
      </w:tr>
      <w:tr w:rsidR="00634BC2" w:rsidRPr="00543963" w14:paraId="7489A726" w14:textId="77777777" w:rsidTr="00634BC2">
        <w:tc>
          <w:tcPr>
            <w:tcW w:w="0" w:type="auto"/>
            <w:hideMark/>
          </w:tcPr>
          <w:p w14:paraId="403DCB77" w14:textId="77777777" w:rsidR="00634BC2" w:rsidRPr="00543963" w:rsidRDefault="00634BC2" w:rsidP="00634BC2">
            <w:pPr>
              <w:spacing w:after="160" w:line="259" w:lineRule="auto"/>
              <w:rPr>
                <w:rFonts w:ascii="Arial" w:hAnsi="Arial" w:cs="Arial"/>
              </w:rPr>
            </w:pPr>
            <w:r w:rsidRPr="00543963">
              <w:rPr>
                <w:rFonts w:ascii="Arial" w:hAnsi="Arial" w:cs="Arial"/>
              </w:rPr>
              <w:t>Overall appraisal</w:t>
            </w:r>
          </w:p>
        </w:tc>
        <w:tc>
          <w:tcPr>
            <w:tcW w:w="0" w:type="auto"/>
            <w:hideMark/>
          </w:tcPr>
          <w:p w14:paraId="1DB3580B" w14:textId="77777777" w:rsidR="00634BC2" w:rsidRPr="00543963" w:rsidRDefault="00634BC2" w:rsidP="00634BC2">
            <w:pPr>
              <w:spacing w:after="160" w:line="259" w:lineRule="auto"/>
              <w:rPr>
                <w:rFonts w:ascii="Arial" w:hAnsi="Arial" w:cs="Arial"/>
              </w:rPr>
            </w:pPr>
            <w:r w:rsidRPr="00543963">
              <w:rPr>
                <w:rFonts w:ascii="Arial" w:hAnsi="Arial" w:cs="Arial"/>
              </w:rPr>
              <w:t>High Quality</w:t>
            </w:r>
          </w:p>
        </w:tc>
        <w:tc>
          <w:tcPr>
            <w:tcW w:w="0" w:type="auto"/>
            <w:hideMark/>
          </w:tcPr>
          <w:p w14:paraId="0445603D" w14:textId="77777777" w:rsidR="00634BC2" w:rsidRPr="00543963" w:rsidRDefault="00634BC2" w:rsidP="00634BC2">
            <w:pPr>
              <w:spacing w:after="160" w:line="259" w:lineRule="auto"/>
              <w:rPr>
                <w:rFonts w:ascii="Arial" w:hAnsi="Arial" w:cs="Arial"/>
              </w:rPr>
            </w:pPr>
            <w:r w:rsidRPr="00543963">
              <w:rPr>
                <w:rFonts w:ascii="Arial" w:hAnsi="Arial" w:cs="Arial"/>
              </w:rPr>
              <w:t>Moderate to High Quality</w:t>
            </w:r>
          </w:p>
        </w:tc>
      </w:tr>
    </w:tbl>
    <w:p w14:paraId="555948BC" w14:textId="77777777" w:rsidR="007A61B2" w:rsidRPr="00543963" w:rsidRDefault="007A61B2">
      <w:pPr>
        <w:rPr>
          <w:rFonts w:ascii="Arial" w:hAnsi="Arial" w:cs="Arial"/>
          <w:b/>
          <w:bCs/>
        </w:rPr>
      </w:pPr>
    </w:p>
    <w:p w14:paraId="28DB80D1" w14:textId="5ED7D9DE" w:rsidR="000178E2" w:rsidRPr="000178E2" w:rsidRDefault="000178E2" w:rsidP="000178E2">
      <w:pPr>
        <w:pStyle w:val="Caption"/>
        <w:keepNext/>
        <w:rPr>
          <w:rFonts w:ascii="Arial" w:hAnsi="Arial" w:cs="Arial"/>
          <w:sz w:val="22"/>
          <w:szCs w:val="22"/>
        </w:rPr>
      </w:pPr>
      <w:bookmarkStart w:id="97" w:name="_Toc231944281"/>
      <w:r w:rsidRPr="000178E2">
        <w:rPr>
          <w:rFonts w:ascii="Arial" w:hAnsi="Arial" w:cs="Arial"/>
          <w:sz w:val="22"/>
          <w:szCs w:val="22"/>
        </w:rPr>
        <w:t xml:space="preserve">Table </w:t>
      </w:r>
      <w:r w:rsidRPr="000178E2">
        <w:rPr>
          <w:rFonts w:ascii="Arial" w:hAnsi="Arial" w:cs="Arial"/>
          <w:sz w:val="22"/>
          <w:szCs w:val="22"/>
        </w:rPr>
        <w:fldChar w:fldCharType="begin"/>
      </w:r>
      <w:r w:rsidRPr="000178E2">
        <w:rPr>
          <w:rFonts w:ascii="Arial" w:hAnsi="Arial" w:cs="Arial"/>
          <w:sz w:val="22"/>
          <w:szCs w:val="22"/>
        </w:rPr>
        <w:instrText xml:space="preserve"> SEQ Table \* ARABIC </w:instrText>
      </w:r>
      <w:r w:rsidRPr="000178E2">
        <w:rPr>
          <w:rFonts w:ascii="Arial" w:hAnsi="Arial" w:cs="Arial"/>
          <w:sz w:val="22"/>
          <w:szCs w:val="22"/>
        </w:rPr>
        <w:fldChar w:fldCharType="separate"/>
      </w:r>
      <w:r w:rsidRPr="000178E2">
        <w:rPr>
          <w:rFonts w:ascii="Arial" w:hAnsi="Arial" w:cs="Arial"/>
          <w:noProof/>
          <w:sz w:val="22"/>
          <w:szCs w:val="22"/>
        </w:rPr>
        <w:t>7</w:t>
      </w:r>
      <w:r w:rsidRPr="000178E2">
        <w:rPr>
          <w:rFonts w:ascii="Arial" w:hAnsi="Arial" w:cs="Arial"/>
          <w:sz w:val="22"/>
          <w:szCs w:val="22"/>
        </w:rPr>
        <w:fldChar w:fldCharType="end"/>
      </w:r>
      <w:r w:rsidRPr="000178E2">
        <w:rPr>
          <w:rFonts w:ascii="Arial" w:hAnsi="Arial" w:cs="Arial"/>
          <w:sz w:val="22"/>
          <w:szCs w:val="22"/>
          <w:lang w:val="en-US"/>
        </w:rPr>
        <w:t xml:space="preserve"> CASP (2024) Critical Appraisal Tool for </w:t>
      </w:r>
      <w:r w:rsidR="00254CC2" w:rsidRPr="000178E2">
        <w:rPr>
          <w:rFonts w:ascii="Arial" w:hAnsi="Arial" w:cs="Arial"/>
          <w:sz w:val="22"/>
          <w:szCs w:val="22"/>
          <w:lang w:val="en-US"/>
        </w:rPr>
        <w:t>Randomized</w:t>
      </w:r>
      <w:r w:rsidRPr="000178E2">
        <w:rPr>
          <w:rFonts w:ascii="Arial" w:hAnsi="Arial" w:cs="Arial"/>
          <w:sz w:val="22"/>
          <w:szCs w:val="22"/>
          <w:lang w:val="en-US"/>
        </w:rPr>
        <w:t xml:space="preserve"> Control Trials</w:t>
      </w:r>
      <w:bookmarkEnd w:id="97"/>
    </w:p>
    <w:tbl>
      <w:tblPr>
        <w:tblStyle w:val="TableGrid"/>
        <w:tblW w:w="0" w:type="auto"/>
        <w:tblLook w:val="04A0" w:firstRow="1" w:lastRow="0" w:firstColumn="1" w:lastColumn="0" w:noHBand="0" w:noVBand="1"/>
      </w:tblPr>
      <w:tblGrid>
        <w:gridCol w:w="2945"/>
        <w:gridCol w:w="1906"/>
        <w:gridCol w:w="1737"/>
        <w:gridCol w:w="1900"/>
        <w:gridCol w:w="1912"/>
        <w:gridCol w:w="1917"/>
        <w:gridCol w:w="1631"/>
      </w:tblGrid>
      <w:tr w:rsidR="00634BC2" w:rsidRPr="00543963" w14:paraId="60AF563A" w14:textId="77777777" w:rsidTr="00634BC2">
        <w:tc>
          <w:tcPr>
            <w:tcW w:w="0" w:type="auto"/>
            <w:hideMark/>
          </w:tcPr>
          <w:p w14:paraId="03101347"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CASP RCT Question</w:t>
            </w:r>
          </w:p>
        </w:tc>
        <w:tc>
          <w:tcPr>
            <w:tcW w:w="0" w:type="auto"/>
            <w:hideMark/>
          </w:tcPr>
          <w:p w14:paraId="1AC0302F"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Coley et al. (2022)</w:t>
            </w:r>
          </w:p>
        </w:tc>
        <w:tc>
          <w:tcPr>
            <w:tcW w:w="0" w:type="auto"/>
            <w:hideMark/>
          </w:tcPr>
          <w:p w14:paraId="5A05470D"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Glenn et al. (2019)</w:t>
            </w:r>
          </w:p>
        </w:tc>
        <w:tc>
          <w:tcPr>
            <w:tcW w:w="0" w:type="auto"/>
            <w:hideMark/>
          </w:tcPr>
          <w:p w14:paraId="1783B59C"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Schmidt et al. (2025)</w:t>
            </w:r>
          </w:p>
        </w:tc>
        <w:tc>
          <w:tcPr>
            <w:tcW w:w="0" w:type="auto"/>
            <w:hideMark/>
          </w:tcPr>
          <w:p w14:paraId="32DAED20"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Panzavolta et al. (2025)</w:t>
            </w:r>
          </w:p>
        </w:tc>
        <w:tc>
          <w:tcPr>
            <w:tcW w:w="0" w:type="auto"/>
            <w:hideMark/>
          </w:tcPr>
          <w:p w14:paraId="13C7BB18"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Kebede et al. (2022)</w:t>
            </w:r>
          </w:p>
        </w:tc>
        <w:tc>
          <w:tcPr>
            <w:tcW w:w="0" w:type="auto"/>
            <w:hideMark/>
          </w:tcPr>
          <w:p w14:paraId="706152B8" w14:textId="77777777" w:rsidR="00634BC2" w:rsidRPr="00543963" w:rsidRDefault="00634BC2" w:rsidP="00634BC2">
            <w:pPr>
              <w:spacing w:after="160" w:line="259" w:lineRule="auto"/>
              <w:rPr>
                <w:rFonts w:ascii="Arial" w:hAnsi="Arial" w:cs="Arial"/>
                <w:b/>
                <w:bCs/>
              </w:rPr>
            </w:pPr>
            <w:r w:rsidRPr="00543963">
              <w:rPr>
                <w:rFonts w:ascii="Arial" w:hAnsi="Arial" w:cs="Arial"/>
                <w:b/>
                <w:bCs/>
              </w:rPr>
              <w:t>Da et al. (2025)</w:t>
            </w:r>
          </w:p>
        </w:tc>
      </w:tr>
      <w:tr w:rsidR="00634BC2" w:rsidRPr="00543963" w14:paraId="56FCB95E" w14:textId="77777777" w:rsidTr="00634BC2">
        <w:tc>
          <w:tcPr>
            <w:tcW w:w="0" w:type="auto"/>
            <w:hideMark/>
          </w:tcPr>
          <w:p w14:paraId="418BD2CD" w14:textId="77777777" w:rsidR="00634BC2" w:rsidRPr="00543963" w:rsidRDefault="00634BC2" w:rsidP="00634BC2">
            <w:pPr>
              <w:spacing w:after="160" w:line="259" w:lineRule="auto"/>
              <w:rPr>
                <w:rFonts w:ascii="Arial" w:hAnsi="Arial" w:cs="Arial"/>
              </w:rPr>
            </w:pPr>
            <w:r w:rsidRPr="00543963">
              <w:rPr>
                <w:rFonts w:ascii="Arial" w:hAnsi="Arial" w:cs="Arial"/>
              </w:rPr>
              <w:t>1. Did the study address a clearly formulated research question?</w:t>
            </w:r>
          </w:p>
        </w:tc>
        <w:tc>
          <w:tcPr>
            <w:tcW w:w="0" w:type="auto"/>
            <w:hideMark/>
          </w:tcPr>
          <w:p w14:paraId="2C22D33F"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4F0EEA62"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0A428AEB"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35D820A1"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3F68905D"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29770B64"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r>
      <w:tr w:rsidR="00634BC2" w:rsidRPr="00543963" w14:paraId="7940D536" w14:textId="77777777" w:rsidTr="00634BC2">
        <w:tc>
          <w:tcPr>
            <w:tcW w:w="0" w:type="auto"/>
            <w:hideMark/>
          </w:tcPr>
          <w:p w14:paraId="38603446" w14:textId="77777777" w:rsidR="00634BC2" w:rsidRPr="00543963" w:rsidRDefault="00634BC2" w:rsidP="00634BC2">
            <w:pPr>
              <w:spacing w:after="160" w:line="259" w:lineRule="auto"/>
              <w:rPr>
                <w:rFonts w:ascii="Arial" w:hAnsi="Arial" w:cs="Arial"/>
              </w:rPr>
            </w:pPr>
            <w:r w:rsidRPr="00543963">
              <w:rPr>
                <w:rFonts w:ascii="Arial" w:hAnsi="Arial" w:cs="Arial"/>
              </w:rPr>
              <w:t>2. Was assignment to interventions randomised?</w:t>
            </w:r>
          </w:p>
        </w:tc>
        <w:tc>
          <w:tcPr>
            <w:tcW w:w="0" w:type="auto"/>
            <w:hideMark/>
          </w:tcPr>
          <w:p w14:paraId="5DC23533" w14:textId="77777777" w:rsidR="00634BC2" w:rsidRPr="00543963" w:rsidRDefault="00634BC2" w:rsidP="00634BC2">
            <w:pPr>
              <w:spacing w:after="160" w:line="259" w:lineRule="auto"/>
              <w:rPr>
                <w:rFonts w:ascii="Arial" w:hAnsi="Arial" w:cs="Arial"/>
              </w:rPr>
            </w:pPr>
            <w:r w:rsidRPr="00543963">
              <w:rPr>
                <w:rFonts w:ascii="Arial" w:hAnsi="Arial" w:cs="Arial"/>
              </w:rPr>
              <w:t>No – secondary analysis of RCT data</w:t>
            </w:r>
          </w:p>
        </w:tc>
        <w:tc>
          <w:tcPr>
            <w:tcW w:w="0" w:type="auto"/>
            <w:hideMark/>
          </w:tcPr>
          <w:p w14:paraId="7E7FC236" w14:textId="77777777" w:rsidR="00634BC2" w:rsidRPr="00543963" w:rsidRDefault="00634BC2" w:rsidP="00634BC2">
            <w:pPr>
              <w:spacing w:after="160" w:line="259" w:lineRule="auto"/>
              <w:rPr>
                <w:rFonts w:ascii="Arial" w:hAnsi="Arial" w:cs="Arial"/>
              </w:rPr>
            </w:pPr>
            <w:r w:rsidRPr="00543963">
              <w:rPr>
                <w:rFonts w:ascii="Arial" w:hAnsi="Arial" w:cs="Arial"/>
              </w:rPr>
              <w:t>No – intervention study</w:t>
            </w:r>
          </w:p>
        </w:tc>
        <w:tc>
          <w:tcPr>
            <w:tcW w:w="0" w:type="auto"/>
            <w:hideMark/>
          </w:tcPr>
          <w:p w14:paraId="064A85E9" w14:textId="77777777" w:rsidR="00634BC2" w:rsidRPr="00543963" w:rsidRDefault="00634BC2" w:rsidP="00634BC2">
            <w:pPr>
              <w:spacing w:after="160" w:line="259" w:lineRule="auto"/>
              <w:rPr>
                <w:rFonts w:ascii="Arial" w:hAnsi="Arial" w:cs="Arial"/>
              </w:rPr>
            </w:pPr>
            <w:r w:rsidRPr="00543963">
              <w:rPr>
                <w:rFonts w:ascii="Arial" w:hAnsi="Arial" w:cs="Arial"/>
              </w:rPr>
              <w:t>Not applicable – scoping review</w:t>
            </w:r>
          </w:p>
        </w:tc>
        <w:tc>
          <w:tcPr>
            <w:tcW w:w="0" w:type="auto"/>
            <w:hideMark/>
          </w:tcPr>
          <w:p w14:paraId="73FFEB85" w14:textId="77777777" w:rsidR="00634BC2" w:rsidRPr="00543963" w:rsidRDefault="00634BC2" w:rsidP="00634BC2">
            <w:pPr>
              <w:spacing w:after="160" w:line="259" w:lineRule="auto"/>
              <w:rPr>
                <w:rFonts w:ascii="Arial" w:hAnsi="Arial" w:cs="Arial"/>
              </w:rPr>
            </w:pPr>
            <w:r w:rsidRPr="00543963">
              <w:rPr>
                <w:rFonts w:ascii="Arial" w:hAnsi="Arial" w:cs="Arial"/>
              </w:rPr>
              <w:t>Not applicable – evidence synthesis</w:t>
            </w:r>
          </w:p>
        </w:tc>
        <w:tc>
          <w:tcPr>
            <w:tcW w:w="0" w:type="auto"/>
            <w:hideMark/>
          </w:tcPr>
          <w:p w14:paraId="3BFB5024" w14:textId="77777777" w:rsidR="00634BC2" w:rsidRPr="00543963" w:rsidRDefault="00634BC2" w:rsidP="00634BC2">
            <w:pPr>
              <w:spacing w:after="160" w:line="259" w:lineRule="auto"/>
              <w:rPr>
                <w:rFonts w:ascii="Arial" w:hAnsi="Arial" w:cs="Arial"/>
              </w:rPr>
            </w:pPr>
            <w:r w:rsidRPr="00543963">
              <w:rPr>
                <w:rFonts w:ascii="Arial" w:hAnsi="Arial" w:cs="Arial"/>
              </w:rPr>
              <w:t>Not applicable – scoping review</w:t>
            </w:r>
          </w:p>
        </w:tc>
        <w:tc>
          <w:tcPr>
            <w:tcW w:w="0" w:type="auto"/>
            <w:hideMark/>
          </w:tcPr>
          <w:p w14:paraId="333E549D" w14:textId="77777777" w:rsidR="00634BC2" w:rsidRPr="00543963" w:rsidRDefault="00634BC2" w:rsidP="00634BC2">
            <w:pPr>
              <w:spacing w:after="160" w:line="259" w:lineRule="auto"/>
              <w:rPr>
                <w:rFonts w:ascii="Arial" w:hAnsi="Arial" w:cs="Arial"/>
              </w:rPr>
            </w:pPr>
            <w:r w:rsidRPr="00543963">
              <w:rPr>
                <w:rFonts w:ascii="Arial" w:hAnsi="Arial" w:cs="Arial"/>
              </w:rPr>
              <w:t>Not applicable – scoping review</w:t>
            </w:r>
          </w:p>
        </w:tc>
      </w:tr>
      <w:tr w:rsidR="00634BC2" w:rsidRPr="00543963" w14:paraId="3A14D9B5" w14:textId="77777777" w:rsidTr="00634BC2">
        <w:tc>
          <w:tcPr>
            <w:tcW w:w="0" w:type="auto"/>
            <w:hideMark/>
          </w:tcPr>
          <w:p w14:paraId="47407213" w14:textId="77777777" w:rsidR="00634BC2" w:rsidRPr="00543963" w:rsidRDefault="00634BC2" w:rsidP="00634BC2">
            <w:pPr>
              <w:spacing w:after="160" w:line="259" w:lineRule="auto"/>
              <w:rPr>
                <w:rFonts w:ascii="Arial" w:hAnsi="Arial" w:cs="Arial"/>
              </w:rPr>
            </w:pPr>
            <w:r w:rsidRPr="00543963">
              <w:rPr>
                <w:rFonts w:ascii="Arial" w:hAnsi="Arial" w:cs="Arial"/>
              </w:rPr>
              <w:t>3. Were all participants accounted for at study conclusion?</w:t>
            </w:r>
          </w:p>
        </w:tc>
        <w:tc>
          <w:tcPr>
            <w:tcW w:w="0" w:type="auto"/>
            <w:hideMark/>
          </w:tcPr>
          <w:p w14:paraId="0E652DAE"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5A961977" w14:textId="77777777" w:rsidR="00634BC2" w:rsidRPr="00543963" w:rsidRDefault="00634BC2" w:rsidP="00634BC2">
            <w:pPr>
              <w:spacing w:after="160" w:line="259" w:lineRule="auto"/>
              <w:rPr>
                <w:rFonts w:ascii="Arial" w:hAnsi="Arial" w:cs="Arial"/>
              </w:rPr>
            </w:pPr>
            <w:r w:rsidRPr="00543963">
              <w:rPr>
                <w:rFonts w:ascii="Arial" w:hAnsi="Arial" w:cs="Arial"/>
              </w:rPr>
              <w:t>Partially – limited reporting</w:t>
            </w:r>
          </w:p>
        </w:tc>
        <w:tc>
          <w:tcPr>
            <w:tcW w:w="0" w:type="auto"/>
            <w:hideMark/>
          </w:tcPr>
          <w:p w14:paraId="4B5BDF58"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1E940923"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302F5936"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237E29C3"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r>
      <w:tr w:rsidR="00634BC2" w:rsidRPr="00543963" w14:paraId="45DE59AB" w14:textId="77777777" w:rsidTr="00634BC2">
        <w:tc>
          <w:tcPr>
            <w:tcW w:w="0" w:type="auto"/>
            <w:hideMark/>
          </w:tcPr>
          <w:p w14:paraId="4CF0D39D" w14:textId="77777777" w:rsidR="00634BC2" w:rsidRPr="00543963" w:rsidRDefault="00634BC2" w:rsidP="00634BC2">
            <w:pPr>
              <w:spacing w:after="160" w:line="259" w:lineRule="auto"/>
              <w:rPr>
                <w:rFonts w:ascii="Arial" w:hAnsi="Arial" w:cs="Arial"/>
              </w:rPr>
            </w:pPr>
            <w:r w:rsidRPr="00543963">
              <w:rPr>
                <w:rFonts w:ascii="Arial" w:hAnsi="Arial" w:cs="Arial"/>
              </w:rPr>
              <w:t>4. Were participants blind to the intervention?</w:t>
            </w:r>
          </w:p>
        </w:tc>
        <w:tc>
          <w:tcPr>
            <w:tcW w:w="0" w:type="auto"/>
            <w:hideMark/>
          </w:tcPr>
          <w:p w14:paraId="4DF3063A" w14:textId="77777777" w:rsidR="00634BC2" w:rsidRPr="00543963" w:rsidRDefault="00634BC2" w:rsidP="00634BC2">
            <w:pPr>
              <w:spacing w:after="160" w:line="259" w:lineRule="auto"/>
              <w:rPr>
                <w:rFonts w:ascii="Arial" w:hAnsi="Arial" w:cs="Arial"/>
              </w:rPr>
            </w:pPr>
            <w:r w:rsidRPr="00543963">
              <w:rPr>
                <w:rFonts w:ascii="Arial" w:hAnsi="Arial" w:cs="Arial"/>
              </w:rPr>
              <w:t>Not reported</w:t>
            </w:r>
          </w:p>
        </w:tc>
        <w:tc>
          <w:tcPr>
            <w:tcW w:w="0" w:type="auto"/>
            <w:hideMark/>
          </w:tcPr>
          <w:p w14:paraId="7F42B0E3" w14:textId="77777777" w:rsidR="00634BC2" w:rsidRPr="00543963" w:rsidRDefault="00634BC2" w:rsidP="00634BC2">
            <w:pPr>
              <w:spacing w:after="160" w:line="259" w:lineRule="auto"/>
              <w:rPr>
                <w:rFonts w:ascii="Arial" w:hAnsi="Arial" w:cs="Arial"/>
              </w:rPr>
            </w:pPr>
            <w:r w:rsidRPr="00543963">
              <w:rPr>
                <w:rFonts w:ascii="Arial" w:hAnsi="Arial" w:cs="Arial"/>
              </w:rPr>
              <w:t>Not reported</w:t>
            </w:r>
          </w:p>
        </w:tc>
        <w:tc>
          <w:tcPr>
            <w:tcW w:w="0" w:type="auto"/>
            <w:hideMark/>
          </w:tcPr>
          <w:p w14:paraId="3C890228"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6F247E96"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66193A53"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70DF697A"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r>
      <w:tr w:rsidR="00634BC2" w:rsidRPr="00543963" w14:paraId="4E475556" w14:textId="77777777" w:rsidTr="00634BC2">
        <w:tc>
          <w:tcPr>
            <w:tcW w:w="0" w:type="auto"/>
            <w:hideMark/>
          </w:tcPr>
          <w:p w14:paraId="7E22C1C5" w14:textId="77777777" w:rsidR="00634BC2" w:rsidRPr="00543963" w:rsidRDefault="00634BC2" w:rsidP="00634BC2">
            <w:pPr>
              <w:spacing w:after="160" w:line="259" w:lineRule="auto"/>
              <w:rPr>
                <w:rFonts w:ascii="Arial" w:hAnsi="Arial" w:cs="Arial"/>
              </w:rPr>
            </w:pPr>
            <w:r w:rsidRPr="00543963">
              <w:rPr>
                <w:rFonts w:ascii="Arial" w:hAnsi="Arial" w:cs="Arial"/>
              </w:rPr>
              <w:t>5. Were investigators blind to intervention allocation?</w:t>
            </w:r>
          </w:p>
        </w:tc>
        <w:tc>
          <w:tcPr>
            <w:tcW w:w="0" w:type="auto"/>
            <w:hideMark/>
          </w:tcPr>
          <w:p w14:paraId="16709BCE" w14:textId="77777777" w:rsidR="00634BC2" w:rsidRPr="00543963" w:rsidRDefault="00634BC2" w:rsidP="00634BC2">
            <w:pPr>
              <w:spacing w:after="160" w:line="259" w:lineRule="auto"/>
              <w:rPr>
                <w:rFonts w:ascii="Arial" w:hAnsi="Arial" w:cs="Arial"/>
              </w:rPr>
            </w:pPr>
            <w:r w:rsidRPr="00543963">
              <w:rPr>
                <w:rFonts w:ascii="Arial" w:hAnsi="Arial" w:cs="Arial"/>
              </w:rPr>
              <w:t>Not reported</w:t>
            </w:r>
          </w:p>
        </w:tc>
        <w:tc>
          <w:tcPr>
            <w:tcW w:w="0" w:type="auto"/>
            <w:hideMark/>
          </w:tcPr>
          <w:p w14:paraId="7915DD6A" w14:textId="77777777" w:rsidR="00634BC2" w:rsidRPr="00543963" w:rsidRDefault="00634BC2" w:rsidP="00634BC2">
            <w:pPr>
              <w:spacing w:after="160" w:line="259" w:lineRule="auto"/>
              <w:rPr>
                <w:rFonts w:ascii="Arial" w:hAnsi="Arial" w:cs="Arial"/>
              </w:rPr>
            </w:pPr>
            <w:r w:rsidRPr="00543963">
              <w:rPr>
                <w:rFonts w:ascii="Arial" w:hAnsi="Arial" w:cs="Arial"/>
              </w:rPr>
              <w:t>Not reported</w:t>
            </w:r>
          </w:p>
        </w:tc>
        <w:tc>
          <w:tcPr>
            <w:tcW w:w="0" w:type="auto"/>
            <w:hideMark/>
          </w:tcPr>
          <w:p w14:paraId="56DC1275"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53BD0285"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1516975D"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1EB9859B"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r>
      <w:tr w:rsidR="00634BC2" w:rsidRPr="00543963" w14:paraId="15F3C9BA" w14:textId="77777777" w:rsidTr="00634BC2">
        <w:tc>
          <w:tcPr>
            <w:tcW w:w="0" w:type="auto"/>
            <w:hideMark/>
          </w:tcPr>
          <w:p w14:paraId="21A1AFC4" w14:textId="77777777" w:rsidR="00634BC2" w:rsidRPr="00543963" w:rsidRDefault="00634BC2" w:rsidP="00634BC2">
            <w:pPr>
              <w:spacing w:after="160" w:line="259" w:lineRule="auto"/>
              <w:rPr>
                <w:rFonts w:ascii="Arial" w:hAnsi="Arial" w:cs="Arial"/>
              </w:rPr>
            </w:pPr>
            <w:r w:rsidRPr="00543963">
              <w:rPr>
                <w:rFonts w:ascii="Arial" w:hAnsi="Arial" w:cs="Arial"/>
              </w:rPr>
              <w:lastRenderedPageBreak/>
              <w:t>6. Were outcome assessors blinded?</w:t>
            </w:r>
          </w:p>
        </w:tc>
        <w:tc>
          <w:tcPr>
            <w:tcW w:w="0" w:type="auto"/>
            <w:hideMark/>
          </w:tcPr>
          <w:p w14:paraId="52E0BEC7" w14:textId="77777777" w:rsidR="00634BC2" w:rsidRPr="00543963" w:rsidRDefault="00634BC2" w:rsidP="00634BC2">
            <w:pPr>
              <w:spacing w:after="160" w:line="259" w:lineRule="auto"/>
              <w:rPr>
                <w:rFonts w:ascii="Arial" w:hAnsi="Arial" w:cs="Arial"/>
              </w:rPr>
            </w:pPr>
            <w:r w:rsidRPr="00543963">
              <w:rPr>
                <w:rFonts w:ascii="Arial" w:hAnsi="Arial" w:cs="Arial"/>
              </w:rPr>
              <w:t>Not reported</w:t>
            </w:r>
          </w:p>
        </w:tc>
        <w:tc>
          <w:tcPr>
            <w:tcW w:w="0" w:type="auto"/>
            <w:hideMark/>
          </w:tcPr>
          <w:p w14:paraId="1303CA90" w14:textId="77777777" w:rsidR="00634BC2" w:rsidRPr="00543963" w:rsidRDefault="00634BC2" w:rsidP="00634BC2">
            <w:pPr>
              <w:spacing w:after="160" w:line="259" w:lineRule="auto"/>
              <w:rPr>
                <w:rFonts w:ascii="Arial" w:hAnsi="Arial" w:cs="Arial"/>
              </w:rPr>
            </w:pPr>
            <w:r w:rsidRPr="00543963">
              <w:rPr>
                <w:rFonts w:ascii="Arial" w:hAnsi="Arial" w:cs="Arial"/>
              </w:rPr>
              <w:t>Not reported</w:t>
            </w:r>
          </w:p>
        </w:tc>
        <w:tc>
          <w:tcPr>
            <w:tcW w:w="0" w:type="auto"/>
            <w:hideMark/>
          </w:tcPr>
          <w:p w14:paraId="137EA9DE"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7D475BEC"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359E685E"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1916ACE7"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r>
      <w:tr w:rsidR="00634BC2" w:rsidRPr="00543963" w14:paraId="6B012CD9" w14:textId="77777777" w:rsidTr="00634BC2">
        <w:tc>
          <w:tcPr>
            <w:tcW w:w="0" w:type="auto"/>
            <w:hideMark/>
          </w:tcPr>
          <w:p w14:paraId="448E93B3" w14:textId="77777777" w:rsidR="00634BC2" w:rsidRPr="00543963" w:rsidRDefault="00634BC2" w:rsidP="00634BC2">
            <w:pPr>
              <w:spacing w:after="160" w:line="259" w:lineRule="auto"/>
              <w:rPr>
                <w:rFonts w:ascii="Arial" w:hAnsi="Arial" w:cs="Arial"/>
              </w:rPr>
            </w:pPr>
            <w:r w:rsidRPr="00543963">
              <w:rPr>
                <w:rFonts w:ascii="Arial" w:hAnsi="Arial" w:cs="Arial"/>
              </w:rPr>
              <w:t>7. Were study groups similar at baseline?</w:t>
            </w:r>
          </w:p>
        </w:tc>
        <w:tc>
          <w:tcPr>
            <w:tcW w:w="0" w:type="auto"/>
            <w:hideMark/>
          </w:tcPr>
          <w:p w14:paraId="2CC51D89"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210ACCA4"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36596813"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1EFA7918"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0A045F8B"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64D21875"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r>
      <w:tr w:rsidR="00634BC2" w:rsidRPr="00543963" w14:paraId="51D1E1C4" w14:textId="77777777" w:rsidTr="00634BC2">
        <w:tc>
          <w:tcPr>
            <w:tcW w:w="0" w:type="auto"/>
            <w:hideMark/>
          </w:tcPr>
          <w:p w14:paraId="272273B3" w14:textId="77777777" w:rsidR="00634BC2" w:rsidRPr="00543963" w:rsidRDefault="00634BC2" w:rsidP="00634BC2">
            <w:pPr>
              <w:spacing w:after="160" w:line="259" w:lineRule="auto"/>
              <w:rPr>
                <w:rFonts w:ascii="Arial" w:hAnsi="Arial" w:cs="Arial"/>
              </w:rPr>
            </w:pPr>
            <w:r w:rsidRPr="00543963">
              <w:rPr>
                <w:rFonts w:ascii="Arial" w:hAnsi="Arial" w:cs="Arial"/>
              </w:rPr>
              <w:t>8. Apart from the intervention, were groups treated equally?</w:t>
            </w:r>
          </w:p>
        </w:tc>
        <w:tc>
          <w:tcPr>
            <w:tcW w:w="0" w:type="auto"/>
            <w:hideMark/>
          </w:tcPr>
          <w:p w14:paraId="6FBD5F09"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4EF3C146"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784A6E92"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5A80D691"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1BB45883"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70B45947"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r>
      <w:tr w:rsidR="00634BC2" w:rsidRPr="00543963" w14:paraId="37AE5648" w14:textId="77777777" w:rsidTr="00634BC2">
        <w:tc>
          <w:tcPr>
            <w:tcW w:w="0" w:type="auto"/>
            <w:hideMark/>
          </w:tcPr>
          <w:p w14:paraId="7BCF0879" w14:textId="77777777" w:rsidR="00634BC2" w:rsidRPr="00543963" w:rsidRDefault="00634BC2" w:rsidP="00634BC2">
            <w:pPr>
              <w:spacing w:after="160" w:line="259" w:lineRule="auto"/>
              <w:rPr>
                <w:rFonts w:ascii="Arial" w:hAnsi="Arial" w:cs="Arial"/>
              </w:rPr>
            </w:pPr>
            <w:r w:rsidRPr="00543963">
              <w:rPr>
                <w:rFonts w:ascii="Arial" w:hAnsi="Arial" w:cs="Arial"/>
              </w:rPr>
              <w:t>9. Were intervention effects reported comprehensively?</w:t>
            </w:r>
          </w:p>
        </w:tc>
        <w:tc>
          <w:tcPr>
            <w:tcW w:w="0" w:type="auto"/>
            <w:hideMark/>
          </w:tcPr>
          <w:p w14:paraId="5084F5DA"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17D89B9E"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6BD6B3B1"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26B88F74"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11641C40"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489C8530"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r>
      <w:tr w:rsidR="00634BC2" w:rsidRPr="00543963" w14:paraId="12C89F59" w14:textId="77777777" w:rsidTr="00634BC2">
        <w:tc>
          <w:tcPr>
            <w:tcW w:w="0" w:type="auto"/>
            <w:hideMark/>
          </w:tcPr>
          <w:p w14:paraId="3630EBD0" w14:textId="77777777" w:rsidR="00634BC2" w:rsidRPr="00543963" w:rsidRDefault="00634BC2" w:rsidP="00634BC2">
            <w:pPr>
              <w:spacing w:after="160" w:line="259" w:lineRule="auto"/>
              <w:rPr>
                <w:rFonts w:ascii="Arial" w:hAnsi="Arial" w:cs="Arial"/>
              </w:rPr>
            </w:pPr>
            <w:r w:rsidRPr="00543963">
              <w:rPr>
                <w:rFonts w:ascii="Arial" w:hAnsi="Arial" w:cs="Arial"/>
              </w:rPr>
              <w:t>10. Was precision of effect estimates reported?</w:t>
            </w:r>
          </w:p>
        </w:tc>
        <w:tc>
          <w:tcPr>
            <w:tcW w:w="0" w:type="auto"/>
            <w:hideMark/>
          </w:tcPr>
          <w:p w14:paraId="0DD3545F"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7F5870C3" w14:textId="77777777" w:rsidR="00634BC2" w:rsidRPr="00543963" w:rsidRDefault="00634BC2" w:rsidP="00634BC2">
            <w:pPr>
              <w:spacing w:after="160" w:line="259" w:lineRule="auto"/>
              <w:rPr>
                <w:rFonts w:ascii="Arial" w:hAnsi="Arial" w:cs="Arial"/>
              </w:rPr>
            </w:pPr>
            <w:r w:rsidRPr="00543963">
              <w:rPr>
                <w:rFonts w:ascii="Arial" w:hAnsi="Arial" w:cs="Arial"/>
              </w:rPr>
              <w:t>Limited</w:t>
            </w:r>
          </w:p>
        </w:tc>
        <w:tc>
          <w:tcPr>
            <w:tcW w:w="0" w:type="auto"/>
            <w:hideMark/>
          </w:tcPr>
          <w:p w14:paraId="7EEAE824"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14D89E4C"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553D8EC4"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c>
          <w:tcPr>
            <w:tcW w:w="0" w:type="auto"/>
            <w:hideMark/>
          </w:tcPr>
          <w:p w14:paraId="359AE825" w14:textId="77777777" w:rsidR="00634BC2" w:rsidRPr="00543963" w:rsidRDefault="00634BC2" w:rsidP="00634BC2">
            <w:pPr>
              <w:spacing w:after="160" w:line="259" w:lineRule="auto"/>
              <w:rPr>
                <w:rFonts w:ascii="Arial" w:hAnsi="Arial" w:cs="Arial"/>
              </w:rPr>
            </w:pPr>
            <w:r w:rsidRPr="00543963">
              <w:rPr>
                <w:rFonts w:ascii="Arial" w:hAnsi="Arial" w:cs="Arial"/>
              </w:rPr>
              <w:t>Not applicable</w:t>
            </w:r>
          </w:p>
        </w:tc>
      </w:tr>
      <w:tr w:rsidR="00634BC2" w:rsidRPr="00543963" w14:paraId="52FD884F" w14:textId="77777777" w:rsidTr="00634BC2">
        <w:tc>
          <w:tcPr>
            <w:tcW w:w="0" w:type="auto"/>
            <w:hideMark/>
          </w:tcPr>
          <w:p w14:paraId="3595CCE2" w14:textId="77777777" w:rsidR="00634BC2" w:rsidRPr="00543963" w:rsidRDefault="00634BC2" w:rsidP="00634BC2">
            <w:pPr>
              <w:spacing w:after="160" w:line="259" w:lineRule="auto"/>
              <w:rPr>
                <w:rFonts w:ascii="Arial" w:hAnsi="Arial" w:cs="Arial"/>
              </w:rPr>
            </w:pPr>
            <w:r w:rsidRPr="00543963">
              <w:rPr>
                <w:rFonts w:ascii="Arial" w:hAnsi="Arial" w:cs="Arial"/>
              </w:rPr>
              <w:t>11. Do benefits outweigh harms/costs?</w:t>
            </w:r>
          </w:p>
        </w:tc>
        <w:tc>
          <w:tcPr>
            <w:tcW w:w="0" w:type="auto"/>
            <w:hideMark/>
          </w:tcPr>
          <w:p w14:paraId="4EE1D2BE" w14:textId="77777777" w:rsidR="00634BC2" w:rsidRPr="00543963" w:rsidRDefault="00634BC2" w:rsidP="00634BC2">
            <w:pPr>
              <w:spacing w:after="160" w:line="259" w:lineRule="auto"/>
              <w:rPr>
                <w:rFonts w:ascii="Arial" w:hAnsi="Arial" w:cs="Arial"/>
              </w:rPr>
            </w:pPr>
            <w:r w:rsidRPr="00543963">
              <w:rPr>
                <w:rFonts w:ascii="Arial" w:hAnsi="Arial" w:cs="Arial"/>
              </w:rPr>
              <w:t>Yes – healthier lifestyle behaviours observed</w:t>
            </w:r>
          </w:p>
        </w:tc>
        <w:tc>
          <w:tcPr>
            <w:tcW w:w="0" w:type="auto"/>
            <w:hideMark/>
          </w:tcPr>
          <w:p w14:paraId="485E984B" w14:textId="77777777" w:rsidR="00634BC2" w:rsidRPr="00543963" w:rsidRDefault="00634BC2" w:rsidP="00634BC2">
            <w:pPr>
              <w:spacing w:after="160" w:line="259" w:lineRule="auto"/>
              <w:rPr>
                <w:rFonts w:ascii="Arial" w:hAnsi="Arial" w:cs="Arial"/>
              </w:rPr>
            </w:pPr>
            <w:r w:rsidRPr="00543963">
              <w:rPr>
                <w:rFonts w:ascii="Arial" w:hAnsi="Arial" w:cs="Arial"/>
              </w:rPr>
              <w:t>Yes – cognitive benefits reported</w:t>
            </w:r>
          </w:p>
        </w:tc>
        <w:tc>
          <w:tcPr>
            <w:tcW w:w="0" w:type="auto"/>
            <w:hideMark/>
          </w:tcPr>
          <w:p w14:paraId="700543D8" w14:textId="77777777" w:rsidR="00634BC2" w:rsidRPr="00543963" w:rsidRDefault="00634BC2" w:rsidP="00634BC2">
            <w:pPr>
              <w:spacing w:after="160" w:line="259" w:lineRule="auto"/>
              <w:rPr>
                <w:rFonts w:ascii="Arial" w:hAnsi="Arial" w:cs="Arial"/>
              </w:rPr>
            </w:pPr>
            <w:r w:rsidRPr="00543963">
              <w:rPr>
                <w:rFonts w:ascii="Arial" w:hAnsi="Arial" w:cs="Arial"/>
              </w:rPr>
              <w:t>Yes – useful evidence for MCI populations</w:t>
            </w:r>
          </w:p>
        </w:tc>
        <w:tc>
          <w:tcPr>
            <w:tcW w:w="0" w:type="auto"/>
            <w:hideMark/>
          </w:tcPr>
          <w:p w14:paraId="1508A411" w14:textId="77777777" w:rsidR="00634BC2" w:rsidRPr="00543963" w:rsidRDefault="00634BC2" w:rsidP="00634BC2">
            <w:pPr>
              <w:spacing w:after="160" w:line="259" w:lineRule="auto"/>
              <w:rPr>
                <w:rFonts w:ascii="Arial" w:hAnsi="Arial" w:cs="Arial"/>
              </w:rPr>
            </w:pPr>
            <w:r w:rsidRPr="00543963">
              <w:rPr>
                <w:rFonts w:ascii="Arial" w:hAnsi="Arial" w:cs="Arial"/>
              </w:rPr>
              <w:t>Yes – dementia-specific barriers identified</w:t>
            </w:r>
          </w:p>
        </w:tc>
        <w:tc>
          <w:tcPr>
            <w:tcW w:w="0" w:type="auto"/>
            <w:hideMark/>
          </w:tcPr>
          <w:p w14:paraId="078AD78D" w14:textId="77777777" w:rsidR="00634BC2" w:rsidRPr="00543963" w:rsidRDefault="00634BC2" w:rsidP="00634BC2">
            <w:pPr>
              <w:spacing w:after="160" w:line="259" w:lineRule="auto"/>
              <w:rPr>
                <w:rFonts w:ascii="Arial" w:hAnsi="Arial" w:cs="Arial"/>
              </w:rPr>
            </w:pPr>
            <w:r w:rsidRPr="00543963">
              <w:rPr>
                <w:rFonts w:ascii="Arial" w:hAnsi="Arial" w:cs="Arial"/>
              </w:rPr>
              <w:t>Yes – engagement factors synthesised</w:t>
            </w:r>
          </w:p>
        </w:tc>
        <w:tc>
          <w:tcPr>
            <w:tcW w:w="0" w:type="auto"/>
            <w:hideMark/>
          </w:tcPr>
          <w:p w14:paraId="747BF89D" w14:textId="77777777" w:rsidR="00634BC2" w:rsidRPr="00543963" w:rsidRDefault="00634BC2" w:rsidP="00634BC2">
            <w:pPr>
              <w:spacing w:after="160" w:line="259" w:lineRule="auto"/>
              <w:rPr>
                <w:rFonts w:ascii="Arial" w:hAnsi="Arial" w:cs="Arial"/>
              </w:rPr>
            </w:pPr>
            <w:r w:rsidRPr="00543963">
              <w:rPr>
                <w:rFonts w:ascii="Arial" w:hAnsi="Arial" w:cs="Arial"/>
              </w:rPr>
              <w:t>Yes – usability barriers identified</w:t>
            </w:r>
          </w:p>
        </w:tc>
      </w:tr>
      <w:tr w:rsidR="00634BC2" w:rsidRPr="00543963" w14:paraId="0FC237F3" w14:textId="77777777" w:rsidTr="00634BC2">
        <w:tc>
          <w:tcPr>
            <w:tcW w:w="0" w:type="auto"/>
            <w:hideMark/>
          </w:tcPr>
          <w:p w14:paraId="6363207B" w14:textId="77777777" w:rsidR="00634BC2" w:rsidRPr="00543963" w:rsidRDefault="00634BC2" w:rsidP="00634BC2">
            <w:pPr>
              <w:spacing w:after="160" w:line="259" w:lineRule="auto"/>
              <w:rPr>
                <w:rFonts w:ascii="Arial" w:hAnsi="Arial" w:cs="Arial"/>
              </w:rPr>
            </w:pPr>
            <w:r w:rsidRPr="00543963">
              <w:rPr>
                <w:rFonts w:ascii="Arial" w:hAnsi="Arial" w:cs="Arial"/>
              </w:rPr>
              <w:t>12. Can results be applied to your context?</w:t>
            </w:r>
          </w:p>
        </w:tc>
        <w:tc>
          <w:tcPr>
            <w:tcW w:w="0" w:type="auto"/>
            <w:hideMark/>
          </w:tcPr>
          <w:p w14:paraId="6CE1EA18"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31DE8BA3"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419FBBDD"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27F6EA59"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468922BC"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c>
          <w:tcPr>
            <w:tcW w:w="0" w:type="auto"/>
            <w:hideMark/>
          </w:tcPr>
          <w:p w14:paraId="16066E4D" w14:textId="77777777" w:rsidR="00634BC2" w:rsidRPr="00543963" w:rsidRDefault="00634BC2" w:rsidP="00634BC2">
            <w:pPr>
              <w:spacing w:after="160" w:line="259" w:lineRule="auto"/>
              <w:rPr>
                <w:rFonts w:ascii="Arial" w:hAnsi="Arial" w:cs="Arial"/>
              </w:rPr>
            </w:pPr>
            <w:r w:rsidRPr="00543963">
              <w:rPr>
                <w:rFonts w:ascii="Arial" w:hAnsi="Arial" w:cs="Arial"/>
              </w:rPr>
              <w:t>Yes</w:t>
            </w:r>
          </w:p>
        </w:tc>
      </w:tr>
      <w:tr w:rsidR="00634BC2" w:rsidRPr="00543963" w14:paraId="3BA353D2" w14:textId="77777777" w:rsidTr="00634BC2">
        <w:tc>
          <w:tcPr>
            <w:tcW w:w="0" w:type="auto"/>
            <w:hideMark/>
          </w:tcPr>
          <w:p w14:paraId="28E90CB1" w14:textId="77777777" w:rsidR="00634BC2" w:rsidRPr="00543963" w:rsidRDefault="00634BC2" w:rsidP="00634BC2">
            <w:pPr>
              <w:spacing w:after="160" w:line="259" w:lineRule="auto"/>
              <w:rPr>
                <w:rFonts w:ascii="Arial" w:hAnsi="Arial" w:cs="Arial"/>
              </w:rPr>
            </w:pPr>
            <w:r w:rsidRPr="00543963">
              <w:rPr>
                <w:rFonts w:ascii="Arial" w:hAnsi="Arial" w:cs="Arial"/>
              </w:rPr>
              <w:t>13. Would the intervention provide greater value than existing options?</w:t>
            </w:r>
          </w:p>
        </w:tc>
        <w:tc>
          <w:tcPr>
            <w:tcW w:w="0" w:type="auto"/>
            <w:hideMark/>
          </w:tcPr>
          <w:p w14:paraId="0F98AA9C" w14:textId="77777777" w:rsidR="00634BC2" w:rsidRPr="00543963" w:rsidRDefault="00634BC2" w:rsidP="00634BC2">
            <w:pPr>
              <w:spacing w:after="160" w:line="259" w:lineRule="auto"/>
              <w:rPr>
                <w:rFonts w:ascii="Arial" w:hAnsi="Arial" w:cs="Arial"/>
              </w:rPr>
            </w:pPr>
            <w:r w:rsidRPr="00543963">
              <w:rPr>
                <w:rFonts w:ascii="Arial" w:hAnsi="Arial" w:cs="Arial"/>
              </w:rPr>
              <w:t>Potentially</w:t>
            </w:r>
          </w:p>
        </w:tc>
        <w:tc>
          <w:tcPr>
            <w:tcW w:w="0" w:type="auto"/>
            <w:hideMark/>
          </w:tcPr>
          <w:p w14:paraId="6ED5E102" w14:textId="77777777" w:rsidR="00634BC2" w:rsidRPr="00543963" w:rsidRDefault="00634BC2" w:rsidP="00634BC2">
            <w:pPr>
              <w:spacing w:after="160" w:line="259" w:lineRule="auto"/>
              <w:rPr>
                <w:rFonts w:ascii="Arial" w:hAnsi="Arial" w:cs="Arial"/>
              </w:rPr>
            </w:pPr>
            <w:r w:rsidRPr="00543963">
              <w:rPr>
                <w:rFonts w:ascii="Arial" w:hAnsi="Arial" w:cs="Arial"/>
              </w:rPr>
              <w:t>Potentially</w:t>
            </w:r>
          </w:p>
        </w:tc>
        <w:tc>
          <w:tcPr>
            <w:tcW w:w="0" w:type="auto"/>
            <w:hideMark/>
          </w:tcPr>
          <w:p w14:paraId="1E260EBA" w14:textId="77777777" w:rsidR="00634BC2" w:rsidRPr="00543963" w:rsidRDefault="00634BC2" w:rsidP="00634BC2">
            <w:pPr>
              <w:spacing w:after="160" w:line="259" w:lineRule="auto"/>
              <w:rPr>
                <w:rFonts w:ascii="Arial" w:hAnsi="Arial" w:cs="Arial"/>
              </w:rPr>
            </w:pPr>
            <w:r w:rsidRPr="00543963">
              <w:rPr>
                <w:rFonts w:ascii="Arial" w:hAnsi="Arial" w:cs="Arial"/>
              </w:rPr>
              <w:t>Potentially</w:t>
            </w:r>
          </w:p>
        </w:tc>
        <w:tc>
          <w:tcPr>
            <w:tcW w:w="0" w:type="auto"/>
            <w:hideMark/>
          </w:tcPr>
          <w:p w14:paraId="350FB8EF" w14:textId="77777777" w:rsidR="00634BC2" w:rsidRPr="00543963" w:rsidRDefault="00634BC2" w:rsidP="00634BC2">
            <w:pPr>
              <w:spacing w:after="160" w:line="259" w:lineRule="auto"/>
              <w:rPr>
                <w:rFonts w:ascii="Arial" w:hAnsi="Arial" w:cs="Arial"/>
              </w:rPr>
            </w:pPr>
            <w:r w:rsidRPr="00543963">
              <w:rPr>
                <w:rFonts w:ascii="Arial" w:hAnsi="Arial" w:cs="Arial"/>
              </w:rPr>
              <w:t>Potentially</w:t>
            </w:r>
          </w:p>
        </w:tc>
        <w:tc>
          <w:tcPr>
            <w:tcW w:w="0" w:type="auto"/>
            <w:hideMark/>
          </w:tcPr>
          <w:p w14:paraId="3736679D" w14:textId="77777777" w:rsidR="00634BC2" w:rsidRPr="00543963" w:rsidRDefault="00634BC2" w:rsidP="00634BC2">
            <w:pPr>
              <w:spacing w:after="160" w:line="259" w:lineRule="auto"/>
              <w:rPr>
                <w:rFonts w:ascii="Arial" w:hAnsi="Arial" w:cs="Arial"/>
              </w:rPr>
            </w:pPr>
            <w:r w:rsidRPr="00543963">
              <w:rPr>
                <w:rFonts w:ascii="Arial" w:hAnsi="Arial" w:cs="Arial"/>
              </w:rPr>
              <w:t>Potentially</w:t>
            </w:r>
          </w:p>
        </w:tc>
        <w:tc>
          <w:tcPr>
            <w:tcW w:w="0" w:type="auto"/>
            <w:hideMark/>
          </w:tcPr>
          <w:p w14:paraId="3D31D41E" w14:textId="77777777" w:rsidR="00634BC2" w:rsidRPr="00543963" w:rsidRDefault="00634BC2" w:rsidP="00634BC2">
            <w:pPr>
              <w:spacing w:after="160" w:line="259" w:lineRule="auto"/>
              <w:rPr>
                <w:rFonts w:ascii="Arial" w:hAnsi="Arial" w:cs="Arial"/>
              </w:rPr>
            </w:pPr>
            <w:r w:rsidRPr="00543963">
              <w:rPr>
                <w:rFonts w:ascii="Arial" w:hAnsi="Arial" w:cs="Arial"/>
              </w:rPr>
              <w:t>Potentially</w:t>
            </w:r>
          </w:p>
        </w:tc>
      </w:tr>
    </w:tbl>
    <w:p w14:paraId="18BCA5BB" w14:textId="6649CE47" w:rsidR="00BA2E3C" w:rsidRPr="00543963" w:rsidRDefault="00BA2E3C">
      <w:pPr>
        <w:rPr>
          <w:rFonts w:ascii="Arial" w:hAnsi="Arial" w:cs="Arial"/>
        </w:rPr>
      </w:pPr>
    </w:p>
    <w:sectPr w:rsidR="00BA2E3C" w:rsidRPr="00543963" w:rsidSect="0025590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CDBA6" w14:textId="77777777" w:rsidR="008714DF" w:rsidRDefault="008714DF" w:rsidP="00690324">
      <w:pPr>
        <w:spacing w:after="0" w:line="240" w:lineRule="auto"/>
      </w:pPr>
      <w:r>
        <w:separator/>
      </w:r>
    </w:p>
  </w:endnote>
  <w:endnote w:type="continuationSeparator" w:id="0">
    <w:p w14:paraId="039F4070" w14:textId="77777777" w:rsidR="008714DF" w:rsidRDefault="008714DF" w:rsidP="00690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B0506" w14:textId="77777777" w:rsidR="008714DF" w:rsidRDefault="008714DF" w:rsidP="00690324">
      <w:pPr>
        <w:spacing w:after="0" w:line="240" w:lineRule="auto"/>
      </w:pPr>
      <w:r>
        <w:separator/>
      </w:r>
    </w:p>
  </w:footnote>
  <w:footnote w:type="continuationSeparator" w:id="0">
    <w:p w14:paraId="79D2A83E" w14:textId="77777777" w:rsidR="008714DF" w:rsidRDefault="008714DF" w:rsidP="00690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013A"/>
    <w:multiLevelType w:val="multilevel"/>
    <w:tmpl w:val="8F10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946C7"/>
    <w:multiLevelType w:val="multilevel"/>
    <w:tmpl w:val="0B4A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04BC4"/>
    <w:multiLevelType w:val="hybridMultilevel"/>
    <w:tmpl w:val="F366439A"/>
    <w:lvl w:ilvl="0" w:tplc="914A28DC">
      <w:numFmt w:val="bullet"/>
      <w:lvlText w:val=""/>
      <w:lvlJc w:val="left"/>
      <w:pPr>
        <w:ind w:left="810" w:hanging="45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27B2119"/>
    <w:multiLevelType w:val="multilevel"/>
    <w:tmpl w:val="CC242EE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943BFA"/>
    <w:multiLevelType w:val="hybridMultilevel"/>
    <w:tmpl w:val="33EEA8D0"/>
    <w:lvl w:ilvl="0" w:tplc="230AC042">
      <w:start w:val="1"/>
      <w:numFmt w:val="decimal"/>
      <w:lvlText w:val="%1."/>
      <w:lvlJc w:val="left"/>
      <w:pPr>
        <w:ind w:left="720" w:hanging="360"/>
      </w:pPr>
      <w:rPr>
        <w:rFonts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262F9"/>
    <w:multiLevelType w:val="multilevel"/>
    <w:tmpl w:val="6B6EB7C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061BE9"/>
    <w:multiLevelType w:val="hybridMultilevel"/>
    <w:tmpl w:val="BB74C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241836"/>
    <w:multiLevelType w:val="multilevel"/>
    <w:tmpl w:val="0D28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6A2C32"/>
    <w:multiLevelType w:val="hybridMultilevel"/>
    <w:tmpl w:val="5B6834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E303C24"/>
    <w:multiLevelType w:val="multilevel"/>
    <w:tmpl w:val="CA163538"/>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166A32"/>
    <w:multiLevelType w:val="hybridMultilevel"/>
    <w:tmpl w:val="78B2AB9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1" w15:restartNumberingAfterBreak="0">
    <w:nsid w:val="25002225"/>
    <w:multiLevelType w:val="multilevel"/>
    <w:tmpl w:val="2D048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260E2B"/>
    <w:multiLevelType w:val="multilevel"/>
    <w:tmpl w:val="77D8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3E10E1"/>
    <w:multiLevelType w:val="multilevel"/>
    <w:tmpl w:val="8374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21187C"/>
    <w:multiLevelType w:val="multilevel"/>
    <w:tmpl w:val="FE8E4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625AD5"/>
    <w:multiLevelType w:val="multilevel"/>
    <w:tmpl w:val="DF52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1C493F"/>
    <w:multiLevelType w:val="multilevel"/>
    <w:tmpl w:val="61709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DD771D"/>
    <w:multiLevelType w:val="multilevel"/>
    <w:tmpl w:val="ED7C45E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D56AAB"/>
    <w:multiLevelType w:val="multilevel"/>
    <w:tmpl w:val="CE94C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794475"/>
    <w:multiLevelType w:val="multilevel"/>
    <w:tmpl w:val="F950F99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D90B20"/>
    <w:multiLevelType w:val="hybridMultilevel"/>
    <w:tmpl w:val="09844B0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C806508"/>
    <w:multiLevelType w:val="multilevel"/>
    <w:tmpl w:val="71B495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1418AD"/>
    <w:multiLevelType w:val="hybridMultilevel"/>
    <w:tmpl w:val="7EB21246"/>
    <w:lvl w:ilvl="0" w:tplc="9218224E">
      <w:start w:val="1"/>
      <w:numFmt w:val="decimal"/>
      <w:lvlText w:val="%1."/>
      <w:lvlJc w:val="left"/>
      <w:pPr>
        <w:ind w:left="720" w:hanging="360"/>
      </w:pPr>
      <w:rPr>
        <w:rFonts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5C0747"/>
    <w:multiLevelType w:val="hybridMultilevel"/>
    <w:tmpl w:val="9E886B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A504405"/>
    <w:multiLevelType w:val="multilevel"/>
    <w:tmpl w:val="84F675C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797269"/>
    <w:multiLevelType w:val="multilevel"/>
    <w:tmpl w:val="0EDA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B37EE9"/>
    <w:multiLevelType w:val="hybridMultilevel"/>
    <w:tmpl w:val="F03016A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7" w15:restartNumberingAfterBreak="0">
    <w:nsid w:val="771B2611"/>
    <w:multiLevelType w:val="multilevel"/>
    <w:tmpl w:val="0E50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0127FC"/>
    <w:multiLevelType w:val="multilevel"/>
    <w:tmpl w:val="6FAC7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6D5C80"/>
    <w:multiLevelType w:val="hybridMultilevel"/>
    <w:tmpl w:val="DB6EB686"/>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1700931880">
    <w:abstractNumId w:val="8"/>
  </w:num>
  <w:num w:numId="2" w16cid:durableId="173768011">
    <w:abstractNumId w:val="29"/>
  </w:num>
  <w:num w:numId="3" w16cid:durableId="53623841">
    <w:abstractNumId w:val="26"/>
  </w:num>
  <w:num w:numId="4" w16cid:durableId="1126511126">
    <w:abstractNumId w:val="0"/>
  </w:num>
  <w:num w:numId="5" w16cid:durableId="1371801915">
    <w:abstractNumId w:val="12"/>
  </w:num>
  <w:num w:numId="6" w16cid:durableId="636498553">
    <w:abstractNumId w:val="14"/>
  </w:num>
  <w:num w:numId="7" w16cid:durableId="298728895">
    <w:abstractNumId w:val="27"/>
  </w:num>
  <w:num w:numId="8" w16cid:durableId="968584267">
    <w:abstractNumId w:val="1"/>
  </w:num>
  <w:num w:numId="9" w16cid:durableId="382406332">
    <w:abstractNumId w:val="16"/>
  </w:num>
  <w:num w:numId="10" w16cid:durableId="283583027">
    <w:abstractNumId w:val="25"/>
  </w:num>
  <w:num w:numId="11" w16cid:durableId="611399000">
    <w:abstractNumId w:val="10"/>
  </w:num>
  <w:num w:numId="12" w16cid:durableId="1052735510">
    <w:abstractNumId w:val="4"/>
  </w:num>
  <w:num w:numId="13" w16cid:durableId="1204715089">
    <w:abstractNumId w:val="22"/>
  </w:num>
  <w:num w:numId="14" w16cid:durableId="217715603">
    <w:abstractNumId w:val="6"/>
  </w:num>
  <w:num w:numId="15" w16cid:durableId="621108871">
    <w:abstractNumId w:val="7"/>
  </w:num>
  <w:num w:numId="16" w16cid:durableId="134304094">
    <w:abstractNumId w:val="13"/>
  </w:num>
  <w:num w:numId="17" w16cid:durableId="302854901">
    <w:abstractNumId w:val="15"/>
  </w:num>
  <w:num w:numId="18" w16cid:durableId="506291284">
    <w:abstractNumId w:val="18"/>
  </w:num>
  <w:num w:numId="19" w16cid:durableId="1835029274">
    <w:abstractNumId w:val="17"/>
  </w:num>
  <w:num w:numId="20" w16cid:durableId="204493304">
    <w:abstractNumId w:val="28"/>
  </w:num>
  <w:num w:numId="21" w16cid:durableId="80835740">
    <w:abstractNumId w:val="21"/>
  </w:num>
  <w:num w:numId="22" w16cid:durableId="91898701">
    <w:abstractNumId w:val="19"/>
  </w:num>
  <w:num w:numId="23" w16cid:durableId="354312462">
    <w:abstractNumId w:val="3"/>
  </w:num>
  <w:num w:numId="24" w16cid:durableId="24673488">
    <w:abstractNumId w:val="9"/>
  </w:num>
  <w:num w:numId="25" w16cid:durableId="1062338573">
    <w:abstractNumId w:val="11"/>
  </w:num>
  <w:num w:numId="26" w16cid:durableId="1529832036">
    <w:abstractNumId w:val="5"/>
  </w:num>
  <w:num w:numId="27" w16cid:durableId="1670716458">
    <w:abstractNumId w:val="24"/>
  </w:num>
  <w:num w:numId="28" w16cid:durableId="1329748849">
    <w:abstractNumId w:val="20"/>
  </w:num>
  <w:num w:numId="29" w16cid:durableId="1749959082">
    <w:abstractNumId w:val="23"/>
  </w:num>
  <w:num w:numId="30" w16cid:durableId="1592351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9E8"/>
    <w:rsid w:val="000017C6"/>
    <w:rsid w:val="000178E2"/>
    <w:rsid w:val="000347A4"/>
    <w:rsid w:val="00070AB3"/>
    <w:rsid w:val="00091A04"/>
    <w:rsid w:val="000A42AD"/>
    <w:rsid w:val="000C3D78"/>
    <w:rsid w:val="000E3148"/>
    <w:rsid w:val="000F49E8"/>
    <w:rsid w:val="000F77AC"/>
    <w:rsid w:val="00110F6B"/>
    <w:rsid w:val="001279CB"/>
    <w:rsid w:val="00127D9F"/>
    <w:rsid w:val="001870F2"/>
    <w:rsid w:val="00191E91"/>
    <w:rsid w:val="00193C17"/>
    <w:rsid w:val="001A198F"/>
    <w:rsid w:val="001C3F77"/>
    <w:rsid w:val="001C55CE"/>
    <w:rsid w:val="001D10AE"/>
    <w:rsid w:val="001D45BC"/>
    <w:rsid w:val="001E14A1"/>
    <w:rsid w:val="001F2403"/>
    <w:rsid w:val="00200F09"/>
    <w:rsid w:val="00201080"/>
    <w:rsid w:val="00202AED"/>
    <w:rsid w:val="002122FB"/>
    <w:rsid w:val="002156BE"/>
    <w:rsid w:val="00254CC2"/>
    <w:rsid w:val="00255903"/>
    <w:rsid w:val="00264271"/>
    <w:rsid w:val="002770BB"/>
    <w:rsid w:val="00280C41"/>
    <w:rsid w:val="002B0711"/>
    <w:rsid w:val="002C1267"/>
    <w:rsid w:val="002D357B"/>
    <w:rsid w:val="002F18E6"/>
    <w:rsid w:val="002F3FE3"/>
    <w:rsid w:val="003149ED"/>
    <w:rsid w:val="00322BA1"/>
    <w:rsid w:val="00335F4F"/>
    <w:rsid w:val="00340B98"/>
    <w:rsid w:val="003441BB"/>
    <w:rsid w:val="003450C4"/>
    <w:rsid w:val="00365065"/>
    <w:rsid w:val="003749D2"/>
    <w:rsid w:val="003874A0"/>
    <w:rsid w:val="003901F3"/>
    <w:rsid w:val="003A5EDD"/>
    <w:rsid w:val="003B6D29"/>
    <w:rsid w:val="003C0ACF"/>
    <w:rsid w:val="003C25AE"/>
    <w:rsid w:val="003E7F60"/>
    <w:rsid w:val="003F4135"/>
    <w:rsid w:val="003F5395"/>
    <w:rsid w:val="00412B41"/>
    <w:rsid w:val="00412E3D"/>
    <w:rsid w:val="00416651"/>
    <w:rsid w:val="00425AF4"/>
    <w:rsid w:val="00442320"/>
    <w:rsid w:val="0044789D"/>
    <w:rsid w:val="00450337"/>
    <w:rsid w:val="00457887"/>
    <w:rsid w:val="00464C40"/>
    <w:rsid w:val="00471A67"/>
    <w:rsid w:val="004738A6"/>
    <w:rsid w:val="00474806"/>
    <w:rsid w:val="004836AB"/>
    <w:rsid w:val="004A0DFA"/>
    <w:rsid w:val="004A1CEC"/>
    <w:rsid w:val="004E22EF"/>
    <w:rsid w:val="004E282D"/>
    <w:rsid w:val="00510ADB"/>
    <w:rsid w:val="00513361"/>
    <w:rsid w:val="005349A7"/>
    <w:rsid w:val="00543963"/>
    <w:rsid w:val="00545F9B"/>
    <w:rsid w:val="005A1CD3"/>
    <w:rsid w:val="005A7ACF"/>
    <w:rsid w:val="005B19BE"/>
    <w:rsid w:val="005C14E5"/>
    <w:rsid w:val="005D0EB1"/>
    <w:rsid w:val="005D2FAD"/>
    <w:rsid w:val="005E6D0F"/>
    <w:rsid w:val="00601378"/>
    <w:rsid w:val="00602AF2"/>
    <w:rsid w:val="006119DD"/>
    <w:rsid w:val="00634BC2"/>
    <w:rsid w:val="00644D11"/>
    <w:rsid w:val="00673268"/>
    <w:rsid w:val="00677FAD"/>
    <w:rsid w:val="00690324"/>
    <w:rsid w:val="006A3B87"/>
    <w:rsid w:val="006A4DBC"/>
    <w:rsid w:val="006A59DE"/>
    <w:rsid w:val="006B4921"/>
    <w:rsid w:val="006B5F1C"/>
    <w:rsid w:val="006C4140"/>
    <w:rsid w:val="006D07C0"/>
    <w:rsid w:val="006D75DD"/>
    <w:rsid w:val="006E7C4F"/>
    <w:rsid w:val="006F4DA2"/>
    <w:rsid w:val="007029C6"/>
    <w:rsid w:val="007207BC"/>
    <w:rsid w:val="00730B50"/>
    <w:rsid w:val="00736B9C"/>
    <w:rsid w:val="007403EE"/>
    <w:rsid w:val="0074181C"/>
    <w:rsid w:val="00751AEF"/>
    <w:rsid w:val="00751C51"/>
    <w:rsid w:val="00770A79"/>
    <w:rsid w:val="00785D60"/>
    <w:rsid w:val="00790531"/>
    <w:rsid w:val="00795250"/>
    <w:rsid w:val="007A61B2"/>
    <w:rsid w:val="007D5AB1"/>
    <w:rsid w:val="00805335"/>
    <w:rsid w:val="00807D67"/>
    <w:rsid w:val="008172AC"/>
    <w:rsid w:val="00820B3F"/>
    <w:rsid w:val="00845AE2"/>
    <w:rsid w:val="00847CA9"/>
    <w:rsid w:val="008617D5"/>
    <w:rsid w:val="008714DF"/>
    <w:rsid w:val="00890F44"/>
    <w:rsid w:val="0089675C"/>
    <w:rsid w:val="008A2500"/>
    <w:rsid w:val="008B10D4"/>
    <w:rsid w:val="008B5723"/>
    <w:rsid w:val="008D1123"/>
    <w:rsid w:val="008D55A3"/>
    <w:rsid w:val="008E763D"/>
    <w:rsid w:val="008F13D1"/>
    <w:rsid w:val="009248E2"/>
    <w:rsid w:val="00925E8B"/>
    <w:rsid w:val="00926005"/>
    <w:rsid w:val="00973830"/>
    <w:rsid w:val="00985435"/>
    <w:rsid w:val="0098546D"/>
    <w:rsid w:val="00991B6A"/>
    <w:rsid w:val="009A1720"/>
    <w:rsid w:val="009B1523"/>
    <w:rsid w:val="009B4B3E"/>
    <w:rsid w:val="009C4A87"/>
    <w:rsid w:val="009D0713"/>
    <w:rsid w:val="009D2689"/>
    <w:rsid w:val="00A012FA"/>
    <w:rsid w:val="00A305A0"/>
    <w:rsid w:val="00A56EC6"/>
    <w:rsid w:val="00A634A0"/>
    <w:rsid w:val="00AD484C"/>
    <w:rsid w:val="00AD621A"/>
    <w:rsid w:val="00B01711"/>
    <w:rsid w:val="00B04DA7"/>
    <w:rsid w:val="00B17F85"/>
    <w:rsid w:val="00B22B40"/>
    <w:rsid w:val="00B24694"/>
    <w:rsid w:val="00B273DC"/>
    <w:rsid w:val="00B33BA9"/>
    <w:rsid w:val="00B36455"/>
    <w:rsid w:val="00B374A2"/>
    <w:rsid w:val="00B62A3E"/>
    <w:rsid w:val="00B730A2"/>
    <w:rsid w:val="00B95B16"/>
    <w:rsid w:val="00BA2E3C"/>
    <w:rsid w:val="00BA49BD"/>
    <w:rsid w:val="00BA60E3"/>
    <w:rsid w:val="00BB400C"/>
    <w:rsid w:val="00BB5986"/>
    <w:rsid w:val="00BB7B1D"/>
    <w:rsid w:val="00BC50F1"/>
    <w:rsid w:val="00BD0344"/>
    <w:rsid w:val="00BD46AF"/>
    <w:rsid w:val="00BE1D74"/>
    <w:rsid w:val="00BE7AD0"/>
    <w:rsid w:val="00C054D2"/>
    <w:rsid w:val="00C203E5"/>
    <w:rsid w:val="00C26C62"/>
    <w:rsid w:val="00C37839"/>
    <w:rsid w:val="00C60606"/>
    <w:rsid w:val="00C63B5A"/>
    <w:rsid w:val="00C80A80"/>
    <w:rsid w:val="00C9329C"/>
    <w:rsid w:val="00CC45B9"/>
    <w:rsid w:val="00CC6A5A"/>
    <w:rsid w:val="00CF13A9"/>
    <w:rsid w:val="00CF6342"/>
    <w:rsid w:val="00D0163D"/>
    <w:rsid w:val="00D107A8"/>
    <w:rsid w:val="00D22B0A"/>
    <w:rsid w:val="00D24EB9"/>
    <w:rsid w:val="00D339ED"/>
    <w:rsid w:val="00D40034"/>
    <w:rsid w:val="00D408BD"/>
    <w:rsid w:val="00D442B3"/>
    <w:rsid w:val="00D566D1"/>
    <w:rsid w:val="00D56D47"/>
    <w:rsid w:val="00D65A0A"/>
    <w:rsid w:val="00DA2394"/>
    <w:rsid w:val="00DB7C8E"/>
    <w:rsid w:val="00DC7C3D"/>
    <w:rsid w:val="00DD7E13"/>
    <w:rsid w:val="00DE2CAC"/>
    <w:rsid w:val="00DF57CC"/>
    <w:rsid w:val="00DF5F56"/>
    <w:rsid w:val="00DF7140"/>
    <w:rsid w:val="00E12150"/>
    <w:rsid w:val="00E15ECD"/>
    <w:rsid w:val="00E6495A"/>
    <w:rsid w:val="00E71125"/>
    <w:rsid w:val="00E76261"/>
    <w:rsid w:val="00E8176B"/>
    <w:rsid w:val="00E84C84"/>
    <w:rsid w:val="00E938E6"/>
    <w:rsid w:val="00EB0D63"/>
    <w:rsid w:val="00EB4890"/>
    <w:rsid w:val="00ED0064"/>
    <w:rsid w:val="00ED1A0C"/>
    <w:rsid w:val="00ED45A4"/>
    <w:rsid w:val="00ED4AC6"/>
    <w:rsid w:val="00ED765D"/>
    <w:rsid w:val="00EE61DC"/>
    <w:rsid w:val="00EF1DA9"/>
    <w:rsid w:val="00EF50FD"/>
    <w:rsid w:val="00F33FD2"/>
    <w:rsid w:val="00F458BE"/>
    <w:rsid w:val="00F518DD"/>
    <w:rsid w:val="00F52AE7"/>
    <w:rsid w:val="00F56701"/>
    <w:rsid w:val="00F574F4"/>
    <w:rsid w:val="00F65BBF"/>
    <w:rsid w:val="00F7054B"/>
    <w:rsid w:val="00F7186B"/>
    <w:rsid w:val="00F768E3"/>
    <w:rsid w:val="00F90221"/>
    <w:rsid w:val="00FB2F85"/>
    <w:rsid w:val="00FB3058"/>
    <w:rsid w:val="00FC5A6C"/>
    <w:rsid w:val="00FD6CC1"/>
    <w:rsid w:val="00FE199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28A73"/>
  <w15:chartTrackingRefBased/>
  <w15:docId w15:val="{14D26B48-745B-4455-B36A-A2680F074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335"/>
  </w:style>
  <w:style w:type="paragraph" w:styleId="Heading1">
    <w:name w:val="heading 1"/>
    <w:basedOn w:val="Normal"/>
    <w:next w:val="Normal"/>
    <w:link w:val="Heading1Char"/>
    <w:qFormat/>
    <w:rsid w:val="000F49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F49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F49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F49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49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49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9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9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9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9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F49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F49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F49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49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49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9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9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9E8"/>
    <w:rPr>
      <w:rFonts w:eastAsiaTheme="majorEastAsia" w:cstheme="majorBidi"/>
      <w:color w:val="272727" w:themeColor="text1" w:themeTint="D8"/>
    </w:rPr>
  </w:style>
  <w:style w:type="paragraph" w:styleId="Title">
    <w:name w:val="Title"/>
    <w:basedOn w:val="Normal"/>
    <w:next w:val="Normal"/>
    <w:link w:val="TitleChar"/>
    <w:uiPriority w:val="10"/>
    <w:qFormat/>
    <w:rsid w:val="000F49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9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9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9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9E8"/>
    <w:pPr>
      <w:spacing w:before="160"/>
      <w:jc w:val="center"/>
    </w:pPr>
    <w:rPr>
      <w:i/>
      <w:iCs/>
      <w:color w:val="404040" w:themeColor="text1" w:themeTint="BF"/>
    </w:rPr>
  </w:style>
  <w:style w:type="character" w:customStyle="1" w:styleId="QuoteChar">
    <w:name w:val="Quote Char"/>
    <w:basedOn w:val="DefaultParagraphFont"/>
    <w:link w:val="Quote"/>
    <w:uiPriority w:val="29"/>
    <w:rsid w:val="000F49E8"/>
    <w:rPr>
      <w:i/>
      <w:iCs/>
      <w:color w:val="404040" w:themeColor="text1" w:themeTint="BF"/>
    </w:rPr>
  </w:style>
  <w:style w:type="paragraph" w:styleId="ListParagraph">
    <w:name w:val="List Paragraph"/>
    <w:basedOn w:val="Normal"/>
    <w:uiPriority w:val="34"/>
    <w:qFormat/>
    <w:rsid w:val="000F49E8"/>
    <w:pPr>
      <w:ind w:left="720"/>
      <w:contextualSpacing/>
    </w:pPr>
  </w:style>
  <w:style w:type="character" w:styleId="IntenseEmphasis">
    <w:name w:val="Intense Emphasis"/>
    <w:basedOn w:val="DefaultParagraphFont"/>
    <w:uiPriority w:val="21"/>
    <w:qFormat/>
    <w:rsid w:val="000F49E8"/>
    <w:rPr>
      <w:i/>
      <w:iCs/>
      <w:color w:val="2F5496" w:themeColor="accent1" w:themeShade="BF"/>
    </w:rPr>
  </w:style>
  <w:style w:type="paragraph" w:styleId="IntenseQuote">
    <w:name w:val="Intense Quote"/>
    <w:basedOn w:val="Normal"/>
    <w:next w:val="Normal"/>
    <w:link w:val="IntenseQuoteChar"/>
    <w:uiPriority w:val="30"/>
    <w:qFormat/>
    <w:rsid w:val="000F49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49E8"/>
    <w:rPr>
      <w:i/>
      <w:iCs/>
      <w:color w:val="2F5496" w:themeColor="accent1" w:themeShade="BF"/>
    </w:rPr>
  </w:style>
  <w:style w:type="character" w:styleId="IntenseReference">
    <w:name w:val="Intense Reference"/>
    <w:basedOn w:val="DefaultParagraphFont"/>
    <w:uiPriority w:val="32"/>
    <w:qFormat/>
    <w:rsid w:val="000F49E8"/>
    <w:rPr>
      <w:b/>
      <w:bCs/>
      <w:smallCaps/>
      <w:color w:val="2F5496" w:themeColor="accent1" w:themeShade="BF"/>
      <w:spacing w:val="5"/>
    </w:rPr>
  </w:style>
  <w:style w:type="character" w:styleId="Hyperlink">
    <w:name w:val="Hyperlink"/>
    <w:basedOn w:val="DefaultParagraphFont"/>
    <w:uiPriority w:val="99"/>
    <w:unhideWhenUsed/>
    <w:rsid w:val="00FB2F85"/>
    <w:rPr>
      <w:color w:val="0563C1" w:themeColor="hyperlink"/>
      <w:u w:val="single"/>
    </w:rPr>
  </w:style>
  <w:style w:type="character" w:styleId="UnresolvedMention">
    <w:name w:val="Unresolved Mention"/>
    <w:basedOn w:val="DefaultParagraphFont"/>
    <w:uiPriority w:val="99"/>
    <w:semiHidden/>
    <w:unhideWhenUsed/>
    <w:rsid w:val="00FB2F85"/>
    <w:rPr>
      <w:color w:val="605E5C"/>
      <w:shd w:val="clear" w:color="auto" w:fill="E1DFDD"/>
    </w:rPr>
  </w:style>
  <w:style w:type="paragraph" w:styleId="Header">
    <w:name w:val="header"/>
    <w:basedOn w:val="Normal"/>
    <w:link w:val="HeaderChar"/>
    <w:unhideWhenUsed/>
    <w:rsid w:val="00690324"/>
    <w:pPr>
      <w:tabs>
        <w:tab w:val="center" w:pos="4513"/>
        <w:tab w:val="right" w:pos="9026"/>
      </w:tabs>
      <w:spacing w:after="0" w:line="240" w:lineRule="auto"/>
    </w:pPr>
  </w:style>
  <w:style w:type="character" w:customStyle="1" w:styleId="HeaderChar">
    <w:name w:val="Header Char"/>
    <w:basedOn w:val="DefaultParagraphFont"/>
    <w:link w:val="Header"/>
    <w:rsid w:val="00690324"/>
  </w:style>
  <w:style w:type="paragraph" w:styleId="Footer">
    <w:name w:val="footer"/>
    <w:basedOn w:val="Normal"/>
    <w:link w:val="FooterChar"/>
    <w:unhideWhenUsed/>
    <w:rsid w:val="00690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324"/>
  </w:style>
  <w:style w:type="character" w:styleId="CommentReference">
    <w:name w:val="annotation reference"/>
    <w:basedOn w:val="DefaultParagraphFont"/>
    <w:uiPriority w:val="99"/>
    <w:semiHidden/>
    <w:unhideWhenUsed/>
    <w:rsid w:val="008A2500"/>
    <w:rPr>
      <w:sz w:val="16"/>
      <w:szCs w:val="16"/>
    </w:rPr>
  </w:style>
  <w:style w:type="paragraph" w:styleId="CommentText">
    <w:name w:val="annotation text"/>
    <w:basedOn w:val="Normal"/>
    <w:link w:val="CommentTextChar"/>
    <w:uiPriority w:val="99"/>
    <w:unhideWhenUsed/>
    <w:rsid w:val="008A2500"/>
    <w:pPr>
      <w:spacing w:line="240" w:lineRule="auto"/>
    </w:pPr>
    <w:rPr>
      <w:sz w:val="20"/>
      <w:szCs w:val="20"/>
    </w:rPr>
  </w:style>
  <w:style w:type="character" w:customStyle="1" w:styleId="CommentTextChar">
    <w:name w:val="Comment Text Char"/>
    <w:basedOn w:val="DefaultParagraphFont"/>
    <w:link w:val="CommentText"/>
    <w:uiPriority w:val="99"/>
    <w:rsid w:val="008A2500"/>
    <w:rPr>
      <w:sz w:val="20"/>
      <w:szCs w:val="20"/>
    </w:rPr>
  </w:style>
  <w:style w:type="paragraph" w:styleId="CommentSubject">
    <w:name w:val="annotation subject"/>
    <w:basedOn w:val="CommentText"/>
    <w:next w:val="CommentText"/>
    <w:link w:val="CommentSubjectChar"/>
    <w:uiPriority w:val="99"/>
    <w:semiHidden/>
    <w:unhideWhenUsed/>
    <w:rsid w:val="008A2500"/>
    <w:rPr>
      <w:b/>
      <w:bCs/>
    </w:rPr>
  </w:style>
  <w:style w:type="character" w:customStyle="1" w:styleId="CommentSubjectChar">
    <w:name w:val="Comment Subject Char"/>
    <w:basedOn w:val="CommentTextChar"/>
    <w:link w:val="CommentSubject"/>
    <w:uiPriority w:val="99"/>
    <w:semiHidden/>
    <w:rsid w:val="008A2500"/>
    <w:rPr>
      <w:b/>
      <w:bCs/>
      <w:sz w:val="20"/>
      <w:szCs w:val="20"/>
    </w:rPr>
  </w:style>
  <w:style w:type="table" w:styleId="TableGrid">
    <w:name w:val="Table Grid"/>
    <w:basedOn w:val="TableNormal"/>
    <w:uiPriority w:val="39"/>
    <w:rsid w:val="00BA2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A2E3C"/>
  </w:style>
  <w:style w:type="paragraph" w:styleId="NoSpacing">
    <w:name w:val="No Spacing"/>
    <w:link w:val="NoSpacingChar"/>
    <w:uiPriority w:val="1"/>
    <w:qFormat/>
    <w:rsid w:val="00BA2E3C"/>
    <w:pPr>
      <w:spacing w:after="0" w:line="240" w:lineRule="auto"/>
    </w:pPr>
    <w:rPr>
      <w:lang w:val="en-GB"/>
    </w:rPr>
  </w:style>
  <w:style w:type="character" w:customStyle="1" w:styleId="NoSpacingChar">
    <w:name w:val="No Spacing Char"/>
    <w:basedOn w:val="DefaultParagraphFont"/>
    <w:link w:val="NoSpacing"/>
    <w:uiPriority w:val="1"/>
    <w:rsid w:val="00BA2E3C"/>
    <w:rPr>
      <w:lang w:val="en-GB"/>
    </w:rPr>
  </w:style>
  <w:style w:type="table" w:styleId="TableGridLight">
    <w:name w:val="Grid Table Light"/>
    <w:basedOn w:val="TableNormal"/>
    <w:uiPriority w:val="40"/>
    <w:rsid w:val="00CC45B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457887"/>
    <w:rPr>
      <w:rFonts w:ascii="Times New Roman" w:hAnsi="Times New Roman" w:cs="Times New Roman"/>
      <w:sz w:val="24"/>
      <w:szCs w:val="24"/>
    </w:rPr>
  </w:style>
  <w:style w:type="paragraph" w:styleId="TOCHeading">
    <w:name w:val="TOC Heading"/>
    <w:basedOn w:val="Heading1"/>
    <w:next w:val="Normal"/>
    <w:uiPriority w:val="39"/>
    <w:unhideWhenUsed/>
    <w:qFormat/>
    <w:rsid w:val="0054396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543963"/>
    <w:pPr>
      <w:spacing w:after="100"/>
      <w:ind w:left="220"/>
    </w:pPr>
  </w:style>
  <w:style w:type="paragraph" w:styleId="TOC1">
    <w:name w:val="toc 1"/>
    <w:basedOn w:val="Normal"/>
    <w:next w:val="Normal"/>
    <w:autoRedefine/>
    <w:uiPriority w:val="39"/>
    <w:unhideWhenUsed/>
    <w:rsid w:val="00543963"/>
    <w:pPr>
      <w:spacing w:after="100"/>
    </w:pPr>
  </w:style>
  <w:style w:type="paragraph" w:styleId="TOC3">
    <w:name w:val="toc 3"/>
    <w:basedOn w:val="Normal"/>
    <w:next w:val="Normal"/>
    <w:autoRedefine/>
    <w:uiPriority w:val="39"/>
    <w:unhideWhenUsed/>
    <w:rsid w:val="00543963"/>
    <w:pPr>
      <w:spacing w:after="100"/>
      <w:ind w:left="440"/>
    </w:pPr>
  </w:style>
  <w:style w:type="paragraph" w:styleId="Caption">
    <w:name w:val="caption"/>
    <w:basedOn w:val="Normal"/>
    <w:next w:val="Normal"/>
    <w:uiPriority w:val="35"/>
    <w:unhideWhenUsed/>
    <w:qFormat/>
    <w:rsid w:val="00890F4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B4921"/>
    <w:pPr>
      <w:spacing w:after="0"/>
    </w:pPr>
  </w:style>
  <w:style w:type="paragraph" w:styleId="TOC4">
    <w:name w:val="toc 4"/>
    <w:basedOn w:val="Normal"/>
    <w:next w:val="Normal"/>
    <w:autoRedefine/>
    <w:uiPriority w:val="39"/>
    <w:unhideWhenUsed/>
    <w:rsid w:val="000178E2"/>
    <w:pPr>
      <w:spacing w:after="100" w:line="278" w:lineRule="auto"/>
      <w:ind w:left="720"/>
    </w:pPr>
    <w:rPr>
      <w:rFonts w:eastAsiaTheme="minorEastAsia"/>
      <w:sz w:val="24"/>
      <w:szCs w:val="24"/>
      <w:lang w:eastAsia="en-IN" w:bidi="gu-IN"/>
    </w:rPr>
  </w:style>
  <w:style w:type="paragraph" w:styleId="TOC5">
    <w:name w:val="toc 5"/>
    <w:basedOn w:val="Normal"/>
    <w:next w:val="Normal"/>
    <w:autoRedefine/>
    <w:uiPriority w:val="39"/>
    <w:unhideWhenUsed/>
    <w:rsid w:val="000178E2"/>
    <w:pPr>
      <w:spacing w:after="100" w:line="278" w:lineRule="auto"/>
      <w:ind w:left="960"/>
    </w:pPr>
    <w:rPr>
      <w:rFonts w:eastAsiaTheme="minorEastAsia"/>
      <w:sz w:val="24"/>
      <w:szCs w:val="24"/>
      <w:lang w:eastAsia="en-IN" w:bidi="gu-IN"/>
    </w:rPr>
  </w:style>
  <w:style w:type="paragraph" w:styleId="TOC6">
    <w:name w:val="toc 6"/>
    <w:basedOn w:val="Normal"/>
    <w:next w:val="Normal"/>
    <w:autoRedefine/>
    <w:uiPriority w:val="39"/>
    <w:unhideWhenUsed/>
    <w:rsid w:val="000178E2"/>
    <w:pPr>
      <w:spacing w:after="100" w:line="278" w:lineRule="auto"/>
      <w:ind w:left="1200"/>
    </w:pPr>
    <w:rPr>
      <w:rFonts w:eastAsiaTheme="minorEastAsia"/>
      <w:sz w:val="24"/>
      <w:szCs w:val="24"/>
      <w:lang w:eastAsia="en-IN" w:bidi="gu-IN"/>
    </w:rPr>
  </w:style>
  <w:style w:type="paragraph" w:styleId="TOC7">
    <w:name w:val="toc 7"/>
    <w:basedOn w:val="Normal"/>
    <w:next w:val="Normal"/>
    <w:autoRedefine/>
    <w:uiPriority w:val="39"/>
    <w:unhideWhenUsed/>
    <w:rsid w:val="000178E2"/>
    <w:pPr>
      <w:spacing w:after="100" w:line="278" w:lineRule="auto"/>
      <w:ind w:left="1440"/>
    </w:pPr>
    <w:rPr>
      <w:rFonts w:eastAsiaTheme="minorEastAsia"/>
      <w:sz w:val="24"/>
      <w:szCs w:val="24"/>
      <w:lang w:eastAsia="en-IN" w:bidi="gu-IN"/>
    </w:rPr>
  </w:style>
  <w:style w:type="paragraph" w:styleId="TOC8">
    <w:name w:val="toc 8"/>
    <w:basedOn w:val="Normal"/>
    <w:next w:val="Normal"/>
    <w:autoRedefine/>
    <w:uiPriority w:val="39"/>
    <w:unhideWhenUsed/>
    <w:rsid w:val="000178E2"/>
    <w:pPr>
      <w:spacing w:after="100" w:line="278" w:lineRule="auto"/>
      <w:ind w:left="1680"/>
    </w:pPr>
    <w:rPr>
      <w:rFonts w:eastAsiaTheme="minorEastAsia"/>
      <w:sz w:val="24"/>
      <w:szCs w:val="24"/>
      <w:lang w:eastAsia="en-IN" w:bidi="gu-IN"/>
    </w:rPr>
  </w:style>
  <w:style w:type="paragraph" w:styleId="TOC9">
    <w:name w:val="toc 9"/>
    <w:basedOn w:val="Normal"/>
    <w:next w:val="Normal"/>
    <w:autoRedefine/>
    <w:uiPriority w:val="39"/>
    <w:unhideWhenUsed/>
    <w:rsid w:val="000178E2"/>
    <w:pPr>
      <w:spacing w:after="100" w:line="278" w:lineRule="auto"/>
      <w:ind w:left="1920"/>
    </w:pPr>
    <w:rPr>
      <w:rFonts w:eastAsiaTheme="minorEastAsia"/>
      <w:sz w:val="24"/>
      <w:szCs w:val="24"/>
      <w:lang w:eastAsia="en-IN" w:bidi="gu-IN"/>
    </w:rPr>
  </w:style>
  <w:style w:type="character" w:styleId="Emphasis">
    <w:name w:val="Emphasis"/>
    <w:basedOn w:val="DefaultParagraphFont"/>
    <w:uiPriority w:val="20"/>
    <w:qFormat/>
    <w:rsid w:val="00191E91"/>
    <w:rPr>
      <w:i/>
      <w:iCs/>
    </w:rPr>
  </w:style>
  <w:style w:type="character" w:styleId="Strong">
    <w:name w:val="Strong"/>
    <w:basedOn w:val="DefaultParagraphFont"/>
    <w:uiPriority w:val="22"/>
    <w:qFormat/>
    <w:rsid w:val="00191E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1364557032000119616" TargetMode="External"/><Relationship Id="rId21" Type="http://schemas.openxmlformats.org/officeDocument/2006/relationships/hyperlink" Target="https://www.alzint.org/resource/dementia-fact-sheet/" TargetMode="External"/><Relationship Id="rId42" Type="http://schemas.openxmlformats.org/officeDocument/2006/relationships/hyperlink" Target="https://www.gov.uk/government/organisations/department-of-health-and-social-care" TargetMode="External"/><Relationship Id="rId47" Type="http://schemas.openxmlformats.org/officeDocument/2006/relationships/hyperlink" Target="https://doi.org/10.2196/jmir.8775" TargetMode="External"/><Relationship Id="rId63" Type="http://schemas.openxmlformats.org/officeDocument/2006/relationships/hyperlink" Target="https://doi.org/10.1016/j.chb.2010.06.020" TargetMode="External"/><Relationship Id="rId68" Type="http://schemas.openxmlformats.org/officeDocument/2006/relationships/hyperlink" Target="https://doi.org/10.1016/S0140-6736(15)60461-5" TargetMode="External"/><Relationship Id="rId84" Type="http://schemas.openxmlformats.org/officeDocument/2006/relationships/hyperlink" Target="https://doi.org/10.1007/s12126-008-9020-y" TargetMode="External"/><Relationship Id="rId89" Type="http://schemas.openxmlformats.org/officeDocument/2006/relationships/hyperlink" Target="https://topol.hee.nhs.uk" TargetMode="External"/><Relationship Id="rId16" Type="http://schemas.openxmlformats.org/officeDocument/2006/relationships/image" Target="media/image6.emf"/><Relationship Id="rId107" Type="http://schemas.openxmlformats.org/officeDocument/2006/relationships/theme" Target="theme/theme1.xml"/><Relationship Id="rId11" Type="http://schemas.openxmlformats.org/officeDocument/2006/relationships/customXml" Target="ink/ink1.xml"/><Relationship Id="rId32" Type="http://schemas.openxmlformats.org/officeDocument/2006/relationships/hyperlink" Target="https://doi.org/10.1111/j.1365-2990.2009.01024.x" TargetMode="External"/><Relationship Id="rId37" Type="http://schemas.openxmlformats.org/officeDocument/2006/relationships/hyperlink" Target="https://doi.org/10.1016/S2666-7568(22)00145-6" TargetMode="External"/><Relationship Id="rId53" Type="http://schemas.openxmlformats.org/officeDocument/2006/relationships/hyperlink" Target="https://doi.org/10.1038/s41582-018-0070-3" TargetMode="External"/><Relationship Id="rId58" Type="http://schemas.openxmlformats.org/officeDocument/2006/relationships/hyperlink" Target="https://doi.org/10.1186/1748-5908-5-69" TargetMode="External"/><Relationship Id="rId74" Type="http://schemas.openxmlformats.org/officeDocument/2006/relationships/hyperlink" Target="https://www.ons.gov.uk/peoplepopulationandcommunity/birthsdeathsandmarriages/deaths" TargetMode="External"/><Relationship Id="rId79" Type="http://schemas.openxmlformats.org/officeDocument/2006/relationships/hyperlink" Target="https://phwwhocc.co.uk/wp-content/uploads/2026/03/International-Health-Insights-Dementia-Prevention.pdf" TargetMode="External"/><Relationship Id="rId102" Type="http://schemas.openxmlformats.org/officeDocument/2006/relationships/hyperlink" Target="https://www.who.int/data/gho/data/themes/global-dementia-observatory-gdo" TargetMode="External"/><Relationship Id="rId5" Type="http://schemas.openxmlformats.org/officeDocument/2006/relationships/webSettings" Target="webSettings.xml"/><Relationship Id="rId90" Type="http://schemas.openxmlformats.org/officeDocument/2006/relationships/hyperlink" Target="https://doi.org/10.7326/M18-0850" TargetMode="External"/><Relationship Id="rId95" Type="http://schemas.openxmlformats.org/officeDocument/2006/relationships/hyperlink" Target="https://doi.org/10.1177/0733464807311435" TargetMode="External"/><Relationship Id="rId22" Type="http://schemas.openxmlformats.org/officeDocument/2006/relationships/hyperlink" Target="https://www.alzint.org/about/dementia-facts-figures/dementia-statistics/" TargetMode="External"/><Relationship Id="rId27" Type="http://schemas.openxmlformats.org/officeDocument/2006/relationships/hyperlink" Target="https://doi.org/10.1177/1090198104263660" TargetMode="External"/><Relationship Id="rId43" Type="http://schemas.openxmlformats.org/officeDocument/2006/relationships/hyperlink" Target="https://www.equator-network.org/reporting-guidelines/prisma/" TargetMode="External"/><Relationship Id="rId48" Type="http://schemas.openxmlformats.org/officeDocument/2006/relationships/hyperlink" Target="https://doi.org/10.1002/jrsm.1378" TargetMode="External"/><Relationship Id="rId64" Type="http://schemas.openxmlformats.org/officeDocument/2006/relationships/hyperlink" Target="https://doi.org/10.1371/journal.pmed.1000097" TargetMode="External"/><Relationship Id="rId69" Type="http://schemas.openxmlformats.org/officeDocument/2006/relationships/hyperlink" Target="https://www.nhs.uk/conditions/dementia/" TargetMode="External"/><Relationship Id="rId80" Type="http://schemas.openxmlformats.org/officeDocument/2006/relationships/hyperlink" Target="https://pmc.ncbi.nlm.nih.gov/articles/PMC13101104/" TargetMode="External"/><Relationship Id="rId85" Type="http://schemas.openxmlformats.org/officeDocument/2006/relationships/hyperlink" Target="https://doi.org/10.1146/annurev.publhealth.23.100901.140536" TargetMode="External"/><Relationship Id="rId12" Type="http://schemas.openxmlformats.org/officeDocument/2006/relationships/image" Target="media/image4.emf"/><Relationship Id="rId17" Type="http://schemas.openxmlformats.org/officeDocument/2006/relationships/customXml" Target="ink/ink4.xml"/><Relationship Id="rId33" Type="http://schemas.openxmlformats.org/officeDocument/2006/relationships/hyperlink" Target="https://doi.org/10.1037/0003-066X.32.7.513" TargetMode="External"/><Relationship Id="rId38" Type="http://schemas.openxmlformats.org/officeDocument/2006/relationships/hyperlink" Target="https://casp-uk.net/casp-tools-checklists/" TargetMode="External"/><Relationship Id="rId59" Type="http://schemas.openxmlformats.org/officeDocument/2006/relationships/hyperlink" Target="https://doi.org/10.1016/S0140-6736(20)30367-6" TargetMode="External"/><Relationship Id="rId103" Type="http://schemas.openxmlformats.org/officeDocument/2006/relationships/hyperlink" Target="https://doi.org/10.1002/asi.21501" TargetMode="External"/><Relationship Id="rId20" Type="http://schemas.openxmlformats.org/officeDocument/2006/relationships/hyperlink" Target="https://www.alzheimer-europe.org" TargetMode="External"/><Relationship Id="rId41" Type="http://schemas.openxmlformats.org/officeDocument/2006/relationships/hyperlink" Target="https://doi.org/10.1016/j.jalz.2013.11.007" TargetMode="External"/><Relationship Id="rId54" Type="http://schemas.openxmlformats.org/officeDocument/2006/relationships/hyperlink" Target="https://doi.org/10.3390/jcm8050668" TargetMode="External"/><Relationship Id="rId62" Type="http://schemas.openxmlformats.org/officeDocument/2006/relationships/hyperlink" Target="https://doi.org/10.1177/109019818801500401" TargetMode="External"/><Relationship Id="rId70" Type="http://schemas.openxmlformats.org/officeDocument/2006/relationships/hyperlink" Target="https://www.england.nhs.uk/long-read/a-plan-for-digital-health-and-social-care/" TargetMode="External"/><Relationship Id="rId75" Type="http://schemas.openxmlformats.org/officeDocument/2006/relationships/hyperlink" Target="https://doi.org/10.1186/s12889-020-09381-0" TargetMode="External"/><Relationship Id="rId83" Type="http://schemas.openxmlformats.org/officeDocument/2006/relationships/hyperlink" Target="https://doi.org/10.1177/1529100616661983" TargetMode="External"/><Relationship Id="rId88" Type="http://schemas.openxmlformats.org/officeDocument/2006/relationships/hyperlink" Target="https://doi.org/10.1016/S1474-4422(12)70191-6" TargetMode="External"/><Relationship Id="rId91" Type="http://schemas.openxmlformats.org/officeDocument/2006/relationships/hyperlink" Target="https://doi.org/10.3389/fpsyg.2017.01687" TargetMode="External"/><Relationship Id="rId96" Type="http://schemas.openxmlformats.org/officeDocument/2006/relationships/hyperlink" Target="https://doi.org/10.1016/j.jalz.2016.07.15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3.xml"/><Relationship Id="rId23" Type="http://schemas.openxmlformats.org/officeDocument/2006/relationships/hyperlink" Target="https://www.alzheimersresearchuk.org/dementia-information/risk-factors-for-dementia/" TargetMode="External"/><Relationship Id="rId28" Type="http://schemas.openxmlformats.org/officeDocument/2006/relationships/hyperlink" Target="https://doi.org/10.1001/archpsyc.63.7.789" TargetMode="External"/><Relationship Id="rId36" Type="http://schemas.openxmlformats.org/officeDocument/2006/relationships/hyperlink" Target="https://doi.org/10.2196/jmir.2645" TargetMode="External"/><Relationship Id="rId49" Type="http://schemas.openxmlformats.org/officeDocument/2006/relationships/hyperlink" Target="https://hsph.harvard.edu/news/rethinking-dementia-as-preventable-not-inevitable/" TargetMode="External"/><Relationship Id="rId57" Type="http://schemas.openxmlformats.org/officeDocument/2006/relationships/hyperlink" Target="https://doi.org/10.1007/s10209-014-0344-9" TargetMode="External"/><Relationship Id="rId106" Type="http://schemas.openxmlformats.org/officeDocument/2006/relationships/fontTable" Target="fontTable.xml"/><Relationship Id="rId10" Type="http://schemas.openxmlformats.org/officeDocument/2006/relationships/image" Target="media/image3.emf"/><Relationship Id="rId31" Type="http://schemas.openxmlformats.org/officeDocument/2006/relationships/hyperlink" Target="https://link.springer.com/rwe/10.1007/978-3-031-17299-1_3470" TargetMode="External"/><Relationship Id="rId44" Type="http://schemas.openxmlformats.org/officeDocument/2006/relationships/hyperlink" Target="https://doi.org/10.1016/j.arr.2019.100911" TargetMode="External"/><Relationship Id="rId52" Type="http://schemas.openxmlformats.org/officeDocument/2006/relationships/hyperlink" Target="https://doi.org/10.1016/j.arr.2014.02.004" TargetMode="External"/><Relationship Id="rId60" Type="http://schemas.openxmlformats.org/officeDocument/2006/relationships/hyperlink" Target="https://doi.org/10.1016/S0140-6736(24)01296-0" TargetMode="External"/><Relationship Id="rId65" Type="http://schemas.openxmlformats.org/officeDocument/2006/relationships/hyperlink" Target="https://doi.org/10.1177/2055668314567136" TargetMode="External"/><Relationship Id="rId73" Type="http://schemas.openxmlformats.org/officeDocument/2006/relationships/hyperlink" Target="https://doi.org/10.1093/heapro/15.3.259" TargetMode="External"/><Relationship Id="rId78" Type="http://schemas.openxmlformats.org/officeDocument/2006/relationships/hyperlink" Target="https://www.prisma-statement.org/prisma-2020-checklist" TargetMode="External"/><Relationship Id="rId81" Type="http://schemas.openxmlformats.org/officeDocument/2006/relationships/hyperlink" Target="https://doi.org/10.1016/j.arr.2012.07.003" TargetMode="External"/><Relationship Id="rId86" Type="http://schemas.openxmlformats.org/officeDocument/2006/relationships/hyperlink" Target="https://doi.org/10.1016/j.jbusres.2019.07.039" TargetMode="External"/><Relationship Id="rId94" Type="http://schemas.openxmlformats.org/officeDocument/2006/relationships/hyperlink" Target="https://doi.org/10.1056/NEJMoa022252" TargetMode="External"/><Relationship Id="rId99" Type="http://schemas.openxmlformats.org/officeDocument/2006/relationships/hyperlink" Target="https://www.who.int/publications/i/item/9789240084752" TargetMode="External"/><Relationship Id="rId101" Type="http://schemas.openxmlformats.org/officeDocument/2006/relationships/hyperlink" Target="https://www.who.int/news-room/fact-sheets/detail/dementia"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customXml" Target="ink/ink2.xml"/><Relationship Id="rId18" Type="http://schemas.openxmlformats.org/officeDocument/2006/relationships/image" Target="media/image7.emf"/><Relationship Id="rId39" Type="http://schemas.openxmlformats.org/officeDocument/2006/relationships/hyperlink" Target="https://doi.org/10.1201/9781351230752" TargetMode="External"/><Relationship Id="rId34" Type="http://schemas.openxmlformats.org/officeDocument/2006/relationships/hyperlink" Target="https://doi.org/10.4017/gt.2014.13.1.006.00" TargetMode="External"/><Relationship Id="rId50" Type="http://schemas.openxmlformats.org/officeDocument/2006/relationships/hyperlink" Target="https://doi.org/10.1016/j.ijmedinf.2011.03.002" TargetMode="External"/><Relationship Id="rId55" Type="http://schemas.openxmlformats.org/officeDocument/2006/relationships/hyperlink" Target="https://doi.org/10.1371/journal.pone.0040588" TargetMode="External"/><Relationship Id="rId76" Type="http://schemas.openxmlformats.org/officeDocument/2006/relationships/hyperlink" Target="https://doi.org/10.1136/bmj.n71" TargetMode="External"/><Relationship Id="rId97" Type="http://schemas.openxmlformats.org/officeDocument/2006/relationships/hyperlink" Target="https://www.who.int/publications/i/item/9789241550546" TargetMode="External"/><Relationship Id="rId104" Type="http://schemas.openxmlformats.org/officeDocument/2006/relationships/hyperlink" Target="https://doi.org/10.2147/CIA.S111151" TargetMode="External"/><Relationship Id="rId7" Type="http://schemas.openxmlformats.org/officeDocument/2006/relationships/endnotes" Target="endnotes.xml"/><Relationship Id="rId71" Type="http://schemas.openxmlformats.org/officeDocument/2006/relationships/hyperlink" Target="https://doi.org/10.1016/S2468-2667(21)00249-8" TargetMode="External"/><Relationship Id="rId92" Type="http://schemas.openxmlformats.org/officeDocument/2006/relationships/hyperlink" Target="https://doi.org/10.2307/30036540" TargetMode="External"/><Relationship Id="rId2" Type="http://schemas.openxmlformats.org/officeDocument/2006/relationships/numbering" Target="numbering.xml"/><Relationship Id="rId29" Type="http://schemas.openxmlformats.org/officeDocument/2006/relationships/hyperlink" Target="https://doi.org/10.1191/1478088706qp063oa" TargetMode="External"/><Relationship Id="rId24" Type="http://schemas.openxmlformats.org/officeDocument/2006/relationships/hyperlink" Target="https://www.alzheimers.org.uk/about-us/policy-and-influencing/dementia-scale-impact-numbers" TargetMode="External"/><Relationship Id="rId40" Type="http://schemas.openxmlformats.org/officeDocument/2006/relationships/hyperlink" Target="https://doi.org/10.2307/249008" TargetMode="External"/><Relationship Id="rId45" Type="http://schemas.openxmlformats.org/officeDocument/2006/relationships/hyperlink" Target="https://doi.org/10.1093/heapro/dar074" TargetMode="External"/><Relationship Id="rId66" Type="http://schemas.openxmlformats.org/officeDocument/2006/relationships/hyperlink" Target="https://www.nice.org.uk/guidance/ng97" TargetMode="External"/><Relationship Id="rId87" Type="http://schemas.openxmlformats.org/officeDocument/2006/relationships/hyperlink" Target="https://doi.org/10.1016/S0140-6736(13)61489-0" TargetMode="External"/><Relationship Id="rId61" Type="http://schemas.openxmlformats.org/officeDocument/2006/relationships/hyperlink" Target="https://doi.org/10.1016/S0140-6736(12)60898-8" TargetMode="External"/><Relationship Id="rId82" Type="http://schemas.openxmlformats.org/officeDocument/2006/relationships/hyperlink" Target="https://doi.org/10.1177/109019817400200403" TargetMode="External"/><Relationship Id="rId19" Type="http://schemas.openxmlformats.org/officeDocument/2006/relationships/hyperlink" Target="https://doi.org/10.1016/0749-5978(91)90020-T" TargetMode="External"/><Relationship Id="rId14" Type="http://schemas.openxmlformats.org/officeDocument/2006/relationships/image" Target="media/image5.emf"/><Relationship Id="rId30" Type="http://schemas.openxmlformats.org/officeDocument/2006/relationships/hyperlink" Target="https://pmc.ncbi.nlm.nih.gov/articles/PMC9879167/" TargetMode="External"/><Relationship Id="rId35" Type="http://schemas.openxmlformats.org/officeDocument/2006/relationships/hyperlink" Target="https://doi.org/10.2196/jmir.4596" TargetMode="External"/><Relationship Id="rId56" Type="http://schemas.openxmlformats.org/officeDocument/2006/relationships/hyperlink" Target="https://doi.org/10.1371/journal.pmed.1001756" TargetMode="External"/><Relationship Id="rId77" Type="http://schemas.openxmlformats.org/officeDocument/2006/relationships/hyperlink" Target="https://doi.org/10.1016/j.ijmedinf.2014.01.004" TargetMode="External"/><Relationship Id="rId100" Type="http://schemas.openxmlformats.org/officeDocument/2006/relationships/hyperlink" Target="https://www.who.int/health-topics/dementia" TargetMode="External"/><Relationship Id="rId105" Type="http://schemas.openxmlformats.org/officeDocument/2006/relationships/hyperlink" Target="https://doi.org/10.1177/1533317514522852" TargetMode="External"/><Relationship Id="rId8" Type="http://schemas.openxmlformats.org/officeDocument/2006/relationships/image" Target="media/image1.png"/><Relationship Id="rId51" Type="http://schemas.openxmlformats.org/officeDocument/2006/relationships/hyperlink" Target="https://jbi.global/critical-appraisal-tools" TargetMode="External"/><Relationship Id="rId72" Type="http://schemas.openxmlformats.org/officeDocument/2006/relationships/hyperlink" Target="https://doi.org/10.1177/1609406917733847" TargetMode="External"/><Relationship Id="rId93" Type="http://schemas.openxmlformats.org/officeDocument/2006/relationships/hyperlink" Target="https://doi.org/10.2307/41410412" TargetMode="External"/><Relationship Id="rId98" Type="http://schemas.openxmlformats.org/officeDocument/2006/relationships/hyperlink" Target="https://www.who.int/publications/i/item/9789240020924" TargetMode="External"/><Relationship Id="rId3" Type="http://schemas.openxmlformats.org/officeDocument/2006/relationships/styles" Target="styles.xml"/><Relationship Id="rId25" Type="http://schemas.openxmlformats.org/officeDocument/2006/relationships/hyperlink" Target="https://doi.org/10.1016/S1474-4422(17)30040-6" TargetMode="External"/><Relationship Id="rId46" Type="http://schemas.openxmlformats.org/officeDocument/2006/relationships/hyperlink" Target="https://doi.org/10.1111/j.1471-1842.2009.00848.x" TargetMode="External"/><Relationship Id="rId67" Type="http://schemas.openxmlformats.org/officeDocument/2006/relationships/hyperlink" Target="https://www.nia.nih.gov/health/alzheimers-and-dementia/alzheimers-disease-fact-shee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5.265"/>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69 252,'2'45,"-1"-30,0-1,-1 1,-1 0,0 0,-6 26,7-40,0 0,0 0,0 0,-1 0,1 0,-1 0,1 0,-1 0,1 0,-1 0,0 0,1 0,-1 0,0-1,0 1,1 0,-1 0,0-1,0 1,-2 0,2-1,1 0,-1 0,0 0,0 0,1 0,-1 0,0 0,0-1,1 1,-1 0,0-1,1 1,-1 0,0-1,1 1,-1-1,1 1,-1-1,1 1,-1-1,1 0,-1 0,-3-4,1 1,0-1,1 0,-1 0,1-1,-3-8,0-17,1 1,2 0,1-1,3-37,0 7,-2 55,1 1,0-1,0 0,0 1,0-1,1 1,0-1,1 1,-1 0,1 0,0 0,0 0,0 1,1-1,-1 1,1 0,0 0,1 0,-1 0,1 1,-1 0,1 0,0 0,0 0,0 1,1 0,-1 0,1 0,-1 1,1 0,8-1,-11 1,1 1,-1 0,1 0,-1 0,1 0,-1 1,1-1,-1 1,1 0,-1 0,0 0,1 0,-1 1,0 0,0-1,0 1,3 2,-1 0,-1 1,1-1,-1 1,0 0,0 0,-1 1,1-1,4 12,-1 0,-1 1,-1 0,-1 0,0 0,2 31,-5-32,2 72,-3-82,0 1,-1 0,0-1,-1 1,0 0,0-1,0 0,-7 14,7-18,1 0,-1-1,0 1,0-1,0 1,0-1,-1 0,1 0,-1 0,1 0,-1 0,1-1,-1 1,0-1,0 0,0 0,0 0,0 0,0 0,-6 0,7-1,-1 0,0 0,1-1,-1 1,1-1,-1 1,1-1,-1 0,1 0,-1 0,1-1,0 1,0 0,-1-1,1 0,0 1,0-1,1 0,-1 0,0 0,1 0,-1 0,1 0,0-1,-2-2,-2-8,0 1,1-2,0 1,1 0,1-1,0 0,0-19,1-6,7-53,-2 72,0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3.887"/>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0 42,'17'-1,"1"-1,-1-1,0 0,21-8,34-6,-66 16,-3 0,1 0,0 1,0-1,0 1,-1-1,1 1,0 0,0 1,0-1,5 2,-10-2,0 1,1 0,-1-1,0 1,1-1,-1 1,0 0,1-1,-1 0,0 1,0-1,0 1,0-1,1 0,-1 0,0 1,0-1,0 0,0 0,-1 0,-21 4,-16 0,-48-1,67-3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2.919"/>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0 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2.336"/>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1 22,'0'-3,"4"-2,4 0,5 2,3 0,3 1,-2 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18056-336D-4A43-BAA4-F8B9DF292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86</Pages>
  <Words>28096</Words>
  <Characters>160148</Characters>
  <Application>Microsoft Office Word</Application>
  <DocSecurity>0</DocSecurity>
  <Lines>1334</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Janvi chauhan</dc:creator>
  <cp:keywords/>
  <dc:description/>
  <cp:lastModifiedBy>Janvi chauhan</cp:lastModifiedBy>
  <cp:revision>3</cp:revision>
  <dcterms:created xsi:type="dcterms:W3CDTF">2026-06-16T09:51:00Z</dcterms:created>
  <dcterms:modified xsi:type="dcterms:W3CDTF">2026-06-16T10:11:00Z</dcterms:modified>
</cp:coreProperties>
</file>