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rPr>
        <w:id w:val="14067587"/>
        <w:docPartObj>
          <w:docPartGallery w:val="Cover Pages"/>
          <w:docPartUnique/>
        </w:docPartObj>
      </w:sdtPr>
      <w:sdtEndPr>
        <w:rPr>
          <w:rFonts w:ascii="Arial" w:eastAsiaTheme="minorHAnsi" w:hAnsi="Arial" w:cs="Arial"/>
          <w:b/>
          <w:bCs/>
          <w:caps w:val="0"/>
          <w:sz w:val="24"/>
          <w:szCs w:val="24"/>
        </w:rPr>
      </w:sdtEndPr>
      <w:sdtContent>
        <w:tbl>
          <w:tblPr>
            <w:tblW w:w="5000" w:type="pct"/>
            <w:jc w:val="center"/>
            <w:tblLook w:val="04A0" w:firstRow="1" w:lastRow="0" w:firstColumn="1" w:lastColumn="0" w:noHBand="0" w:noVBand="1"/>
          </w:tblPr>
          <w:tblGrid>
            <w:gridCol w:w="9576"/>
          </w:tblGrid>
          <w:tr w:rsidR="002F2996" w14:paraId="22778C79" w14:textId="77777777">
            <w:trPr>
              <w:trHeight w:val="2880"/>
              <w:jc w:val="center"/>
            </w:trPr>
            <w:tc>
              <w:tcPr>
                <w:tcW w:w="5000" w:type="pct"/>
              </w:tcPr>
              <w:p w14:paraId="4FC70E2C" w14:textId="77777777" w:rsidR="002F2996" w:rsidRDefault="002F2996" w:rsidP="002F2996">
                <w:pPr>
                  <w:pStyle w:val="NoSpacing"/>
                  <w:jc w:val="center"/>
                  <w:rPr>
                    <w:rFonts w:asciiTheme="majorHAnsi" w:eastAsiaTheme="majorEastAsia" w:hAnsiTheme="majorHAnsi" w:cstheme="majorBidi"/>
                    <w:caps/>
                  </w:rPr>
                </w:pPr>
              </w:p>
            </w:tc>
          </w:tr>
          <w:tr w:rsidR="002F2996" w14:paraId="4F6F9DC3" w14:textId="77777777">
            <w:trPr>
              <w:trHeight w:val="1440"/>
              <w:jc w:val="center"/>
            </w:trPr>
            <w:sdt>
              <w:sdtPr>
                <w:rPr>
                  <w:rFonts w:asciiTheme="majorHAnsi" w:eastAsiaTheme="majorEastAsia" w:hAnsiTheme="majorHAnsi" w:cstheme="majorBidi"/>
                  <w:b/>
                  <w: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5F54B34E" w14:textId="604AF43B" w:rsidR="002F2996" w:rsidRDefault="006B1E70" w:rsidP="002F299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b/>
                        <w:i/>
                        <w:sz w:val="80"/>
                        <w:szCs w:val="80"/>
                      </w:rPr>
                      <w:t>Accounting</w:t>
                    </w:r>
                    <w:r w:rsidR="00AE7A6B">
                      <w:rPr>
                        <w:rFonts w:asciiTheme="majorHAnsi" w:eastAsiaTheme="majorEastAsia" w:hAnsiTheme="majorHAnsi" w:cstheme="majorBidi"/>
                        <w:b/>
                        <w:i/>
                        <w:sz w:val="80"/>
                        <w:szCs w:val="80"/>
                      </w:rPr>
                      <w:t xml:space="preserve"> Fundamentals</w:t>
                    </w:r>
                  </w:p>
                </w:tc>
              </w:sdtContent>
            </w:sdt>
          </w:tr>
          <w:tr w:rsidR="002F2996" w14:paraId="22643FD7" w14:textId="77777777">
            <w:trPr>
              <w:trHeight w:val="360"/>
              <w:jc w:val="center"/>
            </w:trPr>
            <w:tc>
              <w:tcPr>
                <w:tcW w:w="5000" w:type="pct"/>
                <w:vAlign w:val="center"/>
              </w:tcPr>
              <w:p w14:paraId="0804274C" w14:textId="77777777" w:rsidR="002F2996" w:rsidRDefault="002F2996">
                <w:pPr>
                  <w:pStyle w:val="NoSpacing"/>
                  <w:jc w:val="center"/>
                </w:pPr>
              </w:p>
            </w:tc>
          </w:tr>
        </w:tbl>
        <w:p w14:paraId="7AF1DB8A" w14:textId="77777777" w:rsidR="002F2996" w:rsidRDefault="002F2996"/>
        <w:p w14:paraId="2B80456E" w14:textId="77777777" w:rsidR="002F2996" w:rsidRDefault="002F2996"/>
        <w:tbl>
          <w:tblPr>
            <w:tblpPr w:leftFromText="187" w:rightFromText="187" w:horzAnchor="margin" w:tblpXSpec="center" w:tblpYSpec="bottom"/>
            <w:tblW w:w="5000" w:type="pct"/>
            <w:tblLook w:val="04A0" w:firstRow="1" w:lastRow="0" w:firstColumn="1" w:lastColumn="0" w:noHBand="0" w:noVBand="1"/>
          </w:tblPr>
          <w:tblGrid>
            <w:gridCol w:w="9576"/>
          </w:tblGrid>
          <w:tr w:rsidR="002F2996" w14:paraId="21AEBF76" w14:textId="77777777">
            <w:tc>
              <w:tcPr>
                <w:tcW w:w="5000" w:type="pct"/>
              </w:tcPr>
              <w:p w14:paraId="72F45005" w14:textId="77777777" w:rsidR="002F2996" w:rsidRDefault="002F2996">
                <w:pPr>
                  <w:pStyle w:val="NoSpacing"/>
                </w:pPr>
              </w:p>
            </w:tc>
          </w:tr>
        </w:tbl>
        <w:p w14:paraId="47F3DE38" w14:textId="77777777" w:rsidR="002F2996" w:rsidRDefault="002F2996"/>
        <w:p w14:paraId="71A0E7B4" w14:textId="77777777" w:rsidR="002F2996" w:rsidRDefault="002F2996">
          <w:pPr>
            <w:rPr>
              <w:rFonts w:ascii="Arial" w:hAnsi="Arial" w:cs="Arial"/>
              <w:sz w:val="24"/>
              <w:szCs w:val="24"/>
            </w:rPr>
          </w:pPr>
          <w:r>
            <w:rPr>
              <w:rFonts w:ascii="Arial" w:hAnsi="Arial" w:cs="Arial"/>
              <w:b/>
              <w:bCs/>
              <w:sz w:val="24"/>
              <w:szCs w:val="24"/>
            </w:rPr>
            <w:br w:type="page"/>
          </w:r>
        </w:p>
      </w:sdtContent>
    </w:sdt>
    <w:sdt>
      <w:sdtPr>
        <w:rPr>
          <w:rFonts w:asciiTheme="minorHAnsi" w:eastAsiaTheme="minorHAnsi" w:hAnsiTheme="minorHAnsi" w:cstheme="minorBidi"/>
          <w:b w:val="0"/>
          <w:bCs w:val="0"/>
          <w:color w:val="auto"/>
          <w:sz w:val="22"/>
          <w:szCs w:val="22"/>
        </w:rPr>
        <w:id w:val="14067578"/>
        <w:docPartObj>
          <w:docPartGallery w:val="Table of Contents"/>
          <w:docPartUnique/>
        </w:docPartObj>
      </w:sdtPr>
      <w:sdtEndPr/>
      <w:sdtContent>
        <w:p w14:paraId="44E5CAAB" w14:textId="77777777" w:rsidR="002F2996" w:rsidRPr="002F2996" w:rsidRDefault="002F2996" w:rsidP="002F2996">
          <w:pPr>
            <w:pStyle w:val="TOCHeading"/>
            <w:jc w:val="center"/>
            <w:rPr>
              <w:color w:val="auto"/>
            </w:rPr>
          </w:pPr>
          <w:r w:rsidRPr="002F2996">
            <w:rPr>
              <w:color w:val="auto"/>
            </w:rPr>
            <w:t>Table of Contents</w:t>
          </w:r>
        </w:p>
        <w:p w14:paraId="3E9CD9B6" w14:textId="77777777" w:rsidR="002F2996" w:rsidRPr="002F2996" w:rsidRDefault="000F36A8" w:rsidP="002F2996">
          <w:pPr>
            <w:pStyle w:val="TOC1"/>
            <w:tabs>
              <w:tab w:val="right" w:leader="dot" w:pos="9350"/>
            </w:tabs>
            <w:spacing w:line="360" w:lineRule="auto"/>
            <w:jc w:val="both"/>
            <w:rPr>
              <w:rFonts w:ascii="Arial" w:hAnsi="Arial" w:cs="Arial"/>
              <w:noProof/>
              <w:sz w:val="24"/>
            </w:rPr>
          </w:pPr>
          <w:r>
            <w:fldChar w:fldCharType="begin"/>
          </w:r>
          <w:r w:rsidR="002F2996">
            <w:instrText xml:space="preserve"> TOC \o "1-3" \h \z \u </w:instrText>
          </w:r>
          <w:r>
            <w:fldChar w:fldCharType="separate"/>
          </w:r>
          <w:hyperlink w:anchor="_Toc77677852" w:history="1">
            <w:r w:rsidR="002F2996" w:rsidRPr="002F2996">
              <w:rPr>
                <w:rStyle w:val="Hyperlink"/>
                <w:rFonts w:ascii="Arial" w:hAnsi="Arial" w:cs="Arial"/>
                <w:noProof/>
                <w:sz w:val="24"/>
              </w:rPr>
              <w:t>Question 1</w:t>
            </w:r>
            <w:r w:rsidR="002F2996" w:rsidRPr="002F2996">
              <w:rPr>
                <w:rFonts w:ascii="Arial" w:hAnsi="Arial" w:cs="Arial"/>
                <w:noProof/>
                <w:webHidden/>
                <w:sz w:val="24"/>
              </w:rPr>
              <w:tab/>
            </w:r>
            <w:r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_Toc77677852 \h </w:instrText>
            </w:r>
            <w:r w:rsidRPr="002F2996">
              <w:rPr>
                <w:rFonts w:ascii="Arial" w:hAnsi="Arial" w:cs="Arial"/>
                <w:noProof/>
                <w:webHidden/>
                <w:sz w:val="24"/>
              </w:rPr>
            </w:r>
            <w:r w:rsidRPr="002F2996">
              <w:rPr>
                <w:rFonts w:ascii="Arial" w:hAnsi="Arial" w:cs="Arial"/>
                <w:noProof/>
                <w:webHidden/>
                <w:sz w:val="24"/>
              </w:rPr>
              <w:fldChar w:fldCharType="separate"/>
            </w:r>
            <w:r w:rsidR="002F2996" w:rsidRPr="002F2996">
              <w:rPr>
                <w:rFonts w:ascii="Arial" w:hAnsi="Arial" w:cs="Arial"/>
                <w:noProof/>
                <w:webHidden/>
                <w:sz w:val="24"/>
              </w:rPr>
              <w:t>2</w:t>
            </w:r>
            <w:r w:rsidRPr="002F2996">
              <w:rPr>
                <w:rFonts w:ascii="Arial" w:hAnsi="Arial" w:cs="Arial"/>
                <w:noProof/>
                <w:webHidden/>
                <w:sz w:val="24"/>
              </w:rPr>
              <w:fldChar w:fldCharType="end"/>
            </w:r>
          </w:hyperlink>
        </w:p>
        <w:p w14:paraId="225901EC" w14:textId="59F307E3"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3" w:history="1">
            <w:r w:rsidR="002F2996" w:rsidRPr="002F2996">
              <w:rPr>
                <w:rStyle w:val="Hyperlink"/>
                <w:rFonts w:ascii="Arial" w:hAnsi="Arial" w:cs="Arial"/>
                <w:noProof/>
                <w:sz w:val="24"/>
              </w:rPr>
              <w:t>a)</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_Toc77677853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2</w:t>
            </w:r>
            <w:r w:rsidR="000F36A8" w:rsidRPr="002F2996">
              <w:rPr>
                <w:rFonts w:ascii="Arial" w:hAnsi="Arial" w:cs="Arial"/>
                <w:noProof/>
                <w:webHidden/>
                <w:sz w:val="24"/>
              </w:rPr>
              <w:fldChar w:fldCharType="end"/>
            </w:r>
          </w:hyperlink>
        </w:p>
        <w:p w14:paraId="4BAB764D" w14:textId="10ECDC32"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4" w:history="1">
            <w:r w:rsidR="002F2996" w:rsidRPr="002F2996">
              <w:rPr>
                <w:rStyle w:val="Hyperlink"/>
                <w:rFonts w:ascii="Arial" w:hAnsi="Arial" w:cs="Arial"/>
                <w:noProof/>
                <w:sz w:val="24"/>
              </w:rPr>
              <w:t>b)</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_Toc77677854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3</w:t>
            </w:r>
            <w:r w:rsidR="000F36A8" w:rsidRPr="002F2996">
              <w:rPr>
                <w:rFonts w:ascii="Arial" w:hAnsi="Arial" w:cs="Arial"/>
                <w:noProof/>
                <w:webHidden/>
                <w:sz w:val="24"/>
              </w:rPr>
              <w:fldChar w:fldCharType="end"/>
            </w:r>
          </w:hyperlink>
        </w:p>
        <w:p w14:paraId="0BE65153" w14:textId="77777777"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5" w:history="1">
            <w:r w:rsidR="002F2996" w:rsidRPr="002F2996">
              <w:rPr>
                <w:rStyle w:val="Hyperlink"/>
                <w:rFonts w:ascii="Arial" w:hAnsi="Arial" w:cs="Arial"/>
                <w:noProof/>
                <w:sz w:val="24"/>
              </w:rPr>
              <w:t>Question 2</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_Toc77677855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4</w:t>
            </w:r>
            <w:r w:rsidR="000F36A8" w:rsidRPr="002F2996">
              <w:rPr>
                <w:rFonts w:ascii="Arial" w:hAnsi="Arial" w:cs="Arial"/>
                <w:noProof/>
                <w:webHidden/>
                <w:sz w:val="24"/>
              </w:rPr>
              <w:fldChar w:fldCharType="end"/>
            </w:r>
          </w:hyperlink>
        </w:p>
        <w:p w14:paraId="1DCA9F77" w14:textId="2E04FEAB"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6" w:history="1">
            <w:r w:rsidR="00AE7A6B">
              <w:rPr>
                <w:rStyle w:val="Hyperlink"/>
                <w:rFonts w:ascii="Arial" w:hAnsi="Arial" w:cs="Arial"/>
                <w:noProof/>
                <w:sz w:val="24"/>
              </w:rPr>
              <w:t>a</w:t>
            </w:r>
            <w:r w:rsidR="002F2996" w:rsidRPr="002F2996">
              <w:rPr>
                <w:rStyle w:val="Hyperlink"/>
                <w:rFonts w:ascii="Arial" w:hAnsi="Arial" w:cs="Arial"/>
                <w:noProof/>
                <w:sz w:val="24"/>
              </w:rPr>
              <w:t>)</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_Toc77677856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4</w:t>
            </w:r>
            <w:r w:rsidR="000F36A8" w:rsidRPr="002F2996">
              <w:rPr>
                <w:rFonts w:ascii="Arial" w:hAnsi="Arial" w:cs="Arial"/>
                <w:noProof/>
                <w:webHidden/>
                <w:sz w:val="24"/>
              </w:rPr>
              <w:fldChar w:fldCharType="end"/>
            </w:r>
          </w:hyperlink>
        </w:p>
        <w:p w14:paraId="0154688F" w14:textId="292A4FC0"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7" w:history="1">
            <w:r w:rsidR="00AE7A6B">
              <w:rPr>
                <w:rStyle w:val="Hyperlink"/>
                <w:rFonts w:ascii="Arial" w:hAnsi="Arial" w:cs="Arial"/>
                <w:noProof/>
                <w:sz w:val="24"/>
              </w:rPr>
              <w:t>b</w:t>
            </w:r>
            <w:r w:rsidR="002F2996" w:rsidRPr="002F2996">
              <w:rPr>
                <w:rStyle w:val="Hyperlink"/>
                <w:rFonts w:ascii="Arial" w:hAnsi="Arial" w:cs="Arial"/>
                <w:noProof/>
                <w:sz w:val="24"/>
              </w:rPr>
              <w:t>)</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_Toc77677857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4</w:t>
            </w:r>
            <w:r w:rsidR="000F36A8" w:rsidRPr="002F2996">
              <w:rPr>
                <w:rFonts w:ascii="Arial" w:hAnsi="Arial" w:cs="Arial"/>
                <w:noProof/>
                <w:webHidden/>
                <w:sz w:val="24"/>
              </w:rPr>
              <w:fldChar w:fldCharType="end"/>
            </w:r>
          </w:hyperlink>
        </w:p>
        <w:p w14:paraId="1E3BDEA3" w14:textId="77777777" w:rsidR="002F2996" w:rsidRPr="002F2996" w:rsidRDefault="007D01CD" w:rsidP="002F2996">
          <w:pPr>
            <w:pStyle w:val="TOC1"/>
            <w:tabs>
              <w:tab w:val="right" w:leader="dot" w:pos="9350"/>
            </w:tabs>
            <w:spacing w:line="360" w:lineRule="auto"/>
            <w:jc w:val="both"/>
            <w:rPr>
              <w:rFonts w:ascii="Arial" w:hAnsi="Arial" w:cs="Arial"/>
              <w:noProof/>
              <w:sz w:val="24"/>
            </w:rPr>
          </w:pPr>
          <w:hyperlink w:anchor="_Toc77677858" w:history="1">
            <w:r w:rsidR="002F2996" w:rsidRPr="002F2996">
              <w:rPr>
                <w:rStyle w:val="Hyperlink"/>
                <w:rFonts w:ascii="Arial" w:hAnsi="Arial" w:cs="Arial"/>
                <w:noProof/>
                <w:sz w:val="24"/>
              </w:rPr>
              <w:t>References</w:t>
            </w:r>
            <w:r w:rsidR="002F2996" w:rsidRPr="002F2996">
              <w:rPr>
                <w:rFonts w:ascii="Arial" w:hAnsi="Arial" w:cs="Arial"/>
                <w:noProof/>
                <w:webHidden/>
                <w:sz w:val="24"/>
              </w:rPr>
              <w:tab/>
            </w:r>
            <w:r w:rsidR="000F36A8" w:rsidRPr="002F2996">
              <w:rPr>
                <w:rFonts w:ascii="Arial" w:hAnsi="Arial" w:cs="Arial"/>
                <w:noProof/>
                <w:webHidden/>
                <w:sz w:val="24"/>
              </w:rPr>
              <w:fldChar w:fldCharType="begin"/>
            </w:r>
            <w:r w:rsidR="002F2996" w:rsidRPr="002F2996">
              <w:rPr>
                <w:rFonts w:ascii="Arial" w:hAnsi="Arial" w:cs="Arial"/>
                <w:noProof/>
                <w:webHidden/>
                <w:sz w:val="24"/>
              </w:rPr>
              <w:instrText xml:space="preserve"> PAGEREF _Toc77677858 \h </w:instrText>
            </w:r>
            <w:r w:rsidR="000F36A8" w:rsidRPr="002F2996">
              <w:rPr>
                <w:rFonts w:ascii="Arial" w:hAnsi="Arial" w:cs="Arial"/>
                <w:noProof/>
                <w:webHidden/>
                <w:sz w:val="24"/>
              </w:rPr>
            </w:r>
            <w:r w:rsidR="000F36A8" w:rsidRPr="002F2996">
              <w:rPr>
                <w:rFonts w:ascii="Arial" w:hAnsi="Arial" w:cs="Arial"/>
                <w:noProof/>
                <w:webHidden/>
                <w:sz w:val="24"/>
              </w:rPr>
              <w:fldChar w:fldCharType="separate"/>
            </w:r>
            <w:r w:rsidR="002F2996" w:rsidRPr="002F2996">
              <w:rPr>
                <w:rFonts w:ascii="Arial" w:hAnsi="Arial" w:cs="Arial"/>
                <w:noProof/>
                <w:webHidden/>
                <w:sz w:val="24"/>
              </w:rPr>
              <w:t>6</w:t>
            </w:r>
            <w:r w:rsidR="000F36A8" w:rsidRPr="002F2996">
              <w:rPr>
                <w:rFonts w:ascii="Arial" w:hAnsi="Arial" w:cs="Arial"/>
                <w:noProof/>
                <w:webHidden/>
                <w:sz w:val="24"/>
              </w:rPr>
              <w:fldChar w:fldCharType="end"/>
            </w:r>
          </w:hyperlink>
        </w:p>
        <w:p w14:paraId="79D8DEE4" w14:textId="77777777" w:rsidR="002F2996" w:rsidRDefault="000F36A8">
          <w:r>
            <w:fldChar w:fldCharType="end"/>
          </w:r>
        </w:p>
      </w:sdtContent>
    </w:sdt>
    <w:p w14:paraId="0FEBC7B5" w14:textId="77777777" w:rsidR="002F2996" w:rsidRDefault="002F2996">
      <w:pPr>
        <w:rPr>
          <w:rFonts w:ascii="Arial" w:eastAsiaTheme="majorEastAsia" w:hAnsi="Arial" w:cs="Arial"/>
          <w:b/>
          <w:bCs/>
          <w:sz w:val="24"/>
          <w:szCs w:val="24"/>
        </w:rPr>
      </w:pPr>
      <w:r>
        <w:rPr>
          <w:rFonts w:ascii="Arial" w:hAnsi="Arial" w:cs="Arial"/>
          <w:sz w:val="24"/>
          <w:szCs w:val="24"/>
        </w:rPr>
        <w:br w:type="page"/>
      </w:r>
    </w:p>
    <w:p w14:paraId="635911CA" w14:textId="77777777" w:rsidR="00176128" w:rsidRPr="002F2996" w:rsidRDefault="000F1692" w:rsidP="002F2996">
      <w:pPr>
        <w:pStyle w:val="Heading1"/>
        <w:spacing w:line="360" w:lineRule="auto"/>
        <w:jc w:val="both"/>
        <w:rPr>
          <w:rFonts w:ascii="Arial" w:hAnsi="Arial" w:cs="Arial"/>
          <w:color w:val="auto"/>
          <w:sz w:val="24"/>
          <w:szCs w:val="24"/>
        </w:rPr>
      </w:pPr>
      <w:bookmarkStart w:id="0" w:name="_Toc77677852"/>
      <w:r w:rsidRPr="002F2996">
        <w:rPr>
          <w:rFonts w:ascii="Arial" w:hAnsi="Arial" w:cs="Arial"/>
          <w:color w:val="auto"/>
          <w:sz w:val="24"/>
          <w:szCs w:val="24"/>
        </w:rPr>
        <w:lastRenderedPageBreak/>
        <w:t>Question 1</w:t>
      </w:r>
      <w:bookmarkEnd w:id="0"/>
    </w:p>
    <w:p w14:paraId="6B0C6492" w14:textId="7D2698DC" w:rsidR="004E2582" w:rsidRPr="002F2996" w:rsidRDefault="004E2582" w:rsidP="002F2996">
      <w:pPr>
        <w:pStyle w:val="Heading1"/>
        <w:spacing w:line="360" w:lineRule="auto"/>
        <w:jc w:val="both"/>
        <w:rPr>
          <w:rFonts w:ascii="Arial" w:hAnsi="Arial" w:cs="Arial"/>
          <w:color w:val="auto"/>
          <w:sz w:val="24"/>
          <w:szCs w:val="24"/>
        </w:rPr>
      </w:pPr>
      <w:bookmarkStart w:id="1" w:name="_Toc77677853"/>
      <w:r w:rsidRPr="002F2996">
        <w:rPr>
          <w:rFonts w:ascii="Arial" w:hAnsi="Arial" w:cs="Arial"/>
          <w:color w:val="auto"/>
          <w:sz w:val="24"/>
          <w:szCs w:val="24"/>
        </w:rPr>
        <w:t>a)</w:t>
      </w:r>
      <w:bookmarkEnd w:id="1"/>
    </w:p>
    <w:tbl>
      <w:tblPr>
        <w:tblW w:w="7480" w:type="dxa"/>
        <w:tblInd w:w="93" w:type="dxa"/>
        <w:tblLook w:val="04A0" w:firstRow="1" w:lastRow="0" w:firstColumn="1" w:lastColumn="0" w:noHBand="0" w:noVBand="1"/>
      </w:tblPr>
      <w:tblGrid>
        <w:gridCol w:w="4820"/>
        <w:gridCol w:w="1444"/>
        <w:gridCol w:w="1618"/>
      </w:tblGrid>
      <w:tr w:rsidR="00855CAC" w:rsidRPr="00855CAC" w14:paraId="4C214D32" w14:textId="77777777" w:rsidTr="00855CAC">
        <w:trPr>
          <w:trHeight w:val="300"/>
        </w:trPr>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B2E59"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Kedison PLC</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1ADE92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37D6F27C"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E2DF775"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49B6250"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Income Statement For the Year ended 31-Dec-2020</w:t>
            </w:r>
          </w:p>
        </w:tc>
        <w:tc>
          <w:tcPr>
            <w:tcW w:w="1240" w:type="dxa"/>
            <w:tcBorders>
              <w:top w:val="nil"/>
              <w:left w:val="nil"/>
              <w:bottom w:val="single" w:sz="4" w:space="0" w:color="auto"/>
              <w:right w:val="single" w:sz="4" w:space="0" w:color="auto"/>
            </w:tcBorders>
            <w:shd w:val="clear" w:color="auto" w:fill="auto"/>
            <w:noWrap/>
            <w:vAlign w:val="bottom"/>
            <w:hideMark/>
          </w:tcPr>
          <w:p w14:paraId="4817672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44DD706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59DEFE81"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47B2DC1"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240" w:type="dxa"/>
            <w:tcBorders>
              <w:top w:val="nil"/>
              <w:left w:val="nil"/>
              <w:bottom w:val="single" w:sz="4" w:space="0" w:color="auto"/>
              <w:right w:val="single" w:sz="4" w:space="0" w:color="auto"/>
            </w:tcBorders>
            <w:shd w:val="clear" w:color="auto" w:fill="auto"/>
            <w:noWrap/>
            <w:vAlign w:val="bottom"/>
            <w:hideMark/>
          </w:tcPr>
          <w:p w14:paraId="44970E78"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w:t>
            </w:r>
          </w:p>
        </w:tc>
        <w:tc>
          <w:tcPr>
            <w:tcW w:w="1420" w:type="dxa"/>
            <w:tcBorders>
              <w:top w:val="nil"/>
              <w:left w:val="nil"/>
              <w:bottom w:val="single" w:sz="4" w:space="0" w:color="auto"/>
              <w:right w:val="single" w:sz="4" w:space="0" w:color="auto"/>
            </w:tcBorders>
            <w:shd w:val="clear" w:color="auto" w:fill="auto"/>
            <w:noWrap/>
            <w:vAlign w:val="bottom"/>
            <w:hideMark/>
          </w:tcPr>
          <w:p w14:paraId="7212E4C3"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w:t>
            </w:r>
          </w:p>
        </w:tc>
      </w:tr>
      <w:tr w:rsidR="00855CAC" w:rsidRPr="00855CAC" w14:paraId="69F67C5E"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5AD689D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Sales</w:t>
            </w:r>
          </w:p>
        </w:tc>
        <w:tc>
          <w:tcPr>
            <w:tcW w:w="1240" w:type="dxa"/>
            <w:tcBorders>
              <w:top w:val="nil"/>
              <w:left w:val="nil"/>
              <w:bottom w:val="single" w:sz="4" w:space="0" w:color="auto"/>
              <w:right w:val="single" w:sz="4" w:space="0" w:color="auto"/>
            </w:tcBorders>
            <w:shd w:val="clear" w:color="auto" w:fill="auto"/>
            <w:noWrap/>
            <w:vAlign w:val="bottom"/>
            <w:hideMark/>
          </w:tcPr>
          <w:p w14:paraId="73728A9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0C3BB75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827,630.00 </w:t>
            </w:r>
          </w:p>
        </w:tc>
      </w:tr>
      <w:tr w:rsidR="00855CAC" w:rsidRPr="00855CAC" w14:paraId="5F709FD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00E1F9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Cost of Sales</w:t>
            </w:r>
          </w:p>
        </w:tc>
        <w:tc>
          <w:tcPr>
            <w:tcW w:w="1240" w:type="dxa"/>
            <w:tcBorders>
              <w:top w:val="nil"/>
              <w:left w:val="nil"/>
              <w:bottom w:val="single" w:sz="4" w:space="0" w:color="auto"/>
              <w:right w:val="single" w:sz="4" w:space="0" w:color="auto"/>
            </w:tcBorders>
            <w:shd w:val="clear" w:color="auto" w:fill="auto"/>
            <w:noWrap/>
            <w:vAlign w:val="bottom"/>
            <w:hideMark/>
          </w:tcPr>
          <w:p w14:paraId="28DE4D2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7342A99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(578,650.00)</w:t>
            </w:r>
          </w:p>
        </w:tc>
      </w:tr>
      <w:tr w:rsidR="00855CAC" w:rsidRPr="00855CAC" w14:paraId="68C0D6A7"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EB16F98"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Gross profit</w:t>
            </w:r>
          </w:p>
        </w:tc>
        <w:tc>
          <w:tcPr>
            <w:tcW w:w="1240" w:type="dxa"/>
            <w:tcBorders>
              <w:top w:val="nil"/>
              <w:left w:val="nil"/>
              <w:bottom w:val="single" w:sz="4" w:space="0" w:color="auto"/>
              <w:right w:val="single" w:sz="4" w:space="0" w:color="auto"/>
            </w:tcBorders>
            <w:shd w:val="clear" w:color="auto" w:fill="auto"/>
            <w:noWrap/>
            <w:vAlign w:val="bottom"/>
            <w:hideMark/>
          </w:tcPr>
          <w:p w14:paraId="78130EA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0E26275D"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248,980.00 </w:t>
            </w:r>
          </w:p>
        </w:tc>
      </w:tr>
      <w:tr w:rsidR="00855CAC" w:rsidRPr="00855CAC" w14:paraId="50F7E1B9"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8F7A387"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Less expenses</w:t>
            </w:r>
          </w:p>
        </w:tc>
        <w:tc>
          <w:tcPr>
            <w:tcW w:w="1240" w:type="dxa"/>
            <w:tcBorders>
              <w:top w:val="nil"/>
              <w:left w:val="nil"/>
              <w:bottom w:val="single" w:sz="4" w:space="0" w:color="auto"/>
              <w:right w:val="single" w:sz="4" w:space="0" w:color="auto"/>
            </w:tcBorders>
            <w:shd w:val="clear" w:color="auto" w:fill="auto"/>
            <w:noWrap/>
            <w:vAlign w:val="bottom"/>
            <w:hideMark/>
          </w:tcPr>
          <w:p w14:paraId="5F494A3B"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19B1B19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8448DEA"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509B628D"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Administrative expenses</w:t>
            </w:r>
          </w:p>
        </w:tc>
        <w:tc>
          <w:tcPr>
            <w:tcW w:w="1240" w:type="dxa"/>
            <w:tcBorders>
              <w:top w:val="nil"/>
              <w:left w:val="nil"/>
              <w:bottom w:val="single" w:sz="4" w:space="0" w:color="auto"/>
              <w:right w:val="single" w:sz="4" w:space="0" w:color="auto"/>
            </w:tcBorders>
            <w:shd w:val="clear" w:color="auto" w:fill="auto"/>
            <w:noWrap/>
            <w:vAlign w:val="bottom"/>
            <w:hideMark/>
          </w:tcPr>
          <w:p w14:paraId="7420AE16"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(30,000.00)</w:t>
            </w:r>
          </w:p>
        </w:tc>
        <w:tc>
          <w:tcPr>
            <w:tcW w:w="1420" w:type="dxa"/>
            <w:tcBorders>
              <w:top w:val="nil"/>
              <w:left w:val="nil"/>
              <w:bottom w:val="single" w:sz="4" w:space="0" w:color="auto"/>
              <w:right w:val="single" w:sz="4" w:space="0" w:color="auto"/>
            </w:tcBorders>
            <w:shd w:val="clear" w:color="auto" w:fill="auto"/>
            <w:noWrap/>
            <w:vAlign w:val="bottom"/>
            <w:hideMark/>
          </w:tcPr>
          <w:p w14:paraId="24C36D4B"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1F10FE0D"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90548A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Director remuneration</w:t>
            </w:r>
          </w:p>
        </w:tc>
        <w:tc>
          <w:tcPr>
            <w:tcW w:w="1240" w:type="dxa"/>
            <w:tcBorders>
              <w:top w:val="nil"/>
              <w:left w:val="nil"/>
              <w:bottom w:val="single" w:sz="4" w:space="0" w:color="auto"/>
              <w:right w:val="single" w:sz="4" w:space="0" w:color="auto"/>
            </w:tcBorders>
            <w:shd w:val="clear" w:color="auto" w:fill="auto"/>
            <w:noWrap/>
            <w:vAlign w:val="bottom"/>
            <w:hideMark/>
          </w:tcPr>
          <w:p w14:paraId="5AC06E2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(5,000.00)</w:t>
            </w:r>
          </w:p>
        </w:tc>
        <w:tc>
          <w:tcPr>
            <w:tcW w:w="1420" w:type="dxa"/>
            <w:tcBorders>
              <w:top w:val="nil"/>
              <w:left w:val="nil"/>
              <w:bottom w:val="single" w:sz="4" w:space="0" w:color="auto"/>
              <w:right w:val="single" w:sz="4" w:space="0" w:color="auto"/>
            </w:tcBorders>
            <w:shd w:val="clear" w:color="auto" w:fill="auto"/>
            <w:noWrap/>
            <w:vAlign w:val="bottom"/>
            <w:hideMark/>
          </w:tcPr>
          <w:p w14:paraId="234EBF63"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408C81AA"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9EEFE5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Distribution costs</w:t>
            </w:r>
          </w:p>
        </w:tc>
        <w:tc>
          <w:tcPr>
            <w:tcW w:w="1240" w:type="dxa"/>
            <w:tcBorders>
              <w:top w:val="nil"/>
              <w:left w:val="nil"/>
              <w:bottom w:val="single" w:sz="4" w:space="0" w:color="auto"/>
              <w:right w:val="single" w:sz="4" w:space="0" w:color="auto"/>
            </w:tcBorders>
            <w:shd w:val="clear" w:color="auto" w:fill="auto"/>
            <w:noWrap/>
            <w:vAlign w:val="bottom"/>
            <w:hideMark/>
          </w:tcPr>
          <w:p w14:paraId="109FD2E8"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(28,000.00)</w:t>
            </w:r>
          </w:p>
        </w:tc>
        <w:tc>
          <w:tcPr>
            <w:tcW w:w="1420" w:type="dxa"/>
            <w:tcBorders>
              <w:top w:val="nil"/>
              <w:left w:val="nil"/>
              <w:bottom w:val="single" w:sz="4" w:space="0" w:color="auto"/>
              <w:right w:val="single" w:sz="4" w:space="0" w:color="auto"/>
            </w:tcBorders>
            <w:shd w:val="clear" w:color="auto" w:fill="auto"/>
            <w:noWrap/>
            <w:vAlign w:val="bottom"/>
            <w:hideMark/>
          </w:tcPr>
          <w:p w14:paraId="5E6AC17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EBEC1FA"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95740A1"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Commission paid </w:t>
            </w:r>
          </w:p>
        </w:tc>
        <w:tc>
          <w:tcPr>
            <w:tcW w:w="1240" w:type="dxa"/>
            <w:tcBorders>
              <w:top w:val="nil"/>
              <w:left w:val="nil"/>
              <w:bottom w:val="single" w:sz="4" w:space="0" w:color="auto"/>
              <w:right w:val="single" w:sz="4" w:space="0" w:color="auto"/>
            </w:tcBorders>
            <w:shd w:val="clear" w:color="auto" w:fill="auto"/>
            <w:noWrap/>
            <w:vAlign w:val="bottom"/>
            <w:hideMark/>
          </w:tcPr>
          <w:p w14:paraId="5357539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(3,000.00)</w:t>
            </w:r>
          </w:p>
        </w:tc>
        <w:tc>
          <w:tcPr>
            <w:tcW w:w="1420" w:type="dxa"/>
            <w:tcBorders>
              <w:top w:val="nil"/>
              <w:left w:val="nil"/>
              <w:bottom w:val="single" w:sz="4" w:space="0" w:color="auto"/>
              <w:right w:val="single" w:sz="4" w:space="0" w:color="auto"/>
            </w:tcBorders>
            <w:shd w:val="clear" w:color="auto" w:fill="auto"/>
            <w:noWrap/>
            <w:vAlign w:val="bottom"/>
            <w:hideMark/>
          </w:tcPr>
          <w:p w14:paraId="582E2E9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60FA3843"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724939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Interest paid</w:t>
            </w:r>
          </w:p>
        </w:tc>
        <w:tc>
          <w:tcPr>
            <w:tcW w:w="1240" w:type="dxa"/>
            <w:tcBorders>
              <w:top w:val="nil"/>
              <w:left w:val="nil"/>
              <w:bottom w:val="single" w:sz="4" w:space="0" w:color="auto"/>
              <w:right w:val="single" w:sz="4" w:space="0" w:color="auto"/>
            </w:tcBorders>
            <w:shd w:val="clear" w:color="auto" w:fill="auto"/>
            <w:noWrap/>
            <w:vAlign w:val="bottom"/>
            <w:hideMark/>
          </w:tcPr>
          <w:p w14:paraId="513E3CB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(4,000.00)</w:t>
            </w:r>
          </w:p>
        </w:tc>
        <w:tc>
          <w:tcPr>
            <w:tcW w:w="1420" w:type="dxa"/>
            <w:tcBorders>
              <w:top w:val="nil"/>
              <w:left w:val="nil"/>
              <w:bottom w:val="single" w:sz="4" w:space="0" w:color="auto"/>
              <w:right w:val="single" w:sz="4" w:space="0" w:color="auto"/>
            </w:tcBorders>
            <w:shd w:val="clear" w:color="auto" w:fill="auto"/>
            <w:noWrap/>
            <w:vAlign w:val="bottom"/>
            <w:hideMark/>
          </w:tcPr>
          <w:p w14:paraId="5BAB982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63C0E129"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A4D3F7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Tax paid</w:t>
            </w:r>
          </w:p>
        </w:tc>
        <w:tc>
          <w:tcPr>
            <w:tcW w:w="1240" w:type="dxa"/>
            <w:tcBorders>
              <w:top w:val="nil"/>
              <w:left w:val="nil"/>
              <w:bottom w:val="single" w:sz="4" w:space="0" w:color="auto"/>
              <w:right w:val="single" w:sz="4" w:space="0" w:color="auto"/>
            </w:tcBorders>
            <w:shd w:val="clear" w:color="auto" w:fill="auto"/>
            <w:noWrap/>
            <w:vAlign w:val="bottom"/>
            <w:hideMark/>
          </w:tcPr>
          <w:p w14:paraId="0088FCB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(68,000.00)</w:t>
            </w:r>
          </w:p>
        </w:tc>
        <w:tc>
          <w:tcPr>
            <w:tcW w:w="1420" w:type="dxa"/>
            <w:tcBorders>
              <w:top w:val="nil"/>
              <w:left w:val="nil"/>
              <w:bottom w:val="single" w:sz="4" w:space="0" w:color="auto"/>
              <w:right w:val="single" w:sz="4" w:space="0" w:color="auto"/>
            </w:tcBorders>
            <w:shd w:val="clear" w:color="auto" w:fill="auto"/>
            <w:noWrap/>
            <w:vAlign w:val="bottom"/>
            <w:hideMark/>
          </w:tcPr>
          <w:p w14:paraId="2252F65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15BBD9AE"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98AD5C5"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xml:space="preserve">Profit for the year </w:t>
            </w:r>
          </w:p>
        </w:tc>
        <w:tc>
          <w:tcPr>
            <w:tcW w:w="1240" w:type="dxa"/>
            <w:tcBorders>
              <w:top w:val="nil"/>
              <w:left w:val="nil"/>
              <w:bottom w:val="single" w:sz="4" w:space="0" w:color="auto"/>
              <w:right w:val="single" w:sz="4" w:space="0" w:color="auto"/>
            </w:tcBorders>
            <w:shd w:val="clear" w:color="auto" w:fill="auto"/>
            <w:noWrap/>
            <w:vAlign w:val="bottom"/>
            <w:hideMark/>
          </w:tcPr>
          <w:p w14:paraId="5E37D010"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w:t>
            </w:r>
          </w:p>
        </w:tc>
        <w:tc>
          <w:tcPr>
            <w:tcW w:w="1420" w:type="dxa"/>
            <w:tcBorders>
              <w:top w:val="nil"/>
              <w:left w:val="nil"/>
              <w:bottom w:val="single" w:sz="4" w:space="0" w:color="auto"/>
              <w:right w:val="single" w:sz="4" w:space="0" w:color="auto"/>
            </w:tcBorders>
            <w:shd w:val="clear" w:color="auto" w:fill="auto"/>
            <w:noWrap/>
            <w:vAlign w:val="bottom"/>
            <w:hideMark/>
          </w:tcPr>
          <w:p w14:paraId="1E35EC6D"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xml:space="preserve">110,980.00 </w:t>
            </w:r>
          </w:p>
        </w:tc>
      </w:tr>
      <w:tr w:rsidR="00855CAC" w:rsidRPr="00855CAC" w14:paraId="7D9232AE" w14:textId="77777777" w:rsidTr="00855CAC">
        <w:trPr>
          <w:trHeight w:val="300"/>
        </w:trPr>
        <w:tc>
          <w:tcPr>
            <w:tcW w:w="4820" w:type="dxa"/>
            <w:tcBorders>
              <w:top w:val="nil"/>
              <w:left w:val="nil"/>
              <w:bottom w:val="nil"/>
              <w:right w:val="nil"/>
            </w:tcBorders>
            <w:shd w:val="clear" w:color="auto" w:fill="auto"/>
            <w:noWrap/>
            <w:vAlign w:val="bottom"/>
            <w:hideMark/>
          </w:tcPr>
          <w:p w14:paraId="629AB802" w14:textId="77777777" w:rsidR="00855CAC" w:rsidRPr="00855CAC" w:rsidRDefault="00855CAC" w:rsidP="002F2996">
            <w:pPr>
              <w:spacing w:after="0" w:line="360" w:lineRule="auto"/>
              <w:jc w:val="both"/>
              <w:rPr>
                <w:rFonts w:ascii="Arial" w:eastAsia="Times New Roman" w:hAnsi="Arial" w:cs="Arial"/>
                <w:color w:val="000000"/>
                <w:sz w:val="24"/>
                <w:szCs w:val="24"/>
              </w:rPr>
            </w:pPr>
          </w:p>
        </w:tc>
        <w:tc>
          <w:tcPr>
            <w:tcW w:w="1240" w:type="dxa"/>
            <w:tcBorders>
              <w:top w:val="nil"/>
              <w:left w:val="nil"/>
              <w:bottom w:val="nil"/>
              <w:right w:val="nil"/>
            </w:tcBorders>
            <w:shd w:val="clear" w:color="auto" w:fill="auto"/>
            <w:noWrap/>
            <w:vAlign w:val="bottom"/>
            <w:hideMark/>
          </w:tcPr>
          <w:p w14:paraId="64920FB9" w14:textId="77777777" w:rsidR="00855CAC" w:rsidRPr="00855CAC" w:rsidRDefault="00855CAC" w:rsidP="002F2996">
            <w:pPr>
              <w:spacing w:after="0" w:line="360" w:lineRule="auto"/>
              <w:jc w:val="both"/>
              <w:rPr>
                <w:rFonts w:ascii="Arial" w:eastAsia="Times New Roman" w:hAnsi="Arial" w:cs="Arial"/>
                <w:color w:val="000000"/>
                <w:sz w:val="24"/>
                <w:szCs w:val="24"/>
              </w:rPr>
            </w:pPr>
          </w:p>
        </w:tc>
        <w:tc>
          <w:tcPr>
            <w:tcW w:w="1420" w:type="dxa"/>
            <w:tcBorders>
              <w:top w:val="nil"/>
              <w:left w:val="nil"/>
              <w:bottom w:val="nil"/>
              <w:right w:val="nil"/>
            </w:tcBorders>
            <w:shd w:val="clear" w:color="auto" w:fill="auto"/>
            <w:noWrap/>
            <w:vAlign w:val="bottom"/>
            <w:hideMark/>
          </w:tcPr>
          <w:p w14:paraId="527214BB" w14:textId="77777777" w:rsidR="00855CAC" w:rsidRPr="00855CAC" w:rsidRDefault="00855CAC" w:rsidP="002F2996">
            <w:pPr>
              <w:spacing w:after="0" w:line="360" w:lineRule="auto"/>
              <w:jc w:val="both"/>
              <w:rPr>
                <w:rFonts w:ascii="Arial" w:eastAsia="Times New Roman" w:hAnsi="Arial" w:cs="Arial"/>
                <w:color w:val="000000"/>
                <w:sz w:val="24"/>
                <w:szCs w:val="24"/>
              </w:rPr>
            </w:pPr>
          </w:p>
        </w:tc>
      </w:tr>
      <w:tr w:rsidR="00855CAC" w:rsidRPr="00855CAC" w14:paraId="7218E189" w14:textId="77777777" w:rsidTr="00855CAC">
        <w:trPr>
          <w:trHeight w:val="300"/>
        </w:trPr>
        <w:tc>
          <w:tcPr>
            <w:tcW w:w="4820" w:type="dxa"/>
            <w:tcBorders>
              <w:top w:val="nil"/>
              <w:left w:val="nil"/>
              <w:bottom w:val="nil"/>
              <w:right w:val="nil"/>
            </w:tcBorders>
            <w:shd w:val="clear" w:color="auto" w:fill="auto"/>
            <w:noWrap/>
            <w:vAlign w:val="bottom"/>
            <w:hideMark/>
          </w:tcPr>
          <w:p w14:paraId="6CAF3ADD" w14:textId="77777777" w:rsidR="00855CAC" w:rsidRPr="00855CAC" w:rsidRDefault="00855CAC" w:rsidP="002F2996">
            <w:pPr>
              <w:spacing w:after="0" w:line="360" w:lineRule="auto"/>
              <w:jc w:val="both"/>
              <w:rPr>
                <w:rFonts w:ascii="Arial" w:eastAsia="Times New Roman" w:hAnsi="Arial" w:cs="Arial"/>
                <w:color w:val="000000"/>
                <w:sz w:val="24"/>
                <w:szCs w:val="24"/>
              </w:rPr>
            </w:pPr>
          </w:p>
        </w:tc>
        <w:tc>
          <w:tcPr>
            <w:tcW w:w="1240" w:type="dxa"/>
            <w:tcBorders>
              <w:top w:val="nil"/>
              <w:left w:val="nil"/>
              <w:bottom w:val="nil"/>
              <w:right w:val="nil"/>
            </w:tcBorders>
            <w:shd w:val="clear" w:color="auto" w:fill="auto"/>
            <w:noWrap/>
            <w:vAlign w:val="bottom"/>
            <w:hideMark/>
          </w:tcPr>
          <w:p w14:paraId="197221A8" w14:textId="77777777" w:rsidR="00855CAC" w:rsidRPr="00855CAC" w:rsidRDefault="00855CAC" w:rsidP="002F2996">
            <w:pPr>
              <w:spacing w:after="0" w:line="360" w:lineRule="auto"/>
              <w:jc w:val="both"/>
              <w:rPr>
                <w:rFonts w:ascii="Arial" w:eastAsia="Times New Roman" w:hAnsi="Arial" w:cs="Arial"/>
                <w:color w:val="000000"/>
                <w:sz w:val="24"/>
                <w:szCs w:val="24"/>
              </w:rPr>
            </w:pPr>
          </w:p>
        </w:tc>
        <w:tc>
          <w:tcPr>
            <w:tcW w:w="1420" w:type="dxa"/>
            <w:tcBorders>
              <w:top w:val="nil"/>
              <w:left w:val="nil"/>
              <w:bottom w:val="nil"/>
              <w:right w:val="nil"/>
            </w:tcBorders>
            <w:shd w:val="clear" w:color="auto" w:fill="auto"/>
            <w:noWrap/>
            <w:vAlign w:val="bottom"/>
            <w:hideMark/>
          </w:tcPr>
          <w:p w14:paraId="4A81D6C3" w14:textId="77777777" w:rsidR="00855CAC" w:rsidRPr="00855CAC" w:rsidRDefault="00855CAC" w:rsidP="002F2996">
            <w:pPr>
              <w:spacing w:after="0" w:line="360" w:lineRule="auto"/>
              <w:jc w:val="both"/>
              <w:rPr>
                <w:rFonts w:ascii="Arial" w:eastAsia="Times New Roman" w:hAnsi="Arial" w:cs="Arial"/>
                <w:color w:val="000000"/>
                <w:sz w:val="24"/>
                <w:szCs w:val="24"/>
              </w:rPr>
            </w:pPr>
          </w:p>
        </w:tc>
      </w:tr>
      <w:tr w:rsidR="00855CAC" w:rsidRPr="00855CAC" w14:paraId="40F062AB" w14:textId="77777777" w:rsidTr="00855CAC">
        <w:trPr>
          <w:trHeight w:val="300"/>
        </w:trPr>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137C9"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Kedison PLC</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115ECF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01309C7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0B06D3C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1060C3E"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Statement of Financial position as at  31-Dec-2020</w:t>
            </w:r>
          </w:p>
        </w:tc>
        <w:tc>
          <w:tcPr>
            <w:tcW w:w="1240" w:type="dxa"/>
            <w:tcBorders>
              <w:top w:val="nil"/>
              <w:left w:val="nil"/>
              <w:bottom w:val="single" w:sz="4" w:space="0" w:color="auto"/>
              <w:right w:val="single" w:sz="4" w:space="0" w:color="auto"/>
            </w:tcBorders>
            <w:shd w:val="clear" w:color="auto" w:fill="auto"/>
            <w:noWrap/>
            <w:vAlign w:val="bottom"/>
            <w:hideMark/>
          </w:tcPr>
          <w:p w14:paraId="40108ED3"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w:t>
            </w:r>
          </w:p>
        </w:tc>
        <w:tc>
          <w:tcPr>
            <w:tcW w:w="1420" w:type="dxa"/>
            <w:tcBorders>
              <w:top w:val="nil"/>
              <w:left w:val="nil"/>
              <w:bottom w:val="single" w:sz="4" w:space="0" w:color="auto"/>
              <w:right w:val="single" w:sz="4" w:space="0" w:color="auto"/>
            </w:tcBorders>
            <w:shd w:val="clear" w:color="auto" w:fill="auto"/>
            <w:noWrap/>
            <w:vAlign w:val="bottom"/>
            <w:hideMark/>
          </w:tcPr>
          <w:p w14:paraId="5644087F"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w:t>
            </w:r>
          </w:p>
        </w:tc>
      </w:tr>
      <w:tr w:rsidR="00855CAC" w:rsidRPr="00855CAC" w14:paraId="6CB0FF23"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FF7DC8E"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Non-current assets </w:t>
            </w:r>
          </w:p>
        </w:tc>
        <w:tc>
          <w:tcPr>
            <w:tcW w:w="1240" w:type="dxa"/>
            <w:tcBorders>
              <w:top w:val="nil"/>
              <w:left w:val="nil"/>
              <w:bottom w:val="single" w:sz="4" w:space="0" w:color="auto"/>
              <w:right w:val="single" w:sz="4" w:space="0" w:color="auto"/>
            </w:tcBorders>
            <w:shd w:val="clear" w:color="auto" w:fill="auto"/>
            <w:noWrap/>
            <w:vAlign w:val="bottom"/>
            <w:hideMark/>
          </w:tcPr>
          <w:p w14:paraId="02D4E3D8"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3C35880C"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01B2806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5D38DD3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Plant and Equipment </w:t>
            </w:r>
          </w:p>
        </w:tc>
        <w:tc>
          <w:tcPr>
            <w:tcW w:w="1240" w:type="dxa"/>
            <w:tcBorders>
              <w:top w:val="nil"/>
              <w:left w:val="nil"/>
              <w:bottom w:val="single" w:sz="4" w:space="0" w:color="auto"/>
              <w:right w:val="single" w:sz="4" w:space="0" w:color="auto"/>
            </w:tcBorders>
            <w:shd w:val="clear" w:color="auto" w:fill="auto"/>
            <w:noWrap/>
            <w:vAlign w:val="bottom"/>
            <w:hideMark/>
          </w:tcPr>
          <w:p w14:paraId="698AAE30"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08495E4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632,730.00 </w:t>
            </w:r>
          </w:p>
        </w:tc>
      </w:tr>
      <w:tr w:rsidR="00855CAC" w:rsidRPr="00855CAC" w14:paraId="306924D3"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7F54C4F"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Current assets </w:t>
            </w:r>
          </w:p>
        </w:tc>
        <w:tc>
          <w:tcPr>
            <w:tcW w:w="1240" w:type="dxa"/>
            <w:tcBorders>
              <w:top w:val="nil"/>
              <w:left w:val="nil"/>
              <w:bottom w:val="single" w:sz="4" w:space="0" w:color="auto"/>
              <w:right w:val="single" w:sz="4" w:space="0" w:color="auto"/>
            </w:tcBorders>
            <w:shd w:val="clear" w:color="auto" w:fill="auto"/>
            <w:noWrap/>
            <w:vAlign w:val="bottom"/>
            <w:hideMark/>
          </w:tcPr>
          <w:p w14:paraId="587D387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56EBD57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52DAB49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CB69063"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Cash and cash equivalents</w:t>
            </w:r>
          </w:p>
        </w:tc>
        <w:tc>
          <w:tcPr>
            <w:tcW w:w="1240" w:type="dxa"/>
            <w:tcBorders>
              <w:top w:val="nil"/>
              <w:left w:val="nil"/>
              <w:bottom w:val="single" w:sz="4" w:space="0" w:color="auto"/>
              <w:right w:val="single" w:sz="4" w:space="0" w:color="auto"/>
            </w:tcBorders>
            <w:shd w:val="clear" w:color="auto" w:fill="auto"/>
            <w:noWrap/>
            <w:vAlign w:val="bottom"/>
            <w:hideMark/>
          </w:tcPr>
          <w:p w14:paraId="12CE08B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12,900.00 </w:t>
            </w:r>
          </w:p>
        </w:tc>
        <w:tc>
          <w:tcPr>
            <w:tcW w:w="1420" w:type="dxa"/>
            <w:tcBorders>
              <w:top w:val="nil"/>
              <w:left w:val="nil"/>
              <w:bottom w:val="single" w:sz="4" w:space="0" w:color="auto"/>
              <w:right w:val="single" w:sz="4" w:space="0" w:color="auto"/>
            </w:tcBorders>
            <w:shd w:val="clear" w:color="auto" w:fill="auto"/>
            <w:noWrap/>
            <w:vAlign w:val="bottom"/>
            <w:hideMark/>
          </w:tcPr>
          <w:p w14:paraId="0531641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2673B5BF"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B4F72C1"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Trade receivables</w:t>
            </w:r>
          </w:p>
        </w:tc>
        <w:tc>
          <w:tcPr>
            <w:tcW w:w="1240" w:type="dxa"/>
            <w:tcBorders>
              <w:top w:val="nil"/>
              <w:left w:val="nil"/>
              <w:bottom w:val="single" w:sz="4" w:space="0" w:color="auto"/>
              <w:right w:val="single" w:sz="4" w:space="0" w:color="auto"/>
            </w:tcBorders>
            <w:shd w:val="clear" w:color="auto" w:fill="auto"/>
            <w:noWrap/>
            <w:vAlign w:val="bottom"/>
            <w:hideMark/>
          </w:tcPr>
          <w:p w14:paraId="21F224C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170,125.00 </w:t>
            </w:r>
          </w:p>
        </w:tc>
        <w:tc>
          <w:tcPr>
            <w:tcW w:w="1420" w:type="dxa"/>
            <w:tcBorders>
              <w:top w:val="nil"/>
              <w:left w:val="nil"/>
              <w:bottom w:val="single" w:sz="4" w:space="0" w:color="auto"/>
              <w:right w:val="single" w:sz="4" w:space="0" w:color="auto"/>
            </w:tcBorders>
            <w:shd w:val="clear" w:color="auto" w:fill="auto"/>
            <w:noWrap/>
            <w:vAlign w:val="bottom"/>
            <w:hideMark/>
          </w:tcPr>
          <w:p w14:paraId="617A289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A20200E"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0101D2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Inventory </w:t>
            </w:r>
          </w:p>
        </w:tc>
        <w:tc>
          <w:tcPr>
            <w:tcW w:w="1240" w:type="dxa"/>
            <w:tcBorders>
              <w:top w:val="nil"/>
              <w:left w:val="nil"/>
              <w:bottom w:val="single" w:sz="4" w:space="0" w:color="auto"/>
              <w:right w:val="single" w:sz="4" w:space="0" w:color="auto"/>
            </w:tcBorders>
            <w:shd w:val="clear" w:color="auto" w:fill="auto"/>
            <w:noWrap/>
            <w:vAlign w:val="bottom"/>
            <w:hideMark/>
          </w:tcPr>
          <w:p w14:paraId="453B46EC"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330,600.00 </w:t>
            </w:r>
          </w:p>
        </w:tc>
        <w:tc>
          <w:tcPr>
            <w:tcW w:w="1420" w:type="dxa"/>
            <w:tcBorders>
              <w:top w:val="nil"/>
              <w:left w:val="nil"/>
              <w:bottom w:val="single" w:sz="4" w:space="0" w:color="auto"/>
              <w:right w:val="single" w:sz="4" w:space="0" w:color="auto"/>
            </w:tcBorders>
            <w:shd w:val="clear" w:color="auto" w:fill="auto"/>
            <w:noWrap/>
            <w:vAlign w:val="bottom"/>
            <w:hideMark/>
          </w:tcPr>
          <w:p w14:paraId="0E1C98D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2EC12DE4"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D7AC2E1"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Other receivables</w:t>
            </w:r>
          </w:p>
        </w:tc>
        <w:tc>
          <w:tcPr>
            <w:tcW w:w="1240" w:type="dxa"/>
            <w:tcBorders>
              <w:top w:val="nil"/>
              <w:left w:val="nil"/>
              <w:bottom w:val="single" w:sz="4" w:space="0" w:color="auto"/>
              <w:right w:val="single" w:sz="4" w:space="0" w:color="auto"/>
            </w:tcBorders>
            <w:shd w:val="clear" w:color="auto" w:fill="auto"/>
            <w:noWrap/>
            <w:vAlign w:val="bottom"/>
            <w:hideMark/>
          </w:tcPr>
          <w:p w14:paraId="29930D1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980.00 </w:t>
            </w:r>
          </w:p>
        </w:tc>
        <w:tc>
          <w:tcPr>
            <w:tcW w:w="1420" w:type="dxa"/>
            <w:tcBorders>
              <w:top w:val="nil"/>
              <w:left w:val="nil"/>
              <w:bottom w:val="single" w:sz="4" w:space="0" w:color="auto"/>
              <w:right w:val="single" w:sz="4" w:space="0" w:color="auto"/>
            </w:tcBorders>
            <w:shd w:val="clear" w:color="auto" w:fill="auto"/>
            <w:noWrap/>
            <w:vAlign w:val="bottom"/>
            <w:hideMark/>
          </w:tcPr>
          <w:p w14:paraId="09697BDB"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514,605.00 </w:t>
            </w:r>
          </w:p>
        </w:tc>
      </w:tr>
      <w:tr w:rsidR="00855CAC" w:rsidRPr="00855CAC" w14:paraId="461A6CCA"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40A598C"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Total Assets </w:t>
            </w:r>
          </w:p>
        </w:tc>
        <w:tc>
          <w:tcPr>
            <w:tcW w:w="1240" w:type="dxa"/>
            <w:tcBorders>
              <w:top w:val="nil"/>
              <w:left w:val="nil"/>
              <w:bottom w:val="single" w:sz="4" w:space="0" w:color="auto"/>
              <w:right w:val="single" w:sz="4" w:space="0" w:color="auto"/>
            </w:tcBorders>
            <w:shd w:val="clear" w:color="auto" w:fill="auto"/>
            <w:noWrap/>
            <w:vAlign w:val="bottom"/>
            <w:hideMark/>
          </w:tcPr>
          <w:p w14:paraId="5C1A21E8"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w:t>
            </w:r>
          </w:p>
        </w:tc>
        <w:tc>
          <w:tcPr>
            <w:tcW w:w="1420" w:type="dxa"/>
            <w:tcBorders>
              <w:top w:val="nil"/>
              <w:left w:val="nil"/>
              <w:bottom w:val="single" w:sz="4" w:space="0" w:color="auto"/>
              <w:right w:val="single" w:sz="4" w:space="0" w:color="auto"/>
            </w:tcBorders>
            <w:shd w:val="clear" w:color="auto" w:fill="auto"/>
            <w:noWrap/>
            <w:vAlign w:val="bottom"/>
            <w:hideMark/>
          </w:tcPr>
          <w:p w14:paraId="71939725"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xml:space="preserve">1,147,335.00 </w:t>
            </w:r>
          </w:p>
        </w:tc>
      </w:tr>
      <w:tr w:rsidR="00855CAC" w:rsidRPr="00855CAC" w14:paraId="3D1FCAF1"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ECC4F14"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lastRenderedPageBreak/>
              <w:t>Equity and liabilities</w:t>
            </w:r>
          </w:p>
        </w:tc>
        <w:tc>
          <w:tcPr>
            <w:tcW w:w="1240" w:type="dxa"/>
            <w:tcBorders>
              <w:top w:val="nil"/>
              <w:left w:val="nil"/>
              <w:bottom w:val="single" w:sz="4" w:space="0" w:color="auto"/>
              <w:right w:val="single" w:sz="4" w:space="0" w:color="auto"/>
            </w:tcBorders>
            <w:shd w:val="clear" w:color="auto" w:fill="auto"/>
            <w:noWrap/>
            <w:vAlign w:val="bottom"/>
            <w:hideMark/>
          </w:tcPr>
          <w:p w14:paraId="7F02C053"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27993F58"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150FA9E9"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07B94D55"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Equity</w:t>
            </w:r>
          </w:p>
        </w:tc>
        <w:tc>
          <w:tcPr>
            <w:tcW w:w="1240" w:type="dxa"/>
            <w:tcBorders>
              <w:top w:val="nil"/>
              <w:left w:val="nil"/>
              <w:bottom w:val="single" w:sz="4" w:space="0" w:color="auto"/>
              <w:right w:val="single" w:sz="4" w:space="0" w:color="auto"/>
            </w:tcBorders>
            <w:shd w:val="clear" w:color="auto" w:fill="auto"/>
            <w:noWrap/>
            <w:vAlign w:val="bottom"/>
            <w:hideMark/>
          </w:tcPr>
          <w:p w14:paraId="6AD857D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08ADF7F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2FDE9DFE"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4F612E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Ordinary share capital</w:t>
            </w:r>
          </w:p>
        </w:tc>
        <w:tc>
          <w:tcPr>
            <w:tcW w:w="1240" w:type="dxa"/>
            <w:tcBorders>
              <w:top w:val="nil"/>
              <w:left w:val="nil"/>
              <w:bottom w:val="single" w:sz="4" w:space="0" w:color="auto"/>
              <w:right w:val="single" w:sz="4" w:space="0" w:color="auto"/>
            </w:tcBorders>
            <w:shd w:val="clear" w:color="auto" w:fill="auto"/>
            <w:noWrap/>
            <w:vAlign w:val="bottom"/>
            <w:hideMark/>
          </w:tcPr>
          <w:p w14:paraId="3F4112A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310,000.00 </w:t>
            </w:r>
          </w:p>
        </w:tc>
        <w:tc>
          <w:tcPr>
            <w:tcW w:w="1420" w:type="dxa"/>
            <w:tcBorders>
              <w:top w:val="nil"/>
              <w:left w:val="nil"/>
              <w:bottom w:val="single" w:sz="4" w:space="0" w:color="auto"/>
              <w:right w:val="single" w:sz="4" w:space="0" w:color="auto"/>
            </w:tcBorders>
            <w:shd w:val="clear" w:color="auto" w:fill="auto"/>
            <w:noWrap/>
            <w:vAlign w:val="bottom"/>
            <w:hideMark/>
          </w:tcPr>
          <w:p w14:paraId="3E752A25"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618086B9"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0A5FD6DE"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Preference share capital</w:t>
            </w:r>
          </w:p>
        </w:tc>
        <w:tc>
          <w:tcPr>
            <w:tcW w:w="1240" w:type="dxa"/>
            <w:tcBorders>
              <w:top w:val="nil"/>
              <w:left w:val="nil"/>
              <w:bottom w:val="single" w:sz="4" w:space="0" w:color="auto"/>
              <w:right w:val="single" w:sz="4" w:space="0" w:color="auto"/>
            </w:tcBorders>
            <w:shd w:val="clear" w:color="auto" w:fill="auto"/>
            <w:noWrap/>
            <w:vAlign w:val="bottom"/>
            <w:hideMark/>
          </w:tcPr>
          <w:p w14:paraId="19C2C1F7"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300,000.00 </w:t>
            </w:r>
          </w:p>
        </w:tc>
        <w:tc>
          <w:tcPr>
            <w:tcW w:w="1420" w:type="dxa"/>
            <w:tcBorders>
              <w:top w:val="nil"/>
              <w:left w:val="nil"/>
              <w:bottom w:val="single" w:sz="4" w:space="0" w:color="auto"/>
              <w:right w:val="single" w:sz="4" w:space="0" w:color="auto"/>
            </w:tcBorders>
            <w:shd w:val="clear" w:color="auto" w:fill="auto"/>
            <w:noWrap/>
            <w:vAlign w:val="bottom"/>
            <w:hideMark/>
          </w:tcPr>
          <w:p w14:paraId="5F97E6DD"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93F69C6"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ABD4A4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Retained earnings (132000+110980-30000-20000)</w:t>
            </w:r>
          </w:p>
        </w:tc>
        <w:tc>
          <w:tcPr>
            <w:tcW w:w="1240" w:type="dxa"/>
            <w:tcBorders>
              <w:top w:val="nil"/>
              <w:left w:val="nil"/>
              <w:bottom w:val="single" w:sz="4" w:space="0" w:color="auto"/>
              <w:right w:val="single" w:sz="4" w:space="0" w:color="auto"/>
            </w:tcBorders>
            <w:shd w:val="clear" w:color="auto" w:fill="auto"/>
            <w:noWrap/>
            <w:vAlign w:val="bottom"/>
            <w:hideMark/>
          </w:tcPr>
          <w:p w14:paraId="6AD6CB1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192,980.00 </w:t>
            </w:r>
          </w:p>
        </w:tc>
        <w:tc>
          <w:tcPr>
            <w:tcW w:w="1420" w:type="dxa"/>
            <w:tcBorders>
              <w:top w:val="nil"/>
              <w:left w:val="nil"/>
              <w:bottom w:val="single" w:sz="4" w:space="0" w:color="auto"/>
              <w:right w:val="single" w:sz="4" w:space="0" w:color="auto"/>
            </w:tcBorders>
            <w:shd w:val="clear" w:color="auto" w:fill="auto"/>
            <w:noWrap/>
            <w:vAlign w:val="bottom"/>
            <w:hideMark/>
          </w:tcPr>
          <w:p w14:paraId="4D3B5BD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519E20B6"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0C9B7E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Total equity </w:t>
            </w:r>
          </w:p>
        </w:tc>
        <w:tc>
          <w:tcPr>
            <w:tcW w:w="1240" w:type="dxa"/>
            <w:tcBorders>
              <w:top w:val="nil"/>
              <w:left w:val="nil"/>
              <w:bottom w:val="single" w:sz="4" w:space="0" w:color="auto"/>
              <w:right w:val="single" w:sz="4" w:space="0" w:color="auto"/>
            </w:tcBorders>
            <w:shd w:val="clear" w:color="auto" w:fill="auto"/>
            <w:noWrap/>
            <w:vAlign w:val="bottom"/>
            <w:hideMark/>
          </w:tcPr>
          <w:p w14:paraId="25A022C2"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0B62352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802,980.00 </w:t>
            </w:r>
          </w:p>
        </w:tc>
      </w:tr>
      <w:tr w:rsidR="00855CAC" w:rsidRPr="00855CAC" w14:paraId="2B8EB06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A59D683"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Non-current Liabilities </w:t>
            </w:r>
          </w:p>
        </w:tc>
        <w:tc>
          <w:tcPr>
            <w:tcW w:w="1240" w:type="dxa"/>
            <w:tcBorders>
              <w:top w:val="nil"/>
              <w:left w:val="nil"/>
              <w:bottom w:val="single" w:sz="4" w:space="0" w:color="auto"/>
              <w:right w:val="single" w:sz="4" w:space="0" w:color="auto"/>
            </w:tcBorders>
            <w:shd w:val="clear" w:color="auto" w:fill="auto"/>
            <w:noWrap/>
            <w:vAlign w:val="bottom"/>
            <w:hideMark/>
          </w:tcPr>
          <w:p w14:paraId="238724C0"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1299A654"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4E77D95B"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C12D2C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4% debentures</w:t>
            </w:r>
          </w:p>
        </w:tc>
        <w:tc>
          <w:tcPr>
            <w:tcW w:w="1240" w:type="dxa"/>
            <w:tcBorders>
              <w:top w:val="nil"/>
              <w:left w:val="nil"/>
              <w:bottom w:val="single" w:sz="4" w:space="0" w:color="auto"/>
              <w:right w:val="single" w:sz="4" w:space="0" w:color="auto"/>
            </w:tcBorders>
            <w:shd w:val="clear" w:color="auto" w:fill="auto"/>
            <w:noWrap/>
            <w:vAlign w:val="bottom"/>
            <w:hideMark/>
          </w:tcPr>
          <w:p w14:paraId="192D41A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100,000.00 </w:t>
            </w:r>
          </w:p>
        </w:tc>
        <w:tc>
          <w:tcPr>
            <w:tcW w:w="1420" w:type="dxa"/>
            <w:tcBorders>
              <w:top w:val="nil"/>
              <w:left w:val="nil"/>
              <w:bottom w:val="single" w:sz="4" w:space="0" w:color="auto"/>
              <w:right w:val="single" w:sz="4" w:space="0" w:color="auto"/>
            </w:tcBorders>
            <w:shd w:val="clear" w:color="auto" w:fill="auto"/>
            <w:noWrap/>
            <w:vAlign w:val="bottom"/>
            <w:hideMark/>
          </w:tcPr>
          <w:p w14:paraId="783CC5A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45DD9D76"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6DA66BA"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Current liabilities </w:t>
            </w:r>
          </w:p>
        </w:tc>
        <w:tc>
          <w:tcPr>
            <w:tcW w:w="1240" w:type="dxa"/>
            <w:tcBorders>
              <w:top w:val="nil"/>
              <w:left w:val="nil"/>
              <w:bottom w:val="single" w:sz="4" w:space="0" w:color="auto"/>
              <w:right w:val="single" w:sz="4" w:space="0" w:color="auto"/>
            </w:tcBorders>
            <w:shd w:val="clear" w:color="auto" w:fill="auto"/>
            <w:noWrap/>
            <w:vAlign w:val="bottom"/>
            <w:hideMark/>
          </w:tcPr>
          <w:p w14:paraId="63A3D246"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1EC6A611"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7524A7E5"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1EE960D"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Trade payables</w:t>
            </w:r>
          </w:p>
        </w:tc>
        <w:tc>
          <w:tcPr>
            <w:tcW w:w="1240" w:type="dxa"/>
            <w:tcBorders>
              <w:top w:val="nil"/>
              <w:left w:val="nil"/>
              <w:bottom w:val="single" w:sz="4" w:space="0" w:color="auto"/>
              <w:right w:val="single" w:sz="4" w:space="0" w:color="auto"/>
            </w:tcBorders>
            <w:shd w:val="clear" w:color="auto" w:fill="auto"/>
            <w:noWrap/>
            <w:vAlign w:val="bottom"/>
            <w:hideMark/>
          </w:tcPr>
          <w:p w14:paraId="18FF56ED"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171,355.00 </w:t>
            </w:r>
          </w:p>
        </w:tc>
        <w:tc>
          <w:tcPr>
            <w:tcW w:w="1420" w:type="dxa"/>
            <w:tcBorders>
              <w:top w:val="nil"/>
              <w:left w:val="nil"/>
              <w:bottom w:val="single" w:sz="4" w:space="0" w:color="auto"/>
              <w:right w:val="single" w:sz="4" w:space="0" w:color="auto"/>
            </w:tcBorders>
            <w:shd w:val="clear" w:color="auto" w:fill="auto"/>
            <w:noWrap/>
            <w:vAlign w:val="bottom"/>
            <w:hideMark/>
          </w:tcPr>
          <w:p w14:paraId="16B692A6"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48CC93AF"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A49E1DF"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Commission payable </w:t>
            </w:r>
          </w:p>
        </w:tc>
        <w:tc>
          <w:tcPr>
            <w:tcW w:w="1240" w:type="dxa"/>
            <w:tcBorders>
              <w:top w:val="nil"/>
              <w:left w:val="nil"/>
              <w:bottom w:val="single" w:sz="4" w:space="0" w:color="auto"/>
              <w:right w:val="single" w:sz="4" w:space="0" w:color="auto"/>
            </w:tcBorders>
            <w:shd w:val="clear" w:color="auto" w:fill="auto"/>
            <w:noWrap/>
            <w:vAlign w:val="bottom"/>
            <w:hideMark/>
          </w:tcPr>
          <w:p w14:paraId="1F6AEE39"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3,000.00 </w:t>
            </w:r>
          </w:p>
        </w:tc>
        <w:tc>
          <w:tcPr>
            <w:tcW w:w="1420" w:type="dxa"/>
            <w:tcBorders>
              <w:top w:val="nil"/>
              <w:left w:val="nil"/>
              <w:bottom w:val="single" w:sz="4" w:space="0" w:color="auto"/>
              <w:right w:val="single" w:sz="4" w:space="0" w:color="auto"/>
            </w:tcBorders>
            <w:shd w:val="clear" w:color="auto" w:fill="auto"/>
            <w:noWrap/>
            <w:vAlign w:val="bottom"/>
            <w:hideMark/>
          </w:tcPr>
          <w:p w14:paraId="6441BBC0"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65CF8DF0"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B4A7FBB"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Tax payables</w:t>
            </w:r>
          </w:p>
        </w:tc>
        <w:tc>
          <w:tcPr>
            <w:tcW w:w="1240" w:type="dxa"/>
            <w:tcBorders>
              <w:top w:val="nil"/>
              <w:left w:val="nil"/>
              <w:bottom w:val="single" w:sz="4" w:space="0" w:color="auto"/>
              <w:right w:val="single" w:sz="4" w:space="0" w:color="auto"/>
            </w:tcBorders>
            <w:shd w:val="clear" w:color="auto" w:fill="auto"/>
            <w:noWrap/>
            <w:vAlign w:val="bottom"/>
            <w:hideMark/>
          </w:tcPr>
          <w:p w14:paraId="24131D00"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68,000.00 </w:t>
            </w:r>
          </w:p>
        </w:tc>
        <w:tc>
          <w:tcPr>
            <w:tcW w:w="1420" w:type="dxa"/>
            <w:tcBorders>
              <w:top w:val="nil"/>
              <w:left w:val="nil"/>
              <w:bottom w:val="single" w:sz="4" w:space="0" w:color="auto"/>
              <w:right w:val="single" w:sz="4" w:space="0" w:color="auto"/>
            </w:tcBorders>
            <w:shd w:val="clear" w:color="auto" w:fill="auto"/>
            <w:noWrap/>
            <w:vAlign w:val="bottom"/>
            <w:hideMark/>
          </w:tcPr>
          <w:p w14:paraId="0C4C4A6A"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r>
      <w:tr w:rsidR="00855CAC" w:rsidRPr="00855CAC" w14:paraId="6B92268C"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6850A53"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Interest payable </w:t>
            </w:r>
          </w:p>
        </w:tc>
        <w:tc>
          <w:tcPr>
            <w:tcW w:w="1240" w:type="dxa"/>
            <w:tcBorders>
              <w:top w:val="nil"/>
              <w:left w:val="nil"/>
              <w:bottom w:val="single" w:sz="4" w:space="0" w:color="auto"/>
              <w:right w:val="single" w:sz="4" w:space="0" w:color="auto"/>
            </w:tcBorders>
            <w:shd w:val="clear" w:color="auto" w:fill="auto"/>
            <w:noWrap/>
            <w:vAlign w:val="bottom"/>
            <w:hideMark/>
          </w:tcPr>
          <w:p w14:paraId="18E9FFB3"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2,000.00 </w:t>
            </w:r>
          </w:p>
        </w:tc>
        <w:tc>
          <w:tcPr>
            <w:tcW w:w="1420" w:type="dxa"/>
            <w:tcBorders>
              <w:top w:val="nil"/>
              <w:left w:val="nil"/>
              <w:bottom w:val="single" w:sz="4" w:space="0" w:color="auto"/>
              <w:right w:val="single" w:sz="4" w:space="0" w:color="auto"/>
            </w:tcBorders>
            <w:shd w:val="clear" w:color="auto" w:fill="auto"/>
            <w:noWrap/>
            <w:vAlign w:val="bottom"/>
            <w:hideMark/>
          </w:tcPr>
          <w:p w14:paraId="64033EEE"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xml:space="preserve">344,355.00 </w:t>
            </w:r>
          </w:p>
        </w:tc>
      </w:tr>
      <w:tr w:rsidR="00855CAC" w:rsidRPr="00855CAC" w14:paraId="0DF74691" w14:textId="77777777" w:rsidTr="00855CAC">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0DDACE3" w14:textId="77777777" w:rsidR="00855CAC" w:rsidRPr="00855CAC" w:rsidRDefault="00855CAC" w:rsidP="002F2996">
            <w:pPr>
              <w:spacing w:after="0" w:line="360" w:lineRule="auto"/>
              <w:jc w:val="both"/>
              <w:rPr>
                <w:rFonts w:ascii="Arial" w:eastAsia="Times New Roman" w:hAnsi="Arial" w:cs="Arial"/>
                <w:b/>
                <w:bCs/>
                <w:color w:val="000000"/>
                <w:sz w:val="24"/>
                <w:szCs w:val="24"/>
              </w:rPr>
            </w:pPr>
            <w:r w:rsidRPr="00855CAC">
              <w:rPr>
                <w:rFonts w:ascii="Arial" w:eastAsia="Times New Roman" w:hAnsi="Arial" w:cs="Arial"/>
                <w:b/>
                <w:bCs/>
                <w:color w:val="000000"/>
                <w:sz w:val="24"/>
                <w:szCs w:val="24"/>
              </w:rPr>
              <w:t xml:space="preserve">Total Equity and Liabilities </w:t>
            </w:r>
          </w:p>
        </w:tc>
        <w:tc>
          <w:tcPr>
            <w:tcW w:w="1240" w:type="dxa"/>
            <w:tcBorders>
              <w:top w:val="nil"/>
              <w:left w:val="nil"/>
              <w:bottom w:val="single" w:sz="4" w:space="0" w:color="auto"/>
              <w:right w:val="single" w:sz="4" w:space="0" w:color="auto"/>
            </w:tcBorders>
            <w:shd w:val="clear" w:color="auto" w:fill="auto"/>
            <w:noWrap/>
            <w:vAlign w:val="bottom"/>
            <w:hideMark/>
          </w:tcPr>
          <w:p w14:paraId="333E6D30" w14:textId="77777777" w:rsidR="00855CAC" w:rsidRPr="00855CAC" w:rsidRDefault="00855CAC" w:rsidP="002F2996">
            <w:pPr>
              <w:spacing w:after="0" w:line="360" w:lineRule="auto"/>
              <w:jc w:val="both"/>
              <w:rPr>
                <w:rFonts w:ascii="Arial" w:eastAsia="Times New Roman" w:hAnsi="Arial" w:cs="Arial"/>
                <w:color w:val="000000"/>
                <w:sz w:val="24"/>
                <w:szCs w:val="24"/>
              </w:rPr>
            </w:pPr>
            <w:r w:rsidRPr="00855CAC">
              <w:rPr>
                <w:rFonts w:ascii="Arial" w:eastAsia="Times New Roman" w:hAnsi="Arial" w:cs="Arial"/>
                <w:color w:val="000000"/>
                <w:sz w:val="24"/>
                <w:szCs w:val="24"/>
              </w:rPr>
              <w:t> </w:t>
            </w:r>
          </w:p>
        </w:tc>
        <w:tc>
          <w:tcPr>
            <w:tcW w:w="1420" w:type="dxa"/>
            <w:tcBorders>
              <w:top w:val="nil"/>
              <w:left w:val="nil"/>
              <w:bottom w:val="single" w:sz="4" w:space="0" w:color="auto"/>
              <w:right w:val="single" w:sz="4" w:space="0" w:color="auto"/>
            </w:tcBorders>
            <w:shd w:val="clear" w:color="auto" w:fill="auto"/>
            <w:noWrap/>
            <w:vAlign w:val="bottom"/>
            <w:hideMark/>
          </w:tcPr>
          <w:p w14:paraId="7CEF936A" w14:textId="77777777" w:rsidR="00855CAC" w:rsidRPr="00855CAC" w:rsidRDefault="00855CAC" w:rsidP="002F2996">
            <w:pPr>
              <w:spacing w:after="0" w:line="360" w:lineRule="auto"/>
              <w:jc w:val="both"/>
              <w:rPr>
                <w:rFonts w:ascii="Arial" w:eastAsia="Times New Roman" w:hAnsi="Arial" w:cs="Arial"/>
                <w:b/>
                <w:bCs/>
                <w:color w:val="000000"/>
                <w:sz w:val="24"/>
                <w:szCs w:val="24"/>
                <w:u w:val="single"/>
              </w:rPr>
            </w:pPr>
            <w:r w:rsidRPr="00855CAC">
              <w:rPr>
                <w:rFonts w:ascii="Arial" w:eastAsia="Times New Roman" w:hAnsi="Arial" w:cs="Arial"/>
                <w:b/>
                <w:bCs/>
                <w:color w:val="000000"/>
                <w:sz w:val="24"/>
                <w:szCs w:val="24"/>
                <w:u w:val="single"/>
              </w:rPr>
              <w:t xml:space="preserve">1,147,335.00 </w:t>
            </w:r>
          </w:p>
        </w:tc>
      </w:tr>
    </w:tbl>
    <w:p w14:paraId="625AE24B" w14:textId="77777777" w:rsidR="00855CAC" w:rsidRPr="002F2996" w:rsidRDefault="00855CAC" w:rsidP="002F2996">
      <w:pPr>
        <w:spacing w:line="360" w:lineRule="auto"/>
        <w:jc w:val="both"/>
        <w:rPr>
          <w:rFonts w:ascii="Arial" w:hAnsi="Arial" w:cs="Arial"/>
          <w:sz w:val="24"/>
          <w:szCs w:val="24"/>
        </w:rPr>
      </w:pPr>
    </w:p>
    <w:p w14:paraId="53A84B3C" w14:textId="35B327F7" w:rsidR="004E2582" w:rsidRPr="002F2996" w:rsidRDefault="004E2582" w:rsidP="002F2996">
      <w:pPr>
        <w:pStyle w:val="Heading1"/>
        <w:spacing w:line="360" w:lineRule="auto"/>
        <w:jc w:val="both"/>
        <w:rPr>
          <w:rFonts w:ascii="Arial" w:hAnsi="Arial" w:cs="Arial"/>
          <w:color w:val="auto"/>
          <w:sz w:val="24"/>
          <w:szCs w:val="24"/>
        </w:rPr>
      </w:pPr>
      <w:bookmarkStart w:id="2" w:name="_Toc77677854"/>
      <w:r w:rsidRPr="002F2996">
        <w:rPr>
          <w:rFonts w:ascii="Arial" w:hAnsi="Arial" w:cs="Arial"/>
          <w:color w:val="auto"/>
          <w:sz w:val="24"/>
          <w:szCs w:val="24"/>
        </w:rPr>
        <w:t>b)</w:t>
      </w:r>
      <w:bookmarkEnd w:id="2"/>
    </w:p>
    <w:p w14:paraId="7A5B1D87" w14:textId="77777777" w:rsidR="006135AF" w:rsidRPr="002F2996" w:rsidRDefault="000F1692" w:rsidP="00DF1C00">
      <w:pPr>
        <w:spacing w:line="360" w:lineRule="auto"/>
        <w:jc w:val="both"/>
        <w:rPr>
          <w:rFonts w:ascii="Arial" w:hAnsi="Arial" w:cs="Arial"/>
          <w:sz w:val="24"/>
          <w:szCs w:val="24"/>
        </w:rPr>
      </w:pPr>
      <w:r w:rsidRPr="002F2996">
        <w:rPr>
          <w:rFonts w:ascii="Arial" w:hAnsi="Arial" w:cs="Arial"/>
          <w:sz w:val="24"/>
          <w:szCs w:val="24"/>
        </w:rPr>
        <w:t>The balance sheet is set up such that an entity's total assets equal the sum of its liabilities and equity. An entity's assets can be financed either internally (through share capital and income) or externally (by credit)</w:t>
      </w:r>
      <w:r w:rsidR="00797432">
        <w:rPr>
          <w:rFonts w:ascii="Arial" w:hAnsi="Arial" w:cs="Arial"/>
          <w:sz w:val="24"/>
          <w:szCs w:val="24"/>
        </w:rPr>
        <w:t xml:space="preserve">. </w:t>
      </w:r>
      <w:r w:rsidR="00342DA0" w:rsidRPr="002F2996">
        <w:rPr>
          <w:rFonts w:ascii="Arial" w:hAnsi="Arial" w:cs="Arial"/>
          <w:sz w:val="24"/>
          <w:szCs w:val="24"/>
        </w:rPr>
        <w:t xml:space="preserve">The </w:t>
      </w:r>
      <w:r w:rsidR="00786214">
        <w:rPr>
          <w:rFonts w:ascii="Arial" w:hAnsi="Arial" w:cs="Arial"/>
          <w:sz w:val="24"/>
          <w:szCs w:val="24"/>
        </w:rPr>
        <w:t>balance sheet</w:t>
      </w:r>
      <w:r w:rsidR="00342DA0" w:rsidRPr="006B1E70">
        <w:rPr>
          <w:rFonts w:ascii="Arial" w:hAnsi="Arial" w:cs="Arial"/>
          <w:sz w:val="24"/>
          <w:szCs w:val="24"/>
        </w:rPr>
        <w:t xml:space="preserve"> aids users of financial statements in determining an entity's financial health</w:t>
      </w:r>
      <w:r w:rsidR="006B1E70" w:rsidRPr="006B1E70">
        <w:rPr>
          <w:rFonts w:ascii="Arial" w:hAnsi="Arial" w:cs="Arial"/>
          <w:sz w:val="24"/>
          <w:szCs w:val="24"/>
        </w:rPr>
        <w:t xml:space="preserve"> </w:t>
      </w:r>
      <w:r w:rsidR="006B1E70" w:rsidRPr="006B1E70">
        <w:rPr>
          <w:rFonts w:ascii="Arial" w:hAnsi="Arial" w:cs="Arial"/>
          <w:sz w:val="24"/>
          <w:szCs w:val="24"/>
          <w:shd w:val="clear" w:color="auto" w:fill="FFFFFF"/>
        </w:rPr>
        <w:t>(Bareja-Wawryszuk, 2020)</w:t>
      </w:r>
      <w:r w:rsidR="00342DA0" w:rsidRPr="006B1E70">
        <w:rPr>
          <w:rFonts w:ascii="Arial" w:hAnsi="Arial" w:cs="Arial"/>
          <w:sz w:val="24"/>
          <w:szCs w:val="24"/>
        </w:rPr>
        <w:t>.</w:t>
      </w:r>
      <w:r w:rsidR="00342DA0" w:rsidRPr="002F2996">
        <w:rPr>
          <w:rFonts w:ascii="Arial" w:hAnsi="Arial" w:cs="Arial"/>
          <w:sz w:val="24"/>
          <w:szCs w:val="24"/>
        </w:rPr>
        <w:t xml:space="preserve"> </w:t>
      </w:r>
    </w:p>
    <w:p w14:paraId="1488B0FE" w14:textId="77777777" w:rsidR="00DF1C00" w:rsidRPr="0078668A" w:rsidRDefault="00DF1C00" w:rsidP="00DF1C00">
      <w:pPr>
        <w:spacing w:line="360" w:lineRule="auto"/>
        <w:jc w:val="both"/>
        <w:rPr>
          <w:rFonts w:ascii="Arial" w:hAnsi="Arial" w:cs="Arial"/>
          <w:sz w:val="24"/>
          <w:szCs w:val="24"/>
        </w:rPr>
      </w:pPr>
      <w:r w:rsidRPr="0078668A">
        <w:rPr>
          <w:rFonts w:ascii="Arial" w:hAnsi="Arial" w:cs="Arial"/>
          <w:sz w:val="24"/>
          <w:szCs w:val="24"/>
        </w:rPr>
        <w:t>Out of Financial Statements, a Profit and Loss Statement is prepared first which shows the net profit for the accounting year. A Profit and loss statement is made by deducting all of the expenses of the business from all of the revenue it has earned which gives rise to either net profit or net loss</w:t>
      </w:r>
      <w:r>
        <w:rPr>
          <w:rFonts w:ascii="Arial" w:hAnsi="Arial" w:cs="Arial"/>
          <w:sz w:val="24"/>
          <w:szCs w:val="24"/>
        </w:rPr>
        <w:t xml:space="preserve"> (Calota, 2016)</w:t>
      </w:r>
      <w:r w:rsidRPr="0078668A">
        <w:rPr>
          <w:rFonts w:ascii="Arial" w:hAnsi="Arial" w:cs="Arial"/>
          <w:sz w:val="24"/>
          <w:szCs w:val="24"/>
        </w:rPr>
        <w:t xml:space="preserve">. In a situation of Net profit, the amount of revenue exceeds the </w:t>
      </w:r>
      <w:r>
        <w:rPr>
          <w:rFonts w:ascii="Arial" w:hAnsi="Arial" w:cs="Arial"/>
          <w:sz w:val="24"/>
          <w:szCs w:val="24"/>
        </w:rPr>
        <w:t>number</w:t>
      </w:r>
      <w:r w:rsidRPr="0078668A">
        <w:rPr>
          <w:rFonts w:ascii="Arial" w:hAnsi="Arial" w:cs="Arial"/>
          <w:sz w:val="24"/>
          <w:szCs w:val="24"/>
        </w:rPr>
        <w:t xml:space="preserve"> of expenses. On the other hand, in a situation of Net Loss, the expenses of a business exceed </w:t>
      </w:r>
      <w:r>
        <w:rPr>
          <w:rFonts w:ascii="Arial" w:hAnsi="Arial" w:cs="Arial"/>
          <w:sz w:val="24"/>
          <w:szCs w:val="24"/>
        </w:rPr>
        <w:t xml:space="preserve">the </w:t>
      </w:r>
      <w:r w:rsidRPr="0078668A">
        <w:rPr>
          <w:rFonts w:ascii="Arial" w:hAnsi="Arial" w:cs="Arial"/>
          <w:sz w:val="24"/>
          <w:szCs w:val="24"/>
        </w:rPr>
        <w:t xml:space="preserve">revenues of a business. The net profit/net loss is then transferred to the Balance Sheet. </w:t>
      </w:r>
    </w:p>
    <w:p w14:paraId="5AFAB7F2" w14:textId="77777777" w:rsidR="00DF1C00" w:rsidRPr="0078668A" w:rsidRDefault="00DF1C00" w:rsidP="00DF1C00">
      <w:pPr>
        <w:spacing w:line="360" w:lineRule="auto"/>
        <w:jc w:val="both"/>
        <w:rPr>
          <w:rFonts w:ascii="Arial" w:hAnsi="Arial" w:cs="Arial"/>
          <w:sz w:val="24"/>
          <w:szCs w:val="24"/>
        </w:rPr>
      </w:pPr>
      <w:r w:rsidRPr="0078668A">
        <w:rPr>
          <w:rFonts w:ascii="Arial" w:hAnsi="Arial" w:cs="Arial"/>
          <w:sz w:val="24"/>
          <w:szCs w:val="24"/>
        </w:rPr>
        <w:lastRenderedPageBreak/>
        <w:t>The Balance Sheet is after once the Profit and Loss Statement is prepared. According to this situation, all of these assets within an organization should equal the amount of owner’s equity plus Liability. The amount of profit/loss that is earned during the accounting year is reported under the owner’s equity section</w:t>
      </w:r>
      <w:r>
        <w:rPr>
          <w:rFonts w:ascii="Arial" w:hAnsi="Arial" w:cs="Arial"/>
          <w:sz w:val="24"/>
          <w:szCs w:val="24"/>
        </w:rPr>
        <w:t xml:space="preserve"> (Greenlaw, and Harris, 2018)</w:t>
      </w:r>
      <w:r w:rsidRPr="0078668A">
        <w:rPr>
          <w:rFonts w:ascii="Arial" w:hAnsi="Arial" w:cs="Arial"/>
          <w:sz w:val="24"/>
          <w:szCs w:val="24"/>
        </w:rPr>
        <w:t xml:space="preserve">. Such that, if a business has made a profit over the year, the owner’s equity will increase and the overall value of the business will increase. If the business has made a net loss, then the value of </w:t>
      </w:r>
      <w:r>
        <w:rPr>
          <w:rFonts w:ascii="Arial" w:hAnsi="Arial" w:cs="Arial"/>
          <w:sz w:val="24"/>
          <w:szCs w:val="24"/>
        </w:rPr>
        <w:t xml:space="preserve">the </w:t>
      </w:r>
      <w:r w:rsidRPr="0078668A">
        <w:rPr>
          <w:rFonts w:ascii="Arial" w:hAnsi="Arial" w:cs="Arial"/>
          <w:sz w:val="24"/>
          <w:szCs w:val="24"/>
        </w:rPr>
        <w:t xml:space="preserve">owner’s equity will fall and the overall value of the business will also fall. </w:t>
      </w:r>
    </w:p>
    <w:p w14:paraId="5F6F972E" w14:textId="3EF265B3" w:rsidR="00DF1C00" w:rsidRPr="0078668A" w:rsidRDefault="00DF1C00" w:rsidP="00DF1C00">
      <w:pPr>
        <w:spacing w:line="360" w:lineRule="auto"/>
        <w:jc w:val="both"/>
        <w:rPr>
          <w:rFonts w:ascii="Arial" w:hAnsi="Arial" w:cs="Arial"/>
          <w:sz w:val="24"/>
          <w:szCs w:val="24"/>
        </w:rPr>
      </w:pPr>
      <w:r w:rsidRPr="0078668A">
        <w:rPr>
          <w:rFonts w:ascii="Arial" w:hAnsi="Arial" w:cs="Arial"/>
          <w:sz w:val="24"/>
          <w:szCs w:val="24"/>
        </w:rPr>
        <w:t>Assets within the balance sheet can be defined as resources that have been used to generate revenue. Examples of Assets can include such as Motor Vehicles for business, Factory Equipment</w:t>
      </w:r>
      <w:r>
        <w:rPr>
          <w:rFonts w:ascii="Arial" w:hAnsi="Arial" w:cs="Arial"/>
          <w:sz w:val="24"/>
          <w:szCs w:val="24"/>
        </w:rPr>
        <w:t>,</w:t>
      </w:r>
      <w:r w:rsidRPr="0078668A">
        <w:rPr>
          <w:rFonts w:ascii="Arial" w:hAnsi="Arial" w:cs="Arial"/>
          <w:sz w:val="24"/>
          <w:szCs w:val="24"/>
        </w:rPr>
        <w:t xml:space="preserve"> and Machinery, Office Building</w:t>
      </w:r>
      <w:r>
        <w:rPr>
          <w:rFonts w:ascii="Arial" w:hAnsi="Arial" w:cs="Arial"/>
          <w:sz w:val="24"/>
          <w:szCs w:val="24"/>
        </w:rPr>
        <w:t>,</w:t>
      </w:r>
      <w:r w:rsidRPr="0078668A">
        <w:rPr>
          <w:rFonts w:ascii="Arial" w:hAnsi="Arial" w:cs="Arial"/>
          <w:sz w:val="24"/>
          <w:szCs w:val="24"/>
        </w:rPr>
        <w:t xml:space="preserve"> etc</w:t>
      </w:r>
      <w:r w:rsidRPr="006B1E70">
        <w:rPr>
          <w:rFonts w:ascii="Arial" w:hAnsi="Arial" w:cs="Arial"/>
          <w:sz w:val="24"/>
          <w:szCs w:val="24"/>
        </w:rPr>
        <w:t xml:space="preserve"> </w:t>
      </w:r>
      <w:r w:rsidRPr="006B1E70">
        <w:rPr>
          <w:rFonts w:ascii="Arial" w:hAnsi="Arial" w:cs="Arial"/>
          <w:sz w:val="24"/>
          <w:szCs w:val="24"/>
          <w:shd w:val="clear" w:color="auto" w:fill="FFFFFF"/>
        </w:rPr>
        <w:t>(Deegan, 2017)</w:t>
      </w:r>
      <w:r w:rsidRPr="0078668A">
        <w:rPr>
          <w:rFonts w:ascii="Arial" w:hAnsi="Arial" w:cs="Arial"/>
          <w:sz w:val="24"/>
          <w:szCs w:val="24"/>
        </w:rPr>
        <w:t>. Liabilities can be defined as</w:t>
      </w:r>
      <w:r w:rsidR="00262321">
        <w:rPr>
          <w:rFonts w:ascii="Arial" w:hAnsi="Arial" w:cs="Arial"/>
          <w:sz w:val="24"/>
          <w:szCs w:val="24"/>
        </w:rPr>
        <w:t xml:space="preserve"> </w:t>
      </w:r>
      <w:r w:rsidRPr="0078668A">
        <w:rPr>
          <w:rFonts w:ascii="Arial" w:hAnsi="Arial" w:cs="Arial"/>
          <w:sz w:val="24"/>
          <w:szCs w:val="24"/>
        </w:rPr>
        <w:t>the amount of money that a business owes to its supplier</w:t>
      </w:r>
      <w:r w:rsidR="00262321">
        <w:rPr>
          <w:rFonts w:ascii="Arial" w:hAnsi="Arial" w:cs="Arial"/>
          <w:sz w:val="24"/>
          <w:szCs w:val="24"/>
        </w:rPr>
        <w:t xml:space="preserve">s </w:t>
      </w:r>
      <w:r w:rsidRPr="0078668A">
        <w:rPr>
          <w:rFonts w:ascii="Arial" w:hAnsi="Arial" w:cs="Arial"/>
          <w:sz w:val="24"/>
          <w:szCs w:val="24"/>
        </w:rPr>
        <w:t xml:space="preserve">and other institutions. Examples of liabilities can include </w:t>
      </w:r>
      <w:r>
        <w:rPr>
          <w:rFonts w:ascii="Arial" w:hAnsi="Arial" w:cs="Arial"/>
          <w:sz w:val="24"/>
          <w:szCs w:val="24"/>
        </w:rPr>
        <w:t xml:space="preserve">the </w:t>
      </w:r>
      <w:r w:rsidRPr="0078668A">
        <w:rPr>
          <w:rFonts w:ascii="Arial" w:hAnsi="Arial" w:cs="Arial"/>
          <w:sz w:val="24"/>
          <w:szCs w:val="24"/>
        </w:rPr>
        <w:t>amount owed to suppliers, bank loans from bank</w:t>
      </w:r>
      <w:r>
        <w:rPr>
          <w:rFonts w:ascii="Arial" w:hAnsi="Arial" w:cs="Arial"/>
          <w:sz w:val="24"/>
          <w:szCs w:val="24"/>
        </w:rPr>
        <w:t>s,</w:t>
      </w:r>
      <w:r w:rsidRPr="0078668A">
        <w:rPr>
          <w:rFonts w:ascii="Arial" w:hAnsi="Arial" w:cs="Arial"/>
          <w:sz w:val="24"/>
          <w:szCs w:val="24"/>
        </w:rPr>
        <w:t>etc</w:t>
      </w:r>
      <w:r>
        <w:rPr>
          <w:rFonts w:ascii="Arial" w:hAnsi="Arial" w:cs="Arial"/>
          <w:sz w:val="24"/>
          <w:szCs w:val="24"/>
        </w:rPr>
        <w:t xml:space="preserve"> (Juarez, 2016)</w:t>
      </w:r>
      <w:r w:rsidRPr="0078668A">
        <w:rPr>
          <w:rFonts w:ascii="Arial" w:hAnsi="Arial" w:cs="Arial"/>
          <w:sz w:val="24"/>
          <w:szCs w:val="24"/>
        </w:rPr>
        <w:t xml:space="preserve">. </w:t>
      </w:r>
    </w:p>
    <w:p w14:paraId="57079880" w14:textId="77777777" w:rsidR="00C16066" w:rsidRPr="002F2996" w:rsidRDefault="00C16066" w:rsidP="002F2996">
      <w:pPr>
        <w:pStyle w:val="Heading1"/>
        <w:spacing w:line="360" w:lineRule="auto"/>
        <w:jc w:val="both"/>
        <w:rPr>
          <w:rFonts w:ascii="Arial" w:hAnsi="Arial" w:cs="Arial"/>
          <w:color w:val="auto"/>
          <w:sz w:val="24"/>
          <w:szCs w:val="24"/>
        </w:rPr>
      </w:pPr>
      <w:bookmarkStart w:id="3" w:name="_Toc77677855"/>
      <w:r w:rsidRPr="002F2996">
        <w:rPr>
          <w:rFonts w:ascii="Arial" w:hAnsi="Arial" w:cs="Arial"/>
          <w:color w:val="auto"/>
          <w:sz w:val="24"/>
          <w:szCs w:val="24"/>
        </w:rPr>
        <w:t>Question 2</w:t>
      </w:r>
      <w:bookmarkEnd w:id="3"/>
      <w:r w:rsidRPr="002F2996">
        <w:rPr>
          <w:rFonts w:ascii="Arial" w:hAnsi="Arial" w:cs="Arial"/>
          <w:color w:val="auto"/>
          <w:sz w:val="24"/>
          <w:szCs w:val="24"/>
        </w:rPr>
        <w:t xml:space="preserve"> </w:t>
      </w:r>
    </w:p>
    <w:p w14:paraId="597249B4" w14:textId="1C8E2C19" w:rsidR="00AA0FC2" w:rsidRPr="002F2996" w:rsidRDefault="00262321" w:rsidP="002F2996">
      <w:pPr>
        <w:pStyle w:val="Heading1"/>
        <w:spacing w:line="360" w:lineRule="auto"/>
        <w:jc w:val="both"/>
        <w:rPr>
          <w:rFonts w:ascii="Arial" w:hAnsi="Arial" w:cs="Arial"/>
          <w:color w:val="auto"/>
          <w:sz w:val="24"/>
          <w:szCs w:val="24"/>
        </w:rPr>
      </w:pPr>
      <w:bookmarkStart w:id="4" w:name="_Toc77677856"/>
      <w:r>
        <w:rPr>
          <w:rFonts w:ascii="Arial" w:hAnsi="Arial" w:cs="Arial"/>
          <w:color w:val="auto"/>
          <w:sz w:val="24"/>
          <w:szCs w:val="24"/>
        </w:rPr>
        <w:t>a</w:t>
      </w:r>
      <w:r w:rsidR="00AA0FC2" w:rsidRPr="002F2996">
        <w:rPr>
          <w:rFonts w:ascii="Arial" w:hAnsi="Arial" w:cs="Arial"/>
          <w:color w:val="auto"/>
          <w:sz w:val="24"/>
          <w:szCs w:val="24"/>
        </w:rPr>
        <w:t>)</w:t>
      </w:r>
      <w:bookmarkEnd w:id="4"/>
    </w:p>
    <w:tbl>
      <w:tblPr>
        <w:tblW w:w="10300" w:type="dxa"/>
        <w:tblInd w:w="93" w:type="dxa"/>
        <w:tblLook w:val="04A0" w:firstRow="1" w:lastRow="0" w:firstColumn="1" w:lastColumn="0" w:noHBand="0" w:noVBand="1"/>
      </w:tblPr>
      <w:tblGrid>
        <w:gridCol w:w="2400"/>
        <w:gridCol w:w="5500"/>
        <w:gridCol w:w="760"/>
        <w:gridCol w:w="750"/>
        <w:gridCol w:w="960"/>
      </w:tblGrid>
      <w:tr w:rsidR="00730D4D" w:rsidRPr="00730D4D" w14:paraId="04DD3DF2" w14:textId="77777777" w:rsidTr="00730D4D">
        <w:trPr>
          <w:trHeight w:val="300"/>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26B1D" w14:textId="77777777" w:rsidR="00730D4D" w:rsidRPr="00730D4D" w:rsidRDefault="00730D4D" w:rsidP="002F2996">
            <w:pPr>
              <w:spacing w:after="0" w:line="360" w:lineRule="auto"/>
              <w:jc w:val="both"/>
              <w:rPr>
                <w:rFonts w:ascii="Arial" w:eastAsia="Times New Roman" w:hAnsi="Arial" w:cs="Arial"/>
                <w:b/>
                <w:bCs/>
                <w:color w:val="000000"/>
                <w:sz w:val="24"/>
                <w:szCs w:val="24"/>
                <w:u w:val="single"/>
              </w:rPr>
            </w:pPr>
            <w:r w:rsidRPr="00730D4D">
              <w:rPr>
                <w:rFonts w:ascii="Arial" w:eastAsia="Times New Roman" w:hAnsi="Arial" w:cs="Arial"/>
                <w:b/>
                <w:bCs/>
                <w:color w:val="000000"/>
                <w:sz w:val="24"/>
                <w:szCs w:val="24"/>
                <w:u w:val="single"/>
              </w:rPr>
              <w:t xml:space="preserve">Question 2 </w:t>
            </w:r>
          </w:p>
        </w:tc>
        <w:tc>
          <w:tcPr>
            <w:tcW w:w="5500" w:type="dxa"/>
            <w:tcBorders>
              <w:top w:val="single" w:sz="4" w:space="0" w:color="auto"/>
              <w:left w:val="nil"/>
              <w:bottom w:val="single" w:sz="4" w:space="0" w:color="auto"/>
              <w:right w:val="single" w:sz="4" w:space="0" w:color="auto"/>
            </w:tcBorders>
            <w:shd w:val="clear" w:color="auto" w:fill="auto"/>
            <w:noWrap/>
            <w:vAlign w:val="bottom"/>
            <w:hideMark/>
          </w:tcPr>
          <w:p w14:paraId="76540083"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14:paraId="0FA49EA6" w14:textId="77777777" w:rsidR="00730D4D" w:rsidRPr="00730D4D" w:rsidRDefault="00730D4D" w:rsidP="002F2996">
            <w:pPr>
              <w:spacing w:after="0" w:line="360" w:lineRule="auto"/>
              <w:jc w:val="both"/>
              <w:rPr>
                <w:rFonts w:ascii="Arial" w:eastAsia="Times New Roman" w:hAnsi="Arial" w:cs="Arial"/>
                <w:b/>
                <w:bCs/>
                <w:color w:val="000000"/>
                <w:sz w:val="24"/>
                <w:szCs w:val="24"/>
              </w:rPr>
            </w:pPr>
            <w:r w:rsidRPr="00730D4D">
              <w:rPr>
                <w:rFonts w:ascii="Arial" w:eastAsia="Times New Roman" w:hAnsi="Arial" w:cs="Arial"/>
                <w:b/>
                <w:bCs/>
                <w:color w:val="000000"/>
                <w:sz w:val="24"/>
                <w:szCs w:val="24"/>
              </w:rPr>
              <w:t>£</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14:paraId="3966FFED" w14:textId="77777777" w:rsidR="00730D4D" w:rsidRPr="00730D4D" w:rsidRDefault="00730D4D" w:rsidP="002F2996">
            <w:pPr>
              <w:spacing w:after="0" w:line="360" w:lineRule="auto"/>
              <w:jc w:val="both"/>
              <w:rPr>
                <w:rFonts w:ascii="Arial" w:eastAsia="Times New Roman" w:hAnsi="Arial" w:cs="Arial"/>
                <w:b/>
                <w:bCs/>
                <w:color w:val="000000"/>
                <w:sz w:val="24"/>
                <w:szCs w:val="24"/>
              </w:rPr>
            </w:pPr>
            <w:r w:rsidRPr="00730D4D">
              <w:rPr>
                <w:rFonts w:ascii="Arial" w:eastAsia="Times New Roman" w:hAnsi="Arial" w:cs="Arial"/>
                <w:b/>
                <w:bCs/>
                <w:color w:val="000000"/>
                <w:sz w:val="24"/>
                <w:szCs w:val="24"/>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74F4B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w:t>
            </w:r>
          </w:p>
        </w:tc>
      </w:tr>
      <w:tr w:rsidR="00730D4D" w:rsidRPr="00730D4D" w14:paraId="46D836A1"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69E0D22" w14:textId="77777777" w:rsidR="00730D4D" w:rsidRPr="00730D4D" w:rsidRDefault="00730D4D" w:rsidP="002F2996">
            <w:pPr>
              <w:spacing w:after="0" w:line="360" w:lineRule="auto"/>
              <w:jc w:val="both"/>
              <w:rPr>
                <w:rFonts w:ascii="Arial" w:eastAsia="Times New Roman" w:hAnsi="Arial" w:cs="Arial"/>
                <w:b/>
                <w:bCs/>
                <w:color w:val="000000"/>
                <w:sz w:val="24"/>
                <w:szCs w:val="24"/>
                <w:u w:val="single"/>
              </w:rPr>
            </w:pPr>
            <w:r w:rsidRPr="00730D4D">
              <w:rPr>
                <w:rFonts w:ascii="Arial" w:eastAsia="Times New Roman" w:hAnsi="Arial" w:cs="Arial"/>
                <w:b/>
                <w:bCs/>
                <w:color w:val="000000"/>
                <w:sz w:val="24"/>
                <w:szCs w:val="24"/>
                <w:u w:val="single"/>
              </w:rPr>
              <w:t>Ratios</w:t>
            </w:r>
          </w:p>
        </w:tc>
        <w:tc>
          <w:tcPr>
            <w:tcW w:w="5500" w:type="dxa"/>
            <w:tcBorders>
              <w:top w:val="nil"/>
              <w:left w:val="nil"/>
              <w:bottom w:val="single" w:sz="4" w:space="0" w:color="auto"/>
              <w:right w:val="single" w:sz="4" w:space="0" w:color="auto"/>
            </w:tcBorders>
            <w:shd w:val="clear" w:color="auto" w:fill="auto"/>
            <w:noWrap/>
            <w:vAlign w:val="bottom"/>
            <w:hideMark/>
          </w:tcPr>
          <w:p w14:paraId="686AAF3C" w14:textId="77777777" w:rsidR="00730D4D" w:rsidRPr="00730D4D" w:rsidRDefault="00730D4D" w:rsidP="002F2996">
            <w:pPr>
              <w:spacing w:after="0" w:line="360" w:lineRule="auto"/>
              <w:jc w:val="both"/>
              <w:rPr>
                <w:rFonts w:ascii="Arial" w:eastAsia="Times New Roman" w:hAnsi="Arial" w:cs="Arial"/>
                <w:b/>
                <w:bCs/>
                <w:color w:val="000000"/>
                <w:sz w:val="24"/>
                <w:szCs w:val="24"/>
                <w:u w:val="single"/>
              </w:rPr>
            </w:pPr>
            <w:r w:rsidRPr="00730D4D">
              <w:rPr>
                <w:rFonts w:ascii="Arial" w:eastAsia="Times New Roman" w:hAnsi="Arial" w:cs="Arial"/>
                <w:b/>
                <w:bCs/>
                <w:color w:val="000000"/>
                <w:sz w:val="24"/>
                <w:szCs w:val="24"/>
                <w:u w:val="single"/>
              </w:rPr>
              <w:t>Formulas and Workings</w:t>
            </w:r>
          </w:p>
        </w:tc>
        <w:tc>
          <w:tcPr>
            <w:tcW w:w="760" w:type="dxa"/>
            <w:tcBorders>
              <w:top w:val="nil"/>
              <w:left w:val="nil"/>
              <w:bottom w:val="single" w:sz="4" w:space="0" w:color="auto"/>
              <w:right w:val="single" w:sz="4" w:space="0" w:color="auto"/>
            </w:tcBorders>
            <w:shd w:val="clear" w:color="auto" w:fill="auto"/>
            <w:noWrap/>
            <w:vAlign w:val="bottom"/>
            <w:hideMark/>
          </w:tcPr>
          <w:p w14:paraId="5FD1817D" w14:textId="77777777" w:rsidR="00730D4D" w:rsidRPr="00730D4D" w:rsidRDefault="00730D4D" w:rsidP="002F2996">
            <w:pPr>
              <w:spacing w:after="0" w:line="360" w:lineRule="auto"/>
              <w:jc w:val="both"/>
              <w:rPr>
                <w:rFonts w:ascii="Arial" w:eastAsia="Times New Roman" w:hAnsi="Arial" w:cs="Arial"/>
                <w:b/>
                <w:bCs/>
                <w:color w:val="000000"/>
                <w:sz w:val="24"/>
                <w:szCs w:val="24"/>
                <w:u w:val="single"/>
              </w:rPr>
            </w:pPr>
            <w:r w:rsidRPr="00730D4D">
              <w:rPr>
                <w:rFonts w:ascii="Arial" w:eastAsia="Times New Roman" w:hAnsi="Arial" w:cs="Arial"/>
                <w:b/>
                <w:bCs/>
                <w:color w:val="000000"/>
                <w:sz w:val="24"/>
                <w:szCs w:val="24"/>
                <w:u w:val="single"/>
              </w:rPr>
              <w:t xml:space="preserve">2019 </w:t>
            </w:r>
          </w:p>
        </w:tc>
        <w:tc>
          <w:tcPr>
            <w:tcW w:w="680" w:type="dxa"/>
            <w:tcBorders>
              <w:top w:val="nil"/>
              <w:left w:val="nil"/>
              <w:bottom w:val="single" w:sz="4" w:space="0" w:color="auto"/>
              <w:right w:val="single" w:sz="4" w:space="0" w:color="auto"/>
            </w:tcBorders>
            <w:shd w:val="clear" w:color="auto" w:fill="auto"/>
            <w:noWrap/>
            <w:vAlign w:val="bottom"/>
            <w:hideMark/>
          </w:tcPr>
          <w:p w14:paraId="03617972" w14:textId="77777777" w:rsidR="00730D4D" w:rsidRPr="00730D4D" w:rsidRDefault="00730D4D" w:rsidP="002F2996">
            <w:pPr>
              <w:spacing w:after="0" w:line="360" w:lineRule="auto"/>
              <w:jc w:val="both"/>
              <w:rPr>
                <w:rFonts w:ascii="Arial" w:eastAsia="Times New Roman" w:hAnsi="Arial" w:cs="Arial"/>
                <w:b/>
                <w:bCs/>
                <w:color w:val="000000"/>
                <w:sz w:val="24"/>
                <w:szCs w:val="24"/>
                <w:u w:val="single"/>
              </w:rPr>
            </w:pPr>
            <w:r w:rsidRPr="00730D4D">
              <w:rPr>
                <w:rFonts w:ascii="Arial" w:eastAsia="Times New Roman" w:hAnsi="Arial" w:cs="Arial"/>
                <w:b/>
                <w:bCs/>
                <w:color w:val="000000"/>
                <w:sz w:val="24"/>
                <w:szCs w:val="24"/>
                <w:u w:val="single"/>
              </w:rPr>
              <w:t xml:space="preserve">2020 </w:t>
            </w:r>
          </w:p>
        </w:tc>
        <w:tc>
          <w:tcPr>
            <w:tcW w:w="960" w:type="dxa"/>
            <w:tcBorders>
              <w:top w:val="nil"/>
              <w:left w:val="nil"/>
              <w:bottom w:val="single" w:sz="4" w:space="0" w:color="auto"/>
              <w:right w:val="single" w:sz="4" w:space="0" w:color="auto"/>
            </w:tcBorders>
            <w:shd w:val="clear" w:color="auto" w:fill="auto"/>
            <w:noWrap/>
            <w:vAlign w:val="bottom"/>
            <w:hideMark/>
          </w:tcPr>
          <w:p w14:paraId="4D7CC682"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w:t>
            </w:r>
          </w:p>
        </w:tc>
      </w:tr>
      <w:tr w:rsidR="00730D4D" w:rsidRPr="00730D4D" w14:paraId="5362855C"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FB48A50"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ROCE</w:t>
            </w:r>
          </w:p>
        </w:tc>
        <w:tc>
          <w:tcPr>
            <w:tcW w:w="5500" w:type="dxa"/>
            <w:tcBorders>
              <w:top w:val="nil"/>
              <w:left w:val="nil"/>
              <w:bottom w:val="single" w:sz="4" w:space="0" w:color="auto"/>
              <w:right w:val="single" w:sz="4" w:space="0" w:color="auto"/>
            </w:tcBorders>
            <w:shd w:val="clear" w:color="auto" w:fill="auto"/>
            <w:noWrap/>
            <w:vAlign w:val="bottom"/>
            <w:hideMark/>
          </w:tcPr>
          <w:p w14:paraId="7C2B185E"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Operating profit/Capital Employed</w:t>
            </w:r>
          </w:p>
        </w:tc>
        <w:tc>
          <w:tcPr>
            <w:tcW w:w="760" w:type="dxa"/>
            <w:tcBorders>
              <w:top w:val="nil"/>
              <w:left w:val="nil"/>
              <w:bottom w:val="single" w:sz="4" w:space="0" w:color="auto"/>
              <w:right w:val="single" w:sz="4" w:space="0" w:color="auto"/>
            </w:tcBorders>
            <w:shd w:val="clear" w:color="auto" w:fill="auto"/>
            <w:noWrap/>
            <w:vAlign w:val="bottom"/>
            <w:hideMark/>
          </w:tcPr>
          <w:p w14:paraId="1C52D15A"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10 </w:t>
            </w:r>
          </w:p>
        </w:tc>
        <w:tc>
          <w:tcPr>
            <w:tcW w:w="680" w:type="dxa"/>
            <w:tcBorders>
              <w:top w:val="nil"/>
              <w:left w:val="nil"/>
              <w:bottom w:val="single" w:sz="4" w:space="0" w:color="auto"/>
              <w:right w:val="single" w:sz="4" w:space="0" w:color="auto"/>
            </w:tcBorders>
            <w:shd w:val="clear" w:color="auto" w:fill="auto"/>
            <w:noWrap/>
            <w:vAlign w:val="bottom"/>
            <w:hideMark/>
          </w:tcPr>
          <w:p w14:paraId="30361F45"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12 </w:t>
            </w:r>
          </w:p>
        </w:tc>
        <w:tc>
          <w:tcPr>
            <w:tcW w:w="960" w:type="dxa"/>
            <w:tcBorders>
              <w:top w:val="nil"/>
              <w:left w:val="nil"/>
              <w:bottom w:val="single" w:sz="4" w:space="0" w:color="auto"/>
              <w:right w:val="single" w:sz="4" w:space="0" w:color="auto"/>
            </w:tcBorders>
            <w:shd w:val="clear" w:color="auto" w:fill="auto"/>
            <w:noWrap/>
            <w:vAlign w:val="bottom"/>
            <w:hideMark/>
          </w:tcPr>
          <w:p w14:paraId="275A6F0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w:t>
            </w:r>
          </w:p>
        </w:tc>
      </w:tr>
      <w:tr w:rsidR="00730D4D" w:rsidRPr="00730D4D" w14:paraId="0B255F70"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5A2F324"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ROE</w:t>
            </w:r>
          </w:p>
        </w:tc>
        <w:tc>
          <w:tcPr>
            <w:tcW w:w="5500" w:type="dxa"/>
            <w:tcBorders>
              <w:top w:val="nil"/>
              <w:left w:val="nil"/>
              <w:bottom w:val="single" w:sz="4" w:space="0" w:color="auto"/>
              <w:right w:val="single" w:sz="4" w:space="0" w:color="auto"/>
            </w:tcBorders>
            <w:shd w:val="clear" w:color="auto" w:fill="auto"/>
            <w:noWrap/>
            <w:vAlign w:val="bottom"/>
            <w:hideMark/>
          </w:tcPr>
          <w:p w14:paraId="575661F3"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Operating profit/Equity </w:t>
            </w:r>
          </w:p>
        </w:tc>
        <w:tc>
          <w:tcPr>
            <w:tcW w:w="760" w:type="dxa"/>
            <w:tcBorders>
              <w:top w:val="nil"/>
              <w:left w:val="nil"/>
              <w:bottom w:val="single" w:sz="4" w:space="0" w:color="auto"/>
              <w:right w:val="single" w:sz="4" w:space="0" w:color="auto"/>
            </w:tcBorders>
            <w:shd w:val="clear" w:color="auto" w:fill="auto"/>
            <w:noWrap/>
            <w:vAlign w:val="bottom"/>
            <w:hideMark/>
          </w:tcPr>
          <w:p w14:paraId="27F8981F"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26 </w:t>
            </w:r>
          </w:p>
        </w:tc>
        <w:tc>
          <w:tcPr>
            <w:tcW w:w="680" w:type="dxa"/>
            <w:tcBorders>
              <w:top w:val="nil"/>
              <w:left w:val="nil"/>
              <w:bottom w:val="single" w:sz="4" w:space="0" w:color="auto"/>
              <w:right w:val="single" w:sz="4" w:space="0" w:color="auto"/>
            </w:tcBorders>
            <w:shd w:val="clear" w:color="auto" w:fill="auto"/>
            <w:noWrap/>
            <w:vAlign w:val="bottom"/>
            <w:hideMark/>
          </w:tcPr>
          <w:p w14:paraId="06F0A5DF"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28 </w:t>
            </w:r>
          </w:p>
        </w:tc>
        <w:tc>
          <w:tcPr>
            <w:tcW w:w="960" w:type="dxa"/>
            <w:tcBorders>
              <w:top w:val="nil"/>
              <w:left w:val="nil"/>
              <w:bottom w:val="single" w:sz="4" w:space="0" w:color="auto"/>
              <w:right w:val="single" w:sz="4" w:space="0" w:color="auto"/>
            </w:tcBorders>
            <w:shd w:val="clear" w:color="auto" w:fill="auto"/>
            <w:noWrap/>
            <w:vAlign w:val="bottom"/>
            <w:hideMark/>
          </w:tcPr>
          <w:p w14:paraId="59180FDC"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w:t>
            </w:r>
          </w:p>
        </w:tc>
      </w:tr>
      <w:tr w:rsidR="00730D4D" w:rsidRPr="00730D4D" w14:paraId="507F6646"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3CB1079"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Earnings per share</w:t>
            </w:r>
          </w:p>
        </w:tc>
        <w:tc>
          <w:tcPr>
            <w:tcW w:w="5500" w:type="dxa"/>
            <w:tcBorders>
              <w:top w:val="nil"/>
              <w:left w:val="nil"/>
              <w:bottom w:val="single" w:sz="4" w:space="0" w:color="auto"/>
              <w:right w:val="single" w:sz="4" w:space="0" w:color="auto"/>
            </w:tcBorders>
            <w:shd w:val="clear" w:color="auto" w:fill="auto"/>
            <w:noWrap/>
            <w:vAlign w:val="bottom"/>
            <w:hideMark/>
          </w:tcPr>
          <w:p w14:paraId="1043C20F"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Net income - preference dividends/No. of shares</w:t>
            </w:r>
          </w:p>
        </w:tc>
        <w:tc>
          <w:tcPr>
            <w:tcW w:w="760" w:type="dxa"/>
            <w:tcBorders>
              <w:top w:val="nil"/>
              <w:left w:val="nil"/>
              <w:bottom w:val="single" w:sz="4" w:space="0" w:color="auto"/>
              <w:right w:val="single" w:sz="4" w:space="0" w:color="auto"/>
            </w:tcBorders>
            <w:shd w:val="clear" w:color="auto" w:fill="auto"/>
            <w:noWrap/>
            <w:vAlign w:val="bottom"/>
            <w:hideMark/>
          </w:tcPr>
          <w:p w14:paraId="1278739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0.6 </w:t>
            </w:r>
          </w:p>
        </w:tc>
        <w:tc>
          <w:tcPr>
            <w:tcW w:w="680" w:type="dxa"/>
            <w:tcBorders>
              <w:top w:val="nil"/>
              <w:left w:val="nil"/>
              <w:bottom w:val="single" w:sz="4" w:space="0" w:color="auto"/>
              <w:right w:val="single" w:sz="4" w:space="0" w:color="auto"/>
            </w:tcBorders>
            <w:shd w:val="clear" w:color="auto" w:fill="auto"/>
            <w:noWrap/>
            <w:vAlign w:val="bottom"/>
            <w:hideMark/>
          </w:tcPr>
          <w:p w14:paraId="31F76643"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0.7 </w:t>
            </w:r>
          </w:p>
        </w:tc>
        <w:tc>
          <w:tcPr>
            <w:tcW w:w="960" w:type="dxa"/>
            <w:tcBorders>
              <w:top w:val="nil"/>
              <w:left w:val="nil"/>
              <w:bottom w:val="single" w:sz="4" w:space="0" w:color="auto"/>
              <w:right w:val="single" w:sz="4" w:space="0" w:color="auto"/>
            </w:tcBorders>
            <w:shd w:val="clear" w:color="auto" w:fill="auto"/>
            <w:noWrap/>
            <w:vAlign w:val="bottom"/>
            <w:hideMark/>
          </w:tcPr>
          <w:p w14:paraId="7B1ADC3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per share</w:t>
            </w:r>
          </w:p>
        </w:tc>
      </w:tr>
      <w:tr w:rsidR="00730D4D" w:rsidRPr="00730D4D" w14:paraId="185D555C"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4283771A"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Net profit margin</w:t>
            </w:r>
          </w:p>
        </w:tc>
        <w:tc>
          <w:tcPr>
            <w:tcW w:w="5500" w:type="dxa"/>
            <w:tcBorders>
              <w:top w:val="nil"/>
              <w:left w:val="nil"/>
              <w:bottom w:val="single" w:sz="4" w:space="0" w:color="auto"/>
              <w:right w:val="single" w:sz="4" w:space="0" w:color="auto"/>
            </w:tcBorders>
            <w:shd w:val="clear" w:color="auto" w:fill="auto"/>
            <w:noWrap/>
            <w:vAlign w:val="bottom"/>
            <w:hideMark/>
          </w:tcPr>
          <w:p w14:paraId="487CFAF5"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Profit/Revenue*100</w:t>
            </w:r>
          </w:p>
        </w:tc>
        <w:tc>
          <w:tcPr>
            <w:tcW w:w="760" w:type="dxa"/>
            <w:tcBorders>
              <w:top w:val="nil"/>
              <w:left w:val="nil"/>
              <w:bottom w:val="single" w:sz="4" w:space="0" w:color="auto"/>
              <w:right w:val="single" w:sz="4" w:space="0" w:color="auto"/>
            </w:tcBorders>
            <w:shd w:val="clear" w:color="auto" w:fill="auto"/>
            <w:noWrap/>
            <w:vAlign w:val="bottom"/>
            <w:hideMark/>
          </w:tcPr>
          <w:p w14:paraId="7DB47306"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5.68 </w:t>
            </w:r>
          </w:p>
        </w:tc>
        <w:tc>
          <w:tcPr>
            <w:tcW w:w="680" w:type="dxa"/>
            <w:tcBorders>
              <w:top w:val="nil"/>
              <w:left w:val="nil"/>
              <w:bottom w:val="single" w:sz="4" w:space="0" w:color="auto"/>
              <w:right w:val="single" w:sz="4" w:space="0" w:color="auto"/>
            </w:tcBorders>
            <w:shd w:val="clear" w:color="auto" w:fill="auto"/>
            <w:noWrap/>
            <w:vAlign w:val="bottom"/>
            <w:hideMark/>
          </w:tcPr>
          <w:p w14:paraId="0EADAE36"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6.40 </w:t>
            </w:r>
          </w:p>
        </w:tc>
        <w:tc>
          <w:tcPr>
            <w:tcW w:w="960" w:type="dxa"/>
            <w:tcBorders>
              <w:top w:val="nil"/>
              <w:left w:val="nil"/>
              <w:bottom w:val="single" w:sz="4" w:space="0" w:color="auto"/>
              <w:right w:val="single" w:sz="4" w:space="0" w:color="auto"/>
            </w:tcBorders>
            <w:shd w:val="clear" w:color="auto" w:fill="auto"/>
            <w:noWrap/>
            <w:vAlign w:val="bottom"/>
            <w:hideMark/>
          </w:tcPr>
          <w:p w14:paraId="3800F900"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w:t>
            </w:r>
          </w:p>
        </w:tc>
      </w:tr>
      <w:tr w:rsidR="00730D4D" w:rsidRPr="00730D4D" w14:paraId="7ABEB8AD"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4FA07486"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Asset Turnover</w:t>
            </w:r>
          </w:p>
        </w:tc>
        <w:tc>
          <w:tcPr>
            <w:tcW w:w="5500" w:type="dxa"/>
            <w:tcBorders>
              <w:top w:val="nil"/>
              <w:left w:val="nil"/>
              <w:bottom w:val="single" w:sz="4" w:space="0" w:color="auto"/>
              <w:right w:val="single" w:sz="4" w:space="0" w:color="auto"/>
            </w:tcBorders>
            <w:shd w:val="clear" w:color="auto" w:fill="auto"/>
            <w:noWrap/>
            <w:vAlign w:val="bottom"/>
            <w:hideMark/>
          </w:tcPr>
          <w:p w14:paraId="59A32B2B"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Net Revenue/Assets </w:t>
            </w:r>
          </w:p>
        </w:tc>
        <w:tc>
          <w:tcPr>
            <w:tcW w:w="760" w:type="dxa"/>
            <w:tcBorders>
              <w:top w:val="nil"/>
              <w:left w:val="nil"/>
              <w:bottom w:val="single" w:sz="4" w:space="0" w:color="auto"/>
              <w:right w:val="single" w:sz="4" w:space="0" w:color="auto"/>
            </w:tcBorders>
            <w:shd w:val="clear" w:color="auto" w:fill="auto"/>
            <w:noWrap/>
            <w:vAlign w:val="bottom"/>
            <w:hideMark/>
          </w:tcPr>
          <w:p w14:paraId="63BBFF70"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0.9 </w:t>
            </w:r>
          </w:p>
        </w:tc>
        <w:tc>
          <w:tcPr>
            <w:tcW w:w="680" w:type="dxa"/>
            <w:tcBorders>
              <w:top w:val="nil"/>
              <w:left w:val="nil"/>
              <w:bottom w:val="single" w:sz="4" w:space="0" w:color="auto"/>
              <w:right w:val="single" w:sz="4" w:space="0" w:color="auto"/>
            </w:tcBorders>
            <w:shd w:val="clear" w:color="auto" w:fill="auto"/>
            <w:noWrap/>
            <w:vAlign w:val="bottom"/>
            <w:hideMark/>
          </w:tcPr>
          <w:p w14:paraId="3E435E54"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0.8 </w:t>
            </w:r>
          </w:p>
        </w:tc>
        <w:tc>
          <w:tcPr>
            <w:tcW w:w="960" w:type="dxa"/>
            <w:tcBorders>
              <w:top w:val="nil"/>
              <w:left w:val="nil"/>
              <w:bottom w:val="single" w:sz="4" w:space="0" w:color="auto"/>
              <w:right w:val="single" w:sz="4" w:space="0" w:color="auto"/>
            </w:tcBorders>
            <w:shd w:val="clear" w:color="auto" w:fill="auto"/>
            <w:noWrap/>
            <w:vAlign w:val="bottom"/>
            <w:hideMark/>
          </w:tcPr>
          <w:p w14:paraId="398692E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Times</w:t>
            </w:r>
          </w:p>
        </w:tc>
      </w:tr>
      <w:tr w:rsidR="00730D4D" w:rsidRPr="00730D4D" w14:paraId="23215936"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1BFC25B"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Stock holding days</w:t>
            </w:r>
          </w:p>
        </w:tc>
        <w:tc>
          <w:tcPr>
            <w:tcW w:w="5500" w:type="dxa"/>
            <w:tcBorders>
              <w:top w:val="nil"/>
              <w:left w:val="nil"/>
              <w:bottom w:val="single" w:sz="4" w:space="0" w:color="auto"/>
              <w:right w:val="single" w:sz="4" w:space="0" w:color="auto"/>
            </w:tcBorders>
            <w:shd w:val="clear" w:color="auto" w:fill="auto"/>
            <w:noWrap/>
            <w:vAlign w:val="bottom"/>
            <w:hideMark/>
          </w:tcPr>
          <w:p w14:paraId="348FDA20"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Inventory/Cost of sales*365</w:t>
            </w:r>
          </w:p>
        </w:tc>
        <w:tc>
          <w:tcPr>
            <w:tcW w:w="760" w:type="dxa"/>
            <w:tcBorders>
              <w:top w:val="nil"/>
              <w:left w:val="nil"/>
              <w:bottom w:val="single" w:sz="4" w:space="0" w:color="auto"/>
              <w:right w:val="single" w:sz="4" w:space="0" w:color="auto"/>
            </w:tcBorders>
            <w:shd w:val="clear" w:color="auto" w:fill="auto"/>
            <w:noWrap/>
            <w:vAlign w:val="bottom"/>
            <w:hideMark/>
          </w:tcPr>
          <w:p w14:paraId="0DAFD8E5"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78 </w:t>
            </w:r>
          </w:p>
        </w:tc>
        <w:tc>
          <w:tcPr>
            <w:tcW w:w="680" w:type="dxa"/>
            <w:tcBorders>
              <w:top w:val="nil"/>
              <w:left w:val="nil"/>
              <w:bottom w:val="single" w:sz="4" w:space="0" w:color="auto"/>
              <w:right w:val="single" w:sz="4" w:space="0" w:color="auto"/>
            </w:tcBorders>
            <w:shd w:val="clear" w:color="auto" w:fill="auto"/>
            <w:noWrap/>
            <w:vAlign w:val="bottom"/>
            <w:hideMark/>
          </w:tcPr>
          <w:p w14:paraId="2E207673"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80 </w:t>
            </w:r>
          </w:p>
        </w:tc>
        <w:tc>
          <w:tcPr>
            <w:tcW w:w="960" w:type="dxa"/>
            <w:tcBorders>
              <w:top w:val="nil"/>
              <w:left w:val="nil"/>
              <w:bottom w:val="single" w:sz="4" w:space="0" w:color="auto"/>
              <w:right w:val="single" w:sz="4" w:space="0" w:color="auto"/>
            </w:tcBorders>
            <w:shd w:val="clear" w:color="auto" w:fill="auto"/>
            <w:noWrap/>
            <w:vAlign w:val="bottom"/>
            <w:hideMark/>
          </w:tcPr>
          <w:p w14:paraId="2E6CE887"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Days</w:t>
            </w:r>
          </w:p>
        </w:tc>
      </w:tr>
      <w:tr w:rsidR="00730D4D" w:rsidRPr="00730D4D" w14:paraId="7FFDF2BE"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5168421C"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 xml:space="preserve">Debtors collection period </w:t>
            </w:r>
          </w:p>
        </w:tc>
        <w:tc>
          <w:tcPr>
            <w:tcW w:w="5500" w:type="dxa"/>
            <w:tcBorders>
              <w:top w:val="nil"/>
              <w:left w:val="nil"/>
              <w:bottom w:val="single" w:sz="4" w:space="0" w:color="auto"/>
              <w:right w:val="single" w:sz="4" w:space="0" w:color="auto"/>
            </w:tcBorders>
            <w:shd w:val="clear" w:color="auto" w:fill="auto"/>
            <w:noWrap/>
            <w:vAlign w:val="bottom"/>
            <w:hideMark/>
          </w:tcPr>
          <w:p w14:paraId="27BD0FAE"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Receivables/Credit Sales*365</w:t>
            </w:r>
          </w:p>
        </w:tc>
        <w:tc>
          <w:tcPr>
            <w:tcW w:w="760" w:type="dxa"/>
            <w:tcBorders>
              <w:top w:val="nil"/>
              <w:left w:val="nil"/>
              <w:bottom w:val="single" w:sz="4" w:space="0" w:color="auto"/>
              <w:right w:val="single" w:sz="4" w:space="0" w:color="auto"/>
            </w:tcBorders>
            <w:shd w:val="clear" w:color="auto" w:fill="auto"/>
            <w:noWrap/>
            <w:vAlign w:val="bottom"/>
            <w:hideMark/>
          </w:tcPr>
          <w:p w14:paraId="1B0F4215"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73 </w:t>
            </w:r>
          </w:p>
        </w:tc>
        <w:tc>
          <w:tcPr>
            <w:tcW w:w="680" w:type="dxa"/>
            <w:tcBorders>
              <w:top w:val="nil"/>
              <w:left w:val="nil"/>
              <w:bottom w:val="single" w:sz="4" w:space="0" w:color="auto"/>
              <w:right w:val="single" w:sz="4" w:space="0" w:color="auto"/>
            </w:tcBorders>
            <w:shd w:val="clear" w:color="auto" w:fill="auto"/>
            <w:noWrap/>
            <w:vAlign w:val="bottom"/>
            <w:hideMark/>
          </w:tcPr>
          <w:p w14:paraId="3366D820"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68 </w:t>
            </w:r>
          </w:p>
        </w:tc>
        <w:tc>
          <w:tcPr>
            <w:tcW w:w="960" w:type="dxa"/>
            <w:tcBorders>
              <w:top w:val="nil"/>
              <w:left w:val="nil"/>
              <w:bottom w:val="single" w:sz="4" w:space="0" w:color="auto"/>
              <w:right w:val="single" w:sz="4" w:space="0" w:color="auto"/>
            </w:tcBorders>
            <w:shd w:val="clear" w:color="auto" w:fill="auto"/>
            <w:noWrap/>
            <w:vAlign w:val="bottom"/>
            <w:hideMark/>
          </w:tcPr>
          <w:p w14:paraId="0B7E1BD2"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Days</w:t>
            </w:r>
          </w:p>
        </w:tc>
      </w:tr>
      <w:tr w:rsidR="00730D4D" w:rsidRPr="00730D4D" w14:paraId="14284C3B"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4C5670B6"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lastRenderedPageBreak/>
              <w:t>Current ratio</w:t>
            </w:r>
          </w:p>
        </w:tc>
        <w:tc>
          <w:tcPr>
            <w:tcW w:w="5500" w:type="dxa"/>
            <w:tcBorders>
              <w:top w:val="nil"/>
              <w:left w:val="nil"/>
              <w:bottom w:val="single" w:sz="4" w:space="0" w:color="auto"/>
              <w:right w:val="single" w:sz="4" w:space="0" w:color="auto"/>
            </w:tcBorders>
            <w:shd w:val="clear" w:color="auto" w:fill="auto"/>
            <w:noWrap/>
            <w:vAlign w:val="bottom"/>
            <w:hideMark/>
          </w:tcPr>
          <w:p w14:paraId="2B2EE28A"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Current assets/Current liabilities</w:t>
            </w:r>
          </w:p>
        </w:tc>
        <w:tc>
          <w:tcPr>
            <w:tcW w:w="760" w:type="dxa"/>
            <w:tcBorders>
              <w:top w:val="nil"/>
              <w:left w:val="nil"/>
              <w:bottom w:val="single" w:sz="4" w:space="0" w:color="auto"/>
              <w:right w:val="single" w:sz="4" w:space="0" w:color="auto"/>
            </w:tcBorders>
            <w:shd w:val="clear" w:color="auto" w:fill="auto"/>
            <w:noWrap/>
            <w:vAlign w:val="bottom"/>
            <w:hideMark/>
          </w:tcPr>
          <w:p w14:paraId="40B59B9A"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0.8 </w:t>
            </w:r>
          </w:p>
        </w:tc>
        <w:tc>
          <w:tcPr>
            <w:tcW w:w="680" w:type="dxa"/>
            <w:tcBorders>
              <w:top w:val="nil"/>
              <w:left w:val="nil"/>
              <w:bottom w:val="single" w:sz="4" w:space="0" w:color="auto"/>
              <w:right w:val="single" w:sz="4" w:space="0" w:color="auto"/>
            </w:tcBorders>
            <w:shd w:val="clear" w:color="auto" w:fill="auto"/>
            <w:noWrap/>
            <w:vAlign w:val="bottom"/>
            <w:hideMark/>
          </w:tcPr>
          <w:p w14:paraId="121F4A20"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0.9 </w:t>
            </w:r>
          </w:p>
        </w:tc>
        <w:tc>
          <w:tcPr>
            <w:tcW w:w="960" w:type="dxa"/>
            <w:tcBorders>
              <w:top w:val="nil"/>
              <w:left w:val="nil"/>
              <w:bottom w:val="single" w:sz="4" w:space="0" w:color="auto"/>
              <w:right w:val="single" w:sz="4" w:space="0" w:color="auto"/>
            </w:tcBorders>
            <w:shd w:val="clear" w:color="auto" w:fill="auto"/>
            <w:noWrap/>
            <w:vAlign w:val="bottom"/>
            <w:hideMark/>
          </w:tcPr>
          <w:p w14:paraId="556B65AC"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:1</w:t>
            </w:r>
          </w:p>
        </w:tc>
      </w:tr>
      <w:tr w:rsidR="00730D4D" w:rsidRPr="00730D4D" w14:paraId="18725EDA"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901379E"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Gearing ratio</w:t>
            </w:r>
          </w:p>
        </w:tc>
        <w:tc>
          <w:tcPr>
            <w:tcW w:w="5500" w:type="dxa"/>
            <w:tcBorders>
              <w:top w:val="nil"/>
              <w:left w:val="nil"/>
              <w:bottom w:val="single" w:sz="4" w:space="0" w:color="auto"/>
              <w:right w:val="single" w:sz="4" w:space="0" w:color="auto"/>
            </w:tcBorders>
            <w:shd w:val="clear" w:color="auto" w:fill="auto"/>
            <w:noWrap/>
            <w:vAlign w:val="bottom"/>
            <w:hideMark/>
          </w:tcPr>
          <w:p w14:paraId="6EBF8D7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Non-current liabilities/(Equity+Non-current liabilities)*100</w:t>
            </w:r>
          </w:p>
        </w:tc>
        <w:tc>
          <w:tcPr>
            <w:tcW w:w="760" w:type="dxa"/>
            <w:tcBorders>
              <w:top w:val="nil"/>
              <w:left w:val="nil"/>
              <w:bottom w:val="single" w:sz="4" w:space="0" w:color="auto"/>
              <w:right w:val="single" w:sz="4" w:space="0" w:color="auto"/>
            </w:tcBorders>
            <w:shd w:val="clear" w:color="auto" w:fill="auto"/>
            <w:noWrap/>
            <w:vAlign w:val="bottom"/>
            <w:hideMark/>
          </w:tcPr>
          <w:p w14:paraId="45A35C6F"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59 </w:t>
            </w:r>
          </w:p>
        </w:tc>
        <w:tc>
          <w:tcPr>
            <w:tcW w:w="680" w:type="dxa"/>
            <w:tcBorders>
              <w:top w:val="nil"/>
              <w:left w:val="nil"/>
              <w:bottom w:val="single" w:sz="4" w:space="0" w:color="auto"/>
              <w:right w:val="single" w:sz="4" w:space="0" w:color="auto"/>
            </w:tcBorders>
            <w:shd w:val="clear" w:color="auto" w:fill="auto"/>
            <w:noWrap/>
            <w:vAlign w:val="bottom"/>
            <w:hideMark/>
          </w:tcPr>
          <w:p w14:paraId="271DE35F"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61 </w:t>
            </w:r>
          </w:p>
        </w:tc>
        <w:tc>
          <w:tcPr>
            <w:tcW w:w="960" w:type="dxa"/>
            <w:tcBorders>
              <w:top w:val="nil"/>
              <w:left w:val="nil"/>
              <w:bottom w:val="single" w:sz="4" w:space="0" w:color="auto"/>
              <w:right w:val="single" w:sz="4" w:space="0" w:color="auto"/>
            </w:tcBorders>
            <w:shd w:val="clear" w:color="auto" w:fill="auto"/>
            <w:noWrap/>
            <w:vAlign w:val="bottom"/>
            <w:hideMark/>
          </w:tcPr>
          <w:p w14:paraId="40A86D35"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w:t>
            </w:r>
          </w:p>
        </w:tc>
      </w:tr>
      <w:tr w:rsidR="00730D4D" w:rsidRPr="00730D4D" w14:paraId="6AB07DDE" w14:textId="77777777" w:rsidTr="00730D4D">
        <w:trPr>
          <w:trHeight w:val="30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6AD8771" w14:textId="77777777" w:rsidR="00730D4D" w:rsidRPr="00730D4D" w:rsidRDefault="00730D4D" w:rsidP="002F2996">
            <w:pPr>
              <w:spacing w:after="0" w:line="360" w:lineRule="auto"/>
              <w:jc w:val="both"/>
              <w:rPr>
                <w:rFonts w:ascii="Arial" w:eastAsia="Times New Roman" w:hAnsi="Arial" w:cs="Arial"/>
                <w:b/>
                <w:bCs/>
                <w:i/>
                <w:iCs/>
                <w:color w:val="000000"/>
                <w:sz w:val="24"/>
                <w:szCs w:val="24"/>
              </w:rPr>
            </w:pPr>
            <w:r w:rsidRPr="00730D4D">
              <w:rPr>
                <w:rFonts w:ascii="Arial" w:eastAsia="Times New Roman" w:hAnsi="Arial" w:cs="Arial"/>
                <w:b/>
                <w:bCs/>
                <w:i/>
                <w:iCs/>
                <w:color w:val="000000"/>
                <w:sz w:val="24"/>
                <w:szCs w:val="24"/>
              </w:rPr>
              <w:t xml:space="preserve">Interest cover </w:t>
            </w:r>
          </w:p>
        </w:tc>
        <w:tc>
          <w:tcPr>
            <w:tcW w:w="5500" w:type="dxa"/>
            <w:tcBorders>
              <w:top w:val="nil"/>
              <w:left w:val="nil"/>
              <w:bottom w:val="single" w:sz="4" w:space="0" w:color="auto"/>
              <w:right w:val="single" w:sz="4" w:space="0" w:color="auto"/>
            </w:tcBorders>
            <w:shd w:val="clear" w:color="auto" w:fill="auto"/>
            <w:noWrap/>
            <w:vAlign w:val="bottom"/>
            <w:hideMark/>
          </w:tcPr>
          <w:p w14:paraId="7A31E75E"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Operating profit/Finance cost </w:t>
            </w:r>
          </w:p>
        </w:tc>
        <w:tc>
          <w:tcPr>
            <w:tcW w:w="760" w:type="dxa"/>
            <w:tcBorders>
              <w:top w:val="nil"/>
              <w:left w:val="nil"/>
              <w:bottom w:val="single" w:sz="4" w:space="0" w:color="auto"/>
              <w:right w:val="single" w:sz="4" w:space="0" w:color="auto"/>
            </w:tcBorders>
            <w:shd w:val="clear" w:color="auto" w:fill="auto"/>
            <w:noWrap/>
            <w:vAlign w:val="bottom"/>
            <w:hideMark/>
          </w:tcPr>
          <w:p w14:paraId="678601F3"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4 </w:t>
            </w:r>
          </w:p>
        </w:tc>
        <w:tc>
          <w:tcPr>
            <w:tcW w:w="680" w:type="dxa"/>
            <w:tcBorders>
              <w:top w:val="nil"/>
              <w:left w:val="nil"/>
              <w:bottom w:val="single" w:sz="4" w:space="0" w:color="auto"/>
              <w:right w:val="single" w:sz="4" w:space="0" w:color="auto"/>
            </w:tcBorders>
            <w:shd w:val="clear" w:color="auto" w:fill="auto"/>
            <w:noWrap/>
            <w:vAlign w:val="bottom"/>
            <w:hideMark/>
          </w:tcPr>
          <w:p w14:paraId="1B05AA6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 xml:space="preserve">4 </w:t>
            </w:r>
          </w:p>
        </w:tc>
        <w:tc>
          <w:tcPr>
            <w:tcW w:w="960" w:type="dxa"/>
            <w:tcBorders>
              <w:top w:val="nil"/>
              <w:left w:val="nil"/>
              <w:bottom w:val="single" w:sz="4" w:space="0" w:color="auto"/>
              <w:right w:val="single" w:sz="4" w:space="0" w:color="auto"/>
            </w:tcBorders>
            <w:shd w:val="clear" w:color="auto" w:fill="auto"/>
            <w:noWrap/>
            <w:vAlign w:val="bottom"/>
            <w:hideMark/>
          </w:tcPr>
          <w:p w14:paraId="43673D89" w14:textId="77777777" w:rsidR="00730D4D" w:rsidRPr="00730D4D" w:rsidRDefault="00730D4D" w:rsidP="002F2996">
            <w:pPr>
              <w:spacing w:after="0" w:line="360" w:lineRule="auto"/>
              <w:jc w:val="both"/>
              <w:rPr>
                <w:rFonts w:ascii="Arial" w:eastAsia="Times New Roman" w:hAnsi="Arial" w:cs="Arial"/>
                <w:color w:val="000000"/>
                <w:sz w:val="24"/>
                <w:szCs w:val="24"/>
              </w:rPr>
            </w:pPr>
            <w:r w:rsidRPr="00730D4D">
              <w:rPr>
                <w:rFonts w:ascii="Arial" w:eastAsia="Times New Roman" w:hAnsi="Arial" w:cs="Arial"/>
                <w:color w:val="000000"/>
                <w:sz w:val="24"/>
                <w:szCs w:val="24"/>
              </w:rPr>
              <w:t>Times</w:t>
            </w:r>
          </w:p>
        </w:tc>
      </w:tr>
    </w:tbl>
    <w:p w14:paraId="0FD9AA55" w14:textId="77777777" w:rsidR="00C16066" w:rsidRPr="002F2996" w:rsidRDefault="00C16066" w:rsidP="002F2996">
      <w:pPr>
        <w:spacing w:line="360" w:lineRule="auto"/>
        <w:jc w:val="both"/>
        <w:rPr>
          <w:rFonts w:ascii="Arial" w:hAnsi="Arial" w:cs="Arial"/>
          <w:sz w:val="24"/>
          <w:szCs w:val="24"/>
        </w:rPr>
      </w:pPr>
    </w:p>
    <w:p w14:paraId="2C683BF2" w14:textId="503A5B36" w:rsidR="00AA0FC2" w:rsidRPr="002F2996" w:rsidRDefault="00262321" w:rsidP="002F2996">
      <w:pPr>
        <w:pStyle w:val="Heading1"/>
        <w:spacing w:line="360" w:lineRule="auto"/>
        <w:jc w:val="both"/>
        <w:rPr>
          <w:rFonts w:ascii="Arial" w:hAnsi="Arial" w:cs="Arial"/>
          <w:color w:val="auto"/>
          <w:sz w:val="24"/>
          <w:szCs w:val="24"/>
        </w:rPr>
      </w:pPr>
      <w:bookmarkStart w:id="5" w:name="_Toc77677857"/>
      <w:r>
        <w:rPr>
          <w:rFonts w:ascii="Arial" w:hAnsi="Arial" w:cs="Arial"/>
          <w:color w:val="auto"/>
          <w:sz w:val="24"/>
          <w:szCs w:val="24"/>
        </w:rPr>
        <w:t>b</w:t>
      </w:r>
      <w:r w:rsidR="00AA0FC2" w:rsidRPr="002F2996">
        <w:rPr>
          <w:rFonts w:ascii="Arial" w:hAnsi="Arial" w:cs="Arial"/>
          <w:color w:val="auto"/>
          <w:sz w:val="24"/>
          <w:szCs w:val="24"/>
        </w:rPr>
        <w:t>)</w:t>
      </w:r>
      <w:bookmarkEnd w:id="5"/>
    </w:p>
    <w:p w14:paraId="35D08E2D" w14:textId="77777777" w:rsidR="00AA0FC2" w:rsidRPr="006B1E70" w:rsidRDefault="0029206B" w:rsidP="002F2996">
      <w:pPr>
        <w:spacing w:line="360" w:lineRule="auto"/>
        <w:jc w:val="both"/>
        <w:rPr>
          <w:rFonts w:ascii="Arial" w:hAnsi="Arial" w:cs="Arial"/>
          <w:sz w:val="24"/>
          <w:szCs w:val="24"/>
        </w:rPr>
      </w:pPr>
      <w:r w:rsidRPr="006B1E70">
        <w:rPr>
          <w:rFonts w:ascii="Arial" w:hAnsi="Arial" w:cs="Arial"/>
          <w:sz w:val="24"/>
          <w:szCs w:val="24"/>
        </w:rPr>
        <w:t xml:space="preserve">The </w:t>
      </w:r>
      <w:r w:rsidR="00786214">
        <w:rPr>
          <w:rFonts w:ascii="Arial" w:hAnsi="Arial" w:cs="Arial"/>
          <w:sz w:val="24"/>
          <w:szCs w:val="24"/>
        </w:rPr>
        <w:t>ROCE</w:t>
      </w:r>
      <w:r w:rsidRPr="006B1E70">
        <w:rPr>
          <w:rFonts w:ascii="Arial" w:hAnsi="Arial" w:cs="Arial"/>
          <w:sz w:val="24"/>
          <w:szCs w:val="24"/>
        </w:rPr>
        <w:t xml:space="preserve"> has improved from 10% to 20% in 2020 which means greater returns to investors and efficient business performance. Similarly, the return on equity improved by the same proportion with a 2% increment in the year 2020</w:t>
      </w:r>
      <w:r w:rsidR="006B1E70" w:rsidRPr="006B1E70">
        <w:rPr>
          <w:rFonts w:ascii="Arial" w:hAnsi="Arial" w:cs="Arial"/>
          <w:sz w:val="24"/>
          <w:szCs w:val="24"/>
        </w:rPr>
        <w:t xml:space="preserve"> </w:t>
      </w:r>
      <w:r w:rsidR="006B1E70" w:rsidRPr="006B1E70">
        <w:rPr>
          <w:rFonts w:ascii="Arial" w:hAnsi="Arial" w:cs="Arial"/>
          <w:sz w:val="24"/>
          <w:szCs w:val="24"/>
          <w:shd w:val="clear" w:color="auto" w:fill="FFFFFF"/>
        </w:rPr>
        <w:t>(Song et al, 2019)</w:t>
      </w:r>
      <w:r w:rsidRPr="006B1E70">
        <w:rPr>
          <w:rFonts w:ascii="Arial" w:hAnsi="Arial" w:cs="Arial"/>
          <w:sz w:val="24"/>
          <w:szCs w:val="24"/>
        </w:rPr>
        <w:t>. The earnings per share of the company has improved to 0.7% which shows 16.67% improvement compared to prior year. The net profit margin of the company has improved by 12.67% in the year 2020 which implies that the organisation is performing exceptionally well</w:t>
      </w:r>
      <w:r w:rsidR="006B1E70" w:rsidRPr="006B1E70">
        <w:rPr>
          <w:rFonts w:ascii="Arial" w:hAnsi="Arial" w:cs="Arial"/>
          <w:sz w:val="24"/>
          <w:szCs w:val="24"/>
        </w:rPr>
        <w:t xml:space="preserve"> </w:t>
      </w:r>
      <w:r w:rsidR="006B1E70" w:rsidRPr="006B1E70">
        <w:rPr>
          <w:rFonts w:ascii="Arial" w:hAnsi="Arial" w:cs="Arial"/>
          <w:sz w:val="24"/>
          <w:szCs w:val="24"/>
          <w:shd w:val="clear" w:color="auto" w:fill="FFFFFF"/>
        </w:rPr>
        <w:t>(Mizikovsky et al, 2016)</w:t>
      </w:r>
      <w:r w:rsidRPr="006B1E70">
        <w:rPr>
          <w:rFonts w:ascii="Arial" w:hAnsi="Arial" w:cs="Arial"/>
          <w:sz w:val="24"/>
          <w:szCs w:val="24"/>
        </w:rPr>
        <w:t xml:space="preserve">. </w:t>
      </w:r>
    </w:p>
    <w:p w14:paraId="1CEB3755" w14:textId="1412783F" w:rsidR="0029206B" w:rsidRPr="006B1E70" w:rsidRDefault="0029206B" w:rsidP="002F2996">
      <w:pPr>
        <w:spacing w:line="360" w:lineRule="auto"/>
        <w:jc w:val="both"/>
        <w:rPr>
          <w:rFonts w:ascii="Arial" w:hAnsi="Arial" w:cs="Arial"/>
          <w:sz w:val="24"/>
          <w:szCs w:val="24"/>
        </w:rPr>
      </w:pPr>
      <w:r w:rsidRPr="006B1E70">
        <w:rPr>
          <w:rFonts w:ascii="Arial" w:hAnsi="Arial" w:cs="Arial"/>
          <w:sz w:val="24"/>
          <w:szCs w:val="24"/>
        </w:rPr>
        <w:t>However, the efficiency of Chocco plc has slightly deteriorated as the asset turnover fell by 0.1 times in the period 2020 and the stock holding days grew to 80 which means it will take two more days for the stock to be converted into finished goods sales giving rise to costs in form of tied-up capital and obsolescence. The debtors collection period fell by 5% which may improvise the liquidity potential of the organisation and depicts effective credit control</w:t>
      </w:r>
      <w:r w:rsidR="006B1E70" w:rsidRPr="006B1E70">
        <w:rPr>
          <w:rFonts w:ascii="Arial" w:hAnsi="Arial" w:cs="Arial"/>
          <w:sz w:val="24"/>
          <w:szCs w:val="24"/>
        </w:rPr>
        <w:t xml:space="preserve"> </w:t>
      </w:r>
      <w:r w:rsidR="006B1E70" w:rsidRPr="006B1E70">
        <w:rPr>
          <w:rFonts w:ascii="Arial" w:hAnsi="Arial" w:cs="Arial"/>
          <w:sz w:val="24"/>
          <w:szCs w:val="24"/>
          <w:shd w:val="clear" w:color="auto" w:fill="FFFFFF"/>
        </w:rPr>
        <w:t>(Song et al, 2019)</w:t>
      </w:r>
      <w:r w:rsidRPr="006B1E70">
        <w:rPr>
          <w:rFonts w:ascii="Arial" w:hAnsi="Arial" w:cs="Arial"/>
          <w:sz w:val="24"/>
          <w:szCs w:val="24"/>
        </w:rPr>
        <w:t>. But the current ratio has slightly improved to 0.9:1 which is still far below than the ideal ratio of 2:1, thus improvement is needed. Although, the interest cover has remained same for both years, the gearing of the company is substantially high as it exceeds 50% in both the years and continues to do so which requires significant attention</w:t>
      </w:r>
      <w:r w:rsidR="006B1E70" w:rsidRPr="006B1E70">
        <w:rPr>
          <w:rFonts w:ascii="Arial" w:hAnsi="Arial" w:cs="Arial"/>
          <w:sz w:val="24"/>
          <w:szCs w:val="24"/>
        </w:rPr>
        <w:t xml:space="preserve"> </w:t>
      </w:r>
      <w:r w:rsidR="006B1E70" w:rsidRPr="006B1E70">
        <w:rPr>
          <w:rFonts w:ascii="Arial" w:hAnsi="Arial" w:cs="Arial"/>
          <w:sz w:val="24"/>
          <w:szCs w:val="24"/>
          <w:shd w:val="clear" w:color="auto" w:fill="FFFFFF"/>
        </w:rPr>
        <w:t>(Mizikovsky et al, 2016)</w:t>
      </w:r>
      <w:r w:rsidR="006B1E70" w:rsidRPr="006B1E70">
        <w:rPr>
          <w:rFonts w:ascii="Arial" w:hAnsi="Arial" w:cs="Arial"/>
          <w:sz w:val="24"/>
          <w:szCs w:val="24"/>
        </w:rPr>
        <w:t xml:space="preserve">. </w:t>
      </w:r>
      <w:r w:rsidRPr="006B1E70">
        <w:rPr>
          <w:rFonts w:ascii="Arial" w:hAnsi="Arial" w:cs="Arial"/>
          <w:sz w:val="24"/>
          <w:szCs w:val="24"/>
        </w:rPr>
        <w:t xml:space="preserve"> </w:t>
      </w:r>
    </w:p>
    <w:p w14:paraId="06B66956" w14:textId="77777777" w:rsidR="002F2996" w:rsidRDefault="002F2996">
      <w:pPr>
        <w:rPr>
          <w:rFonts w:ascii="Arial" w:hAnsi="Arial" w:cs="Arial"/>
          <w:sz w:val="24"/>
          <w:szCs w:val="24"/>
        </w:rPr>
      </w:pPr>
      <w:r>
        <w:rPr>
          <w:rFonts w:ascii="Arial" w:hAnsi="Arial" w:cs="Arial"/>
          <w:sz w:val="24"/>
          <w:szCs w:val="24"/>
        </w:rPr>
        <w:br w:type="page"/>
      </w:r>
    </w:p>
    <w:p w14:paraId="1EF3B739" w14:textId="77777777" w:rsidR="002F2996" w:rsidRDefault="002F2996" w:rsidP="002F2996">
      <w:pPr>
        <w:pStyle w:val="Heading1"/>
        <w:spacing w:line="360" w:lineRule="auto"/>
        <w:jc w:val="center"/>
        <w:rPr>
          <w:rFonts w:ascii="Arial" w:hAnsi="Arial" w:cs="Arial"/>
          <w:color w:val="auto"/>
          <w:sz w:val="24"/>
        </w:rPr>
      </w:pPr>
      <w:bookmarkStart w:id="6" w:name="_Toc77677858"/>
      <w:r w:rsidRPr="002F2996">
        <w:rPr>
          <w:rFonts w:ascii="Arial" w:hAnsi="Arial" w:cs="Arial"/>
          <w:color w:val="auto"/>
          <w:sz w:val="24"/>
        </w:rPr>
        <w:lastRenderedPageBreak/>
        <w:t>References</w:t>
      </w:r>
      <w:bookmarkEnd w:id="6"/>
    </w:p>
    <w:p w14:paraId="06C8DB47" w14:textId="77777777" w:rsidR="006B1E70" w:rsidRPr="000E56F8" w:rsidRDefault="006B1E70" w:rsidP="006B1E70">
      <w:pPr>
        <w:spacing w:after="0" w:line="480" w:lineRule="auto"/>
        <w:jc w:val="both"/>
        <w:rPr>
          <w:rFonts w:ascii="Arial" w:hAnsi="Arial" w:cs="Arial"/>
          <w:sz w:val="24"/>
          <w:szCs w:val="24"/>
          <w:shd w:val="clear" w:color="auto" w:fill="FFFFFF"/>
        </w:rPr>
      </w:pPr>
      <w:r w:rsidRPr="000E56F8">
        <w:rPr>
          <w:rFonts w:ascii="Arial" w:hAnsi="Arial" w:cs="Arial"/>
          <w:sz w:val="24"/>
          <w:szCs w:val="24"/>
          <w:shd w:val="clear" w:color="auto" w:fill="FFFFFF"/>
        </w:rPr>
        <w:t>Bareja-Wawryszuk, O., 2020. Forms of organization and spatial concentration of local food systems. a case from Poland. </w:t>
      </w:r>
      <w:r w:rsidRPr="000E56F8">
        <w:rPr>
          <w:rFonts w:ascii="Arial" w:hAnsi="Arial" w:cs="Arial"/>
          <w:i/>
          <w:iCs/>
          <w:sz w:val="24"/>
          <w:szCs w:val="24"/>
          <w:shd w:val="clear" w:color="auto" w:fill="FFFFFF"/>
        </w:rPr>
        <w:t>Entrepreneurship and Sustainability Issues</w:t>
      </w:r>
      <w:r w:rsidRPr="000E56F8">
        <w:rPr>
          <w:rFonts w:ascii="Arial" w:hAnsi="Arial" w:cs="Arial"/>
          <w:sz w:val="24"/>
          <w:szCs w:val="24"/>
          <w:shd w:val="clear" w:color="auto" w:fill="FFFFFF"/>
        </w:rPr>
        <w:t>, </w:t>
      </w:r>
      <w:r w:rsidRPr="000E56F8">
        <w:rPr>
          <w:rFonts w:ascii="Arial" w:hAnsi="Arial" w:cs="Arial"/>
          <w:i/>
          <w:iCs/>
          <w:sz w:val="24"/>
          <w:szCs w:val="24"/>
          <w:shd w:val="clear" w:color="auto" w:fill="FFFFFF"/>
        </w:rPr>
        <w:t>8</w:t>
      </w:r>
      <w:r w:rsidRPr="000E56F8">
        <w:rPr>
          <w:rFonts w:ascii="Arial" w:hAnsi="Arial" w:cs="Arial"/>
          <w:sz w:val="24"/>
          <w:szCs w:val="24"/>
          <w:shd w:val="clear" w:color="auto" w:fill="FFFFFF"/>
        </w:rPr>
        <w:t xml:space="preserve">(1), pp.471-483. </w:t>
      </w:r>
    </w:p>
    <w:p w14:paraId="6290F6E7" w14:textId="77777777" w:rsidR="006B1E70" w:rsidRPr="000E56F8" w:rsidRDefault="006B1E70" w:rsidP="006B1E70">
      <w:pPr>
        <w:spacing w:after="0" w:line="480" w:lineRule="auto"/>
        <w:jc w:val="both"/>
        <w:rPr>
          <w:rFonts w:ascii="Arial" w:eastAsia="Times New Roman" w:hAnsi="Arial" w:cs="Arial"/>
          <w:sz w:val="24"/>
          <w:szCs w:val="24"/>
          <w:shd w:val="clear" w:color="auto" w:fill="FFFFFF"/>
        </w:rPr>
      </w:pPr>
      <w:r w:rsidRPr="000E56F8">
        <w:rPr>
          <w:rFonts w:ascii="Arial" w:hAnsi="Arial" w:cs="Arial"/>
          <w:sz w:val="24"/>
          <w:szCs w:val="24"/>
          <w:shd w:val="clear" w:color="auto" w:fill="FFFFFF"/>
        </w:rPr>
        <w:t>Collis, J., Jarvis, R. and Skerratt, L., 2017. The role and current status of IFRS in the completion of national accounting rules–Evidence from the UK. </w:t>
      </w:r>
      <w:r w:rsidRPr="000E56F8">
        <w:rPr>
          <w:rFonts w:ascii="Arial" w:hAnsi="Arial" w:cs="Arial"/>
          <w:i/>
          <w:iCs/>
          <w:sz w:val="24"/>
          <w:szCs w:val="24"/>
          <w:shd w:val="clear" w:color="auto" w:fill="FFFFFF"/>
        </w:rPr>
        <w:t>Accounting in Europe</w:t>
      </w:r>
      <w:r w:rsidRPr="000E56F8">
        <w:rPr>
          <w:rFonts w:ascii="Arial" w:hAnsi="Arial" w:cs="Arial"/>
          <w:sz w:val="24"/>
          <w:szCs w:val="24"/>
          <w:shd w:val="clear" w:color="auto" w:fill="FFFFFF"/>
        </w:rPr>
        <w:t>, </w:t>
      </w:r>
      <w:r w:rsidRPr="000E56F8">
        <w:rPr>
          <w:rFonts w:ascii="Arial" w:hAnsi="Arial" w:cs="Arial"/>
          <w:i/>
          <w:iCs/>
          <w:sz w:val="24"/>
          <w:szCs w:val="24"/>
          <w:shd w:val="clear" w:color="auto" w:fill="FFFFFF"/>
        </w:rPr>
        <w:t>14</w:t>
      </w:r>
      <w:r w:rsidRPr="000E56F8">
        <w:rPr>
          <w:rFonts w:ascii="Arial" w:hAnsi="Arial" w:cs="Arial"/>
          <w:sz w:val="24"/>
          <w:szCs w:val="24"/>
          <w:shd w:val="clear" w:color="auto" w:fill="FFFFFF"/>
        </w:rPr>
        <w:t xml:space="preserve">(1-2), pp.235-247. </w:t>
      </w:r>
    </w:p>
    <w:p w14:paraId="6E5CDA07" w14:textId="77777777" w:rsidR="006B1E70" w:rsidRPr="000E56F8" w:rsidRDefault="006B1E70" w:rsidP="006B1E70">
      <w:pPr>
        <w:spacing w:after="0" w:line="480" w:lineRule="auto"/>
        <w:jc w:val="both"/>
        <w:rPr>
          <w:rFonts w:ascii="Arial" w:hAnsi="Arial" w:cs="Arial"/>
          <w:sz w:val="24"/>
          <w:szCs w:val="24"/>
          <w:shd w:val="clear" w:color="auto" w:fill="FFFFFF"/>
        </w:rPr>
      </w:pPr>
      <w:r w:rsidRPr="000E56F8">
        <w:rPr>
          <w:rFonts w:ascii="Arial" w:hAnsi="Arial" w:cs="Arial"/>
          <w:sz w:val="24"/>
          <w:szCs w:val="24"/>
          <w:shd w:val="clear" w:color="auto" w:fill="FFFFFF"/>
        </w:rPr>
        <w:t>Deegan, C., 2017. Twenty five years of social and environmental accounting research within Critical Perspectives of Accounting: Hits, misses and ways forward. </w:t>
      </w:r>
      <w:r w:rsidRPr="000E56F8">
        <w:rPr>
          <w:rFonts w:ascii="Arial" w:hAnsi="Arial" w:cs="Arial"/>
          <w:i/>
          <w:iCs/>
          <w:sz w:val="24"/>
          <w:szCs w:val="24"/>
          <w:shd w:val="clear" w:color="auto" w:fill="FFFFFF"/>
        </w:rPr>
        <w:t>Critical Perspectives on Accounting</w:t>
      </w:r>
      <w:r w:rsidRPr="000E56F8">
        <w:rPr>
          <w:rFonts w:ascii="Arial" w:hAnsi="Arial" w:cs="Arial"/>
          <w:sz w:val="24"/>
          <w:szCs w:val="24"/>
          <w:shd w:val="clear" w:color="auto" w:fill="FFFFFF"/>
        </w:rPr>
        <w:t>, </w:t>
      </w:r>
      <w:r w:rsidRPr="000E56F8">
        <w:rPr>
          <w:rFonts w:ascii="Arial" w:hAnsi="Arial" w:cs="Arial"/>
          <w:i/>
          <w:iCs/>
          <w:sz w:val="24"/>
          <w:szCs w:val="24"/>
          <w:shd w:val="clear" w:color="auto" w:fill="FFFFFF"/>
        </w:rPr>
        <w:t>43</w:t>
      </w:r>
      <w:r w:rsidRPr="000E56F8">
        <w:rPr>
          <w:rFonts w:ascii="Arial" w:hAnsi="Arial" w:cs="Arial"/>
          <w:sz w:val="24"/>
          <w:szCs w:val="24"/>
          <w:shd w:val="clear" w:color="auto" w:fill="FFFFFF"/>
        </w:rPr>
        <w:t xml:space="preserve">, pp.65-87. </w:t>
      </w:r>
    </w:p>
    <w:p w14:paraId="7B251DC6" w14:textId="77777777" w:rsidR="006B1E70" w:rsidRPr="000E56F8" w:rsidRDefault="006B1E70" w:rsidP="006B1E70">
      <w:pPr>
        <w:spacing w:after="0" w:line="480" w:lineRule="auto"/>
        <w:jc w:val="both"/>
        <w:rPr>
          <w:rFonts w:ascii="Arial" w:hAnsi="Arial" w:cs="Arial"/>
          <w:sz w:val="24"/>
          <w:szCs w:val="24"/>
          <w:shd w:val="clear" w:color="auto" w:fill="FFFFFF"/>
        </w:rPr>
      </w:pPr>
      <w:r w:rsidRPr="000E56F8">
        <w:rPr>
          <w:rFonts w:ascii="Arial" w:hAnsi="Arial" w:cs="Arial"/>
          <w:sz w:val="24"/>
          <w:szCs w:val="24"/>
          <w:shd w:val="clear" w:color="auto" w:fill="FFFFFF"/>
        </w:rPr>
        <w:t>Hakalová, J., Palochová, M., Pšenková, Y. and Bieliková, A., 2018. Regulation of Czech Accounting and Taxes in the Context of European Accounting, Taxes and Ongoing International Harmonization. </w:t>
      </w:r>
      <w:r w:rsidRPr="000E56F8">
        <w:rPr>
          <w:rFonts w:ascii="Arial" w:hAnsi="Arial" w:cs="Arial"/>
          <w:i/>
          <w:iCs/>
          <w:sz w:val="24"/>
          <w:szCs w:val="24"/>
          <w:shd w:val="clear" w:color="auto" w:fill="FFFFFF"/>
        </w:rPr>
        <w:t>on European Integration 2018</w:t>
      </w:r>
      <w:r w:rsidRPr="000E56F8">
        <w:rPr>
          <w:rFonts w:ascii="Arial" w:hAnsi="Arial" w:cs="Arial"/>
          <w:sz w:val="24"/>
          <w:szCs w:val="24"/>
          <w:shd w:val="clear" w:color="auto" w:fill="FFFFFF"/>
        </w:rPr>
        <w:t xml:space="preserve">, p.388. </w:t>
      </w:r>
    </w:p>
    <w:p w14:paraId="59F43009" w14:textId="77777777" w:rsidR="006B1E70" w:rsidRPr="000E56F8" w:rsidRDefault="006B1E70" w:rsidP="006B1E70">
      <w:pPr>
        <w:spacing w:after="0" w:line="480" w:lineRule="auto"/>
        <w:jc w:val="both"/>
        <w:rPr>
          <w:rFonts w:ascii="Arial" w:hAnsi="Arial" w:cs="Arial"/>
          <w:sz w:val="24"/>
          <w:szCs w:val="24"/>
          <w:shd w:val="clear" w:color="auto" w:fill="FFFFFF"/>
        </w:rPr>
      </w:pPr>
      <w:r w:rsidRPr="000E56F8">
        <w:rPr>
          <w:rFonts w:ascii="Arial" w:hAnsi="Arial" w:cs="Arial"/>
          <w:sz w:val="24"/>
          <w:szCs w:val="24"/>
          <w:shd w:val="clear" w:color="auto" w:fill="FFFFFF"/>
        </w:rPr>
        <w:t>Mizikovsky, I.E., Bazhenov, A.A., Garin, A.P., Kuznetsova, S.N. and Artemeva, M.V., 2016. Basic accounting and planning aspects of the calculation of intra-factory turnover of returnable waste. </w:t>
      </w:r>
      <w:r w:rsidRPr="000E56F8">
        <w:rPr>
          <w:rFonts w:ascii="Arial" w:hAnsi="Arial" w:cs="Arial"/>
          <w:i/>
          <w:iCs/>
          <w:sz w:val="24"/>
          <w:szCs w:val="24"/>
          <w:shd w:val="clear" w:color="auto" w:fill="FFFFFF"/>
        </w:rPr>
        <w:t>Journal of Economic &amp; Management Perspectives</w:t>
      </w:r>
      <w:r w:rsidRPr="000E56F8">
        <w:rPr>
          <w:rFonts w:ascii="Arial" w:hAnsi="Arial" w:cs="Arial"/>
          <w:sz w:val="24"/>
          <w:szCs w:val="24"/>
          <w:shd w:val="clear" w:color="auto" w:fill="FFFFFF"/>
        </w:rPr>
        <w:t>, </w:t>
      </w:r>
      <w:r w:rsidRPr="000E56F8">
        <w:rPr>
          <w:rFonts w:ascii="Arial" w:hAnsi="Arial" w:cs="Arial"/>
          <w:i/>
          <w:iCs/>
          <w:sz w:val="24"/>
          <w:szCs w:val="24"/>
          <w:shd w:val="clear" w:color="auto" w:fill="FFFFFF"/>
        </w:rPr>
        <w:t>10</w:t>
      </w:r>
      <w:r w:rsidRPr="000E56F8">
        <w:rPr>
          <w:rFonts w:ascii="Arial" w:hAnsi="Arial" w:cs="Arial"/>
          <w:sz w:val="24"/>
          <w:szCs w:val="24"/>
          <w:shd w:val="clear" w:color="auto" w:fill="FFFFFF"/>
        </w:rPr>
        <w:t xml:space="preserve">(4), pp.340-345. </w:t>
      </w:r>
    </w:p>
    <w:p w14:paraId="07E3B3E5" w14:textId="77777777" w:rsidR="006B1E70" w:rsidRPr="000E56F8" w:rsidRDefault="006B1E70" w:rsidP="006B1E70">
      <w:pPr>
        <w:spacing w:after="0" w:line="480" w:lineRule="auto"/>
        <w:jc w:val="both"/>
        <w:rPr>
          <w:rFonts w:ascii="Arial" w:hAnsi="Arial" w:cs="Arial"/>
          <w:sz w:val="24"/>
          <w:szCs w:val="24"/>
          <w:shd w:val="clear" w:color="auto" w:fill="FFFFFF"/>
        </w:rPr>
      </w:pPr>
      <w:r w:rsidRPr="000E56F8">
        <w:rPr>
          <w:rFonts w:ascii="Arial" w:hAnsi="Arial" w:cs="Arial"/>
          <w:sz w:val="24"/>
          <w:szCs w:val="24"/>
          <w:shd w:val="clear" w:color="auto" w:fill="FFFFFF"/>
        </w:rPr>
        <w:t>Song, M., Zhu, S., Wang, J. and Wang, S., 2019. China's natural resources balance sheet from the perspective of government oversight: Based on the analysis of governance and accounting attributes. </w:t>
      </w:r>
      <w:r w:rsidRPr="000E56F8">
        <w:rPr>
          <w:rFonts w:ascii="Arial" w:hAnsi="Arial" w:cs="Arial"/>
          <w:i/>
          <w:iCs/>
          <w:sz w:val="24"/>
          <w:szCs w:val="24"/>
          <w:shd w:val="clear" w:color="auto" w:fill="FFFFFF"/>
        </w:rPr>
        <w:t>Journal of environmental management</w:t>
      </w:r>
      <w:r w:rsidRPr="000E56F8">
        <w:rPr>
          <w:rFonts w:ascii="Arial" w:hAnsi="Arial" w:cs="Arial"/>
          <w:sz w:val="24"/>
          <w:szCs w:val="24"/>
          <w:shd w:val="clear" w:color="auto" w:fill="FFFFFF"/>
        </w:rPr>
        <w:t>, </w:t>
      </w:r>
      <w:r w:rsidRPr="000E56F8">
        <w:rPr>
          <w:rFonts w:ascii="Arial" w:hAnsi="Arial" w:cs="Arial"/>
          <w:i/>
          <w:iCs/>
          <w:sz w:val="24"/>
          <w:szCs w:val="24"/>
          <w:shd w:val="clear" w:color="auto" w:fill="FFFFFF"/>
        </w:rPr>
        <w:t>248</w:t>
      </w:r>
      <w:r w:rsidRPr="000E56F8">
        <w:rPr>
          <w:rFonts w:ascii="Arial" w:hAnsi="Arial" w:cs="Arial"/>
          <w:sz w:val="24"/>
          <w:szCs w:val="24"/>
          <w:shd w:val="clear" w:color="auto" w:fill="FFFFFF"/>
        </w:rPr>
        <w:t xml:space="preserve">, p.109232. </w:t>
      </w:r>
    </w:p>
    <w:p w14:paraId="45791DE0" w14:textId="77777777" w:rsidR="002F2996" w:rsidRPr="002F2996" w:rsidRDefault="002F2996" w:rsidP="002F2996"/>
    <w:sectPr w:rsidR="002F2996" w:rsidRPr="002F2996" w:rsidSect="002F299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E7590" w14:textId="77777777" w:rsidR="007D01CD" w:rsidRDefault="007D01CD" w:rsidP="002F2996">
      <w:pPr>
        <w:spacing w:after="0" w:line="240" w:lineRule="auto"/>
      </w:pPr>
      <w:r>
        <w:separator/>
      </w:r>
    </w:p>
  </w:endnote>
  <w:endnote w:type="continuationSeparator" w:id="0">
    <w:p w14:paraId="7DC3F4F7" w14:textId="77777777" w:rsidR="007D01CD" w:rsidRDefault="007D01CD" w:rsidP="002F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67584"/>
      <w:docPartObj>
        <w:docPartGallery w:val="Page Numbers (Bottom of Page)"/>
        <w:docPartUnique/>
      </w:docPartObj>
    </w:sdtPr>
    <w:sdtEndPr/>
    <w:sdtContent>
      <w:p w14:paraId="1EC8E99B" w14:textId="77777777" w:rsidR="002F2996" w:rsidRDefault="007D01CD">
        <w:pPr>
          <w:pStyle w:val="Footer"/>
          <w:jc w:val="right"/>
        </w:pPr>
        <w:r>
          <w:fldChar w:fldCharType="begin"/>
        </w:r>
        <w:r>
          <w:instrText xml:space="preserve"> PAGE   \* MERGEFORMAT </w:instrText>
        </w:r>
        <w:r>
          <w:fldChar w:fldCharType="separate"/>
        </w:r>
        <w:r w:rsidR="00786214">
          <w:rPr>
            <w:noProof/>
          </w:rPr>
          <w:t>6</w:t>
        </w:r>
        <w:r>
          <w:rPr>
            <w:noProof/>
          </w:rPr>
          <w:fldChar w:fldCharType="end"/>
        </w:r>
      </w:p>
    </w:sdtContent>
  </w:sdt>
  <w:p w14:paraId="1CB6A19F" w14:textId="77777777" w:rsidR="002F2996" w:rsidRDefault="002F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A51BA" w14:textId="77777777" w:rsidR="007D01CD" w:rsidRDefault="007D01CD" w:rsidP="002F2996">
      <w:pPr>
        <w:spacing w:after="0" w:line="240" w:lineRule="auto"/>
      </w:pPr>
      <w:r>
        <w:separator/>
      </w:r>
    </w:p>
  </w:footnote>
  <w:footnote w:type="continuationSeparator" w:id="0">
    <w:p w14:paraId="12420F55" w14:textId="77777777" w:rsidR="007D01CD" w:rsidRDefault="007D01CD" w:rsidP="002F29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692"/>
    <w:rsid w:val="00020096"/>
    <w:rsid w:val="00091CD5"/>
    <w:rsid w:val="000F1692"/>
    <w:rsid w:val="000F36A8"/>
    <w:rsid w:val="00176128"/>
    <w:rsid w:val="00220F4E"/>
    <w:rsid w:val="00262321"/>
    <w:rsid w:val="0029206B"/>
    <w:rsid w:val="002F2996"/>
    <w:rsid w:val="00342DA0"/>
    <w:rsid w:val="003A26EF"/>
    <w:rsid w:val="004E2582"/>
    <w:rsid w:val="006135AF"/>
    <w:rsid w:val="006B1E70"/>
    <w:rsid w:val="00730D4D"/>
    <w:rsid w:val="00786214"/>
    <w:rsid w:val="00797432"/>
    <w:rsid w:val="007D01CD"/>
    <w:rsid w:val="00855CAC"/>
    <w:rsid w:val="00AA0FC2"/>
    <w:rsid w:val="00AE7A6B"/>
    <w:rsid w:val="00B77B8A"/>
    <w:rsid w:val="00C16066"/>
    <w:rsid w:val="00DF1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96DB"/>
  <w15:docId w15:val="{3FCE9792-FE0F-4C22-A5E0-535E39E46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128"/>
  </w:style>
  <w:style w:type="paragraph" w:styleId="Heading1">
    <w:name w:val="heading 1"/>
    <w:basedOn w:val="Normal"/>
    <w:next w:val="Normal"/>
    <w:link w:val="Heading1Char"/>
    <w:uiPriority w:val="9"/>
    <w:qFormat/>
    <w:rsid w:val="006135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1C0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5A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F2996"/>
    <w:pPr>
      <w:outlineLvl w:val="9"/>
    </w:pPr>
  </w:style>
  <w:style w:type="paragraph" w:styleId="TOC1">
    <w:name w:val="toc 1"/>
    <w:basedOn w:val="Normal"/>
    <w:next w:val="Normal"/>
    <w:autoRedefine/>
    <w:uiPriority w:val="39"/>
    <w:unhideWhenUsed/>
    <w:rsid w:val="002F2996"/>
    <w:pPr>
      <w:spacing w:after="100"/>
    </w:pPr>
  </w:style>
  <w:style w:type="character" w:styleId="Hyperlink">
    <w:name w:val="Hyperlink"/>
    <w:basedOn w:val="DefaultParagraphFont"/>
    <w:uiPriority w:val="99"/>
    <w:unhideWhenUsed/>
    <w:rsid w:val="002F2996"/>
    <w:rPr>
      <w:color w:val="0000FF" w:themeColor="hyperlink"/>
      <w:u w:val="single"/>
    </w:rPr>
  </w:style>
  <w:style w:type="paragraph" w:styleId="BalloonText">
    <w:name w:val="Balloon Text"/>
    <w:basedOn w:val="Normal"/>
    <w:link w:val="BalloonTextChar"/>
    <w:uiPriority w:val="99"/>
    <w:semiHidden/>
    <w:unhideWhenUsed/>
    <w:rsid w:val="002F2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996"/>
    <w:rPr>
      <w:rFonts w:ascii="Tahoma" w:hAnsi="Tahoma" w:cs="Tahoma"/>
      <w:sz w:val="16"/>
      <w:szCs w:val="16"/>
    </w:rPr>
  </w:style>
  <w:style w:type="paragraph" w:styleId="Header">
    <w:name w:val="header"/>
    <w:basedOn w:val="Normal"/>
    <w:link w:val="HeaderChar"/>
    <w:uiPriority w:val="99"/>
    <w:semiHidden/>
    <w:unhideWhenUsed/>
    <w:rsid w:val="002F29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2996"/>
  </w:style>
  <w:style w:type="paragraph" w:styleId="Footer">
    <w:name w:val="footer"/>
    <w:basedOn w:val="Normal"/>
    <w:link w:val="FooterChar"/>
    <w:uiPriority w:val="99"/>
    <w:unhideWhenUsed/>
    <w:rsid w:val="002F2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2996"/>
  </w:style>
  <w:style w:type="paragraph" w:styleId="NoSpacing">
    <w:name w:val="No Spacing"/>
    <w:link w:val="NoSpacingChar"/>
    <w:uiPriority w:val="1"/>
    <w:qFormat/>
    <w:rsid w:val="002F2996"/>
    <w:pPr>
      <w:spacing w:after="0" w:line="240" w:lineRule="auto"/>
    </w:pPr>
    <w:rPr>
      <w:rFonts w:eastAsiaTheme="minorEastAsia"/>
    </w:rPr>
  </w:style>
  <w:style w:type="character" w:customStyle="1" w:styleId="NoSpacingChar">
    <w:name w:val="No Spacing Char"/>
    <w:basedOn w:val="DefaultParagraphFont"/>
    <w:link w:val="NoSpacing"/>
    <w:uiPriority w:val="1"/>
    <w:rsid w:val="002F2996"/>
    <w:rPr>
      <w:rFonts w:eastAsiaTheme="minorEastAsia"/>
    </w:rPr>
  </w:style>
  <w:style w:type="character" w:customStyle="1" w:styleId="Heading2Char">
    <w:name w:val="Heading 2 Char"/>
    <w:basedOn w:val="DefaultParagraphFont"/>
    <w:link w:val="Heading2"/>
    <w:uiPriority w:val="9"/>
    <w:rsid w:val="00DF1C0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62785">
      <w:bodyDiv w:val="1"/>
      <w:marLeft w:val="0"/>
      <w:marRight w:val="0"/>
      <w:marTop w:val="0"/>
      <w:marBottom w:val="0"/>
      <w:divBdr>
        <w:top w:val="none" w:sz="0" w:space="0" w:color="auto"/>
        <w:left w:val="none" w:sz="0" w:space="0" w:color="auto"/>
        <w:bottom w:val="none" w:sz="0" w:space="0" w:color="auto"/>
        <w:right w:val="none" w:sz="0" w:space="0" w:color="auto"/>
      </w:divBdr>
    </w:div>
    <w:div w:id="273175162">
      <w:bodyDiv w:val="1"/>
      <w:marLeft w:val="0"/>
      <w:marRight w:val="0"/>
      <w:marTop w:val="0"/>
      <w:marBottom w:val="0"/>
      <w:divBdr>
        <w:top w:val="none" w:sz="0" w:space="0" w:color="auto"/>
        <w:left w:val="none" w:sz="0" w:space="0" w:color="auto"/>
        <w:bottom w:val="none" w:sz="0" w:space="0" w:color="auto"/>
        <w:right w:val="none" w:sz="0" w:space="0" w:color="auto"/>
      </w:divBdr>
    </w:div>
    <w:div w:id="768086809">
      <w:bodyDiv w:val="1"/>
      <w:marLeft w:val="0"/>
      <w:marRight w:val="0"/>
      <w:marTop w:val="0"/>
      <w:marBottom w:val="0"/>
      <w:divBdr>
        <w:top w:val="none" w:sz="0" w:space="0" w:color="auto"/>
        <w:left w:val="none" w:sz="0" w:space="0" w:color="auto"/>
        <w:bottom w:val="none" w:sz="0" w:space="0" w:color="auto"/>
        <w:right w:val="none" w:sz="0" w:space="0" w:color="auto"/>
      </w:divBdr>
    </w:div>
    <w:div w:id="111667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18521-B987-4051-BB12-1AF565DF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creator>George Ganea</dc:creator>
  <cp:lastModifiedBy>George Ganea</cp:lastModifiedBy>
  <dcterms:created xsi:type="dcterms:W3CDTF">2021-07-24T07:30:00Z</dcterms:created>
  <dcterms:modified xsi:type="dcterms:W3CDTF">2021-07-25T23:17:00Z</dcterms:modified>
</cp:coreProperties>
</file>