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A1153" w14:textId="258D53E1" w:rsidR="0086740D" w:rsidRPr="00C04179" w:rsidRDefault="00B548EE" w:rsidP="00C21670">
      <w:pPr>
        <w:spacing w:line="480" w:lineRule="auto"/>
        <w:jc w:val="both"/>
        <w:rPr>
          <w:rFonts w:ascii="Times New Roman" w:hAnsi="Times New Roman" w:cs="Times New Roman"/>
          <w:sz w:val="24"/>
          <w:szCs w:val="24"/>
        </w:rPr>
      </w:pPr>
      <w:r>
        <w:rPr>
          <w:noProof/>
          <w:lang w:eastAsia="en-GB"/>
        </w:rPr>
        <w:drawing>
          <wp:anchor distT="0" distB="0" distL="114300" distR="114300" simplePos="0" relativeHeight="251659264" behindDoc="0" locked="0" layoutInCell="1" allowOverlap="1" wp14:anchorId="39D7A000" wp14:editId="6D60727C">
            <wp:simplePos x="0" y="0"/>
            <wp:positionH relativeFrom="margin">
              <wp:posOffset>1828800</wp:posOffset>
            </wp:positionH>
            <wp:positionV relativeFrom="page">
              <wp:posOffset>420438</wp:posOffset>
            </wp:positionV>
            <wp:extent cx="1784985" cy="598805"/>
            <wp:effectExtent l="0" t="0" r="5715" b="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4985" cy="598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6E70FB" w14:textId="123DE2D7" w:rsidR="00004430" w:rsidRDefault="00004430" w:rsidP="00C21670">
      <w:pPr>
        <w:spacing w:line="480" w:lineRule="auto"/>
        <w:jc w:val="center"/>
        <w:rPr>
          <w:rFonts w:ascii="Times New Roman" w:hAnsi="Times New Roman" w:cs="Times New Roman"/>
          <w:b/>
          <w:sz w:val="24"/>
          <w:szCs w:val="24"/>
        </w:rPr>
      </w:pPr>
      <w:r w:rsidRPr="00C04179">
        <w:rPr>
          <w:rFonts w:ascii="Times New Roman" w:hAnsi="Times New Roman" w:cs="Times New Roman"/>
          <w:b/>
          <w:sz w:val="24"/>
          <w:szCs w:val="24"/>
        </w:rPr>
        <w:t>Digital Transformation Strategies in Traditional Industries: A review of Qualitative Case Studies Published on the Automotive Sector between 2018-2025.</w:t>
      </w:r>
    </w:p>
    <w:p w14:paraId="09BD2AAC" w14:textId="77777777" w:rsidR="00B548EE" w:rsidRPr="00C04179" w:rsidRDefault="00B548EE" w:rsidP="00C21670">
      <w:pPr>
        <w:spacing w:line="480" w:lineRule="auto"/>
        <w:jc w:val="both"/>
        <w:rPr>
          <w:rFonts w:ascii="Times New Roman" w:hAnsi="Times New Roman" w:cs="Times New Roman"/>
          <w:b/>
          <w:sz w:val="24"/>
          <w:szCs w:val="24"/>
        </w:rPr>
      </w:pPr>
    </w:p>
    <w:p w14:paraId="6B3409B4" w14:textId="07AC994A" w:rsidR="00722CC5" w:rsidRPr="00B548EE" w:rsidRDefault="00B548EE" w:rsidP="00C21670">
      <w:pPr>
        <w:spacing w:line="480" w:lineRule="auto"/>
        <w:jc w:val="both"/>
        <w:rPr>
          <w:rFonts w:ascii="Times New Roman" w:hAnsi="Times New Roman" w:cs="Times New Roman"/>
          <w:bCs/>
          <w:sz w:val="24"/>
          <w:szCs w:val="24"/>
        </w:rPr>
      </w:pPr>
      <w:r w:rsidRPr="00B548EE">
        <w:rPr>
          <w:rFonts w:ascii="Times New Roman" w:hAnsi="Times New Roman" w:cs="Times New Roman"/>
          <w:bCs/>
          <w:sz w:val="24"/>
          <w:szCs w:val="24"/>
        </w:rPr>
        <w:t>Student Name: Kavya Pokala</w:t>
      </w:r>
    </w:p>
    <w:p w14:paraId="1387D15E" w14:textId="0FCB28F2" w:rsidR="00B548EE" w:rsidRDefault="00B548EE" w:rsidP="00C21670">
      <w:pPr>
        <w:spacing w:line="480" w:lineRule="auto"/>
        <w:jc w:val="both"/>
        <w:rPr>
          <w:rFonts w:ascii="Arial" w:hAnsi="Arial" w:cs="Arial"/>
          <w:bCs/>
          <w:color w:val="000000" w:themeColor="text1"/>
        </w:rPr>
      </w:pPr>
      <w:r w:rsidRPr="00B548EE">
        <w:rPr>
          <w:rFonts w:ascii="Times New Roman" w:hAnsi="Times New Roman" w:cs="Times New Roman"/>
          <w:bCs/>
          <w:sz w:val="24"/>
          <w:szCs w:val="24"/>
        </w:rPr>
        <w:t xml:space="preserve">Student Number: </w:t>
      </w:r>
      <w:r w:rsidRPr="00B548EE">
        <w:rPr>
          <w:rFonts w:ascii="Arial" w:hAnsi="Arial" w:cs="Arial"/>
          <w:bCs/>
          <w:color w:val="000000" w:themeColor="text1"/>
        </w:rPr>
        <w:t>2422388</w:t>
      </w:r>
    </w:p>
    <w:p w14:paraId="3BB009C5" w14:textId="14C3465C" w:rsidR="007C5E00" w:rsidRPr="00B548EE" w:rsidRDefault="007C5E00" w:rsidP="00C21670">
      <w:pPr>
        <w:spacing w:line="480" w:lineRule="auto"/>
        <w:jc w:val="both"/>
        <w:rPr>
          <w:rFonts w:ascii="Arial" w:hAnsi="Arial" w:cs="Arial"/>
          <w:bCs/>
          <w:color w:val="000000" w:themeColor="text1"/>
        </w:rPr>
      </w:pPr>
      <w:r>
        <w:rPr>
          <w:rFonts w:ascii="Arial" w:hAnsi="Arial" w:cs="Arial"/>
          <w:bCs/>
          <w:color w:val="000000" w:themeColor="text1"/>
        </w:rPr>
        <w:t>Programme of Study: International Business Management</w:t>
      </w:r>
    </w:p>
    <w:p w14:paraId="2FBB1A31" w14:textId="0C0530C9" w:rsidR="00B548EE" w:rsidRDefault="00B548EE" w:rsidP="00C21670">
      <w:pPr>
        <w:spacing w:line="480" w:lineRule="auto"/>
        <w:jc w:val="both"/>
        <w:rPr>
          <w:rFonts w:ascii="Times New Roman" w:hAnsi="Times New Roman" w:cs="Times New Roman"/>
          <w:bCs/>
          <w:sz w:val="24"/>
          <w:szCs w:val="24"/>
        </w:rPr>
      </w:pPr>
      <w:r w:rsidRPr="00B548EE">
        <w:rPr>
          <w:rFonts w:ascii="Times New Roman" w:hAnsi="Times New Roman" w:cs="Times New Roman"/>
          <w:bCs/>
          <w:sz w:val="24"/>
          <w:szCs w:val="24"/>
        </w:rPr>
        <w:t>Module Code: LCMB7035</w:t>
      </w:r>
    </w:p>
    <w:p w14:paraId="62DE7937" w14:textId="2FFCE13B" w:rsidR="00B548EE" w:rsidRDefault="00B548EE" w:rsidP="00C21670">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Word Count: 14600</w:t>
      </w:r>
    </w:p>
    <w:p w14:paraId="3B92215C" w14:textId="0F4EFC3E" w:rsidR="00372536" w:rsidRPr="00B548EE" w:rsidRDefault="00372536" w:rsidP="00C21670">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Submission Date: 02/02/2026</w:t>
      </w:r>
    </w:p>
    <w:p w14:paraId="2195458E" w14:textId="2C26697E" w:rsidR="00B548EE" w:rsidRPr="00B548EE" w:rsidRDefault="00B548EE" w:rsidP="00C21670">
      <w:pPr>
        <w:spacing w:line="480" w:lineRule="auto"/>
        <w:jc w:val="both"/>
        <w:rPr>
          <w:rFonts w:ascii="Times New Roman" w:hAnsi="Times New Roman" w:cs="Times New Roman"/>
          <w:bCs/>
          <w:sz w:val="24"/>
          <w:szCs w:val="24"/>
        </w:rPr>
      </w:pPr>
      <w:r w:rsidRPr="00B548EE">
        <w:rPr>
          <w:rFonts w:ascii="Times New Roman" w:hAnsi="Times New Roman" w:cs="Times New Roman"/>
          <w:bCs/>
          <w:sz w:val="24"/>
          <w:szCs w:val="24"/>
        </w:rPr>
        <w:t>Program</w:t>
      </w:r>
      <w:r w:rsidR="007C5E00">
        <w:rPr>
          <w:rFonts w:ascii="Times New Roman" w:hAnsi="Times New Roman" w:cs="Times New Roman"/>
          <w:bCs/>
          <w:sz w:val="24"/>
          <w:szCs w:val="24"/>
        </w:rPr>
        <w:t>me</w:t>
      </w:r>
      <w:r w:rsidRPr="00B548EE">
        <w:rPr>
          <w:rFonts w:ascii="Times New Roman" w:hAnsi="Times New Roman" w:cs="Times New Roman"/>
          <w:bCs/>
          <w:sz w:val="24"/>
          <w:szCs w:val="24"/>
        </w:rPr>
        <w:t xml:space="preserve"> Manager: </w:t>
      </w:r>
      <w:r w:rsidRPr="00B548EE">
        <w:rPr>
          <w:rFonts w:ascii="Arial" w:hAnsi="Arial" w:cs="Arial"/>
          <w:bCs/>
        </w:rPr>
        <w:t>Hoang Nguyen</w:t>
      </w:r>
    </w:p>
    <w:p w14:paraId="7A503576" w14:textId="354E8507" w:rsidR="00B548EE" w:rsidRPr="00B548EE" w:rsidRDefault="00B548EE" w:rsidP="00C21670">
      <w:pPr>
        <w:spacing w:line="480" w:lineRule="auto"/>
        <w:jc w:val="both"/>
        <w:rPr>
          <w:rFonts w:ascii="Times New Roman" w:hAnsi="Times New Roman" w:cs="Times New Roman"/>
          <w:bCs/>
          <w:sz w:val="24"/>
          <w:szCs w:val="24"/>
        </w:rPr>
      </w:pPr>
      <w:r w:rsidRPr="00B548EE">
        <w:rPr>
          <w:rFonts w:ascii="Times New Roman" w:hAnsi="Times New Roman" w:cs="Times New Roman"/>
          <w:bCs/>
          <w:sz w:val="24"/>
          <w:szCs w:val="24"/>
        </w:rPr>
        <w:t xml:space="preserve">Dissertation Supervisor: </w:t>
      </w:r>
      <w:r w:rsidRPr="00B548EE">
        <w:rPr>
          <w:rFonts w:ascii="Arial" w:hAnsi="Arial" w:cs="Arial"/>
          <w:bCs/>
          <w:color w:val="000000" w:themeColor="text1"/>
        </w:rPr>
        <w:t>Dr. Usman Said</w:t>
      </w:r>
    </w:p>
    <w:p w14:paraId="1961726A" w14:textId="0DC2819E" w:rsidR="00A937D0" w:rsidRPr="00C04179" w:rsidRDefault="00722CC5" w:rsidP="00C21670">
      <w:pPr>
        <w:pStyle w:val="Heading1"/>
        <w:numPr>
          <w:ilvl w:val="0"/>
          <w:numId w:val="0"/>
        </w:numPr>
        <w:ind w:left="432" w:hanging="432"/>
        <w:jc w:val="both"/>
        <w:rPr>
          <w:rFonts w:ascii="Times New Roman" w:hAnsi="Times New Roman" w:cs="Times New Roman"/>
          <w:b/>
          <w:color w:val="auto"/>
          <w:sz w:val="24"/>
          <w:szCs w:val="24"/>
        </w:rPr>
      </w:pPr>
      <w:r w:rsidRPr="00C04179">
        <w:rPr>
          <w:rFonts w:ascii="Times New Roman" w:hAnsi="Times New Roman" w:cs="Times New Roman"/>
          <w:color w:val="auto"/>
          <w:sz w:val="24"/>
          <w:szCs w:val="24"/>
        </w:rPr>
        <w:br w:type="page"/>
      </w:r>
      <w:bookmarkStart w:id="0" w:name="_Toc220925397"/>
      <w:r w:rsidRPr="00C04179">
        <w:rPr>
          <w:rFonts w:ascii="Times New Roman" w:hAnsi="Times New Roman" w:cs="Times New Roman"/>
          <w:b/>
          <w:color w:val="auto"/>
          <w:sz w:val="24"/>
          <w:szCs w:val="24"/>
        </w:rPr>
        <w:lastRenderedPageBreak/>
        <w:t>Declaration</w:t>
      </w:r>
      <w:bookmarkEnd w:id="0"/>
    </w:p>
    <w:p w14:paraId="4BE633EE" w14:textId="599722DD" w:rsidR="00A937D0" w:rsidRPr="00C04179" w:rsidRDefault="009D02B2" w:rsidP="00C21670">
      <w:pPr>
        <w:spacing w:line="480" w:lineRule="auto"/>
        <w:ind w:firstLine="432"/>
        <w:jc w:val="both"/>
        <w:rPr>
          <w:rFonts w:ascii="Times New Roman" w:hAnsi="Times New Roman" w:cs="Times New Roman"/>
          <w:sz w:val="24"/>
          <w:szCs w:val="24"/>
        </w:rPr>
      </w:pPr>
      <w:r w:rsidRPr="00C04179">
        <w:rPr>
          <w:rFonts w:ascii="Times New Roman" w:hAnsi="Times New Roman" w:cs="Times New Roman"/>
          <w:sz w:val="24"/>
          <w:szCs w:val="24"/>
        </w:rPr>
        <w:t xml:space="preserve">I declare that this dissertation report is my original work and has not been submitted to any other institution for the award of degree or any other qualification. Besides, all sources of information used have been dully acknowledged and cited. </w:t>
      </w:r>
    </w:p>
    <w:p w14:paraId="5ABC7A88" w14:textId="77777777" w:rsidR="00722CC5" w:rsidRPr="00C04179" w:rsidRDefault="00722CC5" w:rsidP="00C21670">
      <w:pPr>
        <w:jc w:val="both"/>
        <w:rPr>
          <w:rFonts w:ascii="Times New Roman" w:hAnsi="Times New Roman" w:cs="Times New Roman"/>
          <w:b/>
          <w:sz w:val="24"/>
          <w:szCs w:val="24"/>
        </w:rPr>
      </w:pPr>
      <w:r w:rsidRPr="00C04179">
        <w:rPr>
          <w:rFonts w:ascii="Times New Roman" w:hAnsi="Times New Roman" w:cs="Times New Roman"/>
          <w:b/>
          <w:sz w:val="24"/>
          <w:szCs w:val="24"/>
        </w:rPr>
        <w:br w:type="page"/>
      </w:r>
    </w:p>
    <w:p w14:paraId="7271BBFC" w14:textId="07A206DD" w:rsidR="00722CC5" w:rsidRPr="00C04179" w:rsidRDefault="00722CC5" w:rsidP="00C21670">
      <w:pPr>
        <w:pStyle w:val="Heading1"/>
        <w:numPr>
          <w:ilvl w:val="0"/>
          <w:numId w:val="0"/>
        </w:numPr>
        <w:ind w:left="432" w:hanging="432"/>
        <w:jc w:val="both"/>
        <w:rPr>
          <w:rFonts w:ascii="Times New Roman" w:hAnsi="Times New Roman" w:cs="Times New Roman"/>
          <w:b/>
          <w:color w:val="auto"/>
          <w:sz w:val="24"/>
          <w:szCs w:val="24"/>
        </w:rPr>
      </w:pPr>
      <w:bookmarkStart w:id="1" w:name="_Toc220925398"/>
      <w:r w:rsidRPr="00C04179">
        <w:rPr>
          <w:rFonts w:ascii="Times New Roman" w:hAnsi="Times New Roman" w:cs="Times New Roman"/>
          <w:b/>
          <w:color w:val="auto"/>
          <w:sz w:val="24"/>
          <w:szCs w:val="24"/>
        </w:rPr>
        <w:lastRenderedPageBreak/>
        <w:t>Acknowledgements</w:t>
      </w:r>
      <w:bookmarkEnd w:id="1"/>
    </w:p>
    <w:p w14:paraId="6DEE0C6C" w14:textId="1D6F6303" w:rsidR="00722CC5" w:rsidRPr="00C04179" w:rsidRDefault="009D02B2" w:rsidP="00C21670">
      <w:pPr>
        <w:spacing w:line="480" w:lineRule="auto"/>
        <w:ind w:firstLine="432"/>
        <w:jc w:val="both"/>
        <w:rPr>
          <w:rFonts w:ascii="Times New Roman" w:hAnsi="Times New Roman" w:cs="Times New Roman"/>
          <w:sz w:val="24"/>
          <w:szCs w:val="24"/>
        </w:rPr>
      </w:pPr>
      <w:r w:rsidRPr="00C04179">
        <w:rPr>
          <w:rFonts w:ascii="Times New Roman" w:hAnsi="Times New Roman" w:cs="Times New Roman"/>
          <w:sz w:val="24"/>
          <w:szCs w:val="24"/>
        </w:rPr>
        <w:t xml:space="preserve">I sincerely thank my family who have supported throughout this journey. I also thank my supervisor without whose guidance it would have been impossible to successfully complete this dissertation. </w:t>
      </w:r>
    </w:p>
    <w:p w14:paraId="11DE2927" w14:textId="77777777" w:rsidR="00722CC5" w:rsidRPr="00C04179" w:rsidRDefault="00722CC5" w:rsidP="00C21670">
      <w:pPr>
        <w:jc w:val="both"/>
        <w:rPr>
          <w:rFonts w:ascii="Times New Roman" w:hAnsi="Times New Roman" w:cs="Times New Roman"/>
          <w:b/>
          <w:sz w:val="24"/>
          <w:szCs w:val="24"/>
        </w:rPr>
      </w:pPr>
      <w:r w:rsidRPr="00C04179">
        <w:rPr>
          <w:rFonts w:ascii="Times New Roman" w:hAnsi="Times New Roman" w:cs="Times New Roman"/>
          <w:b/>
          <w:sz w:val="24"/>
          <w:szCs w:val="24"/>
        </w:rPr>
        <w:br w:type="page"/>
      </w:r>
    </w:p>
    <w:p w14:paraId="497E3B93" w14:textId="448AD5E3" w:rsidR="00722CC5" w:rsidRPr="00C04179" w:rsidRDefault="00722CC5" w:rsidP="00C21670">
      <w:pPr>
        <w:pStyle w:val="Heading1"/>
        <w:numPr>
          <w:ilvl w:val="0"/>
          <w:numId w:val="0"/>
        </w:numPr>
        <w:ind w:left="432" w:hanging="432"/>
        <w:jc w:val="both"/>
        <w:rPr>
          <w:rFonts w:ascii="Times New Roman" w:hAnsi="Times New Roman" w:cs="Times New Roman"/>
          <w:b/>
          <w:color w:val="auto"/>
          <w:sz w:val="24"/>
          <w:szCs w:val="24"/>
        </w:rPr>
      </w:pPr>
      <w:bookmarkStart w:id="2" w:name="_Toc220925399"/>
      <w:r w:rsidRPr="00C04179">
        <w:rPr>
          <w:rFonts w:ascii="Times New Roman" w:hAnsi="Times New Roman" w:cs="Times New Roman"/>
          <w:b/>
          <w:color w:val="auto"/>
          <w:sz w:val="24"/>
          <w:szCs w:val="24"/>
        </w:rPr>
        <w:lastRenderedPageBreak/>
        <w:t>Abs</w:t>
      </w:r>
      <w:r w:rsidR="00F72ACF" w:rsidRPr="00C04179">
        <w:rPr>
          <w:rFonts w:ascii="Times New Roman" w:hAnsi="Times New Roman" w:cs="Times New Roman"/>
          <w:b/>
          <w:color w:val="auto"/>
          <w:sz w:val="24"/>
          <w:szCs w:val="24"/>
        </w:rPr>
        <w:t>t</w:t>
      </w:r>
      <w:r w:rsidRPr="00C04179">
        <w:rPr>
          <w:rFonts w:ascii="Times New Roman" w:hAnsi="Times New Roman" w:cs="Times New Roman"/>
          <w:b/>
          <w:color w:val="auto"/>
          <w:sz w:val="24"/>
          <w:szCs w:val="24"/>
        </w:rPr>
        <w:t>ract</w:t>
      </w:r>
      <w:bookmarkEnd w:id="2"/>
      <w:r w:rsidRPr="00C04179">
        <w:rPr>
          <w:rFonts w:ascii="Times New Roman" w:hAnsi="Times New Roman" w:cs="Times New Roman"/>
          <w:b/>
          <w:color w:val="auto"/>
          <w:sz w:val="24"/>
          <w:szCs w:val="24"/>
        </w:rPr>
        <w:t xml:space="preserve"> </w:t>
      </w:r>
    </w:p>
    <w:p w14:paraId="28499C60" w14:textId="6383CC42" w:rsidR="00447D0B" w:rsidRPr="00C04179" w:rsidRDefault="00447D0B"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Digital transformation (DT) is increasingly shaping competitiveness of traditional industries, particularly the automotive sector. As such, this study reviews and synthesizes qualitative case studies and industry literature on digital transformation strategies in the automotive industry published between 2018 and 2025 with the objective of examining key technological drivers such as artificial intelligence, the Internet of Things, electrification, and Industry 4.0, while emphasizing that successful transformation goes beyond technology alone. The findings of the study demonstrate that automotive firms tend to adopt incremental and modular digital strategies rather than large-scale transformations, with outcomes strongly influenced by organizational readiness, workforce skills, supplier integration, and data governance. Besides, </w:t>
      </w:r>
      <w:r w:rsidR="0017430B" w:rsidRPr="00C04179">
        <w:rPr>
          <w:rFonts w:ascii="Times New Roman" w:hAnsi="Times New Roman" w:cs="Times New Roman"/>
          <w:sz w:val="24"/>
          <w:szCs w:val="24"/>
        </w:rPr>
        <w:t>it’s</w:t>
      </w:r>
      <w:r w:rsidRPr="00C04179">
        <w:rPr>
          <w:rFonts w:ascii="Times New Roman" w:hAnsi="Times New Roman" w:cs="Times New Roman"/>
          <w:sz w:val="24"/>
          <w:szCs w:val="24"/>
        </w:rPr>
        <w:t xml:space="preserve"> been noted that small and medium-sized enterprises and peripheral regions face greater challenges due to limited resources and digital capabilities. The study also highlights the importance of cross-sector partnerships, fair vehicle data access models, and alignment with ethical and regulatory requirements. Thus, it recommends that by adopting a holistic and ecosystem-based perspective, this research contributes an integrated understanding of digital transformation as a strategic, organizational, and governance process within the automotive industry.</w:t>
      </w:r>
    </w:p>
    <w:p w14:paraId="7AB84D20" w14:textId="050E59A0" w:rsidR="00722CC5" w:rsidRPr="00C04179" w:rsidRDefault="00722CC5" w:rsidP="00C21670">
      <w:pPr>
        <w:spacing w:line="480" w:lineRule="auto"/>
        <w:jc w:val="both"/>
        <w:rPr>
          <w:rFonts w:ascii="Times New Roman" w:hAnsi="Times New Roman" w:cs="Times New Roman"/>
          <w:sz w:val="24"/>
          <w:szCs w:val="24"/>
        </w:rPr>
      </w:pPr>
    </w:p>
    <w:p w14:paraId="41C7757F" w14:textId="77777777" w:rsidR="00722CC5" w:rsidRPr="00C04179" w:rsidRDefault="00722CC5" w:rsidP="00C21670">
      <w:pPr>
        <w:jc w:val="both"/>
        <w:rPr>
          <w:rFonts w:ascii="Times New Roman" w:hAnsi="Times New Roman" w:cs="Times New Roman"/>
          <w:b/>
          <w:sz w:val="24"/>
          <w:szCs w:val="24"/>
        </w:rPr>
      </w:pPr>
      <w:r w:rsidRPr="00C04179">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660850997"/>
        <w:docPartObj>
          <w:docPartGallery w:val="Table of Contents"/>
          <w:docPartUnique/>
        </w:docPartObj>
      </w:sdtPr>
      <w:sdtEndPr>
        <w:rPr>
          <w:b/>
          <w:bCs/>
          <w:noProof/>
        </w:rPr>
      </w:sdtEndPr>
      <w:sdtContent>
        <w:p w14:paraId="30EC614F" w14:textId="66E51571" w:rsidR="00FC2704" w:rsidRPr="00C04179" w:rsidRDefault="00FC2704" w:rsidP="00C21670">
          <w:pPr>
            <w:pStyle w:val="TOCHeading"/>
            <w:jc w:val="both"/>
            <w:rPr>
              <w:rFonts w:ascii="Times New Roman" w:hAnsi="Times New Roman" w:cs="Times New Roman"/>
              <w:b/>
              <w:color w:val="auto"/>
              <w:sz w:val="24"/>
              <w:szCs w:val="24"/>
            </w:rPr>
          </w:pPr>
          <w:r w:rsidRPr="00C04179">
            <w:rPr>
              <w:rFonts w:ascii="Times New Roman" w:hAnsi="Times New Roman" w:cs="Times New Roman"/>
              <w:b/>
              <w:color w:val="auto"/>
              <w:sz w:val="24"/>
              <w:szCs w:val="24"/>
            </w:rPr>
            <w:t>Table of Contents</w:t>
          </w:r>
        </w:p>
        <w:p w14:paraId="474B2B98" w14:textId="3BCD13CC" w:rsidR="00C04179" w:rsidRPr="00C04179" w:rsidRDefault="00FC2704" w:rsidP="00C21670">
          <w:pPr>
            <w:pStyle w:val="TOC1"/>
            <w:tabs>
              <w:tab w:val="right" w:leader="dot" w:pos="9350"/>
            </w:tabs>
            <w:jc w:val="both"/>
            <w:rPr>
              <w:rFonts w:ascii="Times New Roman" w:eastAsiaTheme="minorEastAsia" w:hAnsi="Times New Roman" w:cs="Times New Roman"/>
              <w:noProof/>
              <w:sz w:val="24"/>
              <w:szCs w:val="24"/>
            </w:rPr>
          </w:pPr>
          <w:r w:rsidRPr="00C04179">
            <w:rPr>
              <w:rFonts w:ascii="Times New Roman" w:hAnsi="Times New Roman" w:cs="Times New Roman"/>
              <w:sz w:val="24"/>
              <w:szCs w:val="24"/>
            </w:rPr>
            <w:fldChar w:fldCharType="begin"/>
          </w:r>
          <w:r w:rsidRPr="00C04179">
            <w:rPr>
              <w:rFonts w:ascii="Times New Roman" w:hAnsi="Times New Roman" w:cs="Times New Roman"/>
              <w:sz w:val="24"/>
              <w:szCs w:val="24"/>
            </w:rPr>
            <w:instrText xml:space="preserve"> TOC \o "1-3" \h \z \u </w:instrText>
          </w:r>
          <w:r w:rsidRPr="00C04179">
            <w:rPr>
              <w:rFonts w:ascii="Times New Roman" w:hAnsi="Times New Roman" w:cs="Times New Roman"/>
              <w:sz w:val="24"/>
              <w:szCs w:val="24"/>
            </w:rPr>
            <w:fldChar w:fldCharType="separate"/>
          </w:r>
          <w:hyperlink w:anchor="_Toc220925397" w:history="1">
            <w:r w:rsidR="00C04179" w:rsidRPr="00C04179">
              <w:rPr>
                <w:rStyle w:val="Hyperlink"/>
                <w:rFonts w:ascii="Times New Roman" w:hAnsi="Times New Roman" w:cs="Times New Roman"/>
                <w:b/>
                <w:noProof/>
                <w:sz w:val="24"/>
                <w:szCs w:val="24"/>
              </w:rPr>
              <w:t>Declaration</w:t>
            </w:r>
            <w:r w:rsidR="00C04179" w:rsidRPr="00C04179">
              <w:rPr>
                <w:rFonts w:ascii="Times New Roman" w:hAnsi="Times New Roman" w:cs="Times New Roman"/>
                <w:noProof/>
                <w:webHidden/>
                <w:sz w:val="24"/>
                <w:szCs w:val="24"/>
              </w:rPr>
              <w:tab/>
            </w:r>
            <w:r w:rsidR="00C04179" w:rsidRPr="00C04179">
              <w:rPr>
                <w:rFonts w:ascii="Times New Roman" w:hAnsi="Times New Roman" w:cs="Times New Roman"/>
                <w:noProof/>
                <w:webHidden/>
                <w:sz w:val="24"/>
                <w:szCs w:val="24"/>
              </w:rPr>
              <w:fldChar w:fldCharType="begin"/>
            </w:r>
            <w:r w:rsidR="00C04179" w:rsidRPr="00C04179">
              <w:rPr>
                <w:rFonts w:ascii="Times New Roman" w:hAnsi="Times New Roman" w:cs="Times New Roman"/>
                <w:noProof/>
                <w:webHidden/>
                <w:sz w:val="24"/>
                <w:szCs w:val="24"/>
              </w:rPr>
              <w:instrText xml:space="preserve"> PAGEREF _Toc220925397 \h </w:instrText>
            </w:r>
            <w:r w:rsidR="00C04179" w:rsidRPr="00C04179">
              <w:rPr>
                <w:rFonts w:ascii="Times New Roman" w:hAnsi="Times New Roman" w:cs="Times New Roman"/>
                <w:noProof/>
                <w:webHidden/>
                <w:sz w:val="24"/>
                <w:szCs w:val="24"/>
              </w:rPr>
            </w:r>
            <w:r w:rsidR="00C04179" w:rsidRPr="00C04179">
              <w:rPr>
                <w:rFonts w:ascii="Times New Roman" w:hAnsi="Times New Roman" w:cs="Times New Roman"/>
                <w:noProof/>
                <w:webHidden/>
                <w:sz w:val="24"/>
                <w:szCs w:val="24"/>
              </w:rPr>
              <w:fldChar w:fldCharType="separate"/>
            </w:r>
            <w:r w:rsidR="00C04179" w:rsidRPr="00C04179">
              <w:rPr>
                <w:rFonts w:ascii="Times New Roman" w:hAnsi="Times New Roman" w:cs="Times New Roman"/>
                <w:noProof/>
                <w:webHidden/>
                <w:sz w:val="24"/>
                <w:szCs w:val="24"/>
              </w:rPr>
              <w:t>2</w:t>
            </w:r>
            <w:r w:rsidR="00C04179" w:rsidRPr="00C04179">
              <w:rPr>
                <w:rFonts w:ascii="Times New Roman" w:hAnsi="Times New Roman" w:cs="Times New Roman"/>
                <w:noProof/>
                <w:webHidden/>
                <w:sz w:val="24"/>
                <w:szCs w:val="24"/>
              </w:rPr>
              <w:fldChar w:fldCharType="end"/>
            </w:r>
          </w:hyperlink>
        </w:p>
        <w:p w14:paraId="29D44FA5" w14:textId="698404AB" w:rsidR="00C04179" w:rsidRPr="00C04179" w:rsidRDefault="00C04179" w:rsidP="00C21670">
          <w:pPr>
            <w:pStyle w:val="TOC1"/>
            <w:tabs>
              <w:tab w:val="right" w:leader="dot" w:pos="9350"/>
            </w:tabs>
            <w:jc w:val="both"/>
            <w:rPr>
              <w:rFonts w:ascii="Times New Roman" w:eastAsiaTheme="minorEastAsia" w:hAnsi="Times New Roman" w:cs="Times New Roman"/>
              <w:noProof/>
              <w:sz w:val="24"/>
              <w:szCs w:val="24"/>
            </w:rPr>
          </w:pPr>
          <w:hyperlink w:anchor="_Toc220925398" w:history="1">
            <w:r w:rsidRPr="00C04179">
              <w:rPr>
                <w:rStyle w:val="Hyperlink"/>
                <w:rFonts w:ascii="Times New Roman" w:hAnsi="Times New Roman" w:cs="Times New Roman"/>
                <w:b/>
                <w:noProof/>
                <w:sz w:val="24"/>
                <w:szCs w:val="24"/>
              </w:rPr>
              <w:t>Acknowledgements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_Toc220925398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w:t>
            </w:r>
            <w:r w:rsidRPr="00C04179">
              <w:rPr>
                <w:rFonts w:ascii="Times New Roman" w:hAnsi="Times New Roman" w:cs="Times New Roman"/>
                <w:noProof/>
                <w:webHidden/>
                <w:sz w:val="24"/>
                <w:szCs w:val="24"/>
              </w:rPr>
              <w:fldChar w:fldCharType="end"/>
            </w:r>
          </w:hyperlink>
        </w:p>
        <w:p w14:paraId="51003638" w14:textId="1E277C98" w:rsidR="00C04179" w:rsidRPr="00C04179" w:rsidRDefault="00C04179" w:rsidP="00C21670">
          <w:pPr>
            <w:pStyle w:val="TOC1"/>
            <w:tabs>
              <w:tab w:val="right" w:leader="dot" w:pos="9350"/>
            </w:tabs>
            <w:jc w:val="both"/>
            <w:rPr>
              <w:rFonts w:ascii="Times New Roman" w:eastAsiaTheme="minorEastAsia" w:hAnsi="Times New Roman" w:cs="Times New Roman"/>
              <w:noProof/>
              <w:sz w:val="24"/>
              <w:szCs w:val="24"/>
            </w:rPr>
          </w:pPr>
          <w:hyperlink w:anchor="_Toc220925399" w:history="1">
            <w:r w:rsidRPr="00C04179">
              <w:rPr>
                <w:rStyle w:val="Hyperlink"/>
                <w:rFonts w:ascii="Times New Roman" w:hAnsi="Times New Roman" w:cs="Times New Roman"/>
                <w:b/>
                <w:noProof/>
                <w:sz w:val="24"/>
                <w:szCs w:val="24"/>
              </w:rPr>
              <w:t>Abstract</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_Toc220925399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w:t>
            </w:r>
            <w:r w:rsidRPr="00C04179">
              <w:rPr>
                <w:rFonts w:ascii="Times New Roman" w:hAnsi="Times New Roman" w:cs="Times New Roman"/>
                <w:noProof/>
                <w:webHidden/>
                <w:sz w:val="24"/>
                <w:szCs w:val="24"/>
              </w:rPr>
              <w:fldChar w:fldCharType="end"/>
            </w:r>
          </w:hyperlink>
        </w:p>
        <w:p w14:paraId="102CF4EA" w14:textId="264BB069" w:rsidR="00C04179" w:rsidRPr="00C04179" w:rsidRDefault="00C04179" w:rsidP="00C21670">
          <w:pPr>
            <w:pStyle w:val="TOC1"/>
            <w:tabs>
              <w:tab w:val="right" w:leader="dot" w:pos="9350"/>
            </w:tabs>
            <w:jc w:val="both"/>
            <w:rPr>
              <w:rFonts w:ascii="Times New Roman" w:eastAsiaTheme="minorEastAsia" w:hAnsi="Times New Roman" w:cs="Times New Roman"/>
              <w:noProof/>
              <w:sz w:val="24"/>
              <w:szCs w:val="24"/>
            </w:rPr>
          </w:pPr>
          <w:hyperlink w:anchor="_Toc220925400" w:history="1">
            <w:r w:rsidRPr="00C04179">
              <w:rPr>
                <w:rStyle w:val="Hyperlink"/>
                <w:rFonts w:ascii="Times New Roman" w:hAnsi="Times New Roman" w:cs="Times New Roman"/>
                <w:b/>
                <w:noProof/>
                <w:sz w:val="24"/>
                <w:szCs w:val="24"/>
              </w:rPr>
              <w:t>INTRODUCTION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8</w:t>
            </w:r>
            <w:r w:rsidRPr="00C04179">
              <w:rPr>
                <w:rFonts w:ascii="Times New Roman" w:hAnsi="Times New Roman" w:cs="Times New Roman"/>
                <w:noProof/>
                <w:webHidden/>
                <w:sz w:val="24"/>
                <w:szCs w:val="24"/>
              </w:rPr>
              <w:fldChar w:fldCharType="end"/>
            </w:r>
          </w:hyperlink>
        </w:p>
        <w:p w14:paraId="27BC5E12" w14:textId="518624B5"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1" w:history="1">
            <w:r w:rsidRPr="00C04179">
              <w:rPr>
                <w:rStyle w:val="Hyperlink"/>
                <w:rFonts w:ascii="Times New Roman" w:hAnsi="Times New Roman" w:cs="Times New Roman"/>
                <w:b/>
                <w:noProof/>
                <w:sz w:val="24"/>
                <w:szCs w:val="24"/>
              </w:rPr>
              <w:t>1.1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Background</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8</w:t>
            </w:r>
            <w:r w:rsidRPr="00C04179">
              <w:rPr>
                <w:rFonts w:ascii="Times New Roman" w:hAnsi="Times New Roman" w:cs="Times New Roman"/>
                <w:noProof/>
                <w:webHidden/>
                <w:sz w:val="24"/>
                <w:szCs w:val="24"/>
              </w:rPr>
              <w:fldChar w:fldCharType="end"/>
            </w:r>
          </w:hyperlink>
        </w:p>
        <w:p w14:paraId="0071A0B3" w14:textId="64DF0A6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2" w:history="1">
            <w:r w:rsidRPr="00C04179">
              <w:rPr>
                <w:rStyle w:val="Hyperlink"/>
                <w:rFonts w:ascii="Times New Roman" w:hAnsi="Times New Roman" w:cs="Times New Roman"/>
                <w:b/>
                <w:noProof/>
                <w:sz w:val="24"/>
                <w:szCs w:val="24"/>
              </w:rPr>
              <w:t>1.2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Problem Statement</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9</w:t>
            </w:r>
            <w:r w:rsidRPr="00C04179">
              <w:rPr>
                <w:rFonts w:ascii="Times New Roman" w:hAnsi="Times New Roman" w:cs="Times New Roman"/>
                <w:noProof/>
                <w:webHidden/>
                <w:sz w:val="24"/>
                <w:szCs w:val="24"/>
              </w:rPr>
              <w:fldChar w:fldCharType="end"/>
            </w:r>
          </w:hyperlink>
        </w:p>
        <w:p w14:paraId="222EA36F" w14:textId="2240C853"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3" w:history="1">
            <w:r w:rsidRPr="00C04179">
              <w:rPr>
                <w:rStyle w:val="Hyperlink"/>
                <w:rFonts w:ascii="Times New Roman" w:hAnsi="Times New Roman" w:cs="Times New Roman"/>
                <w:b/>
                <w:noProof/>
                <w:sz w:val="24"/>
                <w:szCs w:val="24"/>
              </w:rPr>
              <w:t>1.3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Gap</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10</w:t>
            </w:r>
            <w:r w:rsidRPr="00C04179">
              <w:rPr>
                <w:rFonts w:ascii="Times New Roman" w:hAnsi="Times New Roman" w:cs="Times New Roman"/>
                <w:noProof/>
                <w:webHidden/>
                <w:sz w:val="24"/>
                <w:szCs w:val="24"/>
              </w:rPr>
              <w:fldChar w:fldCharType="end"/>
            </w:r>
          </w:hyperlink>
        </w:p>
        <w:p w14:paraId="724099D6" w14:textId="6A69442E"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4" w:history="1">
            <w:r w:rsidRPr="00C04179">
              <w:rPr>
                <w:rStyle w:val="Hyperlink"/>
                <w:rFonts w:ascii="Times New Roman" w:hAnsi="Times New Roman" w:cs="Times New Roman"/>
                <w:b/>
                <w:noProof/>
                <w:sz w:val="24"/>
                <w:szCs w:val="24"/>
              </w:rPr>
              <w:t>1.4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Significance of the Study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10</w:t>
            </w:r>
            <w:r w:rsidRPr="00C04179">
              <w:rPr>
                <w:rFonts w:ascii="Times New Roman" w:hAnsi="Times New Roman" w:cs="Times New Roman"/>
                <w:noProof/>
                <w:webHidden/>
                <w:sz w:val="24"/>
                <w:szCs w:val="24"/>
              </w:rPr>
              <w:fldChar w:fldCharType="end"/>
            </w:r>
          </w:hyperlink>
        </w:p>
        <w:p w14:paraId="335A9B25" w14:textId="6682E5CA"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5" w:history="1">
            <w:r w:rsidRPr="00C04179">
              <w:rPr>
                <w:rStyle w:val="Hyperlink"/>
                <w:rFonts w:ascii="Times New Roman" w:hAnsi="Times New Roman" w:cs="Times New Roman"/>
                <w:b/>
                <w:noProof/>
                <w:sz w:val="24"/>
                <w:szCs w:val="24"/>
              </w:rPr>
              <w:t>1.5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Aim and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11</w:t>
            </w:r>
            <w:r w:rsidRPr="00C04179">
              <w:rPr>
                <w:rFonts w:ascii="Times New Roman" w:hAnsi="Times New Roman" w:cs="Times New Roman"/>
                <w:noProof/>
                <w:webHidden/>
                <w:sz w:val="24"/>
                <w:szCs w:val="24"/>
              </w:rPr>
              <w:fldChar w:fldCharType="end"/>
            </w:r>
          </w:hyperlink>
        </w:p>
        <w:p w14:paraId="35FEA7FE" w14:textId="64097332"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06" w:history="1">
            <w:r w:rsidRPr="00C04179">
              <w:rPr>
                <w:rStyle w:val="Hyperlink"/>
                <w:rFonts w:ascii="Times New Roman" w:hAnsi="Times New Roman" w:cs="Times New Roman"/>
                <w:b/>
                <w:noProof/>
                <w:sz w:val="24"/>
                <w:szCs w:val="24"/>
              </w:rPr>
              <w:t>1.5.1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Aim</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11</w:t>
            </w:r>
            <w:r w:rsidRPr="00C04179">
              <w:rPr>
                <w:rFonts w:ascii="Times New Roman" w:hAnsi="Times New Roman" w:cs="Times New Roman"/>
                <w:noProof/>
                <w:webHidden/>
                <w:sz w:val="24"/>
                <w:szCs w:val="24"/>
              </w:rPr>
              <w:fldChar w:fldCharType="end"/>
            </w:r>
          </w:hyperlink>
        </w:p>
        <w:p w14:paraId="057F950B" w14:textId="0B26E959"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07" w:history="1">
            <w:r w:rsidRPr="00C04179">
              <w:rPr>
                <w:rStyle w:val="Hyperlink"/>
                <w:rFonts w:ascii="Times New Roman" w:hAnsi="Times New Roman" w:cs="Times New Roman"/>
                <w:b/>
                <w:noProof/>
                <w:sz w:val="24"/>
                <w:szCs w:val="24"/>
              </w:rPr>
              <w:t>1.5.2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11</w:t>
            </w:r>
            <w:r w:rsidRPr="00C04179">
              <w:rPr>
                <w:rFonts w:ascii="Times New Roman" w:hAnsi="Times New Roman" w:cs="Times New Roman"/>
                <w:noProof/>
                <w:webHidden/>
                <w:sz w:val="24"/>
                <w:szCs w:val="24"/>
              </w:rPr>
              <w:fldChar w:fldCharType="end"/>
            </w:r>
          </w:hyperlink>
        </w:p>
        <w:p w14:paraId="0A856B57" w14:textId="01826356"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08" w:history="1">
            <w:r w:rsidRPr="00C04179">
              <w:rPr>
                <w:rStyle w:val="Hyperlink"/>
                <w:rFonts w:ascii="Times New Roman" w:hAnsi="Times New Roman" w:cs="Times New Roman"/>
                <w:b/>
                <w:noProof/>
                <w:sz w:val="24"/>
                <w:szCs w:val="24"/>
              </w:rPr>
              <w:t>1.5.3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Question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11</w:t>
            </w:r>
            <w:r w:rsidRPr="00C04179">
              <w:rPr>
                <w:rFonts w:ascii="Times New Roman" w:hAnsi="Times New Roman" w:cs="Times New Roman"/>
                <w:noProof/>
                <w:webHidden/>
                <w:sz w:val="24"/>
                <w:szCs w:val="24"/>
              </w:rPr>
              <w:fldChar w:fldCharType="end"/>
            </w:r>
          </w:hyperlink>
        </w:p>
        <w:p w14:paraId="3B739FC1" w14:textId="6FCB109D"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9" w:history="1">
            <w:r w:rsidRPr="00C04179">
              <w:rPr>
                <w:rStyle w:val="Hyperlink"/>
                <w:rFonts w:ascii="Times New Roman" w:hAnsi="Times New Roman" w:cs="Times New Roman"/>
                <w:b/>
                <w:noProof/>
                <w:sz w:val="24"/>
                <w:szCs w:val="24"/>
              </w:rPr>
              <w:t>1.6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Scope and Limitations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12</w:t>
            </w:r>
            <w:r w:rsidRPr="00C04179">
              <w:rPr>
                <w:rFonts w:ascii="Times New Roman" w:hAnsi="Times New Roman" w:cs="Times New Roman"/>
                <w:noProof/>
                <w:webHidden/>
                <w:sz w:val="24"/>
                <w:szCs w:val="24"/>
              </w:rPr>
              <w:fldChar w:fldCharType="end"/>
            </w:r>
          </w:hyperlink>
        </w:p>
        <w:p w14:paraId="5DC47CF6" w14:textId="0D8B4D60"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0" w:history="1">
            <w:r w:rsidRPr="00C04179">
              <w:rPr>
                <w:rStyle w:val="Hyperlink"/>
                <w:rFonts w:ascii="Times New Roman" w:hAnsi="Times New Roman" w:cs="Times New Roman"/>
                <w:b/>
                <w:noProof/>
                <w:sz w:val="24"/>
                <w:szCs w:val="24"/>
              </w:rPr>
              <w:t>1.6.1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Scope</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12</w:t>
            </w:r>
            <w:r w:rsidRPr="00C04179">
              <w:rPr>
                <w:rFonts w:ascii="Times New Roman" w:hAnsi="Times New Roman" w:cs="Times New Roman"/>
                <w:noProof/>
                <w:webHidden/>
                <w:sz w:val="24"/>
                <w:szCs w:val="24"/>
              </w:rPr>
              <w:fldChar w:fldCharType="end"/>
            </w:r>
          </w:hyperlink>
        </w:p>
        <w:p w14:paraId="55FADF01" w14:textId="35206A68"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1" w:history="1">
            <w:r w:rsidRPr="00C04179">
              <w:rPr>
                <w:rStyle w:val="Hyperlink"/>
                <w:rFonts w:ascii="Times New Roman" w:hAnsi="Times New Roman" w:cs="Times New Roman"/>
                <w:b/>
                <w:noProof/>
                <w:sz w:val="24"/>
                <w:szCs w:val="24"/>
              </w:rPr>
              <w:t>1.6.2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Limitations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12</w:t>
            </w:r>
            <w:r w:rsidRPr="00C04179">
              <w:rPr>
                <w:rFonts w:ascii="Times New Roman" w:hAnsi="Times New Roman" w:cs="Times New Roman"/>
                <w:noProof/>
                <w:webHidden/>
                <w:sz w:val="24"/>
                <w:szCs w:val="24"/>
              </w:rPr>
              <w:fldChar w:fldCharType="end"/>
            </w:r>
          </w:hyperlink>
        </w:p>
        <w:p w14:paraId="144A09F3" w14:textId="7F8D2391"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12" w:history="1">
            <w:r w:rsidRPr="00C04179">
              <w:rPr>
                <w:rStyle w:val="Hyperlink"/>
                <w:rFonts w:ascii="Times New Roman" w:hAnsi="Times New Roman" w:cs="Times New Roman"/>
                <w:b/>
                <w:noProof/>
                <w:sz w:val="24"/>
                <w:szCs w:val="24"/>
              </w:rPr>
              <w:t>1.7</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Summary of Chapter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12</w:t>
            </w:r>
            <w:r w:rsidRPr="00C04179">
              <w:rPr>
                <w:rFonts w:ascii="Times New Roman" w:hAnsi="Times New Roman" w:cs="Times New Roman"/>
                <w:noProof/>
                <w:webHidden/>
                <w:sz w:val="24"/>
                <w:szCs w:val="24"/>
              </w:rPr>
              <w:fldChar w:fldCharType="end"/>
            </w:r>
          </w:hyperlink>
        </w:p>
        <w:p w14:paraId="776C67EC" w14:textId="0D83942E"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13" w:history="1">
            <w:r w:rsidRPr="00C04179">
              <w:rPr>
                <w:rStyle w:val="Hyperlink"/>
                <w:rFonts w:ascii="Times New Roman" w:hAnsi="Times New Roman" w:cs="Times New Roman"/>
                <w:b/>
                <w:noProof/>
                <w:sz w:val="24"/>
                <w:szCs w:val="24"/>
              </w:rPr>
              <w:t>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LITERATURE REVIEW</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14</w:t>
            </w:r>
            <w:r w:rsidRPr="00C04179">
              <w:rPr>
                <w:rFonts w:ascii="Times New Roman" w:hAnsi="Times New Roman" w:cs="Times New Roman"/>
                <w:noProof/>
                <w:webHidden/>
                <w:sz w:val="24"/>
                <w:szCs w:val="24"/>
              </w:rPr>
              <w:fldChar w:fldCharType="end"/>
            </w:r>
          </w:hyperlink>
        </w:p>
        <w:p w14:paraId="14DBAEDD" w14:textId="1704A98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14" w:history="1">
            <w:r w:rsidRPr="00C04179">
              <w:rPr>
                <w:rStyle w:val="Hyperlink"/>
                <w:rFonts w:ascii="Times New Roman" w:hAnsi="Times New Roman" w:cs="Times New Roman"/>
                <w:b/>
                <w:noProof/>
                <w:sz w:val="24"/>
                <w:szCs w:val="24"/>
              </w:rPr>
              <w:t>2.1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Introduction to the Literature Review</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14</w:t>
            </w:r>
            <w:r w:rsidRPr="00C04179">
              <w:rPr>
                <w:rFonts w:ascii="Times New Roman" w:hAnsi="Times New Roman" w:cs="Times New Roman"/>
                <w:noProof/>
                <w:webHidden/>
                <w:sz w:val="24"/>
                <w:szCs w:val="24"/>
              </w:rPr>
              <w:fldChar w:fldCharType="end"/>
            </w:r>
          </w:hyperlink>
        </w:p>
        <w:p w14:paraId="4AD01DF0" w14:textId="53C3AABF"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15" w:history="1">
            <w:r w:rsidRPr="00C04179">
              <w:rPr>
                <w:rStyle w:val="Hyperlink"/>
                <w:rFonts w:ascii="Times New Roman" w:hAnsi="Times New Roman" w:cs="Times New Roman"/>
                <w:b/>
                <w:noProof/>
                <w:sz w:val="24"/>
                <w:szCs w:val="24"/>
              </w:rPr>
              <w:t>2.2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Key Themes in the Literature</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15</w:t>
            </w:r>
            <w:r w:rsidRPr="00C04179">
              <w:rPr>
                <w:rFonts w:ascii="Times New Roman" w:hAnsi="Times New Roman" w:cs="Times New Roman"/>
                <w:noProof/>
                <w:webHidden/>
                <w:sz w:val="24"/>
                <w:szCs w:val="24"/>
              </w:rPr>
              <w:fldChar w:fldCharType="end"/>
            </w:r>
          </w:hyperlink>
        </w:p>
        <w:p w14:paraId="2D196F3C" w14:textId="1AE6687F"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6" w:history="1">
            <w:r w:rsidRPr="00C04179">
              <w:rPr>
                <w:rStyle w:val="Hyperlink"/>
                <w:rFonts w:ascii="Times New Roman" w:hAnsi="Times New Roman" w:cs="Times New Roman"/>
                <w:b/>
                <w:noProof/>
                <w:sz w:val="24"/>
                <w:szCs w:val="24"/>
              </w:rPr>
              <w:t>2.2.1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Digital Transformation as a Structural Shift</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16</w:t>
            </w:r>
            <w:r w:rsidRPr="00C04179">
              <w:rPr>
                <w:rFonts w:ascii="Times New Roman" w:hAnsi="Times New Roman" w:cs="Times New Roman"/>
                <w:noProof/>
                <w:webHidden/>
                <w:sz w:val="24"/>
                <w:szCs w:val="24"/>
              </w:rPr>
              <w:fldChar w:fldCharType="end"/>
            </w:r>
          </w:hyperlink>
        </w:p>
        <w:p w14:paraId="43CD0B9E" w14:textId="35773AAC"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7" w:history="1">
            <w:r w:rsidRPr="00C04179">
              <w:rPr>
                <w:rStyle w:val="Hyperlink"/>
                <w:rFonts w:ascii="Times New Roman" w:hAnsi="Times New Roman" w:cs="Times New Roman"/>
                <w:b/>
                <w:noProof/>
                <w:sz w:val="24"/>
                <w:szCs w:val="24"/>
              </w:rPr>
              <w:t>2.2.2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Strategic Adaptation, Market Positioning, and Competitive Restructuring</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18</w:t>
            </w:r>
            <w:r w:rsidRPr="00C04179">
              <w:rPr>
                <w:rFonts w:ascii="Times New Roman" w:hAnsi="Times New Roman" w:cs="Times New Roman"/>
                <w:noProof/>
                <w:webHidden/>
                <w:sz w:val="24"/>
                <w:szCs w:val="24"/>
              </w:rPr>
              <w:fldChar w:fldCharType="end"/>
            </w:r>
          </w:hyperlink>
        </w:p>
        <w:p w14:paraId="2C43766E" w14:textId="7BB5A026"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8" w:history="1">
            <w:r w:rsidRPr="00C04179">
              <w:rPr>
                <w:rStyle w:val="Hyperlink"/>
                <w:rFonts w:ascii="Times New Roman" w:hAnsi="Times New Roman" w:cs="Times New Roman"/>
                <w:b/>
                <w:noProof/>
                <w:sz w:val="24"/>
                <w:szCs w:val="24"/>
              </w:rPr>
              <w:t>2.2.3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Innovation and Knowledge Evolution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20</w:t>
            </w:r>
            <w:r w:rsidRPr="00C04179">
              <w:rPr>
                <w:rFonts w:ascii="Times New Roman" w:hAnsi="Times New Roman" w:cs="Times New Roman"/>
                <w:noProof/>
                <w:webHidden/>
                <w:sz w:val="24"/>
                <w:szCs w:val="24"/>
              </w:rPr>
              <w:fldChar w:fldCharType="end"/>
            </w:r>
          </w:hyperlink>
        </w:p>
        <w:p w14:paraId="33231F1F" w14:textId="547A40E5"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9" w:history="1">
            <w:r w:rsidRPr="00C04179">
              <w:rPr>
                <w:rStyle w:val="Hyperlink"/>
                <w:rFonts w:ascii="Times New Roman" w:hAnsi="Times New Roman" w:cs="Times New Roman"/>
                <w:b/>
                <w:noProof/>
                <w:sz w:val="24"/>
                <w:szCs w:val="24"/>
              </w:rPr>
              <w:t>2.2.4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Labour and Workforce Restructuring</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21</w:t>
            </w:r>
            <w:r w:rsidRPr="00C04179">
              <w:rPr>
                <w:rFonts w:ascii="Times New Roman" w:hAnsi="Times New Roman" w:cs="Times New Roman"/>
                <w:noProof/>
                <w:webHidden/>
                <w:sz w:val="24"/>
                <w:szCs w:val="24"/>
              </w:rPr>
              <w:fldChar w:fldCharType="end"/>
            </w:r>
          </w:hyperlink>
        </w:p>
        <w:p w14:paraId="656DB4D6" w14:textId="564BDCF4"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0" w:history="1">
            <w:r w:rsidRPr="00C04179">
              <w:rPr>
                <w:rStyle w:val="Hyperlink"/>
                <w:rFonts w:ascii="Times New Roman" w:hAnsi="Times New Roman" w:cs="Times New Roman"/>
                <w:b/>
                <w:noProof/>
                <w:sz w:val="24"/>
                <w:szCs w:val="24"/>
              </w:rPr>
              <w:t>2.2.5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Standardisation Conflicts and Power Asymmetries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23</w:t>
            </w:r>
            <w:r w:rsidRPr="00C04179">
              <w:rPr>
                <w:rFonts w:ascii="Times New Roman" w:hAnsi="Times New Roman" w:cs="Times New Roman"/>
                <w:noProof/>
                <w:webHidden/>
                <w:sz w:val="24"/>
                <w:szCs w:val="24"/>
              </w:rPr>
              <w:fldChar w:fldCharType="end"/>
            </w:r>
          </w:hyperlink>
        </w:p>
        <w:p w14:paraId="3CBF6802" w14:textId="1B290A1F"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1" w:history="1">
            <w:r w:rsidRPr="00C04179">
              <w:rPr>
                <w:rStyle w:val="Hyperlink"/>
                <w:rFonts w:ascii="Times New Roman" w:hAnsi="Times New Roman" w:cs="Times New Roman"/>
                <w:b/>
                <w:noProof/>
                <w:sz w:val="24"/>
                <w:szCs w:val="24"/>
              </w:rPr>
              <w:t>2.2.6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Table 2.1 Conceptual Framework</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26</w:t>
            </w:r>
            <w:r w:rsidRPr="00C04179">
              <w:rPr>
                <w:rFonts w:ascii="Times New Roman" w:hAnsi="Times New Roman" w:cs="Times New Roman"/>
                <w:noProof/>
                <w:webHidden/>
                <w:sz w:val="24"/>
                <w:szCs w:val="24"/>
              </w:rPr>
              <w:fldChar w:fldCharType="end"/>
            </w:r>
          </w:hyperlink>
        </w:p>
        <w:p w14:paraId="1605EEA5" w14:textId="090F508B"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22" w:history="1">
            <w:r w:rsidRPr="00C04179">
              <w:rPr>
                <w:rStyle w:val="Hyperlink"/>
                <w:rFonts w:ascii="Times New Roman" w:hAnsi="Times New Roman" w:cs="Times New Roman"/>
                <w:b/>
                <w:noProof/>
                <w:sz w:val="24"/>
                <w:szCs w:val="24"/>
              </w:rPr>
              <w:t>2.3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Case Studies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27</w:t>
            </w:r>
            <w:r w:rsidRPr="00C04179">
              <w:rPr>
                <w:rFonts w:ascii="Times New Roman" w:hAnsi="Times New Roman" w:cs="Times New Roman"/>
                <w:noProof/>
                <w:webHidden/>
                <w:sz w:val="24"/>
                <w:szCs w:val="24"/>
              </w:rPr>
              <w:fldChar w:fldCharType="end"/>
            </w:r>
          </w:hyperlink>
        </w:p>
        <w:p w14:paraId="7CA0E237" w14:textId="2A76AFE6"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3" w:history="1">
            <w:r w:rsidRPr="00C04179">
              <w:rPr>
                <w:rStyle w:val="Hyperlink"/>
                <w:rFonts w:ascii="Times New Roman" w:hAnsi="Times New Roman" w:cs="Times New Roman"/>
                <w:b/>
                <w:noProof/>
                <w:sz w:val="24"/>
                <w:szCs w:val="24"/>
              </w:rPr>
              <w:t>2.3.1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Volkswagen (VW) Group</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28</w:t>
            </w:r>
            <w:r w:rsidRPr="00C04179">
              <w:rPr>
                <w:rFonts w:ascii="Times New Roman" w:hAnsi="Times New Roman" w:cs="Times New Roman"/>
                <w:noProof/>
                <w:webHidden/>
                <w:sz w:val="24"/>
                <w:szCs w:val="24"/>
              </w:rPr>
              <w:fldChar w:fldCharType="end"/>
            </w:r>
          </w:hyperlink>
        </w:p>
        <w:p w14:paraId="4313539D" w14:textId="0F62F900"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4" w:history="1">
            <w:r w:rsidRPr="00C04179">
              <w:rPr>
                <w:rStyle w:val="Hyperlink"/>
                <w:rFonts w:ascii="Times New Roman" w:hAnsi="Times New Roman" w:cs="Times New Roman"/>
                <w:b/>
                <w:noProof/>
                <w:sz w:val="24"/>
                <w:szCs w:val="24"/>
              </w:rPr>
              <w:t>2.3.2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General Motors (GM) vs. Volkswagen (VW)</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29</w:t>
            </w:r>
            <w:r w:rsidRPr="00C04179">
              <w:rPr>
                <w:rFonts w:ascii="Times New Roman" w:hAnsi="Times New Roman" w:cs="Times New Roman"/>
                <w:noProof/>
                <w:webHidden/>
                <w:sz w:val="24"/>
                <w:szCs w:val="24"/>
              </w:rPr>
              <w:fldChar w:fldCharType="end"/>
            </w:r>
          </w:hyperlink>
        </w:p>
        <w:p w14:paraId="577B7CC9" w14:textId="5F9D1690"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5" w:history="1">
            <w:r w:rsidRPr="00C04179">
              <w:rPr>
                <w:rStyle w:val="Hyperlink"/>
                <w:rFonts w:ascii="Times New Roman" w:hAnsi="Times New Roman" w:cs="Times New Roman"/>
                <w:b/>
                <w:noProof/>
                <w:sz w:val="24"/>
                <w:szCs w:val="24"/>
              </w:rPr>
              <w:t>2.3.3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Li Auto (China New energy vehicles - NEV)</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29</w:t>
            </w:r>
            <w:r w:rsidRPr="00C04179">
              <w:rPr>
                <w:rFonts w:ascii="Times New Roman" w:hAnsi="Times New Roman" w:cs="Times New Roman"/>
                <w:noProof/>
                <w:webHidden/>
                <w:sz w:val="24"/>
                <w:szCs w:val="24"/>
              </w:rPr>
              <w:fldChar w:fldCharType="end"/>
            </w:r>
          </w:hyperlink>
        </w:p>
        <w:p w14:paraId="376F0130" w14:textId="77BCD75C"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6" w:history="1">
            <w:r w:rsidRPr="00C04179">
              <w:rPr>
                <w:rStyle w:val="Hyperlink"/>
                <w:rFonts w:ascii="Times New Roman" w:hAnsi="Times New Roman" w:cs="Times New Roman"/>
                <w:b/>
                <w:noProof/>
                <w:sz w:val="24"/>
                <w:szCs w:val="24"/>
              </w:rPr>
              <w:t>2.3.4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Daimler/BMW Data Access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30</w:t>
            </w:r>
            <w:r w:rsidRPr="00C04179">
              <w:rPr>
                <w:rFonts w:ascii="Times New Roman" w:hAnsi="Times New Roman" w:cs="Times New Roman"/>
                <w:noProof/>
                <w:webHidden/>
                <w:sz w:val="24"/>
                <w:szCs w:val="24"/>
              </w:rPr>
              <w:fldChar w:fldCharType="end"/>
            </w:r>
          </w:hyperlink>
        </w:p>
        <w:p w14:paraId="388D63EE" w14:textId="55C5120B"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7" w:history="1">
            <w:r w:rsidRPr="00C04179">
              <w:rPr>
                <w:rStyle w:val="Hyperlink"/>
                <w:rFonts w:ascii="Times New Roman" w:hAnsi="Times New Roman" w:cs="Times New Roman"/>
                <w:b/>
                <w:noProof/>
                <w:sz w:val="24"/>
                <w:szCs w:val="24"/>
              </w:rPr>
              <w:t>2.3.5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Hungarian SME’s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31</w:t>
            </w:r>
            <w:r w:rsidRPr="00C04179">
              <w:rPr>
                <w:rFonts w:ascii="Times New Roman" w:hAnsi="Times New Roman" w:cs="Times New Roman"/>
                <w:noProof/>
                <w:webHidden/>
                <w:sz w:val="24"/>
                <w:szCs w:val="24"/>
              </w:rPr>
              <w:fldChar w:fldCharType="end"/>
            </w:r>
          </w:hyperlink>
        </w:p>
        <w:p w14:paraId="233F84F8" w14:textId="56E75579"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8" w:history="1">
            <w:r w:rsidRPr="00C04179">
              <w:rPr>
                <w:rStyle w:val="Hyperlink"/>
                <w:rFonts w:ascii="Times New Roman" w:hAnsi="Times New Roman" w:cs="Times New Roman"/>
                <w:b/>
                <w:noProof/>
                <w:sz w:val="24"/>
                <w:szCs w:val="24"/>
              </w:rPr>
              <w:t>2.3.6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Integrative Analysis of the Case Studies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31</w:t>
            </w:r>
            <w:r w:rsidRPr="00C04179">
              <w:rPr>
                <w:rFonts w:ascii="Times New Roman" w:hAnsi="Times New Roman" w:cs="Times New Roman"/>
                <w:noProof/>
                <w:webHidden/>
                <w:sz w:val="24"/>
                <w:szCs w:val="24"/>
              </w:rPr>
              <w:fldChar w:fldCharType="end"/>
            </w:r>
          </w:hyperlink>
        </w:p>
        <w:p w14:paraId="56DCD9F6" w14:textId="60479512"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29" w:history="1">
            <w:r w:rsidRPr="00C04179">
              <w:rPr>
                <w:rStyle w:val="Hyperlink"/>
                <w:rFonts w:ascii="Times New Roman" w:hAnsi="Times New Roman" w:cs="Times New Roman"/>
                <w:b/>
                <w:noProof/>
                <w:sz w:val="24"/>
                <w:szCs w:val="24"/>
              </w:rPr>
              <w:t>2.4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Identified Research Gaps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32</w:t>
            </w:r>
            <w:r w:rsidRPr="00C04179">
              <w:rPr>
                <w:rFonts w:ascii="Times New Roman" w:hAnsi="Times New Roman" w:cs="Times New Roman"/>
                <w:noProof/>
                <w:webHidden/>
                <w:sz w:val="24"/>
                <w:szCs w:val="24"/>
              </w:rPr>
              <w:fldChar w:fldCharType="end"/>
            </w:r>
          </w:hyperlink>
        </w:p>
        <w:p w14:paraId="71A29139" w14:textId="70E9504E"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0" w:history="1">
            <w:r w:rsidRPr="00C04179">
              <w:rPr>
                <w:rStyle w:val="Hyperlink"/>
                <w:rFonts w:ascii="Times New Roman" w:hAnsi="Times New Roman" w:cs="Times New Roman"/>
                <w:b/>
                <w:noProof/>
                <w:sz w:val="24"/>
                <w:szCs w:val="24"/>
              </w:rPr>
              <w:t>2.5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32</w:t>
            </w:r>
            <w:r w:rsidRPr="00C04179">
              <w:rPr>
                <w:rFonts w:ascii="Times New Roman" w:hAnsi="Times New Roman" w:cs="Times New Roman"/>
                <w:noProof/>
                <w:webHidden/>
                <w:sz w:val="24"/>
                <w:szCs w:val="24"/>
              </w:rPr>
              <w:fldChar w:fldCharType="end"/>
            </w:r>
          </w:hyperlink>
        </w:p>
        <w:p w14:paraId="04AA3644" w14:textId="2EE9FB05"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1" w:history="1">
            <w:r w:rsidRPr="00C04179">
              <w:rPr>
                <w:rStyle w:val="Hyperlink"/>
                <w:rFonts w:ascii="Times New Roman" w:hAnsi="Times New Roman" w:cs="Times New Roman"/>
                <w:b/>
                <w:noProof/>
                <w:sz w:val="24"/>
                <w:szCs w:val="24"/>
              </w:rPr>
              <w:t>2.6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Summary of Chapter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33</w:t>
            </w:r>
            <w:r w:rsidRPr="00C04179">
              <w:rPr>
                <w:rFonts w:ascii="Times New Roman" w:hAnsi="Times New Roman" w:cs="Times New Roman"/>
                <w:noProof/>
                <w:webHidden/>
                <w:sz w:val="24"/>
                <w:szCs w:val="24"/>
              </w:rPr>
              <w:fldChar w:fldCharType="end"/>
            </w:r>
          </w:hyperlink>
        </w:p>
        <w:p w14:paraId="10F07A3D" w14:textId="4FC04DAC"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32" w:history="1">
            <w:r w:rsidRPr="00C04179">
              <w:rPr>
                <w:rStyle w:val="Hyperlink"/>
                <w:rFonts w:ascii="Times New Roman" w:hAnsi="Times New Roman" w:cs="Times New Roman"/>
                <w:b/>
                <w:noProof/>
                <w:sz w:val="24"/>
                <w:szCs w:val="24"/>
              </w:rPr>
              <w:t>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METHODOLOGY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35</w:t>
            </w:r>
            <w:r w:rsidRPr="00C04179">
              <w:rPr>
                <w:rFonts w:ascii="Times New Roman" w:hAnsi="Times New Roman" w:cs="Times New Roman"/>
                <w:noProof/>
                <w:webHidden/>
                <w:sz w:val="24"/>
                <w:szCs w:val="24"/>
              </w:rPr>
              <w:fldChar w:fldCharType="end"/>
            </w:r>
          </w:hyperlink>
        </w:p>
        <w:p w14:paraId="748E3E17" w14:textId="09AA6E0E"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3" w:history="1">
            <w:r w:rsidRPr="00C04179">
              <w:rPr>
                <w:rStyle w:val="Hyperlink"/>
                <w:rFonts w:ascii="Times New Roman" w:eastAsia="Calibri" w:hAnsi="Times New Roman" w:cs="Times New Roman"/>
                <w:b/>
                <w:noProof/>
                <w:sz w:val="24"/>
                <w:szCs w:val="24"/>
              </w:rPr>
              <w:t>3.1</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Introduction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35</w:t>
            </w:r>
            <w:r w:rsidRPr="00C04179">
              <w:rPr>
                <w:rFonts w:ascii="Times New Roman" w:hAnsi="Times New Roman" w:cs="Times New Roman"/>
                <w:noProof/>
                <w:webHidden/>
                <w:sz w:val="24"/>
                <w:szCs w:val="24"/>
              </w:rPr>
              <w:fldChar w:fldCharType="end"/>
            </w:r>
          </w:hyperlink>
        </w:p>
        <w:p w14:paraId="0FF0E096" w14:textId="65B7E1CF"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4" w:history="1">
            <w:r w:rsidRPr="00C04179">
              <w:rPr>
                <w:rStyle w:val="Hyperlink"/>
                <w:rFonts w:ascii="Times New Roman" w:eastAsia="Calibri" w:hAnsi="Times New Roman" w:cs="Times New Roman"/>
                <w:b/>
                <w:noProof/>
                <w:sz w:val="24"/>
                <w:szCs w:val="24"/>
              </w:rPr>
              <w:t>3.2</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Research Philosophy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35</w:t>
            </w:r>
            <w:r w:rsidRPr="00C04179">
              <w:rPr>
                <w:rFonts w:ascii="Times New Roman" w:hAnsi="Times New Roman" w:cs="Times New Roman"/>
                <w:noProof/>
                <w:webHidden/>
                <w:sz w:val="24"/>
                <w:szCs w:val="24"/>
              </w:rPr>
              <w:fldChar w:fldCharType="end"/>
            </w:r>
          </w:hyperlink>
        </w:p>
        <w:p w14:paraId="26E48115" w14:textId="31E7AE60"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5" w:history="1">
            <w:r w:rsidRPr="00C04179">
              <w:rPr>
                <w:rStyle w:val="Hyperlink"/>
                <w:rFonts w:ascii="Times New Roman" w:eastAsia="Calibri" w:hAnsi="Times New Roman" w:cs="Times New Roman"/>
                <w:b/>
                <w:noProof/>
                <w:sz w:val="24"/>
                <w:szCs w:val="24"/>
              </w:rPr>
              <w:t>3.3</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Research Approach</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36</w:t>
            </w:r>
            <w:r w:rsidRPr="00C04179">
              <w:rPr>
                <w:rFonts w:ascii="Times New Roman" w:hAnsi="Times New Roman" w:cs="Times New Roman"/>
                <w:noProof/>
                <w:webHidden/>
                <w:sz w:val="24"/>
                <w:szCs w:val="24"/>
              </w:rPr>
              <w:fldChar w:fldCharType="end"/>
            </w:r>
          </w:hyperlink>
        </w:p>
        <w:p w14:paraId="2738CB03" w14:textId="5F60E85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6" w:history="1">
            <w:r w:rsidRPr="00C04179">
              <w:rPr>
                <w:rStyle w:val="Hyperlink"/>
                <w:rFonts w:ascii="Times New Roman" w:eastAsia="Calibri" w:hAnsi="Times New Roman" w:cs="Times New Roman"/>
                <w:b/>
                <w:noProof/>
                <w:sz w:val="24"/>
                <w:szCs w:val="24"/>
              </w:rPr>
              <w:t>3.4</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Research Strategy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38</w:t>
            </w:r>
            <w:r w:rsidRPr="00C04179">
              <w:rPr>
                <w:rFonts w:ascii="Times New Roman" w:hAnsi="Times New Roman" w:cs="Times New Roman"/>
                <w:noProof/>
                <w:webHidden/>
                <w:sz w:val="24"/>
                <w:szCs w:val="24"/>
              </w:rPr>
              <w:fldChar w:fldCharType="end"/>
            </w:r>
          </w:hyperlink>
        </w:p>
        <w:p w14:paraId="48D0F766" w14:textId="6BB11E51"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7" w:history="1">
            <w:r w:rsidRPr="00C04179">
              <w:rPr>
                <w:rStyle w:val="Hyperlink"/>
                <w:rFonts w:ascii="Times New Roman" w:eastAsia="Calibri" w:hAnsi="Times New Roman" w:cs="Times New Roman"/>
                <w:b/>
                <w:noProof/>
                <w:sz w:val="24"/>
                <w:szCs w:val="24"/>
              </w:rPr>
              <w:t>3.5</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Data Collection Method</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38</w:t>
            </w:r>
            <w:r w:rsidRPr="00C04179">
              <w:rPr>
                <w:rFonts w:ascii="Times New Roman" w:hAnsi="Times New Roman" w:cs="Times New Roman"/>
                <w:noProof/>
                <w:webHidden/>
                <w:sz w:val="24"/>
                <w:szCs w:val="24"/>
              </w:rPr>
              <w:fldChar w:fldCharType="end"/>
            </w:r>
          </w:hyperlink>
        </w:p>
        <w:p w14:paraId="13AFDE92" w14:textId="4709117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8" w:history="1">
            <w:r w:rsidRPr="00C04179">
              <w:rPr>
                <w:rStyle w:val="Hyperlink"/>
                <w:rFonts w:ascii="Times New Roman" w:eastAsia="Calibri" w:hAnsi="Times New Roman" w:cs="Times New Roman"/>
                <w:b/>
                <w:noProof/>
                <w:sz w:val="24"/>
                <w:szCs w:val="24"/>
              </w:rPr>
              <w:t>3.6</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Document Selection Technique</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39</w:t>
            </w:r>
            <w:r w:rsidRPr="00C04179">
              <w:rPr>
                <w:rFonts w:ascii="Times New Roman" w:hAnsi="Times New Roman" w:cs="Times New Roman"/>
                <w:noProof/>
                <w:webHidden/>
                <w:sz w:val="24"/>
                <w:szCs w:val="24"/>
              </w:rPr>
              <w:fldChar w:fldCharType="end"/>
            </w:r>
          </w:hyperlink>
        </w:p>
        <w:p w14:paraId="5CFA4AB3" w14:textId="47185AAD"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9" w:history="1">
            <w:r w:rsidRPr="00C04179">
              <w:rPr>
                <w:rStyle w:val="Hyperlink"/>
                <w:rFonts w:ascii="Times New Roman" w:eastAsia="Calibri" w:hAnsi="Times New Roman" w:cs="Times New Roman"/>
                <w:b/>
                <w:noProof/>
                <w:sz w:val="24"/>
                <w:szCs w:val="24"/>
              </w:rPr>
              <w:t>3.7</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Data Analysis Process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39</w:t>
            </w:r>
            <w:r w:rsidRPr="00C04179">
              <w:rPr>
                <w:rFonts w:ascii="Times New Roman" w:hAnsi="Times New Roman" w:cs="Times New Roman"/>
                <w:noProof/>
                <w:webHidden/>
                <w:sz w:val="24"/>
                <w:szCs w:val="24"/>
              </w:rPr>
              <w:fldChar w:fldCharType="end"/>
            </w:r>
          </w:hyperlink>
        </w:p>
        <w:p w14:paraId="09108FB2" w14:textId="457D2515"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0" w:history="1">
            <w:r w:rsidRPr="00C04179">
              <w:rPr>
                <w:rStyle w:val="Hyperlink"/>
                <w:rFonts w:ascii="Times New Roman" w:eastAsia="Calibri" w:hAnsi="Times New Roman" w:cs="Times New Roman"/>
                <w:b/>
                <w:noProof/>
                <w:sz w:val="24"/>
                <w:szCs w:val="24"/>
              </w:rPr>
              <w:t>3.8</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Trustworthiness and Research Rigor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39</w:t>
            </w:r>
            <w:r w:rsidRPr="00C04179">
              <w:rPr>
                <w:rFonts w:ascii="Times New Roman" w:hAnsi="Times New Roman" w:cs="Times New Roman"/>
                <w:noProof/>
                <w:webHidden/>
                <w:sz w:val="24"/>
                <w:szCs w:val="24"/>
              </w:rPr>
              <w:fldChar w:fldCharType="end"/>
            </w:r>
          </w:hyperlink>
        </w:p>
        <w:p w14:paraId="5B654AE5" w14:textId="050FD2CF"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1" w:history="1">
            <w:r w:rsidRPr="00C04179">
              <w:rPr>
                <w:rStyle w:val="Hyperlink"/>
                <w:rFonts w:ascii="Times New Roman" w:eastAsia="Calibri" w:hAnsi="Times New Roman" w:cs="Times New Roman"/>
                <w:b/>
                <w:noProof/>
                <w:sz w:val="24"/>
                <w:szCs w:val="24"/>
              </w:rPr>
              <w:t>3.9</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Ethical Considerations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40</w:t>
            </w:r>
            <w:r w:rsidRPr="00C04179">
              <w:rPr>
                <w:rFonts w:ascii="Times New Roman" w:hAnsi="Times New Roman" w:cs="Times New Roman"/>
                <w:noProof/>
                <w:webHidden/>
                <w:sz w:val="24"/>
                <w:szCs w:val="24"/>
              </w:rPr>
              <w:fldChar w:fldCharType="end"/>
            </w:r>
          </w:hyperlink>
        </w:p>
        <w:p w14:paraId="57F72BFA" w14:textId="115F7E26"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2" w:history="1">
            <w:r w:rsidRPr="00C04179">
              <w:rPr>
                <w:rStyle w:val="Hyperlink"/>
                <w:rFonts w:ascii="Times New Roman" w:eastAsia="Calibri" w:hAnsi="Times New Roman" w:cs="Times New Roman"/>
                <w:b/>
                <w:noProof/>
                <w:sz w:val="24"/>
                <w:szCs w:val="24"/>
              </w:rPr>
              <w:t>3.10</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Methodological Limitations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40</w:t>
            </w:r>
            <w:r w:rsidRPr="00C04179">
              <w:rPr>
                <w:rFonts w:ascii="Times New Roman" w:hAnsi="Times New Roman" w:cs="Times New Roman"/>
                <w:noProof/>
                <w:webHidden/>
                <w:sz w:val="24"/>
                <w:szCs w:val="24"/>
              </w:rPr>
              <w:fldChar w:fldCharType="end"/>
            </w:r>
          </w:hyperlink>
        </w:p>
        <w:p w14:paraId="405EE82B" w14:textId="0FD7E109"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3" w:history="1">
            <w:r w:rsidRPr="00C04179">
              <w:rPr>
                <w:rStyle w:val="Hyperlink"/>
                <w:rFonts w:ascii="Times New Roman" w:eastAsia="Calibri" w:hAnsi="Times New Roman" w:cs="Times New Roman"/>
                <w:b/>
                <w:noProof/>
                <w:sz w:val="24"/>
                <w:szCs w:val="24"/>
              </w:rPr>
              <w:t>3.11</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Summary of Chapter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40</w:t>
            </w:r>
            <w:r w:rsidRPr="00C04179">
              <w:rPr>
                <w:rFonts w:ascii="Times New Roman" w:hAnsi="Times New Roman" w:cs="Times New Roman"/>
                <w:noProof/>
                <w:webHidden/>
                <w:sz w:val="24"/>
                <w:szCs w:val="24"/>
              </w:rPr>
              <w:fldChar w:fldCharType="end"/>
            </w:r>
          </w:hyperlink>
        </w:p>
        <w:p w14:paraId="13FD8501" w14:textId="7A0C2F33"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44" w:history="1">
            <w:r w:rsidRPr="00C04179">
              <w:rPr>
                <w:rStyle w:val="Hyperlink"/>
                <w:rFonts w:ascii="Times New Roman" w:hAnsi="Times New Roman" w:cs="Times New Roman"/>
                <w:b/>
                <w:noProof/>
                <w:sz w:val="24"/>
                <w:szCs w:val="24"/>
              </w:rPr>
              <w:t>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DATA ANALYSIS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42</w:t>
            </w:r>
            <w:r w:rsidRPr="00C04179">
              <w:rPr>
                <w:rFonts w:ascii="Times New Roman" w:hAnsi="Times New Roman" w:cs="Times New Roman"/>
                <w:noProof/>
                <w:webHidden/>
                <w:sz w:val="24"/>
                <w:szCs w:val="24"/>
              </w:rPr>
              <w:fldChar w:fldCharType="end"/>
            </w:r>
          </w:hyperlink>
        </w:p>
        <w:p w14:paraId="7FE4207F" w14:textId="004282BA"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5" w:history="1">
            <w:r w:rsidRPr="00C04179">
              <w:rPr>
                <w:rStyle w:val="Hyperlink"/>
                <w:rFonts w:ascii="Times New Roman" w:hAnsi="Times New Roman" w:cs="Times New Roman"/>
                <w:b/>
                <w:noProof/>
                <w:sz w:val="24"/>
                <w:szCs w:val="24"/>
              </w:rPr>
              <w:t>4.1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Introduction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42</w:t>
            </w:r>
            <w:r w:rsidRPr="00C04179">
              <w:rPr>
                <w:rFonts w:ascii="Times New Roman" w:hAnsi="Times New Roman" w:cs="Times New Roman"/>
                <w:noProof/>
                <w:webHidden/>
                <w:sz w:val="24"/>
                <w:szCs w:val="24"/>
              </w:rPr>
              <w:fldChar w:fldCharType="end"/>
            </w:r>
          </w:hyperlink>
        </w:p>
        <w:p w14:paraId="6DBF9D9F" w14:textId="270FC196"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6" w:history="1">
            <w:r w:rsidRPr="00C04179">
              <w:rPr>
                <w:rStyle w:val="Hyperlink"/>
                <w:rFonts w:ascii="Times New Roman" w:hAnsi="Times New Roman" w:cs="Times New Roman"/>
                <w:b/>
                <w:noProof/>
                <w:sz w:val="24"/>
                <w:szCs w:val="24"/>
              </w:rPr>
              <w:t>4.2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42</w:t>
            </w:r>
            <w:r w:rsidRPr="00C04179">
              <w:rPr>
                <w:rFonts w:ascii="Times New Roman" w:hAnsi="Times New Roman" w:cs="Times New Roman"/>
                <w:noProof/>
                <w:webHidden/>
                <w:sz w:val="24"/>
                <w:szCs w:val="24"/>
              </w:rPr>
              <w:fldChar w:fldCharType="end"/>
            </w:r>
          </w:hyperlink>
        </w:p>
        <w:p w14:paraId="6B0ED5C5" w14:textId="66B564B8"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7" w:history="1">
            <w:r w:rsidRPr="00C04179">
              <w:rPr>
                <w:rStyle w:val="Hyperlink"/>
                <w:rFonts w:ascii="Times New Roman" w:hAnsi="Times New Roman" w:cs="Times New Roman"/>
                <w:b/>
                <w:noProof/>
                <w:sz w:val="24"/>
                <w:szCs w:val="24"/>
              </w:rPr>
              <w:t>4.3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Overview of the Document Analysis Method Process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43</w:t>
            </w:r>
            <w:r w:rsidRPr="00C04179">
              <w:rPr>
                <w:rFonts w:ascii="Times New Roman" w:hAnsi="Times New Roman" w:cs="Times New Roman"/>
                <w:noProof/>
                <w:webHidden/>
                <w:sz w:val="24"/>
                <w:szCs w:val="24"/>
              </w:rPr>
              <w:fldChar w:fldCharType="end"/>
            </w:r>
          </w:hyperlink>
        </w:p>
        <w:p w14:paraId="332BCDE5" w14:textId="083D9226"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8" w:history="1">
            <w:r w:rsidRPr="00C04179">
              <w:rPr>
                <w:rStyle w:val="Hyperlink"/>
                <w:rFonts w:ascii="Times New Roman" w:hAnsi="Times New Roman" w:cs="Times New Roman"/>
                <w:b/>
                <w:noProof/>
                <w:sz w:val="24"/>
                <w:szCs w:val="24"/>
              </w:rPr>
              <w:t>4.4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Presentation of Findings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44</w:t>
            </w:r>
            <w:r w:rsidRPr="00C04179">
              <w:rPr>
                <w:rFonts w:ascii="Times New Roman" w:hAnsi="Times New Roman" w:cs="Times New Roman"/>
                <w:noProof/>
                <w:webHidden/>
                <w:sz w:val="24"/>
                <w:szCs w:val="24"/>
              </w:rPr>
              <w:fldChar w:fldCharType="end"/>
            </w:r>
          </w:hyperlink>
        </w:p>
        <w:p w14:paraId="32869040" w14:textId="7A49764C"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49" w:history="1">
            <w:r w:rsidRPr="00C04179">
              <w:rPr>
                <w:rStyle w:val="Hyperlink"/>
                <w:rFonts w:ascii="Times New Roman" w:hAnsi="Times New Roman" w:cs="Times New Roman"/>
                <w:b/>
                <w:noProof/>
                <w:sz w:val="24"/>
                <w:szCs w:val="24"/>
              </w:rPr>
              <w:t>4.4.1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1: Digital transformation as a systemic and strategic process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44</w:t>
            </w:r>
            <w:r w:rsidRPr="00C04179">
              <w:rPr>
                <w:rFonts w:ascii="Times New Roman" w:hAnsi="Times New Roman" w:cs="Times New Roman"/>
                <w:noProof/>
                <w:webHidden/>
                <w:sz w:val="24"/>
                <w:szCs w:val="24"/>
              </w:rPr>
              <w:fldChar w:fldCharType="end"/>
            </w:r>
          </w:hyperlink>
        </w:p>
        <w:p w14:paraId="6F58BAB8" w14:textId="18FEF58D"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50" w:history="1">
            <w:r w:rsidRPr="00C04179">
              <w:rPr>
                <w:rStyle w:val="Hyperlink"/>
                <w:rFonts w:ascii="Times New Roman" w:hAnsi="Times New Roman" w:cs="Times New Roman"/>
                <w:b/>
                <w:noProof/>
                <w:sz w:val="24"/>
                <w:szCs w:val="24"/>
              </w:rPr>
              <w:t>4.4.2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2: Process optimization and operational efficiency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46</w:t>
            </w:r>
            <w:r w:rsidRPr="00C04179">
              <w:rPr>
                <w:rFonts w:ascii="Times New Roman" w:hAnsi="Times New Roman" w:cs="Times New Roman"/>
                <w:noProof/>
                <w:webHidden/>
                <w:sz w:val="24"/>
                <w:szCs w:val="24"/>
              </w:rPr>
              <w:fldChar w:fldCharType="end"/>
            </w:r>
          </w:hyperlink>
        </w:p>
        <w:p w14:paraId="3A000C05" w14:textId="462503EA"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51" w:history="1">
            <w:r w:rsidRPr="00C04179">
              <w:rPr>
                <w:rStyle w:val="Hyperlink"/>
                <w:rFonts w:ascii="Times New Roman" w:hAnsi="Times New Roman" w:cs="Times New Roman"/>
                <w:b/>
                <w:noProof/>
                <w:sz w:val="24"/>
                <w:szCs w:val="24"/>
              </w:rPr>
              <w:t>4.4.3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3: Technological advancement and innovation capability of organizations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47</w:t>
            </w:r>
            <w:r w:rsidRPr="00C04179">
              <w:rPr>
                <w:rFonts w:ascii="Times New Roman" w:hAnsi="Times New Roman" w:cs="Times New Roman"/>
                <w:noProof/>
                <w:webHidden/>
                <w:sz w:val="24"/>
                <w:szCs w:val="24"/>
              </w:rPr>
              <w:fldChar w:fldCharType="end"/>
            </w:r>
          </w:hyperlink>
        </w:p>
        <w:p w14:paraId="2ED9FA4D" w14:textId="21121860"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52" w:history="1">
            <w:r w:rsidRPr="00C04179">
              <w:rPr>
                <w:rStyle w:val="Hyperlink"/>
                <w:rFonts w:ascii="Times New Roman" w:hAnsi="Times New Roman" w:cs="Times New Roman"/>
                <w:b/>
                <w:noProof/>
                <w:sz w:val="24"/>
                <w:szCs w:val="24"/>
              </w:rPr>
              <w:t>4.4.4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4: Cultural system and organizational transformation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48</w:t>
            </w:r>
            <w:r w:rsidRPr="00C04179">
              <w:rPr>
                <w:rFonts w:ascii="Times New Roman" w:hAnsi="Times New Roman" w:cs="Times New Roman"/>
                <w:noProof/>
                <w:webHidden/>
                <w:sz w:val="24"/>
                <w:szCs w:val="24"/>
              </w:rPr>
              <w:fldChar w:fldCharType="end"/>
            </w:r>
          </w:hyperlink>
        </w:p>
        <w:p w14:paraId="7B6437AE" w14:textId="1ADE119A"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53" w:history="1">
            <w:r w:rsidRPr="00C04179">
              <w:rPr>
                <w:rStyle w:val="Hyperlink"/>
                <w:rFonts w:ascii="Times New Roman" w:hAnsi="Times New Roman" w:cs="Times New Roman"/>
                <w:b/>
                <w:noProof/>
                <w:sz w:val="24"/>
                <w:szCs w:val="24"/>
              </w:rPr>
              <w:t>4.4.5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5: Ecosystem integration and data-based decision-making</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50</w:t>
            </w:r>
            <w:r w:rsidRPr="00C04179">
              <w:rPr>
                <w:rFonts w:ascii="Times New Roman" w:hAnsi="Times New Roman" w:cs="Times New Roman"/>
                <w:noProof/>
                <w:webHidden/>
                <w:sz w:val="24"/>
                <w:szCs w:val="24"/>
              </w:rPr>
              <w:fldChar w:fldCharType="end"/>
            </w:r>
          </w:hyperlink>
        </w:p>
        <w:p w14:paraId="4EB91B00" w14:textId="642A9129"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4" w:history="1">
            <w:r w:rsidRPr="00C04179">
              <w:rPr>
                <w:rStyle w:val="Hyperlink"/>
                <w:rFonts w:ascii="Times New Roman" w:hAnsi="Times New Roman" w:cs="Times New Roman"/>
                <w:b/>
                <w:noProof/>
                <w:sz w:val="24"/>
                <w:szCs w:val="24"/>
              </w:rPr>
              <w:t>4.5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Summary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51</w:t>
            </w:r>
            <w:r w:rsidRPr="00C04179">
              <w:rPr>
                <w:rFonts w:ascii="Times New Roman" w:hAnsi="Times New Roman" w:cs="Times New Roman"/>
                <w:noProof/>
                <w:webHidden/>
                <w:sz w:val="24"/>
                <w:szCs w:val="24"/>
              </w:rPr>
              <w:fldChar w:fldCharType="end"/>
            </w:r>
          </w:hyperlink>
        </w:p>
        <w:p w14:paraId="2E4DB487" w14:textId="6CC13064"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5" w:history="1">
            <w:r w:rsidRPr="00C04179">
              <w:rPr>
                <w:rStyle w:val="Hyperlink"/>
                <w:rFonts w:ascii="Times New Roman" w:hAnsi="Times New Roman" w:cs="Times New Roman"/>
                <w:b/>
                <w:noProof/>
                <w:sz w:val="24"/>
                <w:szCs w:val="24"/>
              </w:rPr>
              <w:t>4.6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Synthesis of the Findings with the 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51</w:t>
            </w:r>
            <w:r w:rsidRPr="00C04179">
              <w:rPr>
                <w:rFonts w:ascii="Times New Roman" w:hAnsi="Times New Roman" w:cs="Times New Roman"/>
                <w:noProof/>
                <w:webHidden/>
                <w:sz w:val="24"/>
                <w:szCs w:val="24"/>
              </w:rPr>
              <w:fldChar w:fldCharType="end"/>
            </w:r>
          </w:hyperlink>
        </w:p>
        <w:p w14:paraId="76137D99" w14:textId="6DF71F2E"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6" w:history="1">
            <w:r w:rsidRPr="00C04179">
              <w:rPr>
                <w:rStyle w:val="Hyperlink"/>
                <w:rFonts w:ascii="Times New Roman" w:hAnsi="Times New Roman" w:cs="Times New Roman"/>
                <w:b/>
                <w:noProof/>
                <w:sz w:val="24"/>
                <w:szCs w:val="24"/>
                <w:lang w:val="en-GB"/>
              </w:rPr>
              <w:t>4.7</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Limitations of the Data Analysis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54</w:t>
            </w:r>
            <w:r w:rsidRPr="00C04179">
              <w:rPr>
                <w:rFonts w:ascii="Times New Roman" w:hAnsi="Times New Roman" w:cs="Times New Roman"/>
                <w:noProof/>
                <w:webHidden/>
                <w:sz w:val="24"/>
                <w:szCs w:val="24"/>
              </w:rPr>
              <w:fldChar w:fldCharType="end"/>
            </w:r>
          </w:hyperlink>
        </w:p>
        <w:p w14:paraId="64C65FA0" w14:textId="5411DA45"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7" w:history="1">
            <w:r w:rsidRPr="00C04179">
              <w:rPr>
                <w:rStyle w:val="Hyperlink"/>
                <w:rFonts w:ascii="Times New Roman" w:hAnsi="Times New Roman" w:cs="Times New Roman"/>
                <w:b/>
                <w:noProof/>
                <w:sz w:val="24"/>
                <w:szCs w:val="24"/>
                <w:lang w:val="en-GB"/>
              </w:rPr>
              <w:t>4.8</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Summary of Chapter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54</w:t>
            </w:r>
            <w:r w:rsidRPr="00C04179">
              <w:rPr>
                <w:rFonts w:ascii="Times New Roman" w:hAnsi="Times New Roman" w:cs="Times New Roman"/>
                <w:noProof/>
                <w:webHidden/>
                <w:sz w:val="24"/>
                <w:szCs w:val="24"/>
              </w:rPr>
              <w:fldChar w:fldCharType="end"/>
            </w:r>
          </w:hyperlink>
        </w:p>
        <w:p w14:paraId="294F5F82" w14:textId="32C87B49"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58" w:history="1">
            <w:r w:rsidRPr="00C04179">
              <w:rPr>
                <w:rStyle w:val="Hyperlink"/>
                <w:rFonts w:ascii="Times New Roman" w:hAnsi="Times New Roman" w:cs="Times New Roman"/>
                <w:b/>
                <w:noProof/>
                <w:sz w:val="24"/>
                <w:szCs w:val="24"/>
              </w:rPr>
              <w:t>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CONCLUSIONS AND RECOMMENDATIONS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55</w:t>
            </w:r>
            <w:r w:rsidRPr="00C04179">
              <w:rPr>
                <w:rFonts w:ascii="Times New Roman" w:hAnsi="Times New Roman" w:cs="Times New Roman"/>
                <w:noProof/>
                <w:webHidden/>
                <w:sz w:val="24"/>
                <w:szCs w:val="24"/>
              </w:rPr>
              <w:fldChar w:fldCharType="end"/>
            </w:r>
          </w:hyperlink>
        </w:p>
        <w:p w14:paraId="650FC4A8" w14:textId="4B97188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9" w:history="1">
            <w:r w:rsidRPr="00C04179">
              <w:rPr>
                <w:rStyle w:val="Hyperlink"/>
                <w:rFonts w:ascii="Times New Roman" w:hAnsi="Times New Roman" w:cs="Times New Roman"/>
                <w:b/>
                <w:noProof/>
                <w:sz w:val="24"/>
                <w:szCs w:val="24"/>
                <w:lang w:val="en-GB"/>
              </w:rPr>
              <w:t>5.1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Introduction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55</w:t>
            </w:r>
            <w:r w:rsidRPr="00C04179">
              <w:rPr>
                <w:rFonts w:ascii="Times New Roman" w:hAnsi="Times New Roman" w:cs="Times New Roman"/>
                <w:noProof/>
                <w:webHidden/>
                <w:sz w:val="24"/>
                <w:szCs w:val="24"/>
              </w:rPr>
              <w:fldChar w:fldCharType="end"/>
            </w:r>
          </w:hyperlink>
        </w:p>
        <w:p w14:paraId="28F85758" w14:textId="76DC5AB6"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0" w:history="1">
            <w:r w:rsidRPr="00C04179">
              <w:rPr>
                <w:rStyle w:val="Hyperlink"/>
                <w:rFonts w:ascii="Times New Roman" w:hAnsi="Times New Roman" w:cs="Times New Roman"/>
                <w:b/>
                <w:noProof/>
                <w:sz w:val="24"/>
                <w:szCs w:val="24"/>
                <w:lang w:val="en-GB"/>
              </w:rPr>
              <w:t>5.2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Summary of Key Findings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56</w:t>
            </w:r>
            <w:r w:rsidRPr="00C04179">
              <w:rPr>
                <w:rFonts w:ascii="Times New Roman" w:hAnsi="Times New Roman" w:cs="Times New Roman"/>
                <w:noProof/>
                <w:webHidden/>
                <w:sz w:val="24"/>
                <w:szCs w:val="24"/>
              </w:rPr>
              <w:fldChar w:fldCharType="end"/>
            </w:r>
          </w:hyperlink>
        </w:p>
        <w:p w14:paraId="5A3B9D8A" w14:textId="53213F72"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1" w:history="1">
            <w:r w:rsidRPr="00C04179">
              <w:rPr>
                <w:rStyle w:val="Hyperlink"/>
                <w:rFonts w:ascii="Times New Roman" w:hAnsi="Times New Roman" w:cs="Times New Roman"/>
                <w:b/>
                <w:noProof/>
                <w:sz w:val="24"/>
                <w:szCs w:val="24"/>
                <w:lang w:val="en-GB"/>
              </w:rPr>
              <w:t>5.3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Addressing the 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57</w:t>
            </w:r>
            <w:r w:rsidRPr="00C04179">
              <w:rPr>
                <w:rFonts w:ascii="Times New Roman" w:hAnsi="Times New Roman" w:cs="Times New Roman"/>
                <w:noProof/>
                <w:webHidden/>
                <w:sz w:val="24"/>
                <w:szCs w:val="24"/>
              </w:rPr>
              <w:fldChar w:fldCharType="end"/>
            </w:r>
          </w:hyperlink>
        </w:p>
        <w:p w14:paraId="3C17976B" w14:textId="085E2C7A"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2" w:history="1">
            <w:r w:rsidRPr="00C04179">
              <w:rPr>
                <w:rStyle w:val="Hyperlink"/>
                <w:rFonts w:ascii="Times New Roman" w:hAnsi="Times New Roman" w:cs="Times New Roman"/>
                <w:b/>
                <w:noProof/>
                <w:sz w:val="24"/>
                <w:szCs w:val="24"/>
                <w:lang w:val="en-GB"/>
              </w:rPr>
              <w:t>5.4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Theoretical Implications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57</w:t>
            </w:r>
            <w:r w:rsidRPr="00C04179">
              <w:rPr>
                <w:rFonts w:ascii="Times New Roman" w:hAnsi="Times New Roman" w:cs="Times New Roman"/>
                <w:noProof/>
                <w:webHidden/>
                <w:sz w:val="24"/>
                <w:szCs w:val="24"/>
              </w:rPr>
              <w:fldChar w:fldCharType="end"/>
            </w:r>
          </w:hyperlink>
        </w:p>
        <w:p w14:paraId="7018A701" w14:textId="7A707033"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3" w:history="1">
            <w:r w:rsidRPr="00C04179">
              <w:rPr>
                <w:rStyle w:val="Hyperlink"/>
                <w:rFonts w:ascii="Times New Roman" w:hAnsi="Times New Roman" w:cs="Times New Roman"/>
                <w:b/>
                <w:noProof/>
                <w:sz w:val="24"/>
                <w:szCs w:val="24"/>
                <w:lang w:val="en-GB"/>
              </w:rPr>
              <w:t>5.5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Study Limitations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58</w:t>
            </w:r>
            <w:r w:rsidRPr="00C04179">
              <w:rPr>
                <w:rFonts w:ascii="Times New Roman" w:hAnsi="Times New Roman" w:cs="Times New Roman"/>
                <w:noProof/>
                <w:webHidden/>
                <w:sz w:val="24"/>
                <w:szCs w:val="24"/>
              </w:rPr>
              <w:fldChar w:fldCharType="end"/>
            </w:r>
          </w:hyperlink>
        </w:p>
        <w:p w14:paraId="7CCBC7F9" w14:textId="23CAEBE8"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4" w:history="1">
            <w:r w:rsidRPr="00C04179">
              <w:rPr>
                <w:rStyle w:val="Hyperlink"/>
                <w:rFonts w:ascii="Times New Roman" w:hAnsi="Times New Roman" w:cs="Times New Roman"/>
                <w:b/>
                <w:noProof/>
                <w:sz w:val="24"/>
                <w:szCs w:val="24"/>
                <w:lang w:val="en-GB"/>
              </w:rPr>
              <w:t>5.6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Managerial and Practical Recommendations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59</w:t>
            </w:r>
            <w:r w:rsidRPr="00C04179">
              <w:rPr>
                <w:rFonts w:ascii="Times New Roman" w:hAnsi="Times New Roman" w:cs="Times New Roman"/>
                <w:noProof/>
                <w:webHidden/>
                <w:sz w:val="24"/>
                <w:szCs w:val="24"/>
              </w:rPr>
              <w:fldChar w:fldCharType="end"/>
            </w:r>
          </w:hyperlink>
        </w:p>
        <w:p w14:paraId="30C389FA" w14:textId="1F00E729"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5" w:history="1">
            <w:r w:rsidRPr="00C04179">
              <w:rPr>
                <w:rStyle w:val="Hyperlink"/>
                <w:rFonts w:ascii="Times New Roman" w:hAnsi="Times New Roman" w:cs="Times New Roman"/>
                <w:b/>
                <w:noProof/>
                <w:sz w:val="24"/>
                <w:szCs w:val="24"/>
              </w:rPr>
              <w:t>5.7</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Alignment of Digital Transformation with Ethical and Regulatory Considerations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62</w:t>
            </w:r>
            <w:r w:rsidRPr="00C04179">
              <w:rPr>
                <w:rFonts w:ascii="Times New Roman" w:hAnsi="Times New Roman" w:cs="Times New Roman"/>
                <w:noProof/>
                <w:webHidden/>
                <w:sz w:val="24"/>
                <w:szCs w:val="24"/>
              </w:rPr>
              <w:fldChar w:fldCharType="end"/>
            </w:r>
          </w:hyperlink>
        </w:p>
        <w:p w14:paraId="589112A9" w14:textId="740135CB"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6" w:history="1">
            <w:r w:rsidRPr="00C04179">
              <w:rPr>
                <w:rStyle w:val="Hyperlink"/>
                <w:rFonts w:ascii="Times New Roman" w:hAnsi="Times New Roman" w:cs="Times New Roman"/>
                <w:b/>
                <w:noProof/>
                <w:sz w:val="24"/>
                <w:szCs w:val="24"/>
              </w:rPr>
              <w:t>5.8</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Contribution to the body of Knowledge and Addressing Literature Gap</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63</w:t>
            </w:r>
            <w:r w:rsidRPr="00C04179">
              <w:rPr>
                <w:rFonts w:ascii="Times New Roman" w:hAnsi="Times New Roman" w:cs="Times New Roman"/>
                <w:noProof/>
                <w:webHidden/>
                <w:sz w:val="24"/>
                <w:szCs w:val="24"/>
              </w:rPr>
              <w:fldChar w:fldCharType="end"/>
            </w:r>
          </w:hyperlink>
        </w:p>
        <w:p w14:paraId="5085CB3D" w14:textId="02397D5B"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7" w:history="1">
            <w:r w:rsidRPr="00C04179">
              <w:rPr>
                <w:rStyle w:val="Hyperlink"/>
                <w:rFonts w:ascii="Times New Roman" w:hAnsi="Times New Roman" w:cs="Times New Roman"/>
                <w:b/>
                <w:noProof/>
                <w:sz w:val="24"/>
                <w:szCs w:val="24"/>
              </w:rPr>
              <w:t>5.9</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Directions for Future Research</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65</w:t>
            </w:r>
            <w:r w:rsidRPr="00C04179">
              <w:rPr>
                <w:rFonts w:ascii="Times New Roman" w:hAnsi="Times New Roman" w:cs="Times New Roman"/>
                <w:noProof/>
                <w:webHidden/>
                <w:sz w:val="24"/>
                <w:szCs w:val="24"/>
              </w:rPr>
              <w:fldChar w:fldCharType="end"/>
            </w:r>
          </w:hyperlink>
        </w:p>
        <w:p w14:paraId="37D2C7F1" w14:textId="268E29E8"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8" w:history="1">
            <w:r w:rsidRPr="00C04179">
              <w:rPr>
                <w:rStyle w:val="Hyperlink"/>
                <w:rFonts w:ascii="Times New Roman" w:hAnsi="Times New Roman" w:cs="Times New Roman"/>
                <w:b/>
                <w:noProof/>
                <w:sz w:val="24"/>
                <w:szCs w:val="24"/>
              </w:rPr>
              <w:t>5.10</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Final Reflection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65</w:t>
            </w:r>
            <w:r w:rsidRPr="00C04179">
              <w:rPr>
                <w:rFonts w:ascii="Times New Roman" w:hAnsi="Times New Roman" w:cs="Times New Roman"/>
                <w:noProof/>
                <w:webHidden/>
                <w:sz w:val="24"/>
                <w:szCs w:val="24"/>
              </w:rPr>
              <w:fldChar w:fldCharType="end"/>
            </w:r>
          </w:hyperlink>
        </w:p>
        <w:p w14:paraId="2C4D27CB" w14:textId="35595126"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69" w:history="1">
            <w:r w:rsidRPr="00C04179">
              <w:rPr>
                <w:rStyle w:val="Hyperlink"/>
                <w:rFonts w:ascii="Times New Roman" w:hAnsi="Times New Roman" w:cs="Times New Roman"/>
                <w:b/>
                <w:noProof/>
                <w:sz w:val="24"/>
                <w:szCs w:val="24"/>
              </w:rPr>
              <w:t>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References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67</w:t>
            </w:r>
            <w:r w:rsidRPr="00C04179">
              <w:rPr>
                <w:rFonts w:ascii="Times New Roman" w:hAnsi="Times New Roman" w:cs="Times New Roman"/>
                <w:noProof/>
                <w:webHidden/>
                <w:sz w:val="24"/>
                <w:szCs w:val="24"/>
              </w:rPr>
              <w:fldChar w:fldCharType="end"/>
            </w:r>
          </w:hyperlink>
        </w:p>
        <w:p w14:paraId="775DE4B2" w14:textId="799E41B1" w:rsidR="00FC2704" w:rsidRPr="00C04179" w:rsidRDefault="00FC2704" w:rsidP="00C21670">
          <w:pPr>
            <w:jc w:val="both"/>
            <w:rPr>
              <w:rFonts w:ascii="Times New Roman" w:hAnsi="Times New Roman" w:cs="Times New Roman"/>
              <w:sz w:val="24"/>
              <w:szCs w:val="24"/>
            </w:rPr>
          </w:pPr>
          <w:r w:rsidRPr="00C04179">
            <w:rPr>
              <w:rFonts w:ascii="Times New Roman" w:hAnsi="Times New Roman" w:cs="Times New Roman"/>
              <w:b/>
              <w:bCs/>
              <w:noProof/>
              <w:sz w:val="24"/>
              <w:szCs w:val="24"/>
            </w:rPr>
            <w:fldChar w:fldCharType="end"/>
          </w:r>
        </w:p>
      </w:sdtContent>
    </w:sdt>
    <w:p w14:paraId="03482A1C" w14:textId="77777777" w:rsidR="00722CC5" w:rsidRPr="00C04179" w:rsidRDefault="00722CC5" w:rsidP="00C21670">
      <w:pPr>
        <w:spacing w:line="480" w:lineRule="auto"/>
        <w:jc w:val="both"/>
        <w:rPr>
          <w:rFonts w:ascii="Times New Roman" w:hAnsi="Times New Roman" w:cs="Times New Roman"/>
          <w:b/>
          <w:sz w:val="24"/>
          <w:szCs w:val="24"/>
        </w:rPr>
      </w:pPr>
    </w:p>
    <w:p w14:paraId="0A692CE6" w14:textId="50687EB0" w:rsidR="00422665" w:rsidRPr="00C04179" w:rsidRDefault="00422665" w:rsidP="00C21670">
      <w:pPr>
        <w:spacing w:line="480" w:lineRule="auto"/>
        <w:jc w:val="both"/>
        <w:rPr>
          <w:rFonts w:ascii="Times New Roman" w:hAnsi="Times New Roman" w:cs="Times New Roman"/>
          <w:sz w:val="24"/>
          <w:szCs w:val="24"/>
        </w:rPr>
      </w:pPr>
    </w:p>
    <w:p w14:paraId="53D0FB5B" w14:textId="32180F6D"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674706BD" w14:textId="77777777" w:rsidR="00422665" w:rsidRPr="00C04179" w:rsidRDefault="00422665" w:rsidP="00C21670">
      <w:pPr>
        <w:pStyle w:val="Heading1"/>
        <w:numPr>
          <w:ilvl w:val="0"/>
          <w:numId w:val="0"/>
        </w:numPr>
        <w:ind w:left="432" w:hanging="432"/>
        <w:jc w:val="both"/>
        <w:rPr>
          <w:rFonts w:ascii="Times New Roman" w:hAnsi="Times New Roman" w:cs="Times New Roman"/>
          <w:b/>
          <w:color w:val="auto"/>
          <w:sz w:val="24"/>
          <w:szCs w:val="24"/>
        </w:rPr>
      </w:pPr>
      <w:bookmarkStart w:id="3" w:name="_Toc220925400"/>
      <w:r w:rsidRPr="00C04179">
        <w:rPr>
          <w:rFonts w:ascii="Times New Roman" w:hAnsi="Times New Roman" w:cs="Times New Roman"/>
          <w:b/>
          <w:color w:val="auto"/>
          <w:sz w:val="24"/>
          <w:szCs w:val="24"/>
        </w:rPr>
        <w:lastRenderedPageBreak/>
        <w:t>INTRODUCTION</w:t>
      </w:r>
      <w:bookmarkEnd w:id="3"/>
    </w:p>
    <w:p w14:paraId="2ADA7E3E" w14:textId="77777777" w:rsidR="00422665" w:rsidRPr="00C04179" w:rsidRDefault="00422665" w:rsidP="00C21670">
      <w:pPr>
        <w:pStyle w:val="Heading2"/>
        <w:jc w:val="both"/>
        <w:rPr>
          <w:rFonts w:ascii="Times New Roman" w:hAnsi="Times New Roman" w:cs="Times New Roman"/>
          <w:b/>
          <w:color w:val="auto"/>
          <w:sz w:val="24"/>
          <w:szCs w:val="24"/>
        </w:rPr>
      </w:pPr>
      <w:bookmarkStart w:id="4" w:name="_Toc220925401"/>
      <w:r w:rsidRPr="00C04179">
        <w:rPr>
          <w:rFonts w:ascii="Times New Roman" w:hAnsi="Times New Roman" w:cs="Times New Roman"/>
          <w:b/>
          <w:color w:val="auto"/>
          <w:sz w:val="24"/>
          <w:szCs w:val="24"/>
        </w:rPr>
        <w:t>Background</w:t>
      </w:r>
      <w:bookmarkEnd w:id="4"/>
      <w:r w:rsidRPr="00C04179">
        <w:rPr>
          <w:rFonts w:ascii="Times New Roman" w:hAnsi="Times New Roman" w:cs="Times New Roman"/>
          <w:b/>
          <w:color w:val="auto"/>
          <w:sz w:val="24"/>
          <w:szCs w:val="24"/>
        </w:rPr>
        <w:t xml:space="preserve"> </w:t>
      </w:r>
    </w:p>
    <w:p w14:paraId="55055306" w14:textId="6FED55EF" w:rsidR="00621744" w:rsidRPr="00C04179" w:rsidRDefault="00621744"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automotive sector remains a cornerstone of Europe's economy, contributing over 7% to EU GDP and supporting approximately 13.8 million direct and indirect jobs, which is equivalent to about 6.1% of total employment (European Commission, 2025). As a major private R&amp;D investor and exporter, it drives innovation and prosperity across integrated value chains. Yet, this vital industry now confronts unprecedented digital disruption from AI, IoT, electrification, and connected mobility, which are fundamentally reshaping value chains, business models, and competitive dynamics (Llopis-Albert et al., 2021). Amid accelerating global shifts, including China's rapid EV dominance and risks of up to €370–440 billion in value added at stake by 2035 from uneven transitions (Song et al., 2025)</w:t>
      </w:r>
      <w:r w:rsidR="00C94B61" w:rsidRPr="00C04179">
        <w:rPr>
          <w:rFonts w:ascii="Times New Roman" w:hAnsi="Times New Roman" w:cs="Times New Roman"/>
          <w:sz w:val="24"/>
          <w:szCs w:val="24"/>
        </w:rPr>
        <w:t>.</w:t>
      </w:r>
      <w:r w:rsidRPr="00C04179">
        <w:rPr>
          <w:rFonts w:ascii="Times New Roman" w:hAnsi="Times New Roman" w:cs="Times New Roman"/>
          <w:sz w:val="24"/>
          <w:szCs w:val="24"/>
        </w:rPr>
        <w:t xml:space="preserve"> </w:t>
      </w:r>
      <w:r w:rsidR="00C94B61" w:rsidRPr="00C04179">
        <w:rPr>
          <w:rFonts w:ascii="Times New Roman" w:hAnsi="Times New Roman" w:cs="Times New Roman"/>
          <w:sz w:val="24"/>
          <w:szCs w:val="24"/>
        </w:rPr>
        <w:t>While big original equipment manufacturers (OEMs) invest substantially in digital strategies, small and medium businesses (SMEs) and peripheral locations (less developed areas/countries) are lagging behind significantly that they might not be included in global innovation ecosystems.</w:t>
      </w:r>
    </w:p>
    <w:p w14:paraId="1B29D47C" w14:textId="2DABC53B" w:rsidR="0042266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Although the literature on DT drivers has increased, there are still significant gaps in the </w:t>
      </w:r>
      <w:r w:rsidR="00964A59" w:rsidRPr="00C04179">
        <w:rPr>
          <w:rFonts w:ascii="Times New Roman" w:hAnsi="Times New Roman" w:cs="Times New Roman"/>
          <w:sz w:val="24"/>
          <w:szCs w:val="24"/>
        </w:rPr>
        <w:t>understanding</w:t>
      </w:r>
      <w:r w:rsidRPr="00C04179">
        <w:rPr>
          <w:rFonts w:ascii="Times New Roman" w:hAnsi="Times New Roman" w:cs="Times New Roman"/>
          <w:sz w:val="24"/>
          <w:szCs w:val="24"/>
        </w:rPr>
        <w:t xml:space="preserve"> of the issues related to the implementation, disparities in different regions, and the impact of data access models on the formation of competition. As such this study reviews the strategies of digital transformation in the automotive industry by performing a qualitative analysis of the available case studies that were published between 2018 and 2025.  The study aims to identify the prevalent strategies, analyze obstacles in SMEs and peripheral areas, and determine the role of the availability of data and innovation ecosystems in competition. By employing thematic analysis of selected secondary data, the study will make practical recommendations to inform inclusive and sustainable DT. </w:t>
      </w:r>
    </w:p>
    <w:p w14:paraId="2EC96939" w14:textId="77777777" w:rsidR="00422665" w:rsidRPr="00C04179" w:rsidRDefault="00422665" w:rsidP="00C21670">
      <w:pPr>
        <w:pStyle w:val="Heading2"/>
        <w:jc w:val="both"/>
        <w:rPr>
          <w:rFonts w:ascii="Times New Roman" w:hAnsi="Times New Roman" w:cs="Times New Roman"/>
          <w:b/>
          <w:color w:val="auto"/>
          <w:sz w:val="24"/>
          <w:szCs w:val="24"/>
        </w:rPr>
      </w:pPr>
      <w:bookmarkStart w:id="5" w:name="_Toc220925402"/>
      <w:r w:rsidRPr="00C04179">
        <w:rPr>
          <w:rFonts w:ascii="Times New Roman" w:hAnsi="Times New Roman" w:cs="Times New Roman"/>
          <w:b/>
          <w:color w:val="auto"/>
          <w:sz w:val="24"/>
          <w:szCs w:val="24"/>
        </w:rPr>
        <w:lastRenderedPageBreak/>
        <w:t>Problem Statement</w:t>
      </w:r>
      <w:bookmarkEnd w:id="5"/>
    </w:p>
    <w:p w14:paraId="4E70F1B6" w14:textId="77777777" w:rsidR="00BA789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automotive industry, rooted in assembly-line models since the late 19th century, faces significant threats from digital disruption. Key technologies like AI, IoT, electrification, and connected mobility are altering established processes, </w:t>
      </w:r>
      <w:r w:rsidR="00D4453C" w:rsidRPr="00C04179">
        <w:rPr>
          <w:rFonts w:ascii="Times New Roman" w:hAnsi="Times New Roman" w:cs="Times New Roman"/>
          <w:sz w:val="24"/>
          <w:szCs w:val="24"/>
        </w:rPr>
        <w:t xml:space="preserve">yet </w:t>
      </w:r>
      <w:r w:rsidRPr="00C04179">
        <w:rPr>
          <w:rFonts w:ascii="Times New Roman" w:hAnsi="Times New Roman" w:cs="Times New Roman"/>
          <w:sz w:val="24"/>
          <w:szCs w:val="24"/>
        </w:rPr>
        <w:t>adoption in the automotive industry is uneven. Large OEMs dominate DT initiatives, while SMEs and peripheral regions struggle with resource constraints, legacy systems, and limited access to innovation ecosystems, potentially leading to exclusion from global value chains (Silvestri, and Zirpoli, 2025). Existing literature highlights drivers of DT but lacks depth in addressing implementation barriers, regional inequalities, employment shifts, data monopolies, and post-pandemic effects. This uneven transformation risks widening economic divides, increasing cybersecurity vulnerabilities, polarizing skills and wages, and stifling competition, particularly in the aftermarket and among non-OEM players.</w:t>
      </w:r>
      <w:r w:rsidR="00BA7895" w:rsidRPr="00C04179">
        <w:rPr>
          <w:rFonts w:ascii="Times New Roman" w:hAnsi="Times New Roman" w:cs="Times New Roman"/>
          <w:sz w:val="24"/>
          <w:szCs w:val="24"/>
        </w:rPr>
        <w:t xml:space="preserve"> </w:t>
      </w:r>
    </w:p>
    <w:p w14:paraId="0D007247" w14:textId="3472AAC4" w:rsidR="00BA7895" w:rsidRPr="00CA4F9F" w:rsidRDefault="00BA7895" w:rsidP="00C21670">
      <w:pPr>
        <w:spacing w:after="0" w:line="480" w:lineRule="auto"/>
        <w:ind w:firstLine="720"/>
        <w:jc w:val="both"/>
        <w:rPr>
          <w:rFonts w:ascii="Times New Roman" w:hAnsi="Times New Roman" w:cs="Times New Roman"/>
          <w:sz w:val="24"/>
          <w:szCs w:val="24"/>
        </w:rPr>
      </w:pPr>
      <w:r w:rsidRPr="00CA4F9F">
        <w:rPr>
          <w:rFonts w:ascii="Times New Roman" w:hAnsi="Times New Roman" w:cs="Times New Roman"/>
          <w:sz w:val="24"/>
          <w:szCs w:val="24"/>
        </w:rPr>
        <w:t>This uneven adoption</w:t>
      </w:r>
      <w:r w:rsidRPr="00C04179">
        <w:rPr>
          <w:rFonts w:ascii="Times New Roman" w:hAnsi="Times New Roman" w:cs="Times New Roman"/>
          <w:sz w:val="24"/>
          <w:szCs w:val="24"/>
        </w:rPr>
        <w:t xml:space="preserve"> further</w:t>
      </w:r>
      <w:r w:rsidRPr="00CA4F9F">
        <w:rPr>
          <w:rFonts w:ascii="Times New Roman" w:hAnsi="Times New Roman" w:cs="Times New Roman"/>
          <w:sz w:val="24"/>
          <w:szCs w:val="24"/>
        </w:rPr>
        <w:t xml:space="preserve"> creates real power imbalances in the automotive industry. While many experts describe digital transformation as a way to bring efficiency and new ideas to everyone, the reality is different</w:t>
      </w:r>
      <w:r w:rsidR="00FE2575" w:rsidRPr="00C04179">
        <w:rPr>
          <w:rFonts w:ascii="Times New Roman" w:hAnsi="Times New Roman" w:cs="Times New Roman"/>
          <w:sz w:val="24"/>
          <w:szCs w:val="24"/>
        </w:rPr>
        <w:t xml:space="preserve"> (Braidy, Pokharel, and ElMekkawy, 2025)</w:t>
      </w:r>
      <w:r w:rsidRPr="00CA4F9F">
        <w:rPr>
          <w:rFonts w:ascii="Times New Roman" w:hAnsi="Times New Roman" w:cs="Times New Roman"/>
          <w:sz w:val="24"/>
          <w:szCs w:val="24"/>
        </w:rPr>
        <w:t>. Large OEMs use their money and control over data to stay dominant and block others from key technologies like AI tools and connected systems. This makes digital change feel unfair rather than helpful for all. It also creates risks</w:t>
      </w:r>
      <w:r w:rsidRPr="00C04179">
        <w:rPr>
          <w:rFonts w:ascii="Times New Roman" w:hAnsi="Times New Roman" w:cs="Times New Roman"/>
          <w:sz w:val="24"/>
          <w:szCs w:val="24"/>
        </w:rPr>
        <w:t xml:space="preserve"> such as </w:t>
      </w:r>
      <w:r w:rsidRPr="00CA4F9F">
        <w:rPr>
          <w:rFonts w:ascii="Times New Roman" w:hAnsi="Times New Roman" w:cs="Times New Roman"/>
          <w:sz w:val="24"/>
          <w:szCs w:val="24"/>
        </w:rPr>
        <w:t>stronger cybersecurity threats from connected supply chains, job losses or outdated skills in weaker areas, and slower recovery after the pandemic due to poor infrastructure. The existing research often ignores how these problems affect different groups</w:t>
      </w:r>
      <w:r w:rsidRPr="00C04179">
        <w:rPr>
          <w:rFonts w:ascii="Times New Roman" w:hAnsi="Times New Roman" w:cs="Times New Roman"/>
          <w:sz w:val="24"/>
          <w:szCs w:val="24"/>
        </w:rPr>
        <w:t xml:space="preserve">, </w:t>
      </w:r>
      <w:r w:rsidR="00FE2575" w:rsidRPr="00C04179">
        <w:rPr>
          <w:rFonts w:ascii="Times New Roman" w:hAnsi="Times New Roman" w:cs="Times New Roman"/>
          <w:sz w:val="24"/>
          <w:szCs w:val="24"/>
        </w:rPr>
        <w:t>including</w:t>
      </w:r>
      <w:r w:rsidRPr="00CA4F9F">
        <w:rPr>
          <w:rFonts w:ascii="Times New Roman" w:hAnsi="Times New Roman" w:cs="Times New Roman"/>
          <w:sz w:val="24"/>
          <w:szCs w:val="24"/>
        </w:rPr>
        <w:t xml:space="preserve"> regions far from main hubs</w:t>
      </w:r>
      <w:r w:rsidR="00FE2575" w:rsidRPr="00C04179">
        <w:rPr>
          <w:rFonts w:ascii="Times New Roman" w:hAnsi="Times New Roman" w:cs="Times New Roman"/>
          <w:sz w:val="24"/>
          <w:szCs w:val="24"/>
        </w:rPr>
        <w:t xml:space="preserve">, </w:t>
      </w:r>
      <w:r w:rsidRPr="00CA4F9F">
        <w:rPr>
          <w:rFonts w:ascii="Times New Roman" w:hAnsi="Times New Roman" w:cs="Times New Roman"/>
          <w:sz w:val="24"/>
          <w:szCs w:val="24"/>
        </w:rPr>
        <w:t>and how they can lead to a divided industry where only big companies in strong economies benefit, while others fall behind and the whole sector loses its ability to compete globally in a fair way.</w:t>
      </w:r>
    </w:p>
    <w:p w14:paraId="7FD670D1" w14:textId="39C5E268" w:rsidR="00422665" w:rsidRPr="00C04179" w:rsidRDefault="00422665" w:rsidP="00C21670">
      <w:pPr>
        <w:spacing w:after="0" w:line="480" w:lineRule="auto"/>
        <w:ind w:firstLine="720"/>
        <w:jc w:val="both"/>
        <w:rPr>
          <w:rFonts w:ascii="Times New Roman" w:hAnsi="Times New Roman" w:cs="Times New Roman"/>
          <w:sz w:val="24"/>
          <w:szCs w:val="24"/>
        </w:rPr>
      </w:pPr>
    </w:p>
    <w:p w14:paraId="60B2FC35" w14:textId="77777777" w:rsidR="00422665" w:rsidRPr="00C04179" w:rsidRDefault="00422665" w:rsidP="00C21670">
      <w:pPr>
        <w:pStyle w:val="Heading2"/>
        <w:jc w:val="both"/>
        <w:rPr>
          <w:rFonts w:ascii="Times New Roman" w:hAnsi="Times New Roman" w:cs="Times New Roman"/>
          <w:b/>
          <w:color w:val="auto"/>
          <w:sz w:val="24"/>
          <w:szCs w:val="24"/>
        </w:rPr>
      </w:pPr>
      <w:bookmarkStart w:id="6" w:name="_Toc220925403"/>
      <w:r w:rsidRPr="00C04179">
        <w:rPr>
          <w:rFonts w:ascii="Times New Roman" w:hAnsi="Times New Roman" w:cs="Times New Roman"/>
          <w:b/>
          <w:color w:val="auto"/>
          <w:sz w:val="24"/>
          <w:szCs w:val="24"/>
        </w:rPr>
        <w:lastRenderedPageBreak/>
        <w:t>Research Gap</w:t>
      </w:r>
      <w:bookmarkEnd w:id="6"/>
    </w:p>
    <w:p w14:paraId="4D8267E0" w14:textId="659A5D3D" w:rsidR="00422665" w:rsidRPr="00C04179" w:rsidRDefault="00D4453C"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While there is e</w:t>
      </w:r>
      <w:r w:rsidR="00422665" w:rsidRPr="00C04179">
        <w:rPr>
          <w:rFonts w:ascii="Times New Roman" w:hAnsi="Times New Roman" w:cs="Times New Roman"/>
          <w:sz w:val="24"/>
          <w:szCs w:val="24"/>
        </w:rPr>
        <w:t>viden</w:t>
      </w:r>
      <w:r w:rsidRPr="00C04179">
        <w:rPr>
          <w:rFonts w:ascii="Times New Roman" w:hAnsi="Times New Roman" w:cs="Times New Roman"/>
          <w:sz w:val="24"/>
          <w:szCs w:val="24"/>
        </w:rPr>
        <w:t>ce of</w:t>
      </w:r>
      <w:r w:rsidR="00422665" w:rsidRPr="00C04179">
        <w:rPr>
          <w:rFonts w:ascii="Times New Roman" w:hAnsi="Times New Roman" w:cs="Times New Roman"/>
          <w:sz w:val="24"/>
          <w:szCs w:val="24"/>
        </w:rPr>
        <w:t xml:space="preserve"> robust coverage of digitalization in the traditional industries</w:t>
      </w:r>
      <w:r w:rsidRPr="00C04179">
        <w:rPr>
          <w:rFonts w:ascii="Times New Roman" w:hAnsi="Times New Roman" w:cs="Times New Roman"/>
          <w:sz w:val="24"/>
          <w:szCs w:val="24"/>
        </w:rPr>
        <w:t>, including</w:t>
      </w:r>
      <w:r w:rsidR="00422665" w:rsidRPr="00C04179">
        <w:rPr>
          <w:rFonts w:ascii="Times New Roman" w:hAnsi="Times New Roman" w:cs="Times New Roman"/>
          <w:sz w:val="24"/>
          <w:szCs w:val="24"/>
        </w:rPr>
        <w:t xml:space="preserve"> the automotive industry</w:t>
      </w:r>
      <w:r w:rsidRPr="00C04179">
        <w:rPr>
          <w:rFonts w:ascii="Times New Roman" w:hAnsi="Times New Roman" w:cs="Times New Roman"/>
          <w:sz w:val="24"/>
          <w:szCs w:val="24"/>
        </w:rPr>
        <w:t xml:space="preserve">, </w:t>
      </w:r>
      <w:r w:rsidR="00422665" w:rsidRPr="00C04179">
        <w:rPr>
          <w:rFonts w:ascii="Times New Roman" w:hAnsi="Times New Roman" w:cs="Times New Roman"/>
          <w:sz w:val="24"/>
          <w:szCs w:val="24"/>
        </w:rPr>
        <w:t>several gaps that still emerge</w:t>
      </w:r>
      <w:r w:rsidRPr="00C04179">
        <w:rPr>
          <w:rFonts w:ascii="Times New Roman" w:hAnsi="Times New Roman" w:cs="Times New Roman"/>
          <w:sz w:val="24"/>
          <w:szCs w:val="24"/>
        </w:rPr>
        <w:t xml:space="preserve">. </w:t>
      </w:r>
      <w:r w:rsidR="00422665" w:rsidRPr="00C04179">
        <w:rPr>
          <w:rFonts w:ascii="Times New Roman" w:hAnsi="Times New Roman" w:cs="Times New Roman"/>
          <w:sz w:val="24"/>
          <w:szCs w:val="24"/>
        </w:rPr>
        <w:t xml:space="preserve">First, there is limited </w:t>
      </w:r>
      <w:r w:rsidRPr="00C04179">
        <w:rPr>
          <w:rFonts w:ascii="Times New Roman" w:hAnsi="Times New Roman" w:cs="Times New Roman"/>
          <w:sz w:val="24"/>
          <w:szCs w:val="24"/>
        </w:rPr>
        <w:t xml:space="preserve">attention has been given to understanding </w:t>
      </w:r>
      <w:r w:rsidR="00422665" w:rsidRPr="00C04179">
        <w:rPr>
          <w:rFonts w:ascii="Times New Roman" w:hAnsi="Times New Roman" w:cs="Times New Roman"/>
          <w:sz w:val="24"/>
          <w:szCs w:val="24"/>
        </w:rPr>
        <w:t>how multi-industry and cross-sector knowledge combinations result in digital technology adoption in the industry as majority of the study focus on intra-automotive parts while overlooking important factors like inventor traits and heuristics (Lopez-Vega, and Moodysson, 2023; Perri, Silvestri, and Zirpoli, 2025;</w:t>
      </w:r>
      <w:bookmarkStart w:id="7" w:name="_Hlk212030970"/>
      <w:r w:rsidR="00422665" w:rsidRPr="00C04179">
        <w:rPr>
          <w:rFonts w:ascii="Times New Roman" w:hAnsi="Times New Roman" w:cs="Times New Roman"/>
          <w:sz w:val="24"/>
          <w:szCs w:val="24"/>
        </w:rPr>
        <w:t xml:space="preserve"> Koelmel, Brysch, and Bulander, 2025).</w:t>
      </w:r>
      <w:bookmarkEnd w:id="7"/>
      <w:r w:rsidR="00422665" w:rsidRPr="00C04179">
        <w:rPr>
          <w:rFonts w:ascii="Times New Roman" w:hAnsi="Times New Roman" w:cs="Times New Roman"/>
          <w:sz w:val="24"/>
          <w:szCs w:val="24"/>
        </w:rPr>
        <w:t xml:space="preserve"> Second, longitudinal data on employment and net impact of digital technology adoption on various skills and across regions</w:t>
      </w:r>
      <w:r w:rsidR="00E23B8A" w:rsidRPr="00C04179">
        <w:rPr>
          <w:rFonts w:ascii="Times New Roman" w:hAnsi="Times New Roman" w:cs="Times New Roman"/>
          <w:sz w:val="24"/>
          <w:szCs w:val="24"/>
        </w:rPr>
        <w:t xml:space="preserve"> remains inadequate</w:t>
      </w:r>
      <w:r w:rsidR="00422665" w:rsidRPr="00C04179">
        <w:rPr>
          <w:rFonts w:ascii="Times New Roman" w:hAnsi="Times New Roman" w:cs="Times New Roman"/>
          <w:sz w:val="24"/>
          <w:szCs w:val="24"/>
        </w:rPr>
        <w:t>. Specifically, the peripherals such as Spain and SMEs are underrepresented besides the existing gaps in exploring post-Covid electromobility upgrading and restricting mechanisms</w:t>
      </w:r>
      <w:bookmarkStart w:id="8" w:name="_Hlk212034748"/>
      <w:r w:rsidR="00422665" w:rsidRPr="00C04179">
        <w:rPr>
          <w:rFonts w:ascii="Times New Roman" w:hAnsi="Times New Roman" w:cs="Times New Roman"/>
          <w:sz w:val="24"/>
          <w:szCs w:val="24"/>
        </w:rPr>
        <w:t xml:space="preserve"> </w:t>
      </w:r>
      <w:bookmarkStart w:id="9" w:name="_Hlk220924924"/>
      <w:r w:rsidR="00422665" w:rsidRPr="00C04179">
        <w:rPr>
          <w:rFonts w:ascii="Times New Roman" w:hAnsi="Times New Roman" w:cs="Times New Roman"/>
          <w:sz w:val="24"/>
          <w:szCs w:val="24"/>
        </w:rPr>
        <w:t>(Braidy, Pokharel, and ElMekkawy, 2025</w:t>
      </w:r>
      <w:bookmarkEnd w:id="9"/>
      <w:r w:rsidR="00422665" w:rsidRPr="00C04179">
        <w:rPr>
          <w:rFonts w:ascii="Times New Roman" w:hAnsi="Times New Roman" w:cs="Times New Roman"/>
          <w:sz w:val="24"/>
          <w:szCs w:val="24"/>
        </w:rPr>
        <w:t>; Winkelhake, 2019</w:t>
      </w:r>
      <w:bookmarkEnd w:id="8"/>
      <w:r w:rsidR="00422665" w:rsidRPr="00C04179">
        <w:rPr>
          <w:rFonts w:ascii="Times New Roman" w:hAnsi="Times New Roman" w:cs="Times New Roman"/>
          <w:sz w:val="24"/>
          <w:szCs w:val="24"/>
        </w:rPr>
        <w:t>). Third, there</w:t>
      </w:r>
      <w:r w:rsidR="00E23B8A" w:rsidRPr="00C04179">
        <w:rPr>
          <w:rFonts w:ascii="Times New Roman" w:hAnsi="Times New Roman" w:cs="Times New Roman"/>
          <w:sz w:val="24"/>
          <w:szCs w:val="24"/>
        </w:rPr>
        <w:t xml:space="preserve"> is</w:t>
      </w:r>
      <w:r w:rsidR="00422665" w:rsidRPr="00C04179">
        <w:rPr>
          <w:rFonts w:ascii="Times New Roman" w:hAnsi="Times New Roman" w:cs="Times New Roman"/>
          <w:sz w:val="24"/>
          <w:szCs w:val="24"/>
        </w:rPr>
        <w:t xml:space="preserve"> inadequate focus on exploring the roles of incubators in SME digital transformation which implies th</w:t>
      </w:r>
      <w:r w:rsidR="00E23B8A" w:rsidRPr="00C04179">
        <w:rPr>
          <w:rFonts w:ascii="Times New Roman" w:hAnsi="Times New Roman" w:cs="Times New Roman"/>
          <w:sz w:val="24"/>
          <w:szCs w:val="24"/>
        </w:rPr>
        <w:t xml:space="preserve">e </w:t>
      </w:r>
      <w:r w:rsidR="00422665" w:rsidRPr="00C04179">
        <w:rPr>
          <w:rFonts w:ascii="Times New Roman" w:hAnsi="Times New Roman" w:cs="Times New Roman"/>
          <w:sz w:val="24"/>
          <w:szCs w:val="24"/>
        </w:rPr>
        <w:t>need for broader computational methods to validate various frameworks across industries and address existing challenges (Lopez-Vega, and Moodysson, 2023; Braidy, Pokharel, and ElMekkawy, 2025; Koelmel, Brysch, and Bulander, 2025).</w:t>
      </w:r>
    </w:p>
    <w:p w14:paraId="1ED7E86D" w14:textId="77777777" w:rsidR="00422665" w:rsidRPr="00C04179" w:rsidRDefault="00422665" w:rsidP="00C21670">
      <w:pPr>
        <w:pStyle w:val="Heading2"/>
        <w:jc w:val="both"/>
        <w:rPr>
          <w:rFonts w:ascii="Times New Roman" w:hAnsi="Times New Roman" w:cs="Times New Roman"/>
          <w:b/>
          <w:color w:val="auto"/>
          <w:sz w:val="24"/>
          <w:szCs w:val="24"/>
        </w:rPr>
      </w:pPr>
      <w:bookmarkStart w:id="10" w:name="_Toc220925404"/>
      <w:r w:rsidRPr="00C04179">
        <w:rPr>
          <w:rFonts w:ascii="Times New Roman" w:hAnsi="Times New Roman" w:cs="Times New Roman"/>
          <w:b/>
          <w:color w:val="auto"/>
          <w:sz w:val="24"/>
          <w:szCs w:val="24"/>
        </w:rPr>
        <w:t>Significance of the Study</w:t>
      </w:r>
      <w:bookmarkEnd w:id="10"/>
    </w:p>
    <w:p w14:paraId="5BFC4E3A" w14:textId="77777777" w:rsidR="0042266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This study addresses key gaps in understanding DT strategies in the automotive sector, which contributes over 7% to Europe's GDP (Cornet et al., 2023). By synthesizing recent case studies (2018-2025), it provides timely insights into post-pandemic shifts, such as AI integration and electrification, to inform industry practices and prevent innovation stagnation. The findings will benefit automotive manufacturers, suppliers, SMEs, and policymakers by promoting inclusive strategies that enhance competitiveness, sustainability, and smooth transitions to digital operations. Failing to address these gaps could further increase economic disparities, skill </w:t>
      </w:r>
      <w:r w:rsidRPr="00C04179">
        <w:rPr>
          <w:rFonts w:ascii="Times New Roman" w:hAnsi="Times New Roman" w:cs="Times New Roman"/>
          <w:sz w:val="24"/>
          <w:szCs w:val="24"/>
        </w:rPr>
        <w:lastRenderedPageBreak/>
        <w:t>polarization, and exclusion from global value chains, making the research essential for fostering equitable and resilient industry evolution.</w:t>
      </w:r>
    </w:p>
    <w:p w14:paraId="7951DC7C" w14:textId="77777777" w:rsidR="00422665" w:rsidRPr="00C04179" w:rsidRDefault="00422665" w:rsidP="00C21670">
      <w:pPr>
        <w:pStyle w:val="Heading2"/>
        <w:jc w:val="both"/>
        <w:rPr>
          <w:rFonts w:ascii="Times New Roman" w:hAnsi="Times New Roman" w:cs="Times New Roman"/>
          <w:b/>
          <w:color w:val="auto"/>
          <w:sz w:val="24"/>
          <w:szCs w:val="24"/>
        </w:rPr>
      </w:pPr>
      <w:bookmarkStart w:id="11" w:name="_Toc220925405"/>
      <w:r w:rsidRPr="00C04179">
        <w:rPr>
          <w:rFonts w:ascii="Times New Roman" w:hAnsi="Times New Roman" w:cs="Times New Roman"/>
          <w:b/>
          <w:color w:val="auto"/>
          <w:sz w:val="24"/>
          <w:szCs w:val="24"/>
        </w:rPr>
        <w:t>Research Aim and Objectives</w:t>
      </w:r>
      <w:bookmarkEnd w:id="11"/>
    </w:p>
    <w:p w14:paraId="548483F2" w14:textId="77777777" w:rsidR="00422665" w:rsidRPr="00C04179" w:rsidRDefault="00422665" w:rsidP="00C21670">
      <w:pPr>
        <w:pStyle w:val="Heading3"/>
        <w:jc w:val="both"/>
        <w:rPr>
          <w:rFonts w:ascii="Times New Roman" w:hAnsi="Times New Roman" w:cs="Times New Roman"/>
          <w:b/>
          <w:color w:val="auto"/>
        </w:rPr>
      </w:pPr>
      <w:bookmarkStart w:id="12" w:name="_Toc220925406"/>
      <w:r w:rsidRPr="00C04179">
        <w:rPr>
          <w:rFonts w:ascii="Times New Roman" w:hAnsi="Times New Roman" w:cs="Times New Roman"/>
          <w:b/>
          <w:color w:val="auto"/>
        </w:rPr>
        <w:t>Research Aim</w:t>
      </w:r>
      <w:bookmarkEnd w:id="12"/>
      <w:r w:rsidRPr="00C04179">
        <w:rPr>
          <w:rFonts w:ascii="Times New Roman" w:hAnsi="Times New Roman" w:cs="Times New Roman"/>
          <w:b/>
          <w:color w:val="auto"/>
        </w:rPr>
        <w:t xml:space="preserve"> </w:t>
      </w:r>
    </w:p>
    <w:p w14:paraId="7AC6C156" w14:textId="77777777" w:rsidR="0042266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To review and analyze digital transformation strategies in the automotive industry through a qualitative synthesis of case studies, journals, reports, and publications from 2018-2025, identifying effective approaches, challenges, and implications for competition and inclusivity.</w:t>
      </w:r>
    </w:p>
    <w:p w14:paraId="35F40C0F" w14:textId="77777777" w:rsidR="00422665" w:rsidRPr="00C04179" w:rsidRDefault="00422665" w:rsidP="00C21670">
      <w:pPr>
        <w:pStyle w:val="Heading3"/>
        <w:jc w:val="both"/>
        <w:rPr>
          <w:rFonts w:ascii="Times New Roman" w:hAnsi="Times New Roman" w:cs="Times New Roman"/>
          <w:b/>
          <w:color w:val="auto"/>
        </w:rPr>
      </w:pPr>
      <w:bookmarkStart w:id="13" w:name="_Toc220925407"/>
      <w:r w:rsidRPr="00C04179">
        <w:rPr>
          <w:rFonts w:ascii="Times New Roman" w:hAnsi="Times New Roman" w:cs="Times New Roman"/>
          <w:b/>
          <w:color w:val="auto"/>
        </w:rPr>
        <w:t>Research Objectives</w:t>
      </w:r>
      <w:bookmarkEnd w:id="13"/>
      <w:r w:rsidRPr="00C04179">
        <w:rPr>
          <w:rFonts w:ascii="Times New Roman" w:hAnsi="Times New Roman" w:cs="Times New Roman"/>
          <w:b/>
          <w:color w:val="auto"/>
        </w:rPr>
        <w:t xml:space="preserve"> </w:t>
      </w:r>
    </w:p>
    <w:p w14:paraId="6E7F7330" w14:textId="3B5273B0" w:rsidR="00422665" w:rsidRPr="00C04179" w:rsidRDefault="00422665" w:rsidP="00C21670">
      <w:pPr>
        <w:numPr>
          <w:ilvl w:val="0"/>
          <w:numId w:val="1"/>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To identify and analyze key digital transformation strategies in the automotive sector by analyzing published in case studies, journals and reports from 2018-2025, </w:t>
      </w:r>
      <w:r w:rsidR="00E23B8A" w:rsidRPr="00C04179">
        <w:rPr>
          <w:rFonts w:ascii="Times New Roman" w:hAnsi="Times New Roman" w:cs="Times New Roman"/>
          <w:sz w:val="24"/>
          <w:szCs w:val="24"/>
        </w:rPr>
        <w:t xml:space="preserve">while </w:t>
      </w:r>
      <w:r w:rsidRPr="00C04179">
        <w:rPr>
          <w:rFonts w:ascii="Times New Roman" w:hAnsi="Times New Roman" w:cs="Times New Roman"/>
          <w:sz w:val="24"/>
          <w:szCs w:val="24"/>
        </w:rPr>
        <w:t xml:space="preserve">assessing their alignment with technological drivers such as AI, IoT and electrification.  </w:t>
      </w:r>
    </w:p>
    <w:p w14:paraId="2A72ED2D" w14:textId="77777777" w:rsidR="00422665" w:rsidRPr="00C04179" w:rsidRDefault="00422665" w:rsidP="00C21670">
      <w:pPr>
        <w:numPr>
          <w:ilvl w:val="0"/>
          <w:numId w:val="1"/>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To examine the challenges and opportunities to upgrade in peripheral regions and SMEs and their impact on employment, value chains and upgrade mechanisms that are relevant to the post-pandemic context.</w:t>
      </w:r>
    </w:p>
    <w:p w14:paraId="1601B131" w14:textId="77777777" w:rsidR="00422665" w:rsidRPr="00C04179" w:rsidRDefault="00422665" w:rsidP="00C21670">
      <w:pPr>
        <w:numPr>
          <w:ilvl w:val="0"/>
          <w:numId w:val="1"/>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To determine the implications of data access models and innovation ecosystems in shaping the competition of the auto industry.</w:t>
      </w:r>
    </w:p>
    <w:p w14:paraId="59F7501C" w14:textId="77777777" w:rsidR="00422665" w:rsidRPr="00C04179" w:rsidRDefault="00422665" w:rsidP="00C21670">
      <w:pPr>
        <w:pStyle w:val="Heading3"/>
        <w:jc w:val="both"/>
        <w:rPr>
          <w:rFonts w:ascii="Times New Roman" w:hAnsi="Times New Roman" w:cs="Times New Roman"/>
          <w:b/>
          <w:color w:val="auto"/>
        </w:rPr>
      </w:pPr>
      <w:bookmarkStart w:id="14" w:name="_Toc220925408"/>
      <w:r w:rsidRPr="00C04179">
        <w:rPr>
          <w:rFonts w:ascii="Times New Roman" w:hAnsi="Times New Roman" w:cs="Times New Roman"/>
          <w:b/>
          <w:color w:val="auto"/>
        </w:rPr>
        <w:t>Research Question</w:t>
      </w:r>
      <w:bookmarkEnd w:id="14"/>
    </w:p>
    <w:p w14:paraId="7FC91B8F" w14:textId="77777777" w:rsidR="00422665" w:rsidRPr="00C04179" w:rsidRDefault="00422665" w:rsidP="00C21670">
      <w:pPr>
        <w:pStyle w:val="ListParagraph"/>
        <w:numPr>
          <w:ilvl w:val="0"/>
          <w:numId w:val="2"/>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What are the predominant digital transformation strategies adopted in the automotive sector between 2018 and 2025, and how do they align with key technological drivers like AI, IoT, and electrification?</w:t>
      </w:r>
    </w:p>
    <w:p w14:paraId="61333189" w14:textId="77777777" w:rsidR="00422665" w:rsidRPr="00C04179" w:rsidRDefault="00422665" w:rsidP="00C21670">
      <w:pPr>
        <w:pStyle w:val="ListParagraph"/>
        <w:numPr>
          <w:ilvl w:val="0"/>
          <w:numId w:val="2"/>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What barriers and opportunities do peripheral regions and SMEs face in implementing digital transformation, and how do these affect employment, value chains, and post-pandemic recovery?</w:t>
      </w:r>
    </w:p>
    <w:p w14:paraId="040046E4" w14:textId="77777777" w:rsidR="00422665" w:rsidRPr="00C04179" w:rsidRDefault="00422665" w:rsidP="00C21670">
      <w:pPr>
        <w:pStyle w:val="ListParagraph"/>
        <w:numPr>
          <w:ilvl w:val="0"/>
          <w:numId w:val="2"/>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How do data access models and innovation ecosystems influence competitive dynamics in the automotive industry?</w:t>
      </w:r>
    </w:p>
    <w:p w14:paraId="19AC3E72" w14:textId="77777777" w:rsidR="00422665" w:rsidRPr="00C04179" w:rsidRDefault="00422665" w:rsidP="00C21670">
      <w:pPr>
        <w:pStyle w:val="Heading2"/>
        <w:jc w:val="both"/>
        <w:rPr>
          <w:rFonts w:ascii="Times New Roman" w:hAnsi="Times New Roman" w:cs="Times New Roman"/>
          <w:b/>
          <w:color w:val="auto"/>
          <w:sz w:val="24"/>
          <w:szCs w:val="24"/>
        </w:rPr>
      </w:pPr>
      <w:bookmarkStart w:id="15" w:name="_Toc220925409"/>
      <w:r w:rsidRPr="00C04179">
        <w:rPr>
          <w:rFonts w:ascii="Times New Roman" w:hAnsi="Times New Roman" w:cs="Times New Roman"/>
          <w:b/>
          <w:color w:val="auto"/>
          <w:sz w:val="24"/>
          <w:szCs w:val="24"/>
        </w:rPr>
        <w:lastRenderedPageBreak/>
        <w:t>Scope and Limitations</w:t>
      </w:r>
      <w:bookmarkEnd w:id="15"/>
    </w:p>
    <w:p w14:paraId="7FE455EE" w14:textId="77777777" w:rsidR="00422665" w:rsidRPr="00C04179" w:rsidRDefault="00422665" w:rsidP="00C21670">
      <w:pPr>
        <w:pStyle w:val="Heading3"/>
        <w:jc w:val="both"/>
        <w:rPr>
          <w:rFonts w:ascii="Times New Roman" w:hAnsi="Times New Roman" w:cs="Times New Roman"/>
          <w:b/>
          <w:color w:val="auto"/>
        </w:rPr>
      </w:pPr>
      <w:bookmarkStart w:id="16" w:name="_Toc220925410"/>
      <w:r w:rsidRPr="00C04179">
        <w:rPr>
          <w:rFonts w:ascii="Times New Roman" w:hAnsi="Times New Roman" w:cs="Times New Roman"/>
          <w:b/>
          <w:color w:val="auto"/>
        </w:rPr>
        <w:t>Scope</w:t>
      </w:r>
      <w:bookmarkEnd w:id="16"/>
    </w:p>
    <w:p w14:paraId="75C18657" w14:textId="77777777" w:rsidR="0042266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study focuses on qualitative case studies, industry reports, peer-reviewed articles, and whitepapers on digital transformation in the automotive sector published between 2018 and 2025. It emphasizes strategies, regional/SME challenges, data access, and ecosystems, drawing from 20-25 purposively sampled secondary sources accessed via databases like ScienceDirect and Google Scholar. The analysis will use thematic methods to synthesize patterns in the selected sources. </w:t>
      </w:r>
    </w:p>
    <w:p w14:paraId="1C4BB39D" w14:textId="77777777" w:rsidR="00422665" w:rsidRPr="00C04179" w:rsidRDefault="00422665" w:rsidP="00C21670">
      <w:pPr>
        <w:pStyle w:val="Heading3"/>
        <w:jc w:val="both"/>
        <w:rPr>
          <w:rFonts w:ascii="Times New Roman" w:hAnsi="Times New Roman" w:cs="Times New Roman"/>
          <w:b/>
          <w:color w:val="auto"/>
        </w:rPr>
      </w:pPr>
      <w:bookmarkStart w:id="17" w:name="_Toc220925411"/>
      <w:r w:rsidRPr="00C04179">
        <w:rPr>
          <w:rFonts w:ascii="Times New Roman" w:hAnsi="Times New Roman" w:cs="Times New Roman"/>
          <w:b/>
          <w:color w:val="auto"/>
        </w:rPr>
        <w:t>Limitations</w:t>
      </w:r>
      <w:bookmarkEnd w:id="17"/>
    </w:p>
    <w:p w14:paraId="167797FD" w14:textId="16BEBD98" w:rsidR="003D4D69"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Reliance on secondary sources may introduce publication bias</w:t>
      </w:r>
      <w:r w:rsidR="00E23B8A" w:rsidRPr="00C04179">
        <w:rPr>
          <w:rFonts w:ascii="Times New Roman" w:hAnsi="Times New Roman" w:cs="Times New Roman"/>
          <w:sz w:val="24"/>
          <w:szCs w:val="24"/>
        </w:rPr>
        <w:t xml:space="preserve"> by</w:t>
      </w:r>
      <w:r w:rsidRPr="00C04179">
        <w:rPr>
          <w:rFonts w:ascii="Times New Roman" w:hAnsi="Times New Roman" w:cs="Times New Roman"/>
          <w:sz w:val="24"/>
          <w:szCs w:val="24"/>
        </w:rPr>
        <w:t xml:space="preserve"> favoring successful cases over failures or SME struggles (Kumar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Ujire, 2024). Besides, access is limited to publicly available materials, potentially excluding proprietary industry insights, thus limiting the data that can be referred to. Also, the qualitative approach applied provides depth but not statistical generalizability</w:t>
      </w:r>
      <w:bookmarkStart w:id="18" w:name="_Hlk219113812"/>
      <w:r w:rsidRPr="00C04179">
        <w:rPr>
          <w:rFonts w:ascii="Times New Roman" w:hAnsi="Times New Roman" w:cs="Times New Roman"/>
          <w:sz w:val="24"/>
          <w:szCs w:val="24"/>
        </w:rPr>
        <w:t xml:space="preserve"> (Armstrong, 2021). </w:t>
      </w:r>
      <w:bookmarkEnd w:id="18"/>
      <w:r w:rsidRPr="00C04179">
        <w:rPr>
          <w:rFonts w:ascii="Times New Roman" w:hAnsi="Times New Roman" w:cs="Times New Roman"/>
          <w:sz w:val="24"/>
          <w:szCs w:val="24"/>
        </w:rPr>
        <w:t xml:space="preserve">To mitigate these limitations, the study employs triangulation and diverse source selection to ensure depth (Kumar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Ujire, 2024).</w:t>
      </w:r>
    </w:p>
    <w:p w14:paraId="2A88FAEE" w14:textId="759BC4C2" w:rsidR="0017430B" w:rsidRPr="00C04179" w:rsidRDefault="0017430B" w:rsidP="00C21670">
      <w:pPr>
        <w:pStyle w:val="Heading2"/>
        <w:jc w:val="both"/>
        <w:rPr>
          <w:rFonts w:ascii="Times New Roman" w:hAnsi="Times New Roman" w:cs="Times New Roman"/>
          <w:b/>
          <w:color w:val="000000" w:themeColor="text1"/>
          <w:sz w:val="24"/>
          <w:szCs w:val="24"/>
        </w:rPr>
      </w:pPr>
      <w:bookmarkStart w:id="19" w:name="_Toc220925412"/>
      <w:r w:rsidRPr="00C04179">
        <w:rPr>
          <w:rFonts w:ascii="Times New Roman" w:hAnsi="Times New Roman" w:cs="Times New Roman"/>
          <w:b/>
          <w:color w:val="000000" w:themeColor="text1"/>
          <w:sz w:val="24"/>
          <w:szCs w:val="24"/>
        </w:rPr>
        <w:t>Summary of C</w:t>
      </w:r>
      <w:r w:rsidR="00E65A1A" w:rsidRPr="00C04179">
        <w:rPr>
          <w:rFonts w:ascii="Times New Roman" w:hAnsi="Times New Roman" w:cs="Times New Roman"/>
          <w:b/>
          <w:color w:val="000000" w:themeColor="text1"/>
          <w:sz w:val="24"/>
          <w:szCs w:val="24"/>
        </w:rPr>
        <w:t>hapter</w:t>
      </w:r>
      <w:bookmarkEnd w:id="19"/>
    </w:p>
    <w:p w14:paraId="73D844F4" w14:textId="36505B6D" w:rsidR="00E65A1A" w:rsidRPr="00C04179" w:rsidRDefault="00E65A1A"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This chapter introduces digital transformation (DT) strategies in the automotive sector, which is a traditional industry faced with disruption rom technologies like AI, IoT, electrification, and connected mobility. The background highlights how these innovations have reshaped value chains and competition, with large OEMs leading while SMEs and peripheral regions lag, risking exclusion from global ecosystems due to various challenges. In the problem statement, critical issues such as uneven adoption, implementation barriers, regional inequalities, employment shifts, data monopolies, and post-pandemic effects, which potentially widen economic divides and vulnerabilities are addressed. The study also identifies key research gaps in this field and these include limited focus on cross-sector knowledge integration, longitudinal employment data, and the role of SME incubators. It is noted that the significance lies in synthesizing recent case studies </w:t>
      </w:r>
      <w:r w:rsidRPr="00C04179">
        <w:rPr>
          <w:rFonts w:ascii="Times New Roman" w:hAnsi="Times New Roman" w:cs="Times New Roman"/>
          <w:sz w:val="24"/>
          <w:szCs w:val="24"/>
        </w:rPr>
        <w:lastRenderedPageBreak/>
        <w:t>dated between 2018-2025, to inform inclusive practices, enhance competitiveness and sustainability in adoption of digital transformation strategies in the automotive sector. The aim of the study is to review DT strategies, challenges, and implications for competition, with key objectives involving analyzing strategies' alignment with technology drivers, examining SME/regional barriers and opportunities, and assessing data access and ecosystems' roles</w:t>
      </w:r>
      <w:r w:rsidR="00A37616" w:rsidRPr="00C04179">
        <w:rPr>
          <w:rFonts w:ascii="Times New Roman" w:hAnsi="Times New Roman" w:cs="Times New Roman"/>
          <w:sz w:val="24"/>
          <w:szCs w:val="24"/>
        </w:rPr>
        <w:t>, as is found in the research questions as well</w:t>
      </w:r>
      <w:r w:rsidRPr="00C04179">
        <w:rPr>
          <w:rFonts w:ascii="Times New Roman" w:hAnsi="Times New Roman" w:cs="Times New Roman"/>
          <w:sz w:val="24"/>
          <w:szCs w:val="24"/>
        </w:rPr>
        <w:t xml:space="preserve">. The </w:t>
      </w:r>
      <w:r w:rsidR="00A37616" w:rsidRPr="00C04179">
        <w:rPr>
          <w:rFonts w:ascii="Times New Roman" w:hAnsi="Times New Roman" w:cs="Times New Roman"/>
          <w:sz w:val="24"/>
          <w:szCs w:val="24"/>
        </w:rPr>
        <w:t xml:space="preserve">study’s </w:t>
      </w:r>
      <w:r w:rsidRPr="00C04179">
        <w:rPr>
          <w:rFonts w:ascii="Times New Roman" w:hAnsi="Times New Roman" w:cs="Times New Roman"/>
          <w:sz w:val="24"/>
          <w:szCs w:val="24"/>
        </w:rPr>
        <w:t>scope is</w:t>
      </w:r>
      <w:r w:rsidR="00A37616" w:rsidRPr="00C04179">
        <w:rPr>
          <w:rFonts w:ascii="Times New Roman" w:hAnsi="Times New Roman" w:cs="Times New Roman"/>
          <w:sz w:val="24"/>
          <w:szCs w:val="24"/>
        </w:rPr>
        <w:t xml:space="preserve"> limited to</w:t>
      </w:r>
      <w:r w:rsidRPr="00C04179">
        <w:rPr>
          <w:rFonts w:ascii="Times New Roman" w:hAnsi="Times New Roman" w:cs="Times New Roman"/>
          <w:sz w:val="24"/>
          <w:szCs w:val="24"/>
        </w:rPr>
        <w:t xml:space="preserve"> qualitative</w:t>
      </w:r>
      <w:r w:rsidR="00A37616" w:rsidRPr="00C04179">
        <w:rPr>
          <w:rFonts w:ascii="Times New Roman" w:hAnsi="Times New Roman" w:cs="Times New Roman"/>
          <w:sz w:val="24"/>
          <w:szCs w:val="24"/>
        </w:rPr>
        <w:t xml:space="preserve"> methodologies</w:t>
      </w:r>
      <w:r w:rsidRPr="00C04179">
        <w:rPr>
          <w:rFonts w:ascii="Times New Roman" w:hAnsi="Times New Roman" w:cs="Times New Roman"/>
          <w:sz w:val="24"/>
          <w:szCs w:val="24"/>
        </w:rPr>
        <w:t>, drawing from 20-25 secondary sources, with</w:t>
      </w:r>
      <w:r w:rsidR="00A37616" w:rsidRPr="00C04179">
        <w:rPr>
          <w:rFonts w:ascii="Times New Roman" w:hAnsi="Times New Roman" w:cs="Times New Roman"/>
          <w:sz w:val="24"/>
          <w:szCs w:val="24"/>
        </w:rPr>
        <w:t xml:space="preserve"> additional</w:t>
      </w:r>
      <w:r w:rsidRPr="00C04179">
        <w:rPr>
          <w:rFonts w:ascii="Times New Roman" w:hAnsi="Times New Roman" w:cs="Times New Roman"/>
          <w:sz w:val="24"/>
          <w:szCs w:val="24"/>
        </w:rPr>
        <w:t xml:space="preserve"> limitations like publication bias and lack of proprietary data mitigated through triangulation.</w:t>
      </w:r>
      <w:r w:rsidR="00A37616" w:rsidRPr="00C04179">
        <w:rPr>
          <w:rFonts w:ascii="Times New Roman" w:hAnsi="Times New Roman" w:cs="Times New Roman"/>
          <w:sz w:val="24"/>
          <w:szCs w:val="24"/>
        </w:rPr>
        <w:t xml:space="preserve"> The next chapter provides a literature review. </w:t>
      </w:r>
    </w:p>
    <w:p w14:paraId="7010A23B" w14:textId="77777777" w:rsidR="003D4D69" w:rsidRPr="00C04179" w:rsidRDefault="003D4D69" w:rsidP="00C21670">
      <w:pPr>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442A1011" w14:textId="02738ED7" w:rsidR="003D4D69" w:rsidRPr="00C04179" w:rsidRDefault="003D4D69" w:rsidP="00C21670">
      <w:pPr>
        <w:pStyle w:val="Heading1"/>
        <w:jc w:val="both"/>
        <w:rPr>
          <w:rFonts w:ascii="Times New Roman" w:hAnsi="Times New Roman" w:cs="Times New Roman"/>
          <w:b/>
          <w:color w:val="auto"/>
          <w:sz w:val="24"/>
          <w:szCs w:val="24"/>
        </w:rPr>
      </w:pPr>
      <w:bookmarkStart w:id="20" w:name="_Toc220925413"/>
      <w:bookmarkStart w:id="21" w:name="_Toc214847516"/>
      <w:r w:rsidRPr="00C04179">
        <w:rPr>
          <w:rFonts w:ascii="Times New Roman" w:hAnsi="Times New Roman" w:cs="Times New Roman"/>
          <w:b/>
          <w:color w:val="auto"/>
          <w:sz w:val="24"/>
          <w:szCs w:val="24"/>
        </w:rPr>
        <w:lastRenderedPageBreak/>
        <w:t>LITERATURE REVIEW</w:t>
      </w:r>
      <w:bookmarkEnd w:id="20"/>
    </w:p>
    <w:p w14:paraId="63B0D183" w14:textId="157BA9B4" w:rsidR="003D4D69" w:rsidRPr="00C04179" w:rsidRDefault="003D4D69" w:rsidP="00C21670">
      <w:pPr>
        <w:pStyle w:val="Heading2"/>
        <w:jc w:val="both"/>
        <w:rPr>
          <w:rFonts w:ascii="Times New Roman" w:hAnsi="Times New Roman" w:cs="Times New Roman"/>
          <w:b/>
          <w:color w:val="auto"/>
          <w:sz w:val="24"/>
          <w:szCs w:val="24"/>
        </w:rPr>
      </w:pPr>
      <w:bookmarkStart w:id="22" w:name="_Toc220925414"/>
      <w:r w:rsidRPr="00C04179">
        <w:rPr>
          <w:rFonts w:ascii="Times New Roman" w:hAnsi="Times New Roman" w:cs="Times New Roman"/>
          <w:b/>
          <w:color w:val="auto"/>
          <w:sz w:val="24"/>
          <w:szCs w:val="24"/>
        </w:rPr>
        <w:t>Introduction to the Literature Review</w:t>
      </w:r>
      <w:bookmarkEnd w:id="21"/>
      <w:bookmarkEnd w:id="22"/>
    </w:p>
    <w:p w14:paraId="11628880"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Digital transformation has emerged to be a defining force reshaping the automotive industry, not only altering technological architecture in the industry but also reframing previous assumptions that have historically guided production, innovation, and competition. Previous literature that was published between 2018 and 2025 present the automotive industry as one undergoing multidimensional disruption as traditional manufacturers increasingly incorporate artificial intelligence (AI), electrification, autonomous systems, connectivity infrastructures, big-data-driven applications, and digital service ecosystems that redefine both value creation and consumer interaction (Llopis-Albert, Rubio, and Valero, 2021). A consistent observation across studies is that digital transformation is neither linear nor universally adopted, instead, it is uneven across different structures, firm sizes, regional technological ecosystems, regulatory conditions, and organisational capabilities, and for this reason firms must maintain legacy manufacturing competencies while adapting to the emerging digital-centric business logics (Koelmel, Brysch, and Bulander, 2025; Lopez-Vega and Moodysson, 2023; Llopis-Albert, Rubio, and Valero, 2021). This literature review critically investigates how digital technologies interact with organisational strategies, regulatory frameworks, innovation networks, workforce structures, supply chain transformations, and shifting market expectations to reshape industrial trajectories and competitive hierarchies.</w:t>
      </w:r>
    </w:p>
    <w:p w14:paraId="0C1B5E49" w14:textId="2C7809F1"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Following the aim of this research which is to understand digital transformation strategies in the automotive sector, this literature review will examine the technological transformations together with their theoretical, structural, and institutional dimensions that influence adoption and impact. This review of literature engages with theoretical debates surrounding technological upgrading, platformisation</w:t>
      </w:r>
      <w:r w:rsidR="005144D3" w:rsidRPr="00C04179">
        <w:rPr>
          <w:rFonts w:ascii="Times New Roman" w:hAnsi="Times New Roman" w:cs="Times New Roman"/>
          <w:sz w:val="24"/>
          <w:szCs w:val="24"/>
        </w:rPr>
        <w:t xml:space="preserve">, </w:t>
      </w:r>
      <w:r w:rsidRPr="00C04179">
        <w:rPr>
          <w:rFonts w:ascii="Times New Roman" w:hAnsi="Times New Roman" w:cs="Times New Roman"/>
          <w:sz w:val="24"/>
          <w:szCs w:val="24"/>
        </w:rPr>
        <w:t xml:space="preserve">which in the automotive industry context involves creating modular </w:t>
      </w:r>
      <w:r w:rsidRPr="00C04179">
        <w:rPr>
          <w:rFonts w:ascii="Times New Roman" w:hAnsi="Times New Roman" w:cs="Times New Roman"/>
          <w:sz w:val="24"/>
          <w:szCs w:val="24"/>
        </w:rPr>
        <w:lastRenderedPageBreak/>
        <w:t xml:space="preserve">and scalable hardware and software  foundation to develop multiple vehicle models and integrated services more efficiently and quickly (Koelmel, Brysch, and Bulander, 2025.), and ecosystem-based innovation </w:t>
      </w:r>
      <w:r w:rsidR="005144D3" w:rsidRPr="00C04179">
        <w:rPr>
          <w:rFonts w:ascii="Times New Roman" w:hAnsi="Times New Roman" w:cs="Times New Roman"/>
          <w:sz w:val="24"/>
          <w:szCs w:val="24"/>
        </w:rPr>
        <w:t xml:space="preserve">which </w:t>
      </w:r>
      <w:r w:rsidRPr="00C04179">
        <w:rPr>
          <w:rFonts w:ascii="Times New Roman" w:hAnsi="Times New Roman" w:cs="Times New Roman"/>
          <w:sz w:val="24"/>
          <w:szCs w:val="24"/>
        </w:rPr>
        <w:t xml:space="preserve">according to Winkelhake (2019) involves collaboration and networking among organizations to create and deliver new solutions, technologies and economic growth, while also examining empirical accounts of digitalization across small enterprises, multinational manufacturers, and regional economies. Therefore, this review extends beyond cataloging technological change as it evaluates the strategic, economic, and institutional mechanisms that determine which firms and regions benefit from transformation and which </w:t>
      </w:r>
      <w:r w:rsidR="005144D3" w:rsidRPr="00C04179">
        <w:rPr>
          <w:rFonts w:ascii="Times New Roman" w:hAnsi="Times New Roman" w:cs="Times New Roman"/>
          <w:sz w:val="24"/>
          <w:szCs w:val="24"/>
        </w:rPr>
        <w:t>one’s</w:t>
      </w:r>
      <w:r w:rsidRPr="00C04179">
        <w:rPr>
          <w:rFonts w:ascii="Times New Roman" w:hAnsi="Times New Roman" w:cs="Times New Roman"/>
          <w:sz w:val="24"/>
          <w:szCs w:val="24"/>
        </w:rPr>
        <w:t xml:space="preserve"> risk technological marginalization. The insights gained from this review help contextualize the identified research gaps and demonstrate the necessity of the present study, calling for thorough examination of the subsequent sections of this research.</w:t>
      </w:r>
      <w:r w:rsidR="005144D3" w:rsidRPr="00C04179">
        <w:rPr>
          <w:rFonts w:ascii="Times New Roman" w:hAnsi="Times New Roman" w:cs="Times New Roman"/>
          <w:sz w:val="24"/>
          <w:szCs w:val="24"/>
        </w:rPr>
        <w:t xml:space="preserve"> This review first delineates five key themes found in existing literature, and then examines illustrative case studies before synthesizing the gaps. </w:t>
      </w:r>
    </w:p>
    <w:p w14:paraId="10FCCA73" w14:textId="77777777" w:rsidR="003D4D69" w:rsidRPr="00C04179" w:rsidRDefault="003D4D69" w:rsidP="00C21670">
      <w:pPr>
        <w:pStyle w:val="Heading2"/>
        <w:jc w:val="both"/>
        <w:rPr>
          <w:rFonts w:ascii="Times New Roman" w:hAnsi="Times New Roman" w:cs="Times New Roman"/>
          <w:b/>
          <w:color w:val="auto"/>
          <w:sz w:val="24"/>
          <w:szCs w:val="24"/>
        </w:rPr>
      </w:pPr>
      <w:bookmarkStart w:id="23" w:name="_Toc214847517"/>
      <w:bookmarkStart w:id="24" w:name="_Toc220925415"/>
      <w:r w:rsidRPr="00C04179">
        <w:rPr>
          <w:rFonts w:ascii="Times New Roman" w:hAnsi="Times New Roman" w:cs="Times New Roman"/>
          <w:b/>
          <w:color w:val="auto"/>
          <w:sz w:val="24"/>
          <w:szCs w:val="24"/>
        </w:rPr>
        <w:t>Key Themes in the Literature</w:t>
      </w:r>
      <w:bookmarkEnd w:id="23"/>
      <w:bookmarkEnd w:id="24"/>
    </w:p>
    <w:p w14:paraId="4CEF4C88" w14:textId="77777777" w:rsidR="003D4D69" w:rsidRPr="00C04179" w:rsidRDefault="003D4D69" w:rsidP="00C21670">
      <w:pPr>
        <w:spacing w:line="480" w:lineRule="auto"/>
        <w:ind w:firstLine="576"/>
        <w:jc w:val="both"/>
        <w:rPr>
          <w:rFonts w:ascii="Times New Roman" w:hAnsi="Times New Roman" w:cs="Times New Roman"/>
          <w:sz w:val="24"/>
          <w:szCs w:val="24"/>
        </w:rPr>
      </w:pPr>
      <w:r w:rsidRPr="00C04179">
        <w:rPr>
          <w:rFonts w:ascii="Times New Roman" w:hAnsi="Times New Roman" w:cs="Times New Roman"/>
          <w:sz w:val="24"/>
          <w:szCs w:val="24"/>
        </w:rPr>
        <w:t>The literature published on digital transformation in the automotive industry shows several themes that range from the drivers of technology shaping new architectures to the strategies firms use to respond to these disruptions, and even the changing nature of employment and skill together with the uneven capacity of small firms and firms from outlier regions to join the journey of digital transformation. Scholars posit that digitalization is not a singular phenomenon, rather, it ends up creating a constellation of changes that influence several factors like manufacturing, supply chains, business models, and innovation (Lopez-Vega and Moodysson, 2023).</w:t>
      </w:r>
    </w:p>
    <w:p w14:paraId="1357E470" w14:textId="77777777" w:rsidR="003D4D69" w:rsidRPr="00C04179" w:rsidRDefault="003D4D69" w:rsidP="00C21670">
      <w:pPr>
        <w:spacing w:line="480" w:lineRule="auto"/>
        <w:ind w:firstLine="576"/>
        <w:jc w:val="both"/>
        <w:rPr>
          <w:rFonts w:ascii="Times New Roman" w:hAnsi="Times New Roman" w:cs="Times New Roman"/>
          <w:sz w:val="24"/>
          <w:szCs w:val="24"/>
        </w:rPr>
      </w:pPr>
      <w:r w:rsidRPr="00C04179">
        <w:rPr>
          <w:rFonts w:ascii="Times New Roman" w:hAnsi="Times New Roman" w:cs="Times New Roman"/>
          <w:sz w:val="24"/>
          <w:szCs w:val="24"/>
        </w:rPr>
        <w:tab/>
        <w:t xml:space="preserve">The five broad and consistent themes in all the articles include digital transformation as a structural shift, strategic adaptation, market positioning, and competitive restructuring, followed by innovation and knowledge evolution, labour and workforce restructuring, and lastly standardization conflicts and power asymmetries. Scholars describe the technological drivers like </w:t>
      </w:r>
      <w:r w:rsidRPr="00C04179">
        <w:rPr>
          <w:rFonts w:ascii="Times New Roman" w:hAnsi="Times New Roman" w:cs="Times New Roman"/>
          <w:sz w:val="24"/>
          <w:szCs w:val="24"/>
        </w:rPr>
        <w:lastRenderedPageBreak/>
        <w:t>Industry 4.0 systems, connectivity, V2X technology, AI driven safety architectures, and digital research and development (R&amp;D) tools as very primary configurators of product development and value creation. Firms adapt to technological change through new sourcing practices, innovations, data-driven production, and competitive strategies. Digital transformation is uneven across Europe, Asia, and third world developing regions, and this causes differentiated opportunities and barriers that continue shaping the capacity of firms to upgrade. The digital transformation on the automotive industry is marked by tension, while the transformation promises efficiency, innovation, and competitiveness, it also brings along with challenges like mismatched skills, high investment capital, and disputes in data, as explained in detail below.</w:t>
      </w:r>
    </w:p>
    <w:p w14:paraId="2DE346CC" w14:textId="77777777" w:rsidR="003D4D69" w:rsidRPr="00C04179" w:rsidRDefault="003D4D69" w:rsidP="00C21670">
      <w:pPr>
        <w:pStyle w:val="Heading3"/>
        <w:jc w:val="both"/>
        <w:rPr>
          <w:rFonts w:ascii="Times New Roman" w:hAnsi="Times New Roman" w:cs="Times New Roman"/>
          <w:b/>
          <w:color w:val="auto"/>
        </w:rPr>
      </w:pPr>
      <w:bookmarkStart w:id="25" w:name="_Toc214847518"/>
      <w:bookmarkStart w:id="26" w:name="_Toc220925416"/>
      <w:r w:rsidRPr="00C04179">
        <w:rPr>
          <w:rFonts w:ascii="Times New Roman" w:hAnsi="Times New Roman" w:cs="Times New Roman"/>
          <w:b/>
          <w:color w:val="auto"/>
        </w:rPr>
        <w:t>Digital Transformation as a Structural Shift</w:t>
      </w:r>
      <w:bookmarkEnd w:id="25"/>
      <w:bookmarkEnd w:id="26"/>
    </w:p>
    <w:p w14:paraId="031FDD19"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According to Tang, (2021) digital transformation refers to the integration of various forms of digital technology into all areas of business thus transforming how the business operates and delivers values to its customers including modernization of the business processes, culture and customer experience. The digital transformation of the automotive industry is not simply about change in technology but also changes in the institutions and structural shifts that reshape the production processes used, the organisational strategies, and the economic logic of the entire industry at large, as scholars demonstrate. Llopis-Albert et al. (2021) argue that digitalisation accelerates the shift from traditional manufacturing to smart industrial systems through automation, real-time data, and predictive analytics that collectively reduce the inefficiencies in the industry while enabling flexibility of operations. This position of digitalization is seconded by Koelmel, Brysch and Bulander (2025) who highlight that transformation in the automotive industry is heavily driven by technological convergence whereby automotive engineering increasingly intersects with data science, connectivity ecosystems, and sensor intelligence, which </w:t>
      </w:r>
      <w:r w:rsidRPr="00C04179">
        <w:rPr>
          <w:rFonts w:ascii="Times New Roman" w:hAnsi="Times New Roman" w:cs="Times New Roman"/>
          <w:sz w:val="24"/>
          <w:szCs w:val="24"/>
        </w:rPr>
        <w:lastRenderedPageBreak/>
        <w:t>makes competitive advantage in the industry more dependent on digital capabilities rather than mechanical innovation.</w:t>
      </w:r>
    </w:p>
    <w:p w14:paraId="7871CB84"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structural shift of the industry can be seen in European companies where Cornet et al. (2023) outline a roadmap that emphasizes the need for manufacturers to change both workforce competencies and supply chain models to make room for developments like acceleration, autonomous systems, and digitally managed fleet services, a clear demonstration that transformation is not only technological but also operational and strategic. The roadmap encompasses seven key points which are reviving strengths in customer understanding, product design, and brand, focus on cost and speed, design a way forward for ADAS with proper policies, hyperscale competitive players, create resilient supply chains, execute a winning strategy for the Chinese market, and close the software skill gap (Cornet et al., 2023, 9). In terms of smaller enterprises, Endrődi-Kovács and Stukovszky (2022) examined Industry 4.0 adoption among Hungarian small and medium enterprises (SMEs) and revealed that the speed of transformation is not distributed evenly, since larger firms make most progress faster due to their capital resources and digital maturity, while smaller forms adopt selectively and reactively. This suggests that digital transformation is stratifies and asymmetric rather than uniform across companies in the industry.</w:t>
      </w:r>
    </w:p>
    <w:p w14:paraId="40997314" w14:textId="06C6D8E6"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However, this digital transformation is not free from frictions and various barriers, with Winkelhake (2019) stating that some of the key factors inhibiting the transformation include organisational resistance, legacy infrastructure, and shortage of digital competencies, since traditional manufacturers with conventional production systems and hierarchical bureaucracies likely to hold their position. The authors state that the modern corporate culture at incumbent manufacturers is still marked by traditional systems, and it will be difficult to motivate all employees to be active in the transformation and change without skepticism. This resistance means </w:t>
      </w:r>
      <w:r w:rsidRPr="00C04179">
        <w:rPr>
          <w:rFonts w:ascii="Times New Roman" w:hAnsi="Times New Roman" w:cs="Times New Roman"/>
          <w:sz w:val="24"/>
          <w:szCs w:val="24"/>
        </w:rPr>
        <w:lastRenderedPageBreak/>
        <w:t>that transformation is not entirely technologically dependent, but dependent on institutional inertia and human factors like reluctance and uncertainty about skills. Such tension adds to the observation that digital transformation challenges traditional ways, and car manufacturers who were once mechanical-oriented are now evolving into software mobility service providers. This calls for new collaborations with AI developers, telecommunication firms, data providers, and cyber-security specialists as mentioned by Koelmel, Brysch and Bulander (2025). Collectively, these literatures show that digital transformation in the automotive sector requires not only the acquisition of digital tools but also reconfiguration of processes, competencies, and strategies.</w:t>
      </w:r>
    </w:p>
    <w:p w14:paraId="59E094DD" w14:textId="77777777" w:rsidR="003D4D69" w:rsidRPr="00C04179" w:rsidRDefault="003D4D69" w:rsidP="00C21670">
      <w:pPr>
        <w:pStyle w:val="Heading3"/>
        <w:jc w:val="both"/>
        <w:rPr>
          <w:rFonts w:ascii="Times New Roman" w:hAnsi="Times New Roman" w:cs="Times New Roman"/>
          <w:b/>
          <w:color w:val="auto"/>
        </w:rPr>
      </w:pPr>
      <w:bookmarkStart w:id="27" w:name="_Toc214847519"/>
      <w:bookmarkStart w:id="28" w:name="_Toc220925417"/>
      <w:r w:rsidRPr="00C04179">
        <w:rPr>
          <w:rFonts w:ascii="Times New Roman" w:hAnsi="Times New Roman" w:cs="Times New Roman"/>
          <w:b/>
          <w:color w:val="auto"/>
        </w:rPr>
        <w:t>Strategic Adaptation, Market Positioning, and Competitive Restructuring</w:t>
      </w:r>
      <w:bookmarkEnd w:id="27"/>
      <w:bookmarkEnd w:id="28"/>
    </w:p>
    <w:p w14:paraId="17BBD0E2" w14:textId="68FF3700"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Strategic adaptation in the automotive industry is increasingly being centered on digital integration, electrification, and new value creation techniques, showing that there is a shift in how firms </w:t>
      </w:r>
      <w:r w:rsidR="002350B0" w:rsidRPr="00C04179">
        <w:rPr>
          <w:rFonts w:ascii="Times New Roman" w:hAnsi="Times New Roman" w:cs="Times New Roman"/>
          <w:sz w:val="24"/>
          <w:szCs w:val="24"/>
        </w:rPr>
        <w:t>conceptualize</w:t>
      </w:r>
      <w:r w:rsidRPr="00C04179">
        <w:rPr>
          <w:rFonts w:ascii="Times New Roman" w:hAnsi="Times New Roman" w:cs="Times New Roman"/>
          <w:sz w:val="24"/>
          <w:szCs w:val="24"/>
        </w:rPr>
        <w:t xml:space="preserve"> competitiveness and market differentiation. According to Chen (2025) who conducted a case study on Li Auto, the company’s strategic positioning relies not just on producing electric vehicles but on building a digital ecosystem that involves connected services, data-driven user experience, and integrated energy-management solutions. Chen (2025) state that manufacturers need to invest more in research and development (R&amp;D) and particularly with the help of AI and machine learning (ML) to improve accuracy and timeliness of decision-making processes. Similarly, Xi and Zhao (2023) compared General Motors (GM) and Volkswagen (VW) and found that incumbent global manufacturers are engaging in transformative strategic restructuring not driven by technology but due to the need to reposition themselves against emerging Chinese and other startup manufacturers who are also technologically agile. They mention that original equipment manufacturers (OEMs) need to promote their digital channels and build systems that manage online operations as consumers now want an all-digital experience.</w:t>
      </w:r>
    </w:p>
    <w:p w14:paraId="1B49257A"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 In addition to strategic adaptation, there is also a strategic redefining of sourcing practices as Görçün et al., (2024) demonstrates that strategic procurement in the automotive sector has evolved from a cost minimization logic to value creation that requires suppliers to stay innovative, be digitally compatible, and have sustainable production practices. In other words, firms are judging suppliers based on how well they can integrate into digital supply chain networks rather than offering competitive prices, and this is a significant change in supply-chain logic. Lopez-Vega and Moodysson (2023) argue that firms navigating the landscape of digital transformation must manage both the degree to which innovations deviate from existing knowledge, and the range of interlinked digital competencies. This means that competitiveness is now dependent on the ability of a firm to synchronise technology from AI, sensor engineering, telecommunications, and predictive modelling (Lopez-Vega and Moodysson, 2023, 2).</w:t>
      </w:r>
    </w:p>
    <w:p w14:paraId="602F75B6"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These shifts also represent a rewriting of competitive hierarchies, as historically dominant firms are now finding that their position in the market is increasingly being influenced by software capability and data control than long years of manufacturing experience. Xi and Zhao (2023) mention that VW focuses its digital marketing strategy on developing mobile applications, electric vehicles (EV) charging infrastructure, and social media applications. Meanwhile, emerging new entrants like Li Auto or NIO leverage their organisational structures to produce vehicles based on software, connectivity, and over-the-air updates (Chen, 2025). This therefore means that competition in the automotive industry is shifting from scale of production to technological capabilities like customer system integration. This demonstrates that strategic adaptation in the automotive sector is not simply about integrating digital tools but about changing market strategies around digital ecosystems and supply chains.</w:t>
      </w:r>
    </w:p>
    <w:p w14:paraId="17C3B065" w14:textId="77777777" w:rsidR="003D4D69" w:rsidRPr="00C04179" w:rsidRDefault="003D4D69" w:rsidP="00C21670">
      <w:pPr>
        <w:pStyle w:val="Heading3"/>
        <w:jc w:val="both"/>
        <w:rPr>
          <w:rFonts w:ascii="Times New Roman" w:hAnsi="Times New Roman" w:cs="Times New Roman"/>
          <w:b/>
          <w:color w:val="auto"/>
        </w:rPr>
      </w:pPr>
      <w:bookmarkStart w:id="29" w:name="_Toc214847520"/>
      <w:bookmarkStart w:id="30" w:name="_Toc220925418"/>
      <w:r w:rsidRPr="00C04179">
        <w:rPr>
          <w:rFonts w:ascii="Times New Roman" w:hAnsi="Times New Roman" w:cs="Times New Roman"/>
          <w:b/>
          <w:color w:val="auto"/>
        </w:rPr>
        <w:lastRenderedPageBreak/>
        <w:t>Innovation and Knowledge Evolution</w:t>
      </w:r>
      <w:bookmarkEnd w:id="29"/>
      <w:bookmarkEnd w:id="30"/>
    </w:p>
    <w:p w14:paraId="4952CE09"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Innovation in the automotive sector has shifted from isolated research functions to ecosystems based on collaborative intelligence, and firms must continue to evolve their knowledge consistently so as to survive the rapid transformation of technology. Braidy, Pokharel and ElMekkawy (2025) did an integrative literature review of 148 papers and found that innovation in the automotive industry is being shaped by the integration of AI, smart manufacturing, and sustainable engineering, showing that the locus of innovation is no longer tied to mechanical strategies but extends into algorithms, data-driven design, and performance enhancement. This expansion of innovation requires firms to maintain adaptive learning models that support continuous assimilation of technology rather than intermittent breakthroughs, meaning innovation must not be in episodes but continuous.</w:t>
      </w:r>
    </w:p>
    <w:p w14:paraId="08B703B8"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Further, Men et al. (2023) also used primary research through 240 questionnaires collected from automobile companies and found that digital transformation positively influences R&amp;D performance especially when firms operate innovatively, in a way that facilitates exchange of information between manufacturers, technology partners, academic institutions, and software providers. The research suggests that firms with strong digital infrastructure have increased product development cycles, efficient iterative experimentation, and agile market responsiveness. This indicates that the better the innovation the stronger the mediating role of digital technology innovation ability between digital transformation and product R&amp;D performance. This finding resonates with the notion that digital capability of firms is complementary with innovation, and that technological transformation is connected to also external networks outside the company.</w:t>
      </w:r>
    </w:p>
    <w:p w14:paraId="70165227" w14:textId="645B6FA9"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function played by knowledge evolution is also highlighted by Perri, Silvestri and Zirpoli (2025) who analysed the patent portfolios of the top 25 automotive OEMs over a period of 30 years and revealed that the structure and evolution of the knowledge base of the industry </w:t>
      </w:r>
      <w:r w:rsidRPr="00C04179">
        <w:rPr>
          <w:rFonts w:ascii="Times New Roman" w:hAnsi="Times New Roman" w:cs="Times New Roman"/>
          <w:sz w:val="24"/>
          <w:szCs w:val="24"/>
        </w:rPr>
        <w:lastRenderedPageBreak/>
        <w:t>protects incumbents from new entrants. The authors mention that there are high economic resources among other entry barriers that protect incumbents from technological shocks, shielding them from the risk of being outperformed by newcomers in the industry (Perri, Silvestri and Zirpoli, 2025, 14). Incumbent manufacturers maintain dominance through more accumulated technological knowledge in which they absorb emerging technologies and synthesize them into competencies. However, knowledge capital is becoming fragmented and diversified as new entrants are leveraging intellectual property in software engineering, sensor systems, and communication</w:t>
      </w:r>
      <w:r w:rsidR="00C04179">
        <w:rPr>
          <w:rFonts w:ascii="Times New Roman" w:hAnsi="Times New Roman" w:cs="Times New Roman"/>
          <w:sz w:val="24"/>
          <w:szCs w:val="24"/>
        </w:rPr>
        <w:t xml:space="preserve"> (</w:t>
      </w:r>
      <w:r w:rsidR="00C04179" w:rsidRPr="00C04179">
        <w:rPr>
          <w:rFonts w:ascii="Times New Roman" w:hAnsi="Times New Roman" w:cs="Times New Roman"/>
          <w:sz w:val="24"/>
          <w:szCs w:val="24"/>
        </w:rPr>
        <w:t>Lopez-Vega, and Moodysson, 2023</w:t>
      </w:r>
      <w:r w:rsidR="00C04179">
        <w:rPr>
          <w:rFonts w:ascii="Times New Roman" w:hAnsi="Times New Roman" w:cs="Times New Roman"/>
          <w:sz w:val="24"/>
          <w:szCs w:val="24"/>
        </w:rPr>
        <w:t xml:space="preserve">). </w:t>
      </w:r>
    </w:p>
    <w:p w14:paraId="235A97BC"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Moreover, Görçün et al. (2024) also support this evolving view of innovation as they demonstrated that Industry 4.0 enables firms to operationalize digital transformation in manufacturing through intelligent robotics, cyber-physical integration, and sensor-driven monitoring of processors. Görçün et al. (2024) show that technological capability must be evaluated beyond conceptual readiness to terms of operational deployment. This demonstrates that innovation is validated when embedded in functional processes, and this makes it clear that technology is meaningful only when supported by manufacturing realities, and therefore, innovation requires both strategy and practical implementation.</w:t>
      </w:r>
    </w:p>
    <w:p w14:paraId="657BBA9F" w14:textId="77777777" w:rsidR="003D4D69" w:rsidRPr="00C04179" w:rsidRDefault="003D4D69" w:rsidP="00C21670">
      <w:pPr>
        <w:pStyle w:val="Heading3"/>
        <w:jc w:val="both"/>
        <w:rPr>
          <w:rFonts w:ascii="Times New Roman" w:hAnsi="Times New Roman" w:cs="Times New Roman"/>
          <w:b/>
          <w:color w:val="auto"/>
        </w:rPr>
      </w:pPr>
      <w:bookmarkStart w:id="31" w:name="_Toc214847521"/>
      <w:bookmarkStart w:id="32" w:name="_Toc220925419"/>
      <w:r w:rsidRPr="00C04179">
        <w:rPr>
          <w:rFonts w:ascii="Times New Roman" w:hAnsi="Times New Roman" w:cs="Times New Roman"/>
          <w:b/>
          <w:color w:val="auto"/>
        </w:rPr>
        <w:t>Labour and Workforce Restructuring</w:t>
      </w:r>
      <w:bookmarkEnd w:id="31"/>
      <w:bookmarkEnd w:id="32"/>
    </w:p>
    <w:p w14:paraId="56B34FDC"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Digital transformation in the automotive industry is reshaping workforce structures, skill hierarchies, and labour relations, and this results in fundamental changes in knowledge domains and production roles. Winkelhake (2019) states that despite digital monitoring systems integrated into factory processes enhancing production efficiency, they also increase the intensity and psychological burden of labour due to constant metric surveillance and quantification of performance. There is the broader structural reorganization where employee autonomy reduces with the expansion of algorithmic oversight, meaning that digitalization has human consequences. </w:t>
      </w:r>
      <w:r w:rsidRPr="00C04179">
        <w:rPr>
          <w:rFonts w:ascii="Times New Roman" w:hAnsi="Times New Roman" w:cs="Times New Roman"/>
          <w:sz w:val="24"/>
          <w:szCs w:val="24"/>
        </w:rPr>
        <w:lastRenderedPageBreak/>
        <w:t>In parallel, Hoegaerts and Schönenberger (2019) argue that closed data systems like the Extended Vehicle (ExVe) model create professional stratification, whereby the manufacturer is tasked with diagnostic and repair, and this marginalizes independent technicians and external workshops from the value they would have gained from repairs. The authors suggest that digital transformation has both technical and institutional barriers, creating controlled knowledge gates through encrypted data channels and patent-controlled diagnostic interfaces.</w:t>
      </w:r>
    </w:p>
    <w:p w14:paraId="380B8C8E"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Men et al. (2023) offer additional empirical support through their study where they reveal that digital transformation boosts R&amp;D-linked employment in roles that are knowledge intensive, and this is particularly among German manufacturing clusters where firms are increasingly hiring data scientists, software engineers, and systems analysts. Men et al. (2023) show that workforce expansion is concentrated in regions with existing digital capability, and this further reinforces inequalities across the labour market. On the other hand, firms in Spain and Eastern Europe still have limited automation and labour segmentation, showing that the geography of innovation and skill upgrade is not at all uniform, it is dependent on resources at hand. This means that digital transformation distributes opportunity asymmetrically and creates poles of high-skilled employment in established regions and leaves peripheral workforces in stagnation.</w:t>
      </w:r>
    </w:p>
    <w:p w14:paraId="2E1BF110"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future of workforce competence is influenced by ecosystem transformations in innovation, as Braidy, Pokharel and ElMekkawy (2025) posit that innovation increasingly requires the fusion of competence across disciplines, like where mechanical engineering must now integrate with AI reasoning, real-time analytics, and collaborative innovation models. Such broadening of skill profiles challenges traditional educational and vocational models that before treated automotive expertise as purely mechanical rather than computational. Workers who are unable or </w:t>
      </w:r>
      <w:r w:rsidRPr="00C04179">
        <w:rPr>
          <w:rFonts w:ascii="Times New Roman" w:hAnsi="Times New Roman" w:cs="Times New Roman"/>
          <w:sz w:val="24"/>
          <w:szCs w:val="24"/>
        </w:rPr>
        <w:lastRenderedPageBreak/>
        <w:t>unsupported in transitioning into hybrid roles may become obsolete, and this shows how technological transformation is paired with labour transformation.</w:t>
      </w:r>
    </w:p>
    <w:p w14:paraId="00FBC59D"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Yet, the impact of digital transformation on workforce is not entirely external, it is also actively shaped by strategic choices of firms. Görçün et al., (2024) shows that strategic sourcing and supply chain modification based on digital systems enable large OEMs to optimize how they select vendors, and this indirectly pushes SMEs and local suppliers into tight cost positions that undermine their labour stability. This indicates that changes in workforce distribution are interlocked with strategic restructuring, where labour displacement is tied to capital concentration. Görçün et al. (2024) also demonstrate that firms with effective Industry 4.0 implementation require fewer manual operators but more predictive maintenance and cyber-physical system integrators. This confirms that digitalization transforms the job hand in hand with the job ontology. These studies collectively reveal that digital transformation in the automotive sector is also a workforce transformation, a reordering of skills, power, and professional identity. The defining features of employment in the industry are now algorithmic governance, knowledge enclosure or patenting, and technologically contingent labour segmentation.</w:t>
      </w:r>
    </w:p>
    <w:p w14:paraId="55D8C07F" w14:textId="77777777" w:rsidR="003D4D69" w:rsidRPr="00C04179" w:rsidRDefault="003D4D69" w:rsidP="00C21670">
      <w:pPr>
        <w:pStyle w:val="Heading3"/>
        <w:jc w:val="both"/>
        <w:rPr>
          <w:rFonts w:ascii="Times New Roman" w:hAnsi="Times New Roman" w:cs="Times New Roman"/>
          <w:b/>
          <w:color w:val="auto"/>
        </w:rPr>
      </w:pPr>
      <w:bookmarkStart w:id="33" w:name="_Toc214847522"/>
      <w:bookmarkStart w:id="34" w:name="_Toc220925420"/>
      <w:r w:rsidRPr="00C04179">
        <w:rPr>
          <w:rFonts w:ascii="Times New Roman" w:hAnsi="Times New Roman" w:cs="Times New Roman"/>
          <w:b/>
          <w:color w:val="auto"/>
        </w:rPr>
        <w:t>Standardisation Conflicts and Power Asymmetries</w:t>
      </w:r>
      <w:bookmarkEnd w:id="33"/>
      <w:bookmarkEnd w:id="34"/>
    </w:p>
    <w:p w14:paraId="775DA545" w14:textId="4D785B46"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Control over automotive data has also emerged as a central battleground in digital transformation as there have risen conflicts over ownership, access, interoperability, and user rights. Hoegaerts and Schönenberger (2019) investigate how the ExVe architecture enables manufacturers to retain exclusive access to vehicle data through encrypted channels, preventing third-party access and eliminating the diagnostic transparency that once was the character of Open Bending Drive (OBD) systems. Hoegaerts and Schönenberger (2019) argue that this model effectively creates economic dependency of consumers on OEM-authorised services and restricts market competition by barring independent repair providers from diagnosing vehicles. This </w:t>
      </w:r>
      <w:r w:rsidRPr="00C04179">
        <w:rPr>
          <w:rFonts w:ascii="Times New Roman" w:hAnsi="Times New Roman" w:cs="Times New Roman"/>
          <w:sz w:val="24"/>
          <w:szCs w:val="24"/>
        </w:rPr>
        <w:lastRenderedPageBreak/>
        <w:t>evidence shows a deliberate centralization of informational power that has transformed data into a proprietary asset rather than an open technical resource, and this makes it clear that digitalization in the automotive sector not only enables innovation but also is a technique of market closur</w:t>
      </w:r>
      <w:r w:rsidR="00C1032B" w:rsidRPr="00C04179">
        <w:rPr>
          <w:rFonts w:ascii="Times New Roman" w:hAnsi="Times New Roman" w:cs="Times New Roman"/>
          <w:sz w:val="24"/>
          <w:szCs w:val="24"/>
        </w:rPr>
        <w:t xml:space="preserve">e. </w:t>
      </w:r>
    </w:p>
    <w:p w14:paraId="5E9A4B44"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This centralized approach aligns with broader strategic patterns identified by Xi and Zhao (2023) who compared the digital strategies of VW and GM, revealing that VW prioritizes centralized enterprise resource planning (ERP)-led data governance throughout its manufacturing and supply chain, and this solidifies its ability to tightly integrate sourcing, component logistics, and performance monitoring. Conversely, GM emphasizes connected services and digital customer platforms and this shows a future-based revenue approach where the data of user behavior becomes a monetisable commodity rather that purely being a technical parameter. The contrast between the two firms demonstrates that data-centric governance now differentiates strategic postures and shifts competition from mechanical value to information value.</w:t>
      </w:r>
    </w:p>
    <w:p w14:paraId="60464BA3"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Perri, Silvestri and Zirpoli (2025) provide longitudinal support for this tendency as their patent analysis reveals that data-related patents especially regarding connectivity, telematics, and digital interfaces have become an increasing area of focus among incumbent OEMs, which reinforces their dominance and makes technological knowledge less diffused. This concentration of patented digital knowledge creates structural power asymmetries where incumbents protect informational capital through intellectual property rights, and this limits opportunities for new entrants and SMEs that lack patent portfolios and legal defense capacity. The patent-based consolidation that Perri et al. (2025) identify in their research reinforces Hoegaerts and Schönenberger’s (2019) findings on data enclosure, and this suggests that informational sovereignty is becoming a formalized legal territory rather than merely a technical preference.</w:t>
      </w:r>
    </w:p>
    <w:p w14:paraId="03D0A78D" w14:textId="0262D7F8"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At the regulatory level, Cornet et al. (2023) illustrate the tension between European Union (EU) policy ambitions and industrial realties, showing that Europe’s automotive roadmap prioritises harmonized digital governance, standardization of communication protocols, and structural synchronization of transport-data infrastructure. Despite policy-level calls for fair data access and cross-actor interoperability, industry practice remains dominated by OEM-centered control models. Cornet et al. (2023) reveal that there is a friction between policymakers advocating for data openness and manufacturers enforcing data closure through proprietary architectures, and this is clearly a fundamental struggle over the direction of digital mobility governance.</w:t>
      </w:r>
      <w:r w:rsidR="00FD380F" w:rsidRPr="00C04179">
        <w:rPr>
          <w:rFonts w:ascii="Times New Roman" w:hAnsi="Times New Roman" w:cs="Times New Roman"/>
          <w:sz w:val="24"/>
          <w:szCs w:val="24"/>
        </w:rPr>
        <w:t xml:space="preserve"> It is also noted that Hoegaerts and Schönenberger (2019) and Perri et al. (2025) converge on OEM data monopolies reinforcing incumbency, yet this overlooks potential regulatory counter-movements (such as EU data openness ambitions in Cornet et al., 2023), revealing a tension between industry practice and policy intent."</w:t>
      </w:r>
    </w:p>
    <w:p w14:paraId="76B87EF2" w14:textId="39DF1113"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consequences of these data asymmetries extend beyond competition and into knowledge accessibility, as Endrődi-Kovács and Stukovszky (2022) demonstrate that Hungarian SMEs lack both access to industrial data streams and the capital to fully adopt digital systems, and this results in technological stagnation. In this sense, SMEs do not merely lack the tools for digital transformation, but also the data ecosystems that would allow them to participate technically. With OEMs monopolizing informational resources, the gap between digital-capable and </w:t>
      </w:r>
      <w:r w:rsidR="00FA200C" w:rsidRPr="00C04179">
        <w:rPr>
          <w:rFonts w:ascii="Times New Roman" w:hAnsi="Times New Roman" w:cs="Times New Roman"/>
          <w:sz w:val="24"/>
          <w:szCs w:val="24"/>
        </w:rPr>
        <w:t>digitally excluded</w:t>
      </w:r>
      <w:r w:rsidRPr="00C04179">
        <w:rPr>
          <w:rFonts w:ascii="Times New Roman" w:hAnsi="Times New Roman" w:cs="Times New Roman"/>
          <w:sz w:val="24"/>
          <w:szCs w:val="24"/>
        </w:rPr>
        <w:t xml:space="preserve"> firms widens and this is not because of engineering deficiencies but due to asymmetric access to information. Collectively, it can be seen that data control is becoming the core axis of industrial power, and digital transformation in the automotive industry evolves through both technological advancements and political-economic struggles over information sovereignty. Thus, </w:t>
      </w:r>
      <w:r w:rsidRPr="00C04179">
        <w:rPr>
          <w:rFonts w:ascii="Times New Roman" w:hAnsi="Times New Roman" w:cs="Times New Roman"/>
          <w:sz w:val="24"/>
          <w:szCs w:val="24"/>
        </w:rPr>
        <w:lastRenderedPageBreak/>
        <w:t>the governance of data is what determines who participates, who profits, and who has the authority to define the technological future of mobility.</w:t>
      </w:r>
    </w:p>
    <w:p w14:paraId="31BB5C11" w14:textId="6FD80A01" w:rsidR="00F615F9" w:rsidRPr="00C04179" w:rsidRDefault="00F615F9" w:rsidP="00C21670">
      <w:pPr>
        <w:pStyle w:val="Heading3"/>
        <w:jc w:val="both"/>
        <w:rPr>
          <w:rFonts w:ascii="Times New Roman" w:hAnsi="Times New Roman" w:cs="Times New Roman"/>
          <w:b/>
          <w:color w:val="000000" w:themeColor="text1"/>
        </w:rPr>
      </w:pPr>
      <w:bookmarkStart w:id="35" w:name="_Toc220925421"/>
      <w:r w:rsidRPr="00C04179">
        <w:rPr>
          <w:rFonts w:ascii="Times New Roman" w:hAnsi="Times New Roman" w:cs="Times New Roman"/>
          <w:b/>
          <w:color w:val="000000" w:themeColor="text1"/>
        </w:rPr>
        <w:t>Table 2.1 Conceptual Framework</w:t>
      </w:r>
      <w:bookmarkEnd w:id="35"/>
      <w:r w:rsidRPr="00C04179">
        <w:rPr>
          <w:rFonts w:ascii="Times New Roman" w:hAnsi="Times New Roman" w:cs="Times New Roman"/>
          <w:b/>
          <w:color w:val="000000" w:themeColor="text1"/>
        </w:rPr>
        <w:t xml:space="preserve"> </w:t>
      </w:r>
    </w:p>
    <w:p w14:paraId="4E04B11D" w14:textId="7AD72CD5" w:rsidR="00F615F9" w:rsidRPr="00C04179" w:rsidRDefault="00F615F9" w:rsidP="00C21670">
      <w:pPr>
        <w:spacing w:after="0" w:line="480" w:lineRule="auto"/>
        <w:jc w:val="both"/>
        <w:rPr>
          <w:rFonts w:ascii="Times New Roman" w:hAnsi="Times New Roman" w:cs="Times New Roman"/>
          <w:b/>
          <w:sz w:val="24"/>
          <w:szCs w:val="24"/>
        </w:rPr>
      </w:pPr>
      <w:r w:rsidRPr="00C04179">
        <w:rPr>
          <w:rFonts w:ascii="Times New Roman" w:hAnsi="Times New Roman" w:cs="Times New Roman"/>
          <w:b/>
          <w:sz w:val="24"/>
          <w:szCs w:val="24"/>
        </w:rPr>
        <w:t>Key themes in Digital Transformation and Implications for SMEs, Peripheral Regions, and Competition</w:t>
      </w:r>
    </w:p>
    <w:tbl>
      <w:tblPr>
        <w:tblStyle w:val="TableGrid"/>
        <w:tblW w:w="0" w:type="auto"/>
        <w:tblLook w:val="04A0" w:firstRow="1" w:lastRow="0" w:firstColumn="1" w:lastColumn="0" w:noHBand="0" w:noVBand="1"/>
      </w:tblPr>
      <w:tblGrid>
        <w:gridCol w:w="1534"/>
        <w:gridCol w:w="2130"/>
        <w:gridCol w:w="1781"/>
        <w:gridCol w:w="1710"/>
        <w:gridCol w:w="2195"/>
      </w:tblGrid>
      <w:tr w:rsidR="00DC15E8" w:rsidRPr="00C04179" w14:paraId="0A1A8F6C" w14:textId="77777777" w:rsidTr="00DC15E8">
        <w:trPr>
          <w:trHeight w:val="1683"/>
        </w:trPr>
        <w:tc>
          <w:tcPr>
            <w:tcW w:w="1521" w:type="dxa"/>
          </w:tcPr>
          <w:p w14:paraId="22A6ADC0" w14:textId="604AEF1A"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 xml:space="preserve">Theme </w:t>
            </w:r>
          </w:p>
        </w:tc>
        <w:tc>
          <w:tcPr>
            <w:tcW w:w="2125" w:type="dxa"/>
          </w:tcPr>
          <w:p w14:paraId="6F64719E" w14:textId="030B005B"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Core Description (Synthesized from Sources)</w:t>
            </w:r>
          </w:p>
        </w:tc>
        <w:tc>
          <w:tcPr>
            <w:tcW w:w="1777" w:type="dxa"/>
          </w:tcPr>
          <w:p w14:paraId="7AE2BE6F" w14:textId="7B9B8978"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Implications for SME</w:t>
            </w:r>
            <w:r w:rsidR="00DC15E8" w:rsidRPr="00C04179">
              <w:rPr>
                <w:rFonts w:ascii="Times New Roman" w:hAnsi="Times New Roman" w:cs="Times New Roman"/>
                <w:b/>
                <w:sz w:val="24"/>
                <w:szCs w:val="24"/>
              </w:rPr>
              <w:t>s</w:t>
            </w:r>
          </w:p>
          <w:p w14:paraId="7B67B68D" w14:textId="77777777" w:rsidR="00F615F9" w:rsidRPr="00C04179" w:rsidRDefault="00F615F9" w:rsidP="00C21670">
            <w:pPr>
              <w:jc w:val="both"/>
              <w:rPr>
                <w:rFonts w:ascii="Times New Roman" w:hAnsi="Times New Roman" w:cs="Times New Roman"/>
                <w:b/>
                <w:sz w:val="24"/>
                <w:szCs w:val="24"/>
              </w:rPr>
            </w:pPr>
          </w:p>
        </w:tc>
        <w:tc>
          <w:tcPr>
            <w:tcW w:w="1706" w:type="dxa"/>
          </w:tcPr>
          <w:p w14:paraId="54D33EAD" w14:textId="1A496821"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Implications for Peripheral Regions</w:t>
            </w:r>
          </w:p>
        </w:tc>
        <w:tc>
          <w:tcPr>
            <w:tcW w:w="2189" w:type="dxa"/>
          </w:tcPr>
          <w:p w14:paraId="47184BA3" w14:textId="2E4D91BA"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Implications for Competition</w:t>
            </w:r>
          </w:p>
        </w:tc>
      </w:tr>
      <w:tr w:rsidR="00DC15E8" w:rsidRPr="00C04179" w14:paraId="0A03D3D1" w14:textId="77777777" w:rsidTr="00DC15E8">
        <w:trPr>
          <w:trHeight w:val="3472"/>
        </w:trPr>
        <w:tc>
          <w:tcPr>
            <w:tcW w:w="1521" w:type="dxa"/>
          </w:tcPr>
          <w:p w14:paraId="0D70691E" w14:textId="3246BB1E"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1. Digital Transformation as a Structural Shift</w:t>
            </w:r>
          </w:p>
          <w:p w14:paraId="37FCE898" w14:textId="77777777" w:rsidR="00F615F9" w:rsidRPr="00C04179" w:rsidRDefault="00F615F9" w:rsidP="00C21670">
            <w:pPr>
              <w:jc w:val="both"/>
              <w:rPr>
                <w:rFonts w:ascii="Times New Roman" w:hAnsi="Times New Roman" w:cs="Times New Roman"/>
                <w:sz w:val="24"/>
                <w:szCs w:val="24"/>
              </w:rPr>
            </w:pPr>
          </w:p>
        </w:tc>
        <w:tc>
          <w:tcPr>
            <w:tcW w:w="2125" w:type="dxa"/>
          </w:tcPr>
          <w:p w14:paraId="7C73D832" w14:textId="3FCEADBE"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Shift to smart systems, tech convergence (AI, IoT, connectivity), operational flexibility; barriers include legacy inertia and skill shortages (Llopis-Albert et al., 2021; Koelmel et al., 2025; Winkelhake, 2019).</w:t>
            </w:r>
          </w:p>
        </w:tc>
        <w:tc>
          <w:tcPr>
            <w:tcW w:w="1777" w:type="dxa"/>
          </w:tcPr>
          <w:p w14:paraId="0C58E51A" w14:textId="5913805A"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Selective/reactive adoption due to capital and competency limits; risk of stagnation without external support (Endrődi-Kovács and Stukovszky, 2022).</w:t>
            </w:r>
          </w:p>
          <w:p w14:paraId="0339F339" w14:textId="77777777" w:rsidR="00F615F9" w:rsidRPr="00C04179" w:rsidRDefault="00F615F9" w:rsidP="00C21670">
            <w:pPr>
              <w:jc w:val="both"/>
              <w:rPr>
                <w:rFonts w:ascii="Times New Roman" w:hAnsi="Times New Roman" w:cs="Times New Roman"/>
                <w:sz w:val="24"/>
                <w:szCs w:val="24"/>
              </w:rPr>
            </w:pPr>
          </w:p>
        </w:tc>
        <w:tc>
          <w:tcPr>
            <w:tcW w:w="1706" w:type="dxa"/>
          </w:tcPr>
          <w:p w14:paraId="61348B53" w14:textId="0F42C62D"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Slower uptake due to infrastructure gaps and lower digital maturity; reinforces dependency on core hubs (Cornet et al., 2023).</w:t>
            </w:r>
          </w:p>
        </w:tc>
        <w:tc>
          <w:tcPr>
            <w:tcW w:w="2189" w:type="dxa"/>
          </w:tcPr>
          <w:p w14:paraId="37D1E325" w14:textId="281221B2"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Widens gap: Incumbents/large firms gain efficiency/flexibility advantages; SMEs/peripherals face exclusion from advanced value chains.</w:t>
            </w:r>
          </w:p>
        </w:tc>
      </w:tr>
      <w:tr w:rsidR="00DC15E8" w:rsidRPr="00C04179" w14:paraId="466D39D3" w14:textId="77777777" w:rsidTr="00DC15E8">
        <w:trPr>
          <w:trHeight w:val="2676"/>
        </w:trPr>
        <w:tc>
          <w:tcPr>
            <w:tcW w:w="1521" w:type="dxa"/>
          </w:tcPr>
          <w:p w14:paraId="3F9218AE"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2. Strategic Adaptation, Market Positioning, and Competitive Restructuring</w:t>
            </w:r>
          </w:p>
          <w:p w14:paraId="4FE1B671" w14:textId="77777777" w:rsidR="00F615F9" w:rsidRPr="00C04179" w:rsidRDefault="00F615F9" w:rsidP="00C21670">
            <w:pPr>
              <w:jc w:val="both"/>
              <w:rPr>
                <w:rFonts w:ascii="Times New Roman" w:hAnsi="Times New Roman" w:cs="Times New Roman"/>
                <w:sz w:val="24"/>
                <w:szCs w:val="24"/>
              </w:rPr>
            </w:pPr>
          </w:p>
        </w:tc>
        <w:tc>
          <w:tcPr>
            <w:tcW w:w="2125" w:type="dxa"/>
          </w:tcPr>
          <w:p w14:paraId="727F65CB" w14:textId="4DD4A941"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Digital ecosystems, data-driven R&amp;D, redefined sourcing, shift from scale to software/data control (Chen, 2025; Xi and Zhao, 2023; Görçün et al., 2024).</w:t>
            </w:r>
          </w:p>
          <w:p w14:paraId="2120EBC3" w14:textId="77777777" w:rsidR="00F615F9" w:rsidRPr="00C04179" w:rsidRDefault="00F615F9" w:rsidP="00C21670">
            <w:pPr>
              <w:jc w:val="both"/>
              <w:rPr>
                <w:rFonts w:ascii="Times New Roman" w:hAnsi="Times New Roman" w:cs="Times New Roman"/>
                <w:sz w:val="24"/>
                <w:szCs w:val="24"/>
              </w:rPr>
            </w:pPr>
          </w:p>
        </w:tc>
        <w:tc>
          <w:tcPr>
            <w:tcW w:w="1777" w:type="dxa"/>
          </w:tcPr>
          <w:p w14:paraId="5CDE5B79"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Difficulty integrating into digital supply networks; judged on digital compatibility rather than cost alone.</w:t>
            </w:r>
          </w:p>
          <w:p w14:paraId="07016219" w14:textId="77777777" w:rsidR="00F615F9" w:rsidRPr="00C04179" w:rsidRDefault="00F615F9" w:rsidP="00C21670">
            <w:pPr>
              <w:jc w:val="both"/>
              <w:rPr>
                <w:rFonts w:ascii="Times New Roman" w:hAnsi="Times New Roman" w:cs="Times New Roman"/>
                <w:sz w:val="24"/>
                <w:szCs w:val="24"/>
              </w:rPr>
            </w:pPr>
          </w:p>
        </w:tc>
        <w:tc>
          <w:tcPr>
            <w:tcW w:w="1706" w:type="dxa"/>
          </w:tcPr>
          <w:p w14:paraId="313A182E"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Limited access to agile ecosystems (e.g., China vs. Europe/Spain); hinders repositioning against global players.</w:t>
            </w:r>
          </w:p>
          <w:p w14:paraId="5B1D0CC8" w14:textId="77777777" w:rsidR="00F615F9" w:rsidRPr="00C04179" w:rsidRDefault="00F615F9" w:rsidP="00C21670">
            <w:pPr>
              <w:jc w:val="both"/>
              <w:rPr>
                <w:rFonts w:ascii="Times New Roman" w:hAnsi="Times New Roman" w:cs="Times New Roman"/>
                <w:sz w:val="24"/>
                <w:szCs w:val="24"/>
              </w:rPr>
            </w:pPr>
          </w:p>
        </w:tc>
        <w:tc>
          <w:tcPr>
            <w:tcW w:w="2189" w:type="dxa"/>
          </w:tcPr>
          <w:p w14:paraId="76EA9D49" w14:textId="1E0E452F"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Shifts hierarchies: Incumbents defend via vertical control; agile entrants (e.g., Li Auto) disrupt via platforms; SMEs marginalized in aftermarket/innovation.</w:t>
            </w:r>
          </w:p>
          <w:p w14:paraId="04803B3D" w14:textId="77777777" w:rsidR="00F615F9" w:rsidRPr="00C04179" w:rsidRDefault="00F615F9" w:rsidP="00C21670">
            <w:pPr>
              <w:jc w:val="both"/>
              <w:rPr>
                <w:rFonts w:ascii="Times New Roman" w:hAnsi="Times New Roman" w:cs="Times New Roman"/>
                <w:sz w:val="24"/>
                <w:szCs w:val="24"/>
              </w:rPr>
            </w:pPr>
          </w:p>
        </w:tc>
      </w:tr>
      <w:tr w:rsidR="00DC15E8" w:rsidRPr="00C04179" w14:paraId="35B603C1" w14:textId="77777777" w:rsidTr="00DC15E8">
        <w:trPr>
          <w:trHeight w:val="543"/>
        </w:trPr>
        <w:tc>
          <w:tcPr>
            <w:tcW w:w="1521" w:type="dxa"/>
          </w:tcPr>
          <w:p w14:paraId="121C0609"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3. Innovation and Knowledge Evolution</w:t>
            </w:r>
          </w:p>
          <w:p w14:paraId="67502300" w14:textId="77777777" w:rsidR="00F615F9" w:rsidRPr="00C04179" w:rsidRDefault="00F615F9" w:rsidP="00C21670">
            <w:pPr>
              <w:jc w:val="both"/>
              <w:rPr>
                <w:rFonts w:ascii="Times New Roman" w:hAnsi="Times New Roman" w:cs="Times New Roman"/>
                <w:sz w:val="24"/>
                <w:szCs w:val="24"/>
              </w:rPr>
            </w:pPr>
          </w:p>
        </w:tc>
        <w:tc>
          <w:tcPr>
            <w:tcW w:w="2125" w:type="dxa"/>
          </w:tcPr>
          <w:p w14:paraId="085B9E8E" w14:textId="2CBB80FB"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 xml:space="preserve">Collaborative, continuous, AI-integrated models; diversified/fragmented knowledge bases protecting incumbents but opening niches </w:t>
            </w:r>
            <w:r w:rsidRPr="00C04179">
              <w:rPr>
                <w:rFonts w:ascii="Times New Roman" w:hAnsi="Times New Roman" w:cs="Times New Roman"/>
                <w:sz w:val="24"/>
                <w:szCs w:val="24"/>
              </w:rPr>
              <w:lastRenderedPageBreak/>
              <w:t>(Braidy et al., 2025; Men et al., 2023; Perri et al., 2025).</w:t>
            </w:r>
          </w:p>
        </w:tc>
        <w:tc>
          <w:tcPr>
            <w:tcW w:w="1777" w:type="dxa"/>
          </w:tcPr>
          <w:p w14:paraId="162483D8"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lastRenderedPageBreak/>
              <w:t>Lack of R&amp;D networks/partners; reliance on selective adoption limits continuous learning.</w:t>
            </w:r>
          </w:p>
          <w:p w14:paraId="3DDE621C" w14:textId="77777777" w:rsidR="00F615F9" w:rsidRPr="00C04179" w:rsidRDefault="00F615F9" w:rsidP="00C21670">
            <w:pPr>
              <w:jc w:val="both"/>
              <w:rPr>
                <w:rFonts w:ascii="Times New Roman" w:hAnsi="Times New Roman" w:cs="Times New Roman"/>
                <w:sz w:val="24"/>
                <w:szCs w:val="24"/>
              </w:rPr>
            </w:pPr>
          </w:p>
        </w:tc>
        <w:tc>
          <w:tcPr>
            <w:tcW w:w="1706" w:type="dxa"/>
          </w:tcPr>
          <w:p w14:paraId="3D0D184D"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Underrepresented in cross-sector knowledge flows; post-Covid gaps in electromobility upgrading.</w:t>
            </w:r>
          </w:p>
          <w:p w14:paraId="1766B2AD" w14:textId="77777777" w:rsidR="00F615F9" w:rsidRPr="00C04179" w:rsidRDefault="00F615F9" w:rsidP="00C21670">
            <w:pPr>
              <w:jc w:val="both"/>
              <w:rPr>
                <w:rFonts w:ascii="Times New Roman" w:hAnsi="Times New Roman" w:cs="Times New Roman"/>
                <w:sz w:val="24"/>
                <w:szCs w:val="24"/>
              </w:rPr>
            </w:pPr>
          </w:p>
        </w:tc>
        <w:tc>
          <w:tcPr>
            <w:tcW w:w="2189" w:type="dxa"/>
          </w:tcPr>
          <w:p w14:paraId="3A64B00A" w14:textId="5D9E238F"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Incumbents leverage patents/knowledge capital for dominance; new </w:t>
            </w:r>
            <w:r w:rsidR="00DC15E8" w:rsidRPr="00C04179">
              <w:rPr>
                <w:rFonts w:ascii="Times New Roman" w:hAnsi="Times New Roman" w:cs="Times New Roman"/>
                <w:sz w:val="24"/>
                <w:szCs w:val="24"/>
              </w:rPr>
              <w:t>entrants’</w:t>
            </w:r>
            <w:r w:rsidRPr="00C04179">
              <w:rPr>
                <w:rFonts w:ascii="Times New Roman" w:hAnsi="Times New Roman" w:cs="Times New Roman"/>
                <w:sz w:val="24"/>
                <w:szCs w:val="24"/>
              </w:rPr>
              <w:t xml:space="preserve"> fragment via software IP; SMEs need incubators for entry.</w:t>
            </w:r>
          </w:p>
          <w:p w14:paraId="59E15CE8" w14:textId="77777777" w:rsidR="00F615F9" w:rsidRPr="00C04179" w:rsidRDefault="00F615F9" w:rsidP="00C21670">
            <w:pPr>
              <w:jc w:val="both"/>
              <w:rPr>
                <w:rFonts w:ascii="Times New Roman" w:hAnsi="Times New Roman" w:cs="Times New Roman"/>
                <w:sz w:val="24"/>
                <w:szCs w:val="24"/>
              </w:rPr>
            </w:pPr>
          </w:p>
        </w:tc>
      </w:tr>
      <w:tr w:rsidR="00DC15E8" w:rsidRPr="00C04179" w14:paraId="5950D209" w14:textId="77777777" w:rsidTr="00DC15E8">
        <w:trPr>
          <w:trHeight w:val="3210"/>
        </w:trPr>
        <w:tc>
          <w:tcPr>
            <w:tcW w:w="1521" w:type="dxa"/>
          </w:tcPr>
          <w:p w14:paraId="442D9FF3"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lastRenderedPageBreak/>
              <w:t>4. Labour and Workforce Restructuring</w:t>
            </w:r>
          </w:p>
          <w:p w14:paraId="22BAC3EE" w14:textId="77777777" w:rsidR="00F615F9" w:rsidRPr="00C04179" w:rsidRDefault="00F615F9" w:rsidP="00C21670">
            <w:pPr>
              <w:jc w:val="both"/>
              <w:rPr>
                <w:rFonts w:ascii="Times New Roman" w:hAnsi="Times New Roman" w:cs="Times New Roman"/>
                <w:sz w:val="24"/>
                <w:szCs w:val="24"/>
              </w:rPr>
            </w:pPr>
          </w:p>
        </w:tc>
        <w:tc>
          <w:tcPr>
            <w:tcW w:w="2125" w:type="dxa"/>
          </w:tcPr>
          <w:p w14:paraId="4FD33022"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Skill polarization, algorithmic oversight, high-skilled job growth in mature clusters; asymmetric opportunities (Winkelhake, 2019; Men et al., 2023; Braidy et al., 2025).</w:t>
            </w:r>
          </w:p>
          <w:p w14:paraId="71FB3981" w14:textId="77777777" w:rsidR="00F615F9" w:rsidRPr="00C04179" w:rsidRDefault="00F615F9" w:rsidP="00C21670">
            <w:pPr>
              <w:jc w:val="both"/>
              <w:rPr>
                <w:rFonts w:ascii="Times New Roman" w:hAnsi="Times New Roman" w:cs="Times New Roman"/>
                <w:sz w:val="24"/>
                <w:szCs w:val="24"/>
              </w:rPr>
            </w:pPr>
          </w:p>
        </w:tc>
        <w:tc>
          <w:tcPr>
            <w:tcW w:w="1777" w:type="dxa"/>
          </w:tcPr>
          <w:p w14:paraId="3832345C"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Fewer resources for upskilling/hybrid roles; risk of obsolescence and job instability.</w:t>
            </w:r>
          </w:p>
          <w:p w14:paraId="4DDA04F8" w14:textId="77777777" w:rsidR="00F615F9" w:rsidRPr="00C04179" w:rsidRDefault="00F615F9" w:rsidP="00C21670">
            <w:pPr>
              <w:jc w:val="both"/>
              <w:rPr>
                <w:rFonts w:ascii="Times New Roman" w:hAnsi="Times New Roman" w:cs="Times New Roman"/>
                <w:sz w:val="24"/>
                <w:szCs w:val="24"/>
              </w:rPr>
            </w:pPr>
          </w:p>
        </w:tc>
        <w:tc>
          <w:tcPr>
            <w:tcW w:w="1706" w:type="dxa"/>
          </w:tcPr>
          <w:p w14:paraId="17318992"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Concentration in advanced regions (e.g., Germany); peripheral areas (e.g., Spain/Eastern Europe) face stagnation and segmentation.</w:t>
            </w:r>
          </w:p>
          <w:p w14:paraId="3FFD88B8" w14:textId="77777777" w:rsidR="00F615F9" w:rsidRPr="00C04179" w:rsidRDefault="00F615F9" w:rsidP="00C21670">
            <w:pPr>
              <w:jc w:val="both"/>
              <w:rPr>
                <w:rFonts w:ascii="Times New Roman" w:hAnsi="Times New Roman" w:cs="Times New Roman"/>
                <w:sz w:val="24"/>
                <w:szCs w:val="24"/>
              </w:rPr>
            </w:pPr>
          </w:p>
        </w:tc>
        <w:tc>
          <w:tcPr>
            <w:tcW w:w="2189" w:type="dxa"/>
          </w:tcPr>
          <w:p w14:paraId="3149BA8C"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Reinforces divides: Knowledge-intensive jobs cluster in cores; peripherals/SMEs see wage/skill polarization, reducing attractiveness.</w:t>
            </w:r>
          </w:p>
          <w:p w14:paraId="7C72C086" w14:textId="77777777" w:rsidR="00F615F9" w:rsidRPr="00C04179" w:rsidRDefault="00F615F9" w:rsidP="00C21670">
            <w:pPr>
              <w:jc w:val="both"/>
              <w:rPr>
                <w:rFonts w:ascii="Times New Roman" w:hAnsi="Times New Roman" w:cs="Times New Roman"/>
                <w:sz w:val="24"/>
                <w:szCs w:val="24"/>
              </w:rPr>
            </w:pPr>
          </w:p>
        </w:tc>
      </w:tr>
      <w:tr w:rsidR="00DC15E8" w:rsidRPr="00C04179" w14:paraId="11E65A5C" w14:textId="77777777" w:rsidTr="00DC15E8">
        <w:trPr>
          <w:trHeight w:val="3210"/>
        </w:trPr>
        <w:tc>
          <w:tcPr>
            <w:tcW w:w="1521" w:type="dxa"/>
          </w:tcPr>
          <w:p w14:paraId="019E7CFC" w14:textId="7DEDD67C"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5. Standardization Conflicts and Power Asymmetries</w:t>
            </w:r>
          </w:p>
          <w:p w14:paraId="3949007E" w14:textId="77777777" w:rsidR="00DC15E8" w:rsidRPr="00C04179" w:rsidRDefault="00DC15E8" w:rsidP="00C21670">
            <w:pPr>
              <w:jc w:val="both"/>
              <w:rPr>
                <w:rFonts w:ascii="Times New Roman" w:hAnsi="Times New Roman" w:cs="Times New Roman"/>
                <w:sz w:val="24"/>
                <w:szCs w:val="24"/>
              </w:rPr>
            </w:pPr>
          </w:p>
        </w:tc>
        <w:tc>
          <w:tcPr>
            <w:tcW w:w="2125" w:type="dxa"/>
          </w:tcPr>
          <w:p w14:paraId="48D025A0" w14:textId="607037DE"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OEM data enclosure (ExVe models), proprietary control vs. openness; regulatory tensions (Hoegaerts and Schönenberger, 2019; Perri et al., 2025; Cornet et al., 2023).</w:t>
            </w:r>
          </w:p>
          <w:p w14:paraId="40A4A150" w14:textId="77777777" w:rsidR="00DC15E8" w:rsidRPr="00C04179" w:rsidRDefault="00DC15E8" w:rsidP="00C21670">
            <w:pPr>
              <w:jc w:val="both"/>
              <w:rPr>
                <w:rFonts w:ascii="Times New Roman" w:hAnsi="Times New Roman" w:cs="Times New Roman"/>
                <w:sz w:val="24"/>
                <w:szCs w:val="24"/>
              </w:rPr>
            </w:pPr>
          </w:p>
        </w:tc>
        <w:tc>
          <w:tcPr>
            <w:tcW w:w="1777" w:type="dxa"/>
          </w:tcPr>
          <w:p w14:paraId="06CD551B" w14:textId="5EF04F12"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Limited data access stifles participation in ecosystems; exacerbates exclusion from services/repairs.</w:t>
            </w:r>
          </w:p>
        </w:tc>
        <w:tc>
          <w:tcPr>
            <w:tcW w:w="1706" w:type="dxa"/>
          </w:tcPr>
          <w:p w14:paraId="0E469486" w14:textId="02E994E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Widens technological marginalization; SMEs in peripherals lack data streams for innovation.</w:t>
            </w:r>
          </w:p>
        </w:tc>
        <w:tc>
          <w:tcPr>
            <w:tcW w:w="2189" w:type="dxa"/>
          </w:tcPr>
          <w:p w14:paraId="44BC967F" w14:textId="179FE2EB"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Centralizes power: Incumbents monetize/control data; restricts third parties/SMEs; shapes who defines mobility future.</w:t>
            </w:r>
          </w:p>
        </w:tc>
      </w:tr>
    </w:tbl>
    <w:p w14:paraId="2EE515C0" w14:textId="77777777" w:rsidR="00F615F9" w:rsidRPr="00C04179" w:rsidRDefault="00F615F9" w:rsidP="00C21670">
      <w:pPr>
        <w:spacing w:after="0" w:line="240" w:lineRule="auto"/>
        <w:jc w:val="both"/>
        <w:rPr>
          <w:rFonts w:ascii="Times New Roman" w:hAnsi="Times New Roman" w:cs="Times New Roman"/>
          <w:sz w:val="24"/>
          <w:szCs w:val="24"/>
        </w:rPr>
      </w:pPr>
    </w:p>
    <w:p w14:paraId="1EEB08FF" w14:textId="77777777" w:rsidR="003D4D69" w:rsidRPr="00C04179" w:rsidRDefault="003D4D69" w:rsidP="00C21670">
      <w:pPr>
        <w:pStyle w:val="Heading2"/>
        <w:jc w:val="both"/>
        <w:rPr>
          <w:rFonts w:ascii="Times New Roman" w:hAnsi="Times New Roman" w:cs="Times New Roman"/>
          <w:b/>
          <w:color w:val="auto"/>
          <w:sz w:val="24"/>
          <w:szCs w:val="24"/>
        </w:rPr>
      </w:pPr>
      <w:bookmarkStart w:id="36" w:name="_Toc214847523"/>
      <w:bookmarkStart w:id="37" w:name="_Toc220925422"/>
      <w:r w:rsidRPr="00C04179">
        <w:rPr>
          <w:rFonts w:ascii="Times New Roman" w:hAnsi="Times New Roman" w:cs="Times New Roman"/>
          <w:b/>
          <w:color w:val="auto"/>
          <w:sz w:val="24"/>
          <w:szCs w:val="24"/>
        </w:rPr>
        <w:t>Case Studies</w:t>
      </w:r>
      <w:bookmarkEnd w:id="36"/>
      <w:bookmarkEnd w:id="37"/>
    </w:p>
    <w:p w14:paraId="39C4D483"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diversity of digital transformation pathways becomes more visible when examined through individual organisation case studies, because transformation is not merely homogenous but a mosaic of company strategies shaped by corporate history, technological orientation, market strategy, and the regulatory environment.</w:t>
      </w:r>
    </w:p>
    <w:p w14:paraId="4F197011" w14:textId="2E24F608" w:rsidR="003D4D69" w:rsidRPr="00C04179" w:rsidRDefault="003D4D69" w:rsidP="00C21670">
      <w:pPr>
        <w:pStyle w:val="Heading3"/>
        <w:jc w:val="both"/>
        <w:rPr>
          <w:rFonts w:ascii="Times New Roman" w:hAnsi="Times New Roman" w:cs="Times New Roman"/>
          <w:b/>
          <w:color w:val="auto"/>
        </w:rPr>
      </w:pPr>
      <w:bookmarkStart w:id="38" w:name="_Toc220925423"/>
      <w:r w:rsidRPr="00C04179">
        <w:rPr>
          <w:rFonts w:ascii="Times New Roman" w:hAnsi="Times New Roman" w:cs="Times New Roman"/>
          <w:b/>
          <w:color w:val="auto"/>
        </w:rPr>
        <w:t>Volkswagen (VW) Group</w:t>
      </w:r>
      <w:bookmarkEnd w:id="38"/>
    </w:p>
    <w:p w14:paraId="1DED2B26"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Volkswagen (VW) Group is a befitting example of a gradual yet heavily resources model of digital transformation in which technology adoption is layered into firm legacy structures rather than abruptly replacing them. Xi and Zhao (2023) show that VW deploys structured system-building around ERP and manufacturing execution system (MES) integration, which helps control </w:t>
      </w:r>
      <w:r w:rsidRPr="00C04179">
        <w:rPr>
          <w:rFonts w:ascii="Times New Roman" w:hAnsi="Times New Roman" w:cs="Times New Roman"/>
          <w:sz w:val="24"/>
          <w:szCs w:val="24"/>
        </w:rPr>
        <w:lastRenderedPageBreak/>
        <w:t xml:space="preserve">digital data flows from production to procurement and vehicle functionality. One of VW’s strongest assets is its ability to leverage centralized digital coordination for optimizing its supply chain, particularly for electric vehicle (EV) components such as battery supply and charging infrastructure. VW’s control over this chain gives it economies of scale advantages in terms of sourcing, production, and logistics, and this is a technological-structural advantage that smaller automakers cannot replace. </w:t>
      </w:r>
    </w:p>
    <w:p w14:paraId="2E9D04A8" w14:textId="3196C03E"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VW also embeds digital transformation into customer services through mobile app integration and interconnected platforms, indicating a dual-sided digital transformation where both production and market interaction are both digitalized (Xi and Zhao, 2023). In conjunction, government regulatory support toward intelligent vehicles and smart mobility standards in Europe has accelerated the roll-out of cellular-vehicle-to-everything (C-V2X) and wireless communication infrastructure, and this enables VW to integrate real-time data services like predictive diagnostics and remote updates</w:t>
      </w:r>
      <w:r w:rsidR="006F59CC" w:rsidRPr="00C04179">
        <w:rPr>
          <w:rFonts w:ascii="Times New Roman" w:hAnsi="Times New Roman" w:cs="Times New Roman"/>
          <w:sz w:val="24"/>
          <w:szCs w:val="24"/>
        </w:rPr>
        <w:t xml:space="preserve"> (Xi and Zhao, 2023)</w:t>
      </w:r>
    </w:p>
    <w:p w14:paraId="58C86F2E" w14:textId="526BE4F0"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VW’s transformation is thus characterized by strong institutional alignment in the sense that technological capability is supported by regulatory frameworks that favor large-scale innovation in a consistent manner. However, this model shows there is a dependency on capital-intensive transformation and this means that transformation speed is based on capital reserves, institutional influence, and access to regulatory networks. This contradicts with more agile innovation models as will be seen in Li Auto</w:t>
      </w:r>
      <w:r w:rsidR="006F59CC" w:rsidRPr="00C04179">
        <w:rPr>
          <w:rFonts w:ascii="Times New Roman" w:hAnsi="Times New Roman" w:cs="Times New Roman"/>
          <w:sz w:val="24"/>
          <w:szCs w:val="24"/>
        </w:rPr>
        <w:t xml:space="preserve"> (Chen, 2025)</w:t>
      </w:r>
      <w:r w:rsidR="008A2D15" w:rsidRPr="00C04179">
        <w:rPr>
          <w:rFonts w:ascii="Times New Roman" w:hAnsi="Times New Roman" w:cs="Times New Roman"/>
          <w:sz w:val="24"/>
          <w:szCs w:val="24"/>
        </w:rPr>
        <w:t xml:space="preserve">. </w:t>
      </w:r>
      <w:r w:rsidRPr="00C04179">
        <w:rPr>
          <w:rFonts w:ascii="Times New Roman" w:hAnsi="Times New Roman" w:cs="Times New Roman"/>
          <w:sz w:val="24"/>
          <w:szCs w:val="24"/>
        </w:rPr>
        <w:t>The VW case study shows that legacy or incumbent manufacturers evolve through accumulative and not disruptive digitalization, which is transformation of organisational DNA without discarding it.</w:t>
      </w:r>
    </w:p>
    <w:p w14:paraId="1C5E22DC" w14:textId="77777777" w:rsidR="003D4D69" w:rsidRPr="00C04179" w:rsidRDefault="003D4D69" w:rsidP="00C21670">
      <w:pPr>
        <w:pStyle w:val="Heading3"/>
        <w:jc w:val="both"/>
        <w:rPr>
          <w:rFonts w:ascii="Times New Roman" w:hAnsi="Times New Roman" w:cs="Times New Roman"/>
          <w:b/>
          <w:color w:val="auto"/>
        </w:rPr>
      </w:pPr>
      <w:bookmarkStart w:id="39" w:name="_Toc220925424"/>
      <w:r w:rsidRPr="00C04179">
        <w:rPr>
          <w:rFonts w:ascii="Times New Roman" w:hAnsi="Times New Roman" w:cs="Times New Roman"/>
          <w:b/>
          <w:color w:val="auto"/>
        </w:rPr>
        <w:t>General Motors (GM) vs. Volkswagen (VW)</w:t>
      </w:r>
      <w:bookmarkEnd w:id="39"/>
    </w:p>
    <w:p w14:paraId="626C2205"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Comparatively, this frame illustrates how different incumbents strategically interpret digital transformation, as Xi and Zhao (2023) show that GM emphasizes environmental, market, </w:t>
      </w:r>
      <w:r w:rsidRPr="00C04179">
        <w:rPr>
          <w:rFonts w:ascii="Times New Roman" w:hAnsi="Times New Roman" w:cs="Times New Roman"/>
          <w:sz w:val="24"/>
          <w:szCs w:val="24"/>
        </w:rPr>
        <w:lastRenderedPageBreak/>
        <w:t>and geopolitical factors under the United States (US) regulatory pressures, in addition to investor expectations for technological scaling, and the competitive presence of Tesla. GM’s boundary of transformation is set around developing revenue through digital services such as subscription-based telematics and over-the-air (OTA) upgrades. By contrast, VW focuses on extracting operational efficiencies via centralized organisational digital control. While both firms engage in electrification, their digital philosophies are still very divergent since VW internalizes through vertical control of supply and manufacturing while GM externalizes through monetization of data generated during vehicle life cycles (Xi and Zhao, 2023). This difference echoes the broader difference between production-centric and platform-centric digital models. Both firms confront similar structural challenges which include talent acquisition for AI and software roles, interoperability conflicts between legacy systems and new digital architectures, and market pressures to deliver sustainable EV infrastructures. Even though GM and VW represent two of the most dominant incumbents in the automotive industry, both face significant friction due to organisational inertia and stranded competencies within engineering workforces, and this contrast not only highlights differences in digital strategy but also shared institutional rigidity that large incumbents must fight with digitalization efforts.</w:t>
      </w:r>
    </w:p>
    <w:p w14:paraId="6961FA52" w14:textId="77777777" w:rsidR="003D4D69" w:rsidRPr="00C04179" w:rsidRDefault="003D4D69" w:rsidP="00C21670">
      <w:pPr>
        <w:pStyle w:val="Heading3"/>
        <w:jc w:val="both"/>
        <w:rPr>
          <w:rFonts w:ascii="Times New Roman" w:hAnsi="Times New Roman" w:cs="Times New Roman"/>
          <w:b/>
          <w:color w:val="auto"/>
        </w:rPr>
      </w:pPr>
      <w:bookmarkStart w:id="40" w:name="_Toc220925425"/>
      <w:r w:rsidRPr="00C04179">
        <w:rPr>
          <w:rFonts w:ascii="Times New Roman" w:hAnsi="Times New Roman" w:cs="Times New Roman"/>
          <w:b/>
          <w:color w:val="auto"/>
        </w:rPr>
        <w:t>Li Auto (China New energy vehicles - NEV)</w:t>
      </w:r>
      <w:bookmarkEnd w:id="40"/>
    </w:p>
    <w:p w14:paraId="6ECD1A31" w14:textId="786686FE"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Li Auto represents the counter-model to incumbent gradualism with a lean and adaptive transformation strategy rooted in digital-first vehicle development. Chen (2025) shows that Li Auto leverages AI-assisted R&amp;D that enables rapid design iteration cycles that compress development timelines significantly when compared to traditional models. This approach treats vehicles not as mechanical products with embedded software, but as software platforms with attached mechanical interfaces, and this echoes the logic of mobile technology product cycles rather than automotive cycles. Li Auto also benefits from China’s industrial ecosystem where </w:t>
      </w:r>
      <w:r w:rsidRPr="00C04179">
        <w:rPr>
          <w:rFonts w:ascii="Times New Roman" w:hAnsi="Times New Roman" w:cs="Times New Roman"/>
          <w:sz w:val="24"/>
          <w:szCs w:val="24"/>
        </w:rPr>
        <w:lastRenderedPageBreak/>
        <w:t>cloud data infrastructure, EV incentives, and culture acceptance toward digital consumer services accelerate uptake of connected-vehicle features (Chen, 2025). Unlike VW and GM who digitalise around pre-existing frameworks or production, Li Auto begins from a digitally native foundation and this allows it to integrate connectivity and AI functionality from inception rather than building on from legacy architectures. In terms of labour profiles, the ratio of software engineers to hardware engineers at Li Auto is far higher than in incumbent firms, and this reflects the conceptual repositioning of the car as a computational mobility device</w:t>
      </w:r>
      <w:r w:rsidR="008A2D15" w:rsidRPr="00C04179">
        <w:rPr>
          <w:rFonts w:ascii="Times New Roman" w:hAnsi="Times New Roman" w:cs="Times New Roman"/>
          <w:sz w:val="24"/>
          <w:szCs w:val="24"/>
        </w:rPr>
        <w:t xml:space="preserve"> (Chen, 2025)</w:t>
      </w:r>
      <w:r w:rsidRPr="00C04179">
        <w:rPr>
          <w:rFonts w:ascii="Times New Roman" w:hAnsi="Times New Roman" w:cs="Times New Roman"/>
          <w:sz w:val="24"/>
          <w:szCs w:val="24"/>
        </w:rPr>
        <w:t>. Li Auto’s case therefore holds evidence that digital transformation favors those firms that enter the industry with flexible identity rather than building on legacy structures.</w:t>
      </w:r>
    </w:p>
    <w:p w14:paraId="4D72B40C" w14:textId="77777777" w:rsidR="003D4D69" w:rsidRPr="00C04179" w:rsidRDefault="003D4D69" w:rsidP="00C21670">
      <w:pPr>
        <w:pStyle w:val="Heading3"/>
        <w:jc w:val="both"/>
        <w:rPr>
          <w:rFonts w:ascii="Times New Roman" w:hAnsi="Times New Roman" w:cs="Times New Roman"/>
          <w:b/>
          <w:color w:val="auto"/>
        </w:rPr>
      </w:pPr>
      <w:bookmarkStart w:id="41" w:name="_Toc220925426"/>
      <w:r w:rsidRPr="00C04179">
        <w:rPr>
          <w:rFonts w:ascii="Times New Roman" w:hAnsi="Times New Roman" w:cs="Times New Roman"/>
          <w:b/>
          <w:color w:val="auto"/>
        </w:rPr>
        <w:t>Daimler/BMW Data Access</w:t>
      </w:r>
      <w:bookmarkEnd w:id="41"/>
    </w:p>
    <w:p w14:paraId="44722014"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Daimler/BMW case by Hoegaerts and Schönenberger (2019) reveals a different dimension of transformation where data enclosure is a mechanism of power. The authors investigate ExVe models and demonstrate that these firms have systematic digital architectures that limit third-party access to vehicle data. While traditional OBD systems allowed independent repairers to retrieve diagnostic information of the vehicle, the current ExVe channels all data into cloud servers exclusively under the control of OEMs, eliminating independent after-market access. In as much as this restricts consumer repair freedom, it also creates new revenue pathways through authorized service subscriptions, locked system diagnostics, and proprietary software-based maintenance. This shows that access procedures are now becoming instruments of market control, and digital transformation extends beyond technology to socio-economic governance.</w:t>
      </w:r>
    </w:p>
    <w:p w14:paraId="6945726F" w14:textId="77777777" w:rsidR="003D4D69" w:rsidRPr="00C04179" w:rsidRDefault="003D4D69" w:rsidP="00C21670">
      <w:pPr>
        <w:pStyle w:val="Heading3"/>
        <w:jc w:val="both"/>
        <w:rPr>
          <w:rFonts w:ascii="Times New Roman" w:hAnsi="Times New Roman" w:cs="Times New Roman"/>
          <w:b/>
          <w:color w:val="auto"/>
        </w:rPr>
      </w:pPr>
      <w:bookmarkStart w:id="42" w:name="_Toc220925427"/>
      <w:r w:rsidRPr="00C04179">
        <w:rPr>
          <w:rFonts w:ascii="Times New Roman" w:hAnsi="Times New Roman" w:cs="Times New Roman"/>
          <w:b/>
          <w:color w:val="auto"/>
        </w:rPr>
        <w:t>Hungarian SME’s</w:t>
      </w:r>
      <w:bookmarkEnd w:id="42"/>
    </w:p>
    <w:p w14:paraId="2843FDFE" w14:textId="2F40AFC2"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Endrődi-Kovács and Stukovszky (2022) show that Hungarian SMEs adopt digitalization but partially with uneven uptake of MES and cyber-physical systems (CPS). The authors reveal that although digital adoption supports entrepreneurial optimism and pressures toward </w:t>
      </w:r>
      <w:r w:rsidRPr="00C04179">
        <w:rPr>
          <w:rFonts w:ascii="Times New Roman" w:hAnsi="Times New Roman" w:cs="Times New Roman"/>
          <w:sz w:val="24"/>
          <w:szCs w:val="24"/>
        </w:rPr>
        <w:lastRenderedPageBreak/>
        <w:t>modernization, smaller firms confront structural barriers like financial limitations, lack of digital competencies, and insufficient technical training infrastructures. Unlike incumbents like VW and GM, SMEs must balance technological investment with survival economics, and this results in not holistic but selective adoption.</w:t>
      </w:r>
    </w:p>
    <w:p w14:paraId="5FA37918" w14:textId="70A28C08" w:rsidR="00385C14" w:rsidRPr="00C04179" w:rsidRDefault="00385C14" w:rsidP="00C21670">
      <w:pPr>
        <w:pStyle w:val="Heading3"/>
        <w:jc w:val="both"/>
        <w:rPr>
          <w:rFonts w:ascii="Times New Roman" w:hAnsi="Times New Roman" w:cs="Times New Roman"/>
          <w:b/>
          <w:color w:val="000000" w:themeColor="text1"/>
        </w:rPr>
      </w:pPr>
      <w:bookmarkStart w:id="43" w:name="_Toc220925428"/>
      <w:r w:rsidRPr="00C04179">
        <w:rPr>
          <w:rFonts w:ascii="Times New Roman" w:hAnsi="Times New Roman" w:cs="Times New Roman"/>
          <w:b/>
          <w:color w:val="000000" w:themeColor="text1"/>
        </w:rPr>
        <w:t>Integrative Analysis of the Case Studies</w:t>
      </w:r>
      <w:bookmarkEnd w:id="43"/>
      <w:r w:rsidRPr="00C04179">
        <w:rPr>
          <w:rFonts w:ascii="Times New Roman" w:hAnsi="Times New Roman" w:cs="Times New Roman"/>
          <w:b/>
          <w:color w:val="000000" w:themeColor="text1"/>
        </w:rPr>
        <w:t xml:space="preserve"> </w:t>
      </w:r>
    </w:p>
    <w:p w14:paraId="7361CE06" w14:textId="36E958D8" w:rsidR="00385C14" w:rsidRPr="00C04179" w:rsidRDefault="00385C14" w:rsidP="00C21670">
      <w:pPr>
        <w:spacing w:after="0" w:line="480" w:lineRule="auto"/>
        <w:ind w:firstLine="576"/>
        <w:jc w:val="both"/>
        <w:rPr>
          <w:rFonts w:ascii="Times New Roman" w:hAnsi="Times New Roman" w:cs="Times New Roman"/>
          <w:sz w:val="24"/>
          <w:szCs w:val="24"/>
        </w:rPr>
      </w:pPr>
      <w:r w:rsidRPr="00C04179">
        <w:rPr>
          <w:rFonts w:ascii="Times New Roman" w:hAnsi="Times New Roman" w:cs="Times New Roman"/>
          <w:sz w:val="24"/>
          <w:szCs w:val="24"/>
        </w:rPr>
        <w:t xml:space="preserve">These cases illustrate a clear spectrum of digital transformation pathways in the automotive sector. Legacy incumbents like Volkswagen and General Motors pursue incrementalism, layering digital technologies onto established structures through capital-intensive, vertically controlled approaches that leverage scale, regulatory alignment, and data governance for operational efficiency and market defense. In contrast, agile entrants such as Li Auto exemplify digital-native disruption, starting from software-centric foundations in supportive ecosystems to achieve rapid iteration, connectivity integration, and redefined vehicle architectures. Meanwhile, SMEs in peripheral contexts (e.g., Hungarian firms) remain constrained by resource asymmetries including financial limitations, skill gaps, and limited ecosystem access, which lead to selective, reactive adoption that risks marginalization. This diversity underscores the uneven nature of transformation in the sector due to digital transformation such </w:t>
      </w:r>
      <w:r w:rsidR="00FA200C" w:rsidRPr="00C04179">
        <w:rPr>
          <w:rFonts w:ascii="Times New Roman" w:hAnsi="Times New Roman" w:cs="Times New Roman"/>
          <w:sz w:val="24"/>
          <w:szCs w:val="24"/>
        </w:rPr>
        <w:t>that, while</w:t>
      </w:r>
      <w:r w:rsidRPr="00C04179">
        <w:rPr>
          <w:rFonts w:ascii="Times New Roman" w:hAnsi="Times New Roman" w:cs="Times New Roman"/>
          <w:sz w:val="24"/>
          <w:szCs w:val="24"/>
        </w:rPr>
        <w:t xml:space="preserve"> incumbents and agile players reinforce or challenge competitive hierarchies through data control and innovation speed, SMEs and peripheral actors face heightened exclusion unless supported by inclusive policies and incubators.</w:t>
      </w:r>
    </w:p>
    <w:p w14:paraId="5373C1CE" w14:textId="77777777" w:rsidR="003D4D69" w:rsidRPr="00C04179" w:rsidRDefault="003D4D69" w:rsidP="00C21670">
      <w:pPr>
        <w:pStyle w:val="Heading2"/>
        <w:jc w:val="both"/>
        <w:rPr>
          <w:rFonts w:ascii="Times New Roman" w:hAnsi="Times New Roman" w:cs="Times New Roman"/>
          <w:b/>
          <w:color w:val="auto"/>
          <w:sz w:val="24"/>
          <w:szCs w:val="24"/>
        </w:rPr>
      </w:pPr>
      <w:bookmarkStart w:id="44" w:name="_Toc214847524"/>
      <w:bookmarkStart w:id="45" w:name="_Toc220925429"/>
      <w:r w:rsidRPr="00C04179">
        <w:rPr>
          <w:rFonts w:ascii="Times New Roman" w:hAnsi="Times New Roman" w:cs="Times New Roman"/>
          <w:b/>
          <w:color w:val="auto"/>
          <w:sz w:val="24"/>
          <w:szCs w:val="24"/>
        </w:rPr>
        <w:t>Identified Research Gaps</w:t>
      </w:r>
      <w:bookmarkEnd w:id="44"/>
      <w:bookmarkEnd w:id="45"/>
    </w:p>
    <w:p w14:paraId="1ADECF15"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It is evident that there is a robust coverage of digitalization in the traditional industries and the automotive industry in specific. However, there are several gaps that still emerge including; </w:t>
      </w:r>
    </w:p>
    <w:p w14:paraId="70BB2AE6" w14:textId="31FCAB22" w:rsidR="003D4D69" w:rsidRPr="00C04179" w:rsidRDefault="003D4D69" w:rsidP="00C21670">
      <w:pPr>
        <w:numPr>
          <w:ilvl w:val="0"/>
          <w:numId w:val="6"/>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First, there is limited exploration of how multi-industry and cross-sector knowledge combinations result in digital technology adoption in the industry as majority of the studies focus on intra-automotive parts while overlooking important factors like inventor traits and </w:t>
      </w:r>
      <w:r w:rsidR="00994B1C" w:rsidRPr="00C04179">
        <w:rPr>
          <w:rFonts w:ascii="Times New Roman" w:hAnsi="Times New Roman" w:cs="Times New Roman"/>
          <w:sz w:val="24"/>
          <w:szCs w:val="24"/>
        </w:rPr>
        <w:lastRenderedPageBreak/>
        <w:t>heuristics as</w:t>
      </w:r>
      <w:r w:rsidRPr="00C04179">
        <w:rPr>
          <w:rFonts w:ascii="Times New Roman" w:hAnsi="Times New Roman" w:cs="Times New Roman"/>
          <w:sz w:val="24"/>
          <w:szCs w:val="24"/>
        </w:rPr>
        <w:t xml:space="preserve"> seen in Lopez-Vega, and Moodysson, (2023), Perri, Silvestri, and Zirpoli, (2025), and Koelmel, Brysch, and Bulander, (2025).</w:t>
      </w:r>
    </w:p>
    <w:p w14:paraId="5769A454" w14:textId="77777777" w:rsidR="003D4D69" w:rsidRPr="00C04179" w:rsidRDefault="003D4D69" w:rsidP="00C21670">
      <w:pPr>
        <w:numPr>
          <w:ilvl w:val="0"/>
          <w:numId w:val="6"/>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Second, there is inadequate longitudinal data on employment and net impact of digital technology adoption on various skills and across regions. Specifically, the peripherals such as Spain and SMEs are underrepresented. There are also existing gaps in exploring post-Covid electromobility upgrading and restricting mechanisms as shown in the studies by Braidy, Pokharel, and ElMekkawy, (2025), and Winkelhake, (2019).</w:t>
      </w:r>
    </w:p>
    <w:p w14:paraId="0AD1FE37" w14:textId="74ED8719" w:rsidR="003D4D69" w:rsidRPr="00C04179" w:rsidRDefault="003D4D69" w:rsidP="00C21670">
      <w:pPr>
        <w:numPr>
          <w:ilvl w:val="0"/>
          <w:numId w:val="6"/>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Third, there is inadequate focus on exploring the roles of incubators in SME digital transformation which implies that there is a need for broader computational methods to validate various frameworks across industries and address existing </w:t>
      </w:r>
      <w:r w:rsidR="00994B1C" w:rsidRPr="00C04179">
        <w:rPr>
          <w:rFonts w:ascii="Times New Roman" w:hAnsi="Times New Roman" w:cs="Times New Roman"/>
          <w:sz w:val="24"/>
          <w:szCs w:val="24"/>
        </w:rPr>
        <w:t>challenges as</w:t>
      </w:r>
      <w:r w:rsidRPr="00C04179">
        <w:rPr>
          <w:rFonts w:ascii="Times New Roman" w:hAnsi="Times New Roman" w:cs="Times New Roman"/>
          <w:sz w:val="24"/>
          <w:szCs w:val="24"/>
        </w:rPr>
        <w:t xml:space="preserve"> demonstrated in the studies by Lopez-Vega, and Moodysson, (2023), Braidy, Pokharel, and ElMekkawy, (2025), and Koelmel, Brysch, and Bulander, (2025).</w:t>
      </w:r>
    </w:p>
    <w:p w14:paraId="16483C4B" w14:textId="1BF050A4" w:rsidR="003D4D69" w:rsidRPr="00C04179" w:rsidRDefault="003D4D69" w:rsidP="00C21670">
      <w:pPr>
        <w:pStyle w:val="Heading2"/>
        <w:jc w:val="both"/>
        <w:rPr>
          <w:rFonts w:ascii="Times New Roman" w:hAnsi="Times New Roman" w:cs="Times New Roman"/>
          <w:b/>
          <w:color w:val="auto"/>
          <w:sz w:val="24"/>
          <w:szCs w:val="24"/>
        </w:rPr>
      </w:pPr>
      <w:bookmarkStart w:id="46" w:name="_Toc220925430"/>
      <w:r w:rsidRPr="00C04179">
        <w:rPr>
          <w:rStyle w:val="Heading2Char"/>
          <w:rFonts w:ascii="Times New Roman" w:hAnsi="Times New Roman" w:cs="Times New Roman"/>
          <w:b/>
          <w:color w:val="auto"/>
          <w:sz w:val="24"/>
          <w:szCs w:val="24"/>
        </w:rPr>
        <w:t>Research Objectives</w:t>
      </w:r>
      <w:bookmarkEnd w:id="46"/>
    </w:p>
    <w:p w14:paraId="6C3DB8C0" w14:textId="77777777" w:rsidR="003D4D69" w:rsidRPr="00C04179" w:rsidRDefault="003D4D69" w:rsidP="00C21670">
      <w:pPr>
        <w:pStyle w:val="ListParagraph"/>
        <w:numPr>
          <w:ilvl w:val="0"/>
          <w:numId w:val="9"/>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To identify and analyze key digital transformation strategies in the automotive sector by analyzing published in case studies, journals and reports from 2018-2025, and assessing their alignment with technological drivers such as AI, IoT and electrification.  </w:t>
      </w:r>
    </w:p>
    <w:p w14:paraId="16E57DBC" w14:textId="77777777" w:rsidR="003D4D69" w:rsidRPr="00C04179" w:rsidRDefault="003D4D69" w:rsidP="00C21670">
      <w:pPr>
        <w:pStyle w:val="ListParagraph"/>
        <w:numPr>
          <w:ilvl w:val="0"/>
          <w:numId w:val="9"/>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To examine the challenges and opportunities to upgrade in peripheral regions and SMEs and their impact on employment, value chains and upgrade mechanisms that are relevant to the post-pandemic context.</w:t>
      </w:r>
    </w:p>
    <w:p w14:paraId="1935883B" w14:textId="345C100B" w:rsidR="003D4D69" w:rsidRPr="00C04179" w:rsidRDefault="003D4D69" w:rsidP="00C21670">
      <w:pPr>
        <w:pStyle w:val="ListParagraph"/>
        <w:numPr>
          <w:ilvl w:val="0"/>
          <w:numId w:val="9"/>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To determine the implications of data access models and innovation ecosystems in shaping the competition of the auto industry.</w:t>
      </w:r>
    </w:p>
    <w:p w14:paraId="49EE275A" w14:textId="70105E2B" w:rsidR="00422665" w:rsidRPr="00C04179" w:rsidRDefault="003B099E" w:rsidP="00C21670">
      <w:pPr>
        <w:pStyle w:val="Heading2"/>
        <w:spacing w:after="240"/>
        <w:jc w:val="both"/>
        <w:rPr>
          <w:rFonts w:ascii="Times New Roman" w:hAnsi="Times New Roman" w:cs="Times New Roman"/>
          <w:b/>
          <w:color w:val="000000" w:themeColor="text1"/>
          <w:sz w:val="24"/>
          <w:szCs w:val="24"/>
        </w:rPr>
      </w:pPr>
      <w:bookmarkStart w:id="47" w:name="_Toc220925431"/>
      <w:r w:rsidRPr="00C04179">
        <w:rPr>
          <w:rFonts w:ascii="Times New Roman" w:hAnsi="Times New Roman" w:cs="Times New Roman"/>
          <w:b/>
          <w:color w:val="000000" w:themeColor="text1"/>
          <w:sz w:val="24"/>
          <w:szCs w:val="24"/>
        </w:rPr>
        <w:lastRenderedPageBreak/>
        <w:t>Summary of Chapter</w:t>
      </w:r>
      <w:bookmarkEnd w:id="47"/>
      <w:r w:rsidRPr="00C04179">
        <w:rPr>
          <w:rFonts w:ascii="Times New Roman" w:hAnsi="Times New Roman" w:cs="Times New Roman"/>
          <w:b/>
          <w:color w:val="000000" w:themeColor="text1"/>
          <w:sz w:val="24"/>
          <w:szCs w:val="24"/>
        </w:rPr>
        <w:t xml:space="preserve"> </w:t>
      </w:r>
    </w:p>
    <w:p w14:paraId="41B431B1" w14:textId="02F86489" w:rsidR="003B099E" w:rsidRPr="00C04179" w:rsidRDefault="003B099E" w:rsidP="00C21670">
      <w:pPr>
        <w:spacing w:after="240" w:line="480" w:lineRule="auto"/>
        <w:ind w:firstLine="576"/>
        <w:jc w:val="both"/>
        <w:rPr>
          <w:rFonts w:ascii="Times New Roman" w:hAnsi="Times New Roman" w:cs="Times New Roman"/>
          <w:sz w:val="24"/>
          <w:szCs w:val="24"/>
        </w:rPr>
      </w:pPr>
      <w:r w:rsidRPr="00C04179">
        <w:rPr>
          <w:rFonts w:ascii="Times New Roman" w:hAnsi="Times New Roman" w:cs="Times New Roman"/>
          <w:sz w:val="24"/>
          <w:szCs w:val="24"/>
        </w:rPr>
        <w:t>Chapter 2 provides a comprehensive literature review on digital transformation (DT) in the automotive industry from 2018 to 2025. The introduction</w:t>
      </w:r>
      <w:r w:rsidR="00E41AD0" w:rsidRPr="00C04179">
        <w:rPr>
          <w:rFonts w:ascii="Times New Roman" w:hAnsi="Times New Roman" w:cs="Times New Roman"/>
          <w:sz w:val="24"/>
          <w:szCs w:val="24"/>
        </w:rPr>
        <w:t xml:space="preserve"> of the chapter</w:t>
      </w:r>
      <w:r w:rsidRPr="00C04179">
        <w:rPr>
          <w:rFonts w:ascii="Times New Roman" w:hAnsi="Times New Roman" w:cs="Times New Roman"/>
          <w:sz w:val="24"/>
          <w:szCs w:val="24"/>
        </w:rPr>
        <w:t xml:space="preserve"> frames DT as a multidimensional disruption driven by AI, electrification, connectivity, and autonomous systems, reshaping production, innovation, competition, and value chains unevenly across firm sizes, regions, and capabilities. It</w:t>
      </w:r>
      <w:r w:rsidR="00E41AD0" w:rsidRPr="00C04179">
        <w:rPr>
          <w:rFonts w:ascii="Times New Roman" w:hAnsi="Times New Roman" w:cs="Times New Roman"/>
          <w:sz w:val="24"/>
          <w:szCs w:val="24"/>
        </w:rPr>
        <w:t xml:space="preserve"> also</w:t>
      </w:r>
      <w:r w:rsidRPr="00C04179">
        <w:rPr>
          <w:rFonts w:ascii="Times New Roman" w:hAnsi="Times New Roman" w:cs="Times New Roman"/>
          <w:sz w:val="24"/>
          <w:szCs w:val="24"/>
        </w:rPr>
        <w:t xml:space="preserve"> critically examines theoretical debates on technological upgrading, and ecosystem-based innovation, while highlighting empirical insights into organizational, economic, and institutional mechanisms that determine winners and losers in the transformation.</w:t>
      </w:r>
      <w:r w:rsidR="00E41AD0" w:rsidRPr="00C04179">
        <w:rPr>
          <w:rFonts w:ascii="Times New Roman" w:hAnsi="Times New Roman" w:cs="Times New Roman"/>
          <w:sz w:val="24"/>
          <w:szCs w:val="24"/>
        </w:rPr>
        <w:t xml:space="preserve"> The review identifies key themes </w:t>
      </w:r>
      <w:r w:rsidR="00A51EB1" w:rsidRPr="00C04179">
        <w:rPr>
          <w:rFonts w:ascii="Times New Roman" w:hAnsi="Times New Roman" w:cs="Times New Roman"/>
          <w:sz w:val="24"/>
          <w:szCs w:val="24"/>
        </w:rPr>
        <w:t>including;</w:t>
      </w:r>
      <w:r w:rsidRPr="00C04179">
        <w:rPr>
          <w:rFonts w:ascii="Times New Roman" w:hAnsi="Times New Roman" w:cs="Times New Roman"/>
          <w:sz w:val="24"/>
          <w:szCs w:val="24"/>
        </w:rPr>
        <w:t xml:space="preserve"> </w:t>
      </w:r>
      <w:r w:rsidR="00A51EB1" w:rsidRPr="00C04179">
        <w:rPr>
          <w:rFonts w:ascii="Times New Roman" w:hAnsi="Times New Roman" w:cs="Times New Roman"/>
          <w:sz w:val="24"/>
          <w:szCs w:val="24"/>
        </w:rPr>
        <w:t>first,</w:t>
      </w:r>
      <w:r w:rsidRPr="00C04179">
        <w:rPr>
          <w:rFonts w:ascii="Times New Roman" w:hAnsi="Times New Roman" w:cs="Times New Roman"/>
          <w:sz w:val="24"/>
          <w:szCs w:val="24"/>
        </w:rPr>
        <w:t xml:space="preserve"> DT as a structural shift toward smart systems, convergence of technologies, and operational flexibility, amid barriers like legacy inertia and skill shortages; </w:t>
      </w:r>
      <w:r w:rsidR="00A51EB1" w:rsidRPr="00C04179">
        <w:rPr>
          <w:rFonts w:ascii="Times New Roman" w:hAnsi="Times New Roman" w:cs="Times New Roman"/>
          <w:sz w:val="24"/>
          <w:szCs w:val="24"/>
        </w:rPr>
        <w:t>second,</w:t>
      </w:r>
      <w:r w:rsidRPr="00C04179">
        <w:rPr>
          <w:rFonts w:ascii="Times New Roman" w:hAnsi="Times New Roman" w:cs="Times New Roman"/>
          <w:sz w:val="24"/>
          <w:szCs w:val="24"/>
        </w:rPr>
        <w:t xml:space="preserve"> strategic adaptation involving digital ecosystems, data-driven R&amp;D, redefined sourcing, and shifting competitive hierarchies from manufacturing scale to software/data control; </w:t>
      </w:r>
      <w:r w:rsidR="00A51EB1" w:rsidRPr="00C04179">
        <w:rPr>
          <w:rFonts w:ascii="Times New Roman" w:hAnsi="Times New Roman" w:cs="Times New Roman"/>
          <w:sz w:val="24"/>
          <w:szCs w:val="24"/>
        </w:rPr>
        <w:t>third,</w:t>
      </w:r>
      <w:r w:rsidRPr="00C04179">
        <w:rPr>
          <w:rFonts w:ascii="Times New Roman" w:hAnsi="Times New Roman" w:cs="Times New Roman"/>
          <w:sz w:val="24"/>
          <w:szCs w:val="24"/>
        </w:rPr>
        <w:t xml:space="preserve"> innovation evolving toward collaborative, continuous, AI-integrated models and diversified knowledge bases that protect incumbents but fragment with new entrants; </w:t>
      </w:r>
      <w:r w:rsidR="00A51EB1" w:rsidRPr="00C04179">
        <w:rPr>
          <w:rFonts w:ascii="Times New Roman" w:hAnsi="Times New Roman" w:cs="Times New Roman"/>
          <w:sz w:val="24"/>
          <w:szCs w:val="24"/>
        </w:rPr>
        <w:t>fourth,</w:t>
      </w:r>
      <w:r w:rsidRPr="00C04179">
        <w:rPr>
          <w:rFonts w:ascii="Times New Roman" w:hAnsi="Times New Roman" w:cs="Times New Roman"/>
          <w:sz w:val="24"/>
          <w:szCs w:val="24"/>
        </w:rPr>
        <w:t xml:space="preserve"> workforce restructuring, featuring skill polarization, algorithmic oversight, high-skilled job growth in advanced regions, and asymmetric opportunities favoring digitally mature clusters; and </w:t>
      </w:r>
      <w:r w:rsidR="00A51EB1" w:rsidRPr="00C04179">
        <w:rPr>
          <w:rFonts w:ascii="Times New Roman" w:hAnsi="Times New Roman" w:cs="Times New Roman"/>
          <w:sz w:val="24"/>
          <w:szCs w:val="24"/>
        </w:rPr>
        <w:t>fifth,</w:t>
      </w:r>
      <w:r w:rsidRPr="00C04179">
        <w:rPr>
          <w:rFonts w:ascii="Times New Roman" w:hAnsi="Times New Roman" w:cs="Times New Roman"/>
          <w:sz w:val="24"/>
          <w:szCs w:val="24"/>
        </w:rPr>
        <w:t xml:space="preserve"> standardization conflicts and power asymmetries, particularly OEM data enclosure via models like Extended Vehicle, limiting third-party access, reinforcing monopolies, and widening gaps for SMEs and peripheral regions.</w:t>
      </w:r>
      <w:r w:rsidR="00A51EB1" w:rsidRPr="00C04179">
        <w:rPr>
          <w:rFonts w:ascii="Times New Roman" w:hAnsi="Times New Roman" w:cs="Times New Roman"/>
          <w:sz w:val="24"/>
          <w:szCs w:val="24"/>
        </w:rPr>
        <w:t xml:space="preserve"> The review also </w:t>
      </w:r>
      <w:r w:rsidR="007E38E0" w:rsidRPr="00C04179">
        <w:rPr>
          <w:rFonts w:ascii="Times New Roman" w:hAnsi="Times New Roman" w:cs="Times New Roman"/>
          <w:sz w:val="24"/>
          <w:szCs w:val="24"/>
        </w:rPr>
        <w:t>includes</w:t>
      </w:r>
      <w:r w:rsidR="00A51EB1" w:rsidRPr="00C04179">
        <w:rPr>
          <w:rFonts w:ascii="Times New Roman" w:hAnsi="Times New Roman" w:cs="Times New Roman"/>
          <w:sz w:val="24"/>
          <w:szCs w:val="24"/>
        </w:rPr>
        <w:t xml:space="preserve"> case studies that illustrates various pathways of digital transformation strategies in the automotive industry; </w:t>
      </w:r>
      <w:r w:rsidRPr="00C04179">
        <w:rPr>
          <w:rFonts w:ascii="Times New Roman" w:hAnsi="Times New Roman" w:cs="Times New Roman"/>
          <w:sz w:val="24"/>
          <w:szCs w:val="24"/>
        </w:rPr>
        <w:t>Volkswagen's incremental, capital-intensive integration; General Motors' focus on data monetization; Li Auto's digital-native, agile approach in China's ecosystem; Daimler/BMW's data control strategies; and Hungarian SMEs' selective, constrained adoption. The chapter identifies persistent gaps</w:t>
      </w:r>
      <w:r w:rsidR="00A51EB1" w:rsidRPr="00C04179">
        <w:rPr>
          <w:rFonts w:ascii="Times New Roman" w:hAnsi="Times New Roman" w:cs="Times New Roman"/>
          <w:sz w:val="24"/>
          <w:szCs w:val="24"/>
        </w:rPr>
        <w:t xml:space="preserve"> in this field of study and they include </w:t>
      </w:r>
      <w:r w:rsidRPr="00C04179">
        <w:rPr>
          <w:rFonts w:ascii="Times New Roman" w:hAnsi="Times New Roman" w:cs="Times New Roman"/>
          <w:sz w:val="24"/>
          <w:szCs w:val="24"/>
        </w:rPr>
        <w:t xml:space="preserve">limited cross-sector knowledge integration, inadequate longitudinal </w:t>
      </w:r>
      <w:r w:rsidRPr="00C04179">
        <w:rPr>
          <w:rFonts w:ascii="Times New Roman" w:hAnsi="Times New Roman" w:cs="Times New Roman"/>
          <w:sz w:val="24"/>
          <w:szCs w:val="24"/>
        </w:rPr>
        <w:lastRenderedPageBreak/>
        <w:t>employment data</w:t>
      </w:r>
      <w:r w:rsidR="00A51EB1" w:rsidRPr="00C04179">
        <w:rPr>
          <w:rFonts w:ascii="Times New Roman" w:hAnsi="Times New Roman" w:cs="Times New Roman"/>
          <w:sz w:val="24"/>
          <w:szCs w:val="24"/>
        </w:rPr>
        <w:t xml:space="preserve">, </w:t>
      </w:r>
      <w:r w:rsidRPr="00C04179">
        <w:rPr>
          <w:rFonts w:ascii="Times New Roman" w:hAnsi="Times New Roman" w:cs="Times New Roman"/>
          <w:sz w:val="24"/>
          <w:szCs w:val="24"/>
        </w:rPr>
        <w:t>especially post-Covid and in peripherals like Spain/SMEs, and under-explored incubator role</w:t>
      </w:r>
      <w:r w:rsidR="00A51EB1" w:rsidRPr="00C04179">
        <w:rPr>
          <w:rFonts w:ascii="Times New Roman" w:hAnsi="Times New Roman" w:cs="Times New Roman"/>
          <w:sz w:val="24"/>
          <w:szCs w:val="24"/>
        </w:rPr>
        <w:t xml:space="preserve">s that </w:t>
      </w:r>
      <w:r w:rsidRPr="00C04179">
        <w:rPr>
          <w:rFonts w:ascii="Times New Roman" w:hAnsi="Times New Roman" w:cs="Times New Roman"/>
          <w:sz w:val="24"/>
          <w:szCs w:val="24"/>
        </w:rPr>
        <w:t xml:space="preserve">reaffirming the need for the study's qualitative synthesis. </w:t>
      </w:r>
      <w:r w:rsidR="00A51EB1" w:rsidRPr="00C04179">
        <w:rPr>
          <w:rFonts w:ascii="Times New Roman" w:hAnsi="Times New Roman" w:cs="Times New Roman"/>
          <w:sz w:val="24"/>
          <w:szCs w:val="24"/>
        </w:rPr>
        <w:t xml:space="preserve">Finally, the chapter </w:t>
      </w:r>
      <w:r w:rsidRPr="00C04179">
        <w:rPr>
          <w:rFonts w:ascii="Times New Roman" w:hAnsi="Times New Roman" w:cs="Times New Roman"/>
          <w:sz w:val="24"/>
          <w:szCs w:val="24"/>
        </w:rPr>
        <w:t>restates the research objectives to guide subsequent analysis.</w:t>
      </w:r>
      <w:r w:rsidR="00A51EB1" w:rsidRPr="00C04179">
        <w:rPr>
          <w:rFonts w:ascii="Times New Roman" w:hAnsi="Times New Roman" w:cs="Times New Roman"/>
          <w:sz w:val="24"/>
          <w:szCs w:val="24"/>
        </w:rPr>
        <w:t xml:space="preserve"> The next chapter provides for the methodology employed in the research. </w:t>
      </w:r>
    </w:p>
    <w:p w14:paraId="58656F54"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15870DE7" w14:textId="77777777" w:rsidR="00422665" w:rsidRPr="00C04179" w:rsidRDefault="00422665" w:rsidP="00C21670">
      <w:pPr>
        <w:pStyle w:val="Heading1"/>
        <w:jc w:val="both"/>
        <w:rPr>
          <w:rFonts w:ascii="Times New Roman" w:hAnsi="Times New Roman" w:cs="Times New Roman"/>
          <w:b/>
          <w:color w:val="auto"/>
          <w:sz w:val="24"/>
          <w:szCs w:val="24"/>
        </w:rPr>
      </w:pPr>
      <w:bookmarkStart w:id="48" w:name="_Toc220925432"/>
      <w:r w:rsidRPr="00C04179">
        <w:rPr>
          <w:rFonts w:ascii="Times New Roman" w:hAnsi="Times New Roman" w:cs="Times New Roman"/>
          <w:b/>
          <w:color w:val="auto"/>
          <w:sz w:val="24"/>
          <w:szCs w:val="24"/>
        </w:rPr>
        <w:lastRenderedPageBreak/>
        <w:t>METHODOLOGY</w:t>
      </w:r>
      <w:bookmarkEnd w:id="48"/>
    </w:p>
    <w:p w14:paraId="792D1973"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49" w:name="_Toc220925433"/>
      <w:r w:rsidRPr="00C04179">
        <w:rPr>
          <w:rFonts w:ascii="Times New Roman" w:eastAsia="Calibri" w:hAnsi="Times New Roman" w:cs="Times New Roman"/>
          <w:b/>
          <w:color w:val="auto"/>
          <w:sz w:val="24"/>
          <w:szCs w:val="24"/>
        </w:rPr>
        <w:t>Introduction</w:t>
      </w:r>
      <w:bookmarkEnd w:id="49"/>
    </w:p>
    <w:p w14:paraId="52365C5E"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This chapter is about the research methodology that was employed to examine the digital transformation in the automotive industry. This section purposes to provide a theoretical, transparent, and clear process of how the research study was carried out, the process of data selection and analysis, and the reason for choosing the methodological approach in addressing the research objectives. There is need for a sound methodology to attain the academic integrity, strength, and credibility of the research study. </w:t>
      </w:r>
    </w:p>
    <w:p w14:paraId="0A826B47"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It was found that digital transformation is highly characterized by technological, strategic, and industry wide nature and because of this, the methodology of document analysis was employed, depending solely on secondary materials. This chapter will cover the research philosophy, approach, strategy, sources of data, criteria for document selection, techniques for data analysis, ethical considerations, as well as limitations encountered. </w:t>
      </w:r>
    </w:p>
    <w:p w14:paraId="485A3033"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0" w:name="_Toc220925434"/>
      <w:r w:rsidRPr="00C04179">
        <w:rPr>
          <w:rFonts w:ascii="Times New Roman" w:eastAsia="Calibri" w:hAnsi="Times New Roman" w:cs="Times New Roman"/>
          <w:b/>
          <w:color w:val="auto"/>
          <w:sz w:val="24"/>
          <w:szCs w:val="24"/>
        </w:rPr>
        <w:t>Research Philosophy</w:t>
      </w:r>
      <w:bookmarkEnd w:id="50"/>
    </w:p>
    <w:p w14:paraId="46F7F137"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This study adopts the philosophy of positivist research. This philosophy upholds that reality is independent, measurable, and objective of the researcher and that one can obtain knowledge by systematically observing and through empirical investigation (Ali, 2024). When it comes to digital transformation within the automotive industry, positivism is considered suitable since the research study aims to identify trends that are observable, including impacts and relationships in association with digital technologies as well as the effects these have on decision-making, operations, and performance (Ali, 2024). These are deliverables that are not subjective experiences, rather, are phenomena that have been scientifically studied and reported in the industry literature and academic materials. </w:t>
      </w:r>
    </w:p>
    <w:p w14:paraId="30ED98E8" w14:textId="2BECD8B8"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lastRenderedPageBreak/>
        <w:t xml:space="preserve">Besides, some past research studies on digital transformation in the automotive industry have often adopted this philosophy together with post-positivist approaches when merging proof from the industry reports and peer-reviewed research studies (Llopis-Albert et al., 2021; Zhang et al., 2024).  By use of positivism, this study </w:t>
      </w:r>
      <w:r w:rsidR="00FA200C" w:rsidRPr="00C04179">
        <w:rPr>
          <w:rFonts w:ascii="Times New Roman" w:eastAsia="Calibri" w:hAnsi="Times New Roman" w:cs="Times New Roman"/>
          <w:sz w:val="24"/>
          <w:szCs w:val="24"/>
        </w:rPr>
        <w:t>focusses</w:t>
      </w:r>
      <w:r w:rsidRPr="00C04179">
        <w:rPr>
          <w:rFonts w:ascii="Times New Roman" w:eastAsia="Calibri" w:hAnsi="Times New Roman" w:cs="Times New Roman"/>
          <w:sz w:val="24"/>
          <w:szCs w:val="24"/>
        </w:rPr>
        <w:t xml:space="preserve"> on generating conclusions that are empirical, logical, and transferable across other similar industrial and organizational context. </w:t>
      </w:r>
    </w:p>
    <w:p w14:paraId="260FD287"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1" w:name="_Toc220925435"/>
      <w:r w:rsidRPr="00C04179">
        <w:rPr>
          <w:rFonts w:ascii="Times New Roman" w:eastAsia="Calibri" w:hAnsi="Times New Roman" w:cs="Times New Roman"/>
          <w:b/>
          <w:color w:val="auto"/>
          <w:sz w:val="24"/>
          <w:szCs w:val="24"/>
        </w:rPr>
        <w:t>Research Approach</w:t>
      </w:r>
      <w:bookmarkEnd w:id="51"/>
    </w:p>
    <w:p w14:paraId="480C3B24" w14:textId="0A98CE52"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This study employs a deductive research approach. This approach is about deriving analytical conclusions from conceptual perspectives and theories and analyzing their applicability (Kumar </w:t>
      </w:r>
      <w:r w:rsidR="005144D3" w:rsidRPr="00C04179">
        <w:rPr>
          <w:rFonts w:ascii="Times New Roman" w:eastAsia="Calibri" w:hAnsi="Times New Roman" w:cs="Times New Roman"/>
          <w:sz w:val="24"/>
          <w:szCs w:val="24"/>
        </w:rPr>
        <w:t>and</w:t>
      </w:r>
      <w:r w:rsidRPr="00C04179">
        <w:rPr>
          <w:rFonts w:ascii="Times New Roman" w:eastAsia="Calibri" w:hAnsi="Times New Roman" w:cs="Times New Roman"/>
          <w:sz w:val="24"/>
          <w:szCs w:val="24"/>
        </w:rPr>
        <w:t xml:space="preserve"> Ujire, 2024). This research approach is especially suitable in a research context where theory is mature and can be proved by vast body of literature. </w:t>
      </w:r>
    </w:p>
    <w:p w14:paraId="1845B377"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There is a large body of literature that covers the digital transformation in the automotive industry through the lens of conceptual and theoretical perspectives. One of the main foundations include the digital transformation framework which understand digitalization as a multidimensional process that involves adoption of technology, realignment of strategy, and restructuring of organization. According to Llopis-Albert et al. (2021), digital transformation is the systematically integrating digital technologies into the processes of an organization to increase value and competitiveness of the organization. This framework is informative when it comes to examining how digital tools affect automotive organizations’ operational performance and strategic results.  </w:t>
      </w:r>
    </w:p>
    <w:p w14:paraId="45029879"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In addition, the research study also adopts innovation capacity theory which focuses on how firms develop their internal capabilities enabling them to improve and innovate</w:t>
      </w:r>
      <w:r w:rsidRPr="00C04179">
        <w:rPr>
          <w:rFonts w:ascii="Times New Roman" w:hAnsi="Times New Roman" w:cs="Times New Roman"/>
          <w:sz w:val="24"/>
          <w:szCs w:val="24"/>
        </w:rPr>
        <w:t xml:space="preserve"> (</w:t>
      </w:r>
      <w:r w:rsidRPr="00C04179">
        <w:rPr>
          <w:rFonts w:ascii="Times New Roman" w:eastAsia="Calibri" w:hAnsi="Times New Roman" w:cs="Times New Roman"/>
          <w:sz w:val="24"/>
          <w:szCs w:val="24"/>
        </w:rPr>
        <w:t xml:space="preserve">Li et al., 2022). Lopez-Vegas and Moodysson (2023) posit that digital technologies enhance the innovation capacity of organizations by facilitating rapid experimentation, exchange of knowledge, and </w:t>
      </w:r>
      <w:r w:rsidRPr="00C04179">
        <w:rPr>
          <w:rFonts w:ascii="Times New Roman" w:eastAsia="Calibri" w:hAnsi="Times New Roman" w:cs="Times New Roman"/>
          <w:sz w:val="24"/>
          <w:szCs w:val="24"/>
        </w:rPr>
        <w:lastRenderedPageBreak/>
        <w:t xml:space="preserve">collaboration. The innovation capacity theory holds that a firm’s ability to create, develop, and execute new knowledge, processes, products, and models is central in its sustainable growth, survival, and competitive advantage (Aas and Breunig, 2017). Therefore, the theoretical perspective shows analysis of how digital transformation would be instrumental in aiding the capabilities and innovation of organizations in the automotive section. </w:t>
      </w:r>
    </w:p>
    <w:p w14:paraId="0FA0354C" w14:textId="74D99275"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The research study also employs from the socio-technical system theory which perceives organizations as intricate systems of interdependent technical and social subsystems that need to jointly optimized to produce success (Ngowi and Mvungi, 2018). This theory is especially important in the automotive sector where digital manufacturing technologies need to be properly aligned with the human skills, cultural practices, and organizational processes to produce sound benefits. Görçün et al. (2023) also agree with this line of thought through their demonstration of digital manufacturing systems improving an </w:t>
      </w:r>
      <w:r w:rsidR="00FA200C" w:rsidRPr="00C04179">
        <w:rPr>
          <w:rFonts w:ascii="Times New Roman" w:eastAsia="Calibri" w:hAnsi="Times New Roman" w:cs="Times New Roman"/>
          <w:sz w:val="24"/>
          <w:szCs w:val="24"/>
        </w:rPr>
        <w:t>organizational operational result</w:t>
      </w:r>
      <w:r w:rsidRPr="00C04179">
        <w:rPr>
          <w:rFonts w:ascii="Times New Roman" w:eastAsia="Calibri" w:hAnsi="Times New Roman" w:cs="Times New Roman"/>
          <w:sz w:val="24"/>
          <w:szCs w:val="24"/>
        </w:rPr>
        <w:t xml:space="preserve"> through integration of the technology with the organization’s workflows. </w:t>
      </w:r>
    </w:p>
    <w:p w14:paraId="10296833"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Lastly, the deductive logic of this research study is informed by data-driven decision-making frameworks. According to Hoegaerts and Schönenberger (2019), it is important to govern data, information transparency, and analytics which enables sound decision-making in the automotive organizations. This framework provides a ground for analyzing how digital transformation enhances empirical-based decision-making as well as control of the organization. </w:t>
      </w:r>
    </w:p>
    <w:p w14:paraId="1F8F19DC" w14:textId="0D892452"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Therefore, a deductive approach </w:t>
      </w:r>
      <w:r w:rsidR="00FA200C" w:rsidRPr="00C04179">
        <w:rPr>
          <w:rFonts w:ascii="Times New Roman" w:eastAsia="Calibri" w:hAnsi="Times New Roman" w:cs="Times New Roman"/>
          <w:sz w:val="24"/>
          <w:szCs w:val="24"/>
        </w:rPr>
        <w:t>seems</w:t>
      </w:r>
      <w:r w:rsidRPr="00C04179">
        <w:rPr>
          <w:rFonts w:ascii="Times New Roman" w:eastAsia="Calibri" w:hAnsi="Times New Roman" w:cs="Times New Roman"/>
          <w:sz w:val="24"/>
          <w:szCs w:val="24"/>
        </w:rPr>
        <w:t xml:space="preserve"> appropriate when grounded in the mentioned frameworks and perspectives. The study analyzes how the evidence provided from this sector is in support of the theoretical understanding. This ensure coherence, analytical rigors, and clarity between the findings, methodology, and objectives. </w:t>
      </w:r>
    </w:p>
    <w:p w14:paraId="4FDFE2A4"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2" w:name="_Toc220925436"/>
      <w:r w:rsidRPr="00C04179">
        <w:rPr>
          <w:rFonts w:ascii="Times New Roman" w:eastAsia="Calibri" w:hAnsi="Times New Roman" w:cs="Times New Roman"/>
          <w:b/>
          <w:color w:val="auto"/>
          <w:sz w:val="24"/>
          <w:szCs w:val="24"/>
        </w:rPr>
        <w:lastRenderedPageBreak/>
        <w:t>Research Strategy</w:t>
      </w:r>
      <w:bookmarkEnd w:id="52"/>
    </w:p>
    <w:p w14:paraId="5B067FA0"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This research study uses a qualitative document analysis strategy. This strategy entails systematically identifying, evaluating, and interpreting the existing body of literature and extracting useful information in relation to the research objectives (Armstrong, 2021).  In the study, document analysis has been employed to synthesize industry and academic knowledge on the topic of digital transformation in the automotive industry. </w:t>
      </w:r>
    </w:p>
    <w:p w14:paraId="235AF2FF" w14:textId="77777777" w:rsidR="00422665" w:rsidRPr="00C04179" w:rsidRDefault="00422665" w:rsidP="00C21670">
      <w:pPr>
        <w:spacing w:after="0" w:line="480" w:lineRule="auto"/>
        <w:ind w:firstLine="720"/>
        <w:jc w:val="both"/>
        <w:rPr>
          <w:rFonts w:ascii="Times New Roman" w:eastAsia="Calibri" w:hAnsi="Times New Roman" w:cs="Times New Roman"/>
          <w:sz w:val="24"/>
          <w:szCs w:val="24"/>
          <w:lang w:val="en-GB"/>
        </w:rPr>
      </w:pPr>
      <w:r w:rsidRPr="00C04179">
        <w:rPr>
          <w:rFonts w:ascii="Times New Roman" w:eastAsia="Calibri" w:hAnsi="Times New Roman" w:cs="Times New Roman"/>
          <w:sz w:val="24"/>
          <w:szCs w:val="24"/>
        </w:rPr>
        <w:t xml:space="preserve">Document analysis is deemed suitable for this study for various reasons. One, as mentioned earlier, there is a vast body of literature concerning digital transformation with scholars and practitioners who have conducted peer reviewed journals and books (Armstrong, 2021).  Two, this research study is more about identifying relationships, themes, trends, and patterns in various sources as opposed to coming up with new empirical data (Morgan, 2022). Three, depending on secondary data avoids access-related, ethical, and practical constrains that are more often experienced during primary data collection within the industrial and corporate sectors (Morgan, 2022). Besides, </w:t>
      </w:r>
      <w:r w:rsidRPr="00C04179">
        <w:rPr>
          <w:rFonts w:ascii="Times New Roman" w:eastAsia="Calibri" w:hAnsi="Times New Roman" w:cs="Times New Roman"/>
          <w:sz w:val="24"/>
          <w:szCs w:val="24"/>
          <w:lang w:val="en-GB"/>
        </w:rPr>
        <w:t>qualitative methods are best applied in interpretation because it considers meanings, patterns and contradictions as real-world instances as opposed to quantitative methods which consider the generalization of statistics (Sardana et al., 2023).</w:t>
      </w:r>
    </w:p>
    <w:p w14:paraId="7328DA41"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3" w:name="_Toc220925437"/>
      <w:r w:rsidRPr="00C04179">
        <w:rPr>
          <w:rFonts w:ascii="Times New Roman" w:eastAsia="Calibri" w:hAnsi="Times New Roman" w:cs="Times New Roman"/>
          <w:b/>
          <w:color w:val="auto"/>
          <w:sz w:val="24"/>
          <w:szCs w:val="24"/>
        </w:rPr>
        <w:t>Data Collection Method</w:t>
      </w:r>
      <w:bookmarkEnd w:id="53"/>
    </w:p>
    <w:p w14:paraId="0149E39B" w14:textId="72DF6FC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This research study depends exclusively on secondary data collection method from academically acknowledged and approved sources. These sources include peer-reviewed journal articles, automotive industry-based research publications, books, and authoritative reports that examine digital technology, transformation, and their impact on the automotive organization’s operational systems. This ensures that the sources are valid and credible according to academic standards</w:t>
      </w:r>
      <w:bookmarkStart w:id="54" w:name="_Hlk219113601"/>
      <w:r w:rsidRPr="00C04179">
        <w:rPr>
          <w:rFonts w:ascii="Times New Roman" w:eastAsia="Calibri" w:hAnsi="Times New Roman" w:cs="Times New Roman"/>
          <w:sz w:val="24"/>
          <w:szCs w:val="24"/>
        </w:rPr>
        <w:t xml:space="preserve"> (</w:t>
      </w:r>
      <w:r w:rsidRPr="00C04179">
        <w:rPr>
          <w:rFonts w:ascii="Times New Roman" w:hAnsi="Times New Roman" w:cs="Times New Roman"/>
          <w:sz w:val="24"/>
          <w:szCs w:val="24"/>
        </w:rPr>
        <w:t xml:space="preserve">Kumar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Ujire, 2024).</w:t>
      </w:r>
      <w:bookmarkEnd w:id="54"/>
    </w:p>
    <w:p w14:paraId="0AAD6BAE"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5" w:name="_Toc220925438"/>
      <w:r w:rsidRPr="00C04179">
        <w:rPr>
          <w:rFonts w:ascii="Times New Roman" w:eastAsia="Calibri" w:hAnsi="Times New Roman" w:cs="Times New Roman"/>
          <w:b/>
          <w:color w:val="auto"/>
          <w:sz w:val="24"/>
          <w:szCs w:val="24"/>
        </w:rPr>
        <w:lastRenderedPageBreak/>
        <w:t>Document Selection Technique</w:t>
      </w:r>
      <w:bookmarkEnd w:id="55"/>
    </w:p>
    <w:p w14:paraId="3A08B8CC" w14:textId="73C532C4"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This study focused on selecting sources that directly point out digitalization and digital transformation, address the automotive industry as well as manufacturing sector, and sources that show the relationship or connection between digital technology and operational outcomes. Also, the study looked at sources that features case studies in the automotive industry that have been influenced by digital transformation. It also considered the sources cited in the research dissertation for effective analysis. This process of selection ensured that there is alignment with the objectives of the research (Kumar</w:t>
      </w:r>
      <w:r w:rsidR="00E23B8A" w:rsidRPr="00C04179">
        <w:rPr>
          <w:rFonts w:ascii="Times New Roman" w:eastAsia="Calibri" w:hAnsi="Times New Roman" w:cs="Times New Roman"/>
          <w:sz w:val="24"/>
          <w:szCs w:val="24"/>
        </w:rPr>
        <w:t xml:space="preserve"> </w:t>
      </w:r>
      <w:r w:rsidR="005144D3" w:rsidRPr="00C04179">
        <w:rPr>
          <w:rFonts w:ascii="Times New Roman" w:eastAsia="Calibri" w:hAnsi="Times New Roman" w:cs="Times New Roman"/>
          <w:sz w:val="24"/>
          <w:szCs w:val="24"/>
        </w:rPr>
        <w:t>and</w:t>
      </w:r>
      <w:r w:rsidRPr="00C04179">
        <w:rPr>
          <w:rFonts w:ascii="Times New Roman" w:eastAsia="Calibri" w:hAnsi="Times New Roman" w:cs="Times New Roman"/>
          <w:sz w:val="24"/>
          <w:szCs w:val="24"/>
        </w:rPr>
        <w:t xml:space="preserve"> Ujire, 2024).</w:t>
      </w:r>
    </w:p>
    <w:p w14:paraId="7BA62D21"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6" w:name="_Toc220925439"/>
      <w:r w:rsidRPr="00C04179">
        <w:rPr>
          <w:rFonts w:ascii="Times New Roman" w:eastAsia="Calibri" w:hAnsi="Times New Roman" w:cs="Times New Roman"/>
          <w:b/>
          <w:color w:val="auto"/>
          <w:sz w:val="24"/>
          <w:szCs w:val="24"/>
        </w:rPr>
        <w:t>Data Analysis Process</w:t>
      </w:r>
      <w:bookmarkEnd w:id="56"/>
    </w:p>
    <w:p w14:paraId="311E4A5E"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Data analysis was carried out using thematic analysis. This refers to a qualitative analysis approach for identifying, analyzing, and interpreting recurring themes or trends in the textual data (Squires, 2023). In the study, thematic analysis was used to structure and synthesize insights in the documents used. There was a systematic process that was practiced including familiarizing oneself with the literature through constant reading and reviewing, noting repeated patterns and concepts, categorizing the concepts in the manner of relevance, and interpreting the themes in reference of the research objectives and the conceptual frameworks (Squires, 2023).  Some of the important themes that were identified include digital transformation strategic drivers, process optimization and operational efficiency, product development and innovation capacity, data-based decision-making, as well as organizational change and cultural systems. </w:t>
      </w:r>
    </w:p>
    <w:p w14:paraId="7217C9E4"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7" w:name="_Toc220925440"/>
      <w:r w:rsidRPr="00C04179">
        <w:rPr>
          <w:rFonts w:ascii="Times New Roman" w:eastAsia="Calibri" w:hAnsi="Times New Roman" w:cs="Times New Roman"/>
          <w:b/>
          <w:color w:val="auto"/>
          <w:sz w:val="24"/>
          <w:szCs w:val="24"/>
        </w:rPr>
        <w:t>Trustworthiness and Research Rigor</w:t>
      </w:r>
      <w:bookmarkEnd w:id="57"/>
    </w:p>
    <w:p w14:paraId="15A9368D"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In this research, rigor is achieved through trustworthiness as opposed to statistical deliverables. It attained this through credibility, which was attained by use of peer-reviewed articles and authoritative articles (Ahmed, 2024).  It also ensured dependability which was achieved through the transparent and consistent analytical process. Evidence-based was also </w:t>
      </w:r>
      <w:r w:rsidRPr="00C04179">
        <w:rPr>
          <w:rFonts w:ascii="Times New Roman" w:eastAsia="Calibri" w:hAnsi="Times New Roman" w:cs="Times New Roman"/>
          <w:sz w:val="24"/>
          <w:szCs w:val="24"/>
        </w:rPr>
        <w:lastRenderedPageBreak/>
        <w:t xml:space="preserve">attained by considering all interpretations in the documents as opposed to mere personal opinion. This ensure that the research is academically sound and reliable in its conclusions. </w:t>
      </w:r>
    </w:p>
    <w:p w14:paraId="179E897B"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8" w:name="_Toc220925441"/>
      <w:r w:rsidRPr="00C04179">
        <w:rPr>
          <w:rFonts w:ascii="Times New Roman" w:eastAsia="Calibri" w:hAnsi="Times New Roman" w:cs="Times New Roman"/>
          <w:b/>
          <w:color w:val="auto"/>
          <w:sz w:val="24"/>
          <w:szCs w:val="24"/>
        </w:rPr>
        <w:t>Ethical Considerations</w:t>
      </w:r>
      <w:bookmarkEnd w:id="58"/>
    </w:p>
    <w:p w14:paraId="380CE763"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There is minimal ethical consideration in this research study because of the methodology approach of secondary data used. Every source is acknowledged appropriately in the academic reference list to ensure adherence to the academic integrity standards and intellectual property standards (Ahmed, 2024).  There was no analysis or access of confidential, personal, or sensitive data. </w:t>
      </w:r>
    </w:p>
    <w:p w14:paraId="6215812D"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9" w:name="_Toc220925442"/>
      <w:r w:rsidRPr="00C04179">
        <w:rPr>
          <w:rFonts w:ascii="Times New Roman" w:eastAsia="Calibri" w:hAnsi="Times New Roman" w:cs="Times New Roman"/>
          <w:b/>
          <w:color w:val="auto"/>
          <w:sz w:val="24"/>
          <w:szCs w:val="24"/>
        </w:rPr>
        <w:t>Methodological Limitations</w:t>
      </w:r>
      <w:bookmarkEnd w:id="59"/>
    </w:p>
    <w:p w14:paraId="6E098EBC"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In spite of the solid benefits of relying on vast secondary sources, this methodology has its drawbacks. Document analysis method is obviously limited by availability and scope of the literature and may not necessarily address real-time firm practices and context-based managerial perspectives. Moreover, the method relies on the assumptions made by previous researchers and authors which may be biased when it comes to representing automotive environments. However, these drawbacks are deemed acceptable in this research because of the research objectives and are mitigated through the use of multiple academic sources to enhance credibility. </w:t>
      </w:r>
    </w:p>
    <w:p w14:paraId="7FB5B801" w14:textId="18C18D46" w:rsidR="00422665" w:rsidRPr="00C04179" w:rsidRDefault="00422665" w:rsidP="00C21670">
      <w:pPr>
        <w:pStyle w:val="Heading2"/>
        <w:jc w:val="both"/>
        <w:rPr>
          <w:rFonts w:ascii="Times New Roman" w:eastAsia="Calibri" w:hAnsi="Times New Roman" w:cs="Times New Roman"/>
          <w:b/>
          <w:color w:val="auto"/>
          <w:sz w:val="24"/>
          <w:szCs w:val="24"/>
        </w:rPr>
      </w:pPr>
      <w:bookmarkStart w:id="60" w:name="_Toc220925443"/>
      <w:r w:rsidRPr="00C04179">
        <w:rPr>
          <w:rFonts w:ascii="Times New Roman" w:eastAsia="Calibri" w:hAnsi="Times New Roman" w:cs="Times New Roman"/>
          <w:b/>
          <w:color w:val="auto"/>
          <w:sz w:val="24"/>
          <w:szCs w:val="24"/>
        </w:rPr>
        <w:t>Summary</w:t>
      </w:r>
      <w:r w:rsidR="00A733D7" w:rsidRPr="00C04179">
        <w:rPr>
          <w:rFonts w:ascii="Times New Roman" w:eastAsia="Calibri" w:hAnsi="Times New Roman" w:cs="Times New Roman"/>
          <w:b/>
          <w:color w:val="auto"/>
          <w:sz w:val="24"/>
          <w:szCs w:val="24"/>
        </w:rPr>
        <w:t xml:space="preserve"> of Chapter</w:t>
      </w:r>
      <w:bookmarkEnd w:id="60"/>
      <w:r w:rsidR="00A733D7" w:rsidRPr="00C04179">
        <w:rPr>
          <w:rFonts w:ascii="Times New Roman" w:eastAsia="Calibri" w:hAnsi="Times New Roman" w:cs="Times New Roman"/>
          <w:b/>
          <w:color w:val="auto"/>
          <w:sz w:val="24"/>
          <w:szCs w:val="24"/>
        </w:rPr>
        <w:t xml:space="preserve"> </w:t>
      </w:r>
    </w:p>
    <w:p w14:paraId="404DE9B2" w14:textId="39E6D97A" w:rsidR="004F4113" w:rsidRPr="00C04179" w:rsidRDefault="004F4113" w:rsidP="00C21670">
      <w:pPr>
        <w:spacing w:line="480" w:lineRule="auto"/>
        <w:ind w:firstLine="432"/>
        <w:jc w:val="both"/>
        <w:rPr>
          <w:rFonts w:ascii="Times New Roman" w:hAnsi="Times New Roman" w:cs="Times New Roman"/>
          <w:sz w:val="24"/>
          <w:szCs w:val="24"/>
        </w:rPr>
      </w:pPr>
      <w:r w:rsidRPr="00C04179">
        <w:rPr>
          <w:rFonts w:ascii="Times New Roman" w:hAnsi="Times New Roman" w:cs="Times New Roman"/>
          <w:sz w:val="24"/>
          <w:szCs w:val="24"/>
        </w:rPr>
        <w:t xml:space="preserve">This chapter outlines the research methodology employed to examine digital transformation strategies in the automotive industry. Adopting a positivist philosophy, the study uses a deductive approach grounded in established theoretical frameworks, including digital transformation, innovation capacity, socio-technical systems, and data-driven decision-making theories. A qualitative document analysis strategy was selected, relying exclusively on secondary data from peer-reviewed journal articles, industry reports, books, and authoritative publications (2018–2025). Data collection involved purposive selection of relevant sources aligned with the research </w:t>
      </w:r>
      <w:r w:rsidRPr="00C04179">
        <w:rPr>
          <w:rFonts w:ascii="Times New Roman" w:hAnsi="Times New Roman" w:cs="Times New Roman"/>
          <w:sz w:val="24"/>
          <w:szCs w:val="24"/>
        </w:rPr>
        <w:lastRenderedPageBreak/>
        <w:t xml:space="preserve">objectives. </w:t>
      </w:r>
      <w:r w:rsidR="00003DA5" w:rsidRPr="00C04179">
        <w:rPr>
          <w:rFonts w:ascii="Times New Roman" w:hAnsi="Times New Roman" w:cs="Times New Roman"/>
          <w:sz w:val="24"/>
          <w:szCs w:val="24"/>
        </w:rPr>
        <w:t>Further, t</w:t>
      </w:r>
      <w:r w:rsidRPr="00C04179">
        <w:rPr>
          <w:rFonts w:ascii="Times New Roman" w:hAnsi="Times New Roman" w:cs="Times New Roman"/>
          <w:sz w:val="24"/>
          <w:szCs w:val="24"/>
        </w:rPr>
        <w:t>hematic analysis was applied to identify, synthesize, and interpret recurring patterns and themes. Trustworthiness is ensured through credibility, dependability, and transparency, with minimal ethical concerns due to secondary data use. Limitations include potential publication bias and lack of real-time primary insights, mitigated by diverse source triangulation.</w:t>
      </w:r>
    </w:p>
    <w:p w14:paraId="7473692D" w14:textId="66996B80" w:rsidR="00422665" w:rsidRPr="00C04179" w:rsidRDefault="00422665" w:rsidP="00C21670">
      <w:pPr>
        <w:spacing w:line="480" w:lineRule="auto"/>
        <w:jc w:val="both"/>
        <w:rPr>
          <w:rFonts w:ascii="Times New Roman" w:hAnsi="Times New Roman" w:cs="Times New Roman"/>
          <w:sz w:val="24"/>
          <w:szCs w:val="24"/>
        </w:rPr>
      </w:pPr>
    </w:p>
    <w:p w14:paraId="26BE0011"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71362FEB" w14:textId="77777777" w:rsidR="00422665" w:rsidRPr="00C04179" w:rsidRDefault="00422665" w:rsidP="00C21670">
      <w:pPr>
        <w:pStyle w:val="Heading1"/>
        <w:jc w:val="both"/>
        <w:rPr>
          <w:rFonts w:ascii="Times New Roman" w:hAnsi="Times New Roman" w:cs="Times New Roman"/>
          <w:b/>
          <w:color w:val="auto"/>
          <w:sz w:val="24"/>
          <w:szCs w:val="24"/>
        </w:rPr>
      </w:pPr>
      <w:bookmarkStart w:id="61" w:name="_Toc220925444"/>
      <w:r w:rsidRPr="00C04179">
        <w:rPr>
          <w:rFonts w:ascii="Times New Roman" w:hAnsi="Times New Roman" w:cs="Times New Roman"/>
          <w:b/>
          <w:color w:val="auto"/>
          <w:sz w:val="24"/>
          <w:szCs w:val="24"/>
        </w:rPr>
        <w:lastRenderedPageBreak/>
        <w:t>DATA ANALYSIS</w:t>
      </w:r>
      <w:bookmarkEnd w:id="61"/>
    </w:p>
    <w:p w14:paraId="46D93777" w14:textId="77777777" w:rsidR="00422665" w:rsidRPr="00C04179" w:rsidRDefault="00422665" w:rsidP="00C21670">
      <w:pPr>
        <w:pStyle w:val="Heading2"/>
        <w:jc w:val="both"/>
        <w:rPr>
          <w:rFonts w:ascii="Times New Roman" w:hAnsi="Times New Roman" w:cs="Times New Roman"/>
          <w:b/>
          <w:color w:val="auto"/>
          <w:sz w:val="24"/>
          <w:szCs w:val="24"/>
        </w:rPr>
      </w:pPr>
      <w:bookmarkStart w:id="62" w:name="_Toc220925445"/>
      <w:r w:rsidRPr="00C04179">
        <w:rPr>
          <w:rFonts w:ascii="Times New Roman" w:hAnsi="Times New Roman" w:cs="Times New Roman"/>
          <w:b/>
          <w:color w:val="auto"/>
          <w:sz w:val="24"/>
          <w:szCs w:val="24"/>
        </w:rPr>
        <w:t>Introduction</w:t>
      </w:r>
      <w:bookmarkEnd w:id="62"/>
    </w:p>
    <w:p w14:paraId="1631BC0E"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This chapter is about presenting data analysis and the findings of the research from the qualitative document analysis method as explained in the previous section. The goal of this chapter is to merge and show highlights identified in the existing literature on the topic of digital transformation in the automotive industry. As opposed to quantitative method that reports numerical results, this analysis points out recurring relationships, themes, and patterns across the documents used to provide structured evidence that is in alignment with the research study’s objectives</w:t>
      </w:r>
      <w:bookmarkStart w:id="63" w:name="_Hlk219114008"/>
      <w:r w:rsidRPr="00C04179">
        <w:rPr>
          <w:rFonts w:ascii="Times New Roman" w:hAnsi="Times New Roman" w:cs="Times New Roman"/>
          <w:sz w:val="24"/>
          <w:szCs w:val="24"/>
        </w:rPr>
        <w:t xml:space="preserve"> (Squires, 2023). </w:t>
      </w:r>
      <w:bookmarkEnd w:id="63"/>
      <w:r w:rsidRPr="00C04179">
        <w:rPr>
          <w:rFonts w:ascii="Times New Roman" w:hAnsi="Times New Roman" w:cs="Times New Roman"/>
          <w:sz w:val="24"/>
          <w:szCs w:val="24"/>
        </w:rPr>
        <w:t xml:space="preserve">With use of deductive research approach, this analysis is based on the conceptual and theoretical frameworks that describe the nature of digital transformation, data-driven decision-making, socio-technical system association, and innovation capability. The findings are also arranged thematically to show the main concept of digital transformation as seen in the extracted literature sources. </w:t>
      </w:r>
    </w:p>
    <w:p w14:paraId="0D08272D" w14:textId="77777777" w:rsidR="00422665" w:rsidRPr="00C04179" w:rsidRDefault="00422665" w:rsidP="00C21670">
      <w:pPr>
        <w:pStyle w:val="Heading2"/>
        <w:jc w:val="both"/>
        <w:rPr>
          <w:rFonts w:ascii="Times New Roman" w:hAnsi="Times New Roman" w:cs="Times New Roman"/>
          <w:b/>
          <w:color w:val="auto"/>
          <w:sz w:val="24"/>
          <w:szCs w:val="24"/>
        </w:rPr>
      </w:pPr>
      <w:bookmarkStart w:id="64" w:name="_Toc220925446"/>
      <w:r w:rsidRPr="00C04179">
        <w:rPr>
          <w:rFonts w:ascii="Times New Roman" w:hAnsi="Times New Roman" w:cs="Times New Roman"/>
          <w:b/>
          <w:color w:val="auto"/>
          <w:sz w:val="24"/>
          <w:szCs w:val="24"/>
        </w:rPr>
        <w:t>Research Objectives</w:t>
      </w:r>
      <w:bookmarkEnd w:id="64"/>
    </w:p>
    <w:p w14:paraId="0CD3A4C5"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The following research objectives guided the analysis:</w:t>
      </w:r>
    </w:p>
    <w:p w14:paraId="2E64CE9E" w14:textId="77777777" w:rsidR="00422665" w:rsidRPr="00C04179" w:rsidRDefault="00422665" w:rsidP="00C21670">
      <w:pPr>
        <w:pStyle w:val="ListParagraph"/>
        <w:numPr>
          <w:ilvl w:val="0"/>
          <w:numId w:val="3"/>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Objective 1: To examine how digital transformation is understood within the automotive industry literature</w:t>
      </w:r>
    </w:p>
    <w:p w14:paraId="6C574DF3" w14:textId="77777777" w:rsidR="00422665" w:rsidRPr="00C04179" w:rsidRDefault="00422665" w:rsidP="00C21670">
      <w:pPr>
        <w:pStyle w:val="ListParagraph"/>
        <w:numPr>
          <w:ilvl w:val="0"/>
          <w:numId w:val="3"/>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Objective 2: To identify the key organizational and technological dimensions in association with digital transformation in the automotive industry</w:t>
      </w:r>
    </w:p>
    <w:p w14:paraId="6C565936" w14:textId="77777777" w:rsidR="00422665" w:rsidRPr="00C04179" w:rsidRDefault="00422665" w:rsidP="00C21670">
      <w:pPr>
        <w:pStyle w:val="ListParagraph"/>
        <w:numPr>
          <w:ilvl w:val="0"/>
          <w:numId w:val="3"/>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Objective 3: To analyze the reported impacts of digital transformation on organizational operational performance and innovation capability</w:t>
      </w:r>
    </w:p>
    <w:p w14:paraId="47A96939" w14:textId="77777777" w:rsidR="00422665" w:rsidRPr="00C04179" w:rsidRDefault="00422665" w:rsidP="00C21670">
      <w:pPr>
        <w:pStyle w:val="ListParagraph"/>
        <w:numPr>
          <w:ilvl w:val="0"/>
          <w:numId w:val="3"/>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Objective 4: To identify common challenges and enablers in association with digital transformation initiatives in the automotive industry</w:t>
      </w:r>
    </w:p>
    <w:p w14:paraId="49368C3E"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lastRenderedPageBreak/>
        <w:t>These objectives provided a clear analytical framework for organizing and merging evidence from the reviewed documents.</w:t>
      </w:r>
    </w:p>
    <w:p w14:paraId="4CAF0CE0" w14:textId="77777777" w:rsidR="00422665" w:rsidRPr="00C04179" w:rsidRDefault="00422665" w:rsidP="00C21670">
      <w:pPr>
        <w:pStyle w:val="Heading2"/>
        <w:jc w:val="both"/>
        <w:rPr>
          <w:rFonts w:ascii="Times New Roman" w:hAnsi="Times New Roman" w:cs="Times New Roman"/>
          <w:b/>
          <w:color w:val="auto"/>
          <w:sz w:val="24"/>
          <w:szCs w:val="24"/>
        </w:rPr>
      </w:pPr>
      <w:bookmarkStart w:id="65" w:name="_Toc220925447"/>
      <w:r w:rsidRPr="00C04179">
        <w:rPr>
          <w:rFonts w:ascii="Times New Roman" w:hAnsi="Times New Roman" w:cs="Times New Roman"/>
          <w:b/>
          <w:color w:val="auto"/>
          <w:sz w:val="24"/>
          <w:szCs w:val="24"/>
        </w:rPr>
        <w:t>Overview of the Document Analysis Method Process</w:t>
      </w:r>
      <w:bookmarkEnd w:id="65"/>
    </w:p>
    <w:p w14:paraId="728DCBDB"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 systematic approach was employed in document analysis by reviewing the authoritative industry reports and the peer-reviewed journal articles as shown in the reference section. Every document was reviewed to determine how it perceives digital transformation, how it has been implemented, and evaluated within the automotive sector. The analysis was keen in highlighting the key technologies discussed in this industry within those documents, and the specific organizations used as case studies as well as how their outcomes were affected by the technological transformations. </w:t>
      </w:r>
    </w:p>
    <w:p w14:paraId="44D292A2"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This process required constant reading and comparing the documents with each other to identify similar trends, important concepts and the themes. These themes were noted to define points of similarities across the literature and the general perspectives on digital transformation and their operationalization in the automotive sector (Squires, 2023). This analysis came up with five themes including:</w:t>
      </w:r>
    </w:p>
    <w:p w14:paraId="5D503747"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Digital transformation as a systemic and strategic process</w:t>
      </w:r>
    </w:p>
    <w:p w14:paraId="6965843E"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Process optimization and operational efficiency</w:t>
      </w:r>
    </w:p>
    <w:p w14:paraId="768F3C7A"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Technological advancement and innovation capability of organizations</w:t>
      </w:r>
    </w:p>
    <w:p w14:paraId="700FFB1F"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Cultural system and organizational transformation</w:t>
      </w:r>
    </w:p>
    <w:p w14:paraId="3021B632"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Ecosystem integration and data-based decision-making</w:t>
      </w:r>
    </w:p>
    <w:p w14:paraId="18575F3A"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These themes are discussed below. </w:t>
      </w:r>
    </w:p>
    <w:p w14:paraId="6AECFD59" w14:textId="77777777" w:rsidR="00422665" w:rsidRPr="00C04179" w:rsidRDefault="00422665" w:rsidP="00C21670">
      <w:pPr>
        <w:pStyle w:val="Heading2"/>
        <w:jc w:val="both"/>
        <w:rPr>
          <w:rFonts w:ascii="Times New Roman" w:hAnsi="Times New Roman" w:cs="Times New Roman"/>
          <w:b/>
          <w:color w:val="auto"/>
          <w:sz w:val="24"/>
          <w:szCs w:val="24"/>
        </w:rPr>
      </w:pPr>
      <w:bookmarkStart w:id="66" w:name="_Toc220925448"/>
      <w:r w:rsidRPr="00C04179">
        <w:rPr>
          <w:rFonts w:ascii="Times New Roman" w:hAnsi="Times New Roman" w:cs="Times New Roman"/>
          <w:b/>
          <w:color w:val="auto"/>
          <w:sz w:val="24"/>
          <w:szCs w:val="24"/>
        </w:rPr>
        <w:lastRenderedPageBreak/>
        <w:t>Presentation of Findings</w:t>
      </w:r>
      <w:bookmarkEnd w:id="66"/>
    </w:p>
    <w:p w14:paraId="20C031E6"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findings are presented according to identified themes, with each theme showing a recurring pattern highlighted across the analyzed documents. Themes are reported objectively, without interpretation or evaluation.</w:t>
      </w:r>
    </w:p>
    <w:p w14:paraId="0847140F" w14:textId="77777777" w:rsidR="00422665" w:rsidRPr="00C04179" w:rsidRDefault="00422665" w:rsidP="00C21670">
      <w:pPr>
        <w:pStyle w:val="Heading3"/>
        <w:jc w:val="both"/>
        <w:rPr>
          <w:rFonts w:ascii="Times New Roman" w:hAnsi="Times New Roman" w:cs="Times New Roman"/>
          <w:b/>
          <w:color w:val="auto"/>
        </w:rPr>
      </w:pPr>
      <w:bookmarkStart w:id="67" w:name="_Toc220925449"/>
      <w:r w:rsidRPr="00C04179">
        <w:rPr>
          <w:rFonts w:ascii="Times New Roman" w:hAnsi="Times New Roman" w:cs="Times New Roman"/>
          <w:b/>
          <w:color w:val="auto"/>
        </w:rPr>
        <w:t>Theme 1: Digital transformation as a systemic and strategic process</w:t>
      </w:r>
      <w:bookmarkEnd w:id="67"/>
    </w:p>
    <w:p w14:paraId="29D92C36" w14:textId="7B533645"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One of the key findings across the analyzed documents is that digital transformation within the automotive industry is always framed as a systemic and strategic process, as opposed to merely technological initiative</w:t>
      </w:r>
      <w:bookmarkStart w:id="68" w:name="_Hlk212055188"/>
      <w:r w:rsidRPr="00C04179">
        <w:rPr>
          <w:rFonts w:ascii="Times New Roman" w:hAnsi="Times New Roman" w:cs="Times New Roman"/>
          <w:sz w:val="24"/>
          <w:szCs w:val="24"/>
        </w:rPr>
        <w:t xml:space="preserve"> (Koelmel, Brysch, and Bulander, 2025). </w:t>
      </w:r>
      <w:bookmarkEnd w:id="68"/>
      <w:r w:rsidRPr="00C04179">
        <w:rPr>
          <w:rFonts w:ascii="Times New Roman" w:hAnsi="Times New Roman" w:cs="Times New Roman"/>
          <w:sz w:val="24"/>
          <w:szCs w:val="24"/>
        </w:rPr>
        <w:t xml:space="preserve"> The literature posits that digital transformation entails integrating digital technologies into the important organizational business models, value chains, and strategies. Different research studies have proven that automotive companies often perceive digital technologies as facilitators of sustainable resilience and competitiveness (</w:t>
      </w:r>
      <w:bookmarkStart w:id="69" w:name="_Hlk212031534"/>
      <w:r w:rsidRPr="00C04179">
        <w:rPr>
          <w:rFonts w:ascii="Times New Roman" w:hAnsi="Times New Roman" w:cs="Times New Roman"/>
          <w:sz w:val="24"/>
          <w:szCs w:val="24"/>
        </w:rPr>
        <w:t>Lie, and Tingvall, 2024;</w:t>
      </w:r>
      <w:bookmarkStart w:id="70" w:name="_Hlk212033087"/>
      <w:bookmarkEnd w:id="69"/>
      <w:r w:rsidRPr="00C04179">
        <w:rPr>
          <w:rFonts w:ascii="Times New Roman" w:hAnsi="Times New Roman" w:cs="Times New Roman"/>
          <w:sz w:val="24"/>
          <w:szCs w:val="24"/>
        </w:rPr>
        <w:t xml:space="preserve"> Lad, 2025). </w:t>
      </w:r>
      <w:bookmarkEnd w:id="70"/>
      <w:r w:rsidRPr="00C04179">
        <w:rPr>
          <w:rFonts w:ascii="Times New Roman" w:hAnsi="Times New Roman" w:cs="Times New Roman"/>
          <w:sz w:val="24"/>
          <w:szCs w:val="24"/>
        </w:rPr>
        <w:t xml:space="preserve"> Moreover, digital transformation has been documented to influence more than just production processes</w:t>
      </w:r>
      <w:bookmarkStart w:id="71" w:name="_Hlk212033203"/>
      <w:r w:rsidRPr="00C04179">
        <w:rPr>
          <w:rFonts w:ascii="Times New Roman" w:hAnsi="Times New Roman" w:cs="Times New Roman"/>
          <w:sz w:val="24"/>
          <w:szCs w:val="24"/>
        </w:rPr>
        <w:t xml:space="preserve"> (Chen, 2025). </w:t>
      </w:r>
      <w:bookmarkEnd w:id="71"/>
      <w:r w:rsidRPr="00C04179">
        <w:rPr>
          <w:rFonts w:ascii="Times New Roman" w:hAnsi="Times New Roman" w:cs="Times New Roman"/>
          <w:sz w:val="24"/>
          <w:szCs w:val="24"/>
        </w:rPr>
        <w:t>It has been found to influence strategic decision-making, coordination in the supply chain areas, and customer engagement (Lad, 2025;</w:t>
      </w:r>
      <w:bookmarkStart w:id="72" w:name="_Hlk212055138"/>
      <w:r w:rsidRPr="00C04179">
        <w:rPr>
          <w:rFonts w:ascii="Times New Roman" w:hAnsi="Times New Roman" w:cs="Times New Roman"/>
          <w:sz w:val="24"/>
          <w:szCs w:val="24"/>
        </w:rPr>
        <w:t xml:space="preserve"> Perri, Silvestri, and Zirpoli, 2025</w:t>
      </w:r>
      <w:bookmarkEnd w:id="72"/>
      <w:r w:rsidRPr="00C04179">
        <w:rPr>
          <w:rFonts w:ascii="Times New Roman" w:hAnsi="Times New Roman" w:cs="Times New Roman"/>
          <w:sz w:val="24"/>
          <w:szCs w:val="24"/>
        </w:rPr>
        <w:t xml:space="preserve">; </w:t>
      </w:r>
      <w:bookmarkStart w:id="73" w:name="_Hlk212033500"/>
      <w:r w:rsidRPr="00C04179">
        <w:rPr>
          <w:rFonts w:ascii="Times New Roman" w:hAnsi="Times New Roman" w:cs="Times New Roman"/>
          <w:sz w:val="24"/>
          <w:szCs w:val="24"/>
        </w:rPr>
        <w:t xml:space="preserve">Xi, and Zhao, 2023). </w:t>
      </w:r>
      <w:bookmarkEnd w:id="73"/>
      <w:r w:rsidRPr="00C04179">
        <w:rPr>
          <w:rFonts w:ascii="Times New Roman" w:hAnsi="Times New Roman" w:cs="Times New Roman"/>
          <w:sz w:val="24"/>
          <w:szCs w:val="24"/>
        </w:rPr>
        <w:t>This finding is in alignment with the digital frameworks that perceive digitalization as a transformational shift that influence numerous functional areas simultaneously. According to industry reports, this perspective is further upheld through demonstration of companies that pursue technology-based or fragmented digital initiatives often do not realized the whole transformational benefits (Llopis-Albert, Rubio, and Valero, 2021; Winkelhake, 2019). Rather, fruitful digital transformation is often linked with clear leadership commitment, strategic intent, and association between organizational objectives and technological investments</w:t>
      </w:r>
      <w:bookmarkStart w:id="74" w:name="_Hlk212029225"/>
      <w:r w:rsidRPr="00C04179">
        <w:rPr>
          <w:rFonts w:ascii="Times New Roman" w:hAnsi="Times New Roman" w:cs="Times New Roman"/>
          <w:sz w:val="24"/>
          <w:szCs w:val="24"/>
        </w:rPr>
        <w:t xml:space="preserve"> (Lopez-Vega, and Moodysson, 2023). </w:t>
      </w:r>
      <w:bookmarkEnd w:id="74"/>
      <w:r w:rsidRPr="00C04179">
        <w:rPr>
          <w:rFonts w:ascii="Times New Roman" w:hAnsi="Times New Roman" w:cs="Times New Roman"/>
          <w:sz w:val="24"/>
          <w:szCs w:val="24"/>
        </w:rPr>
        <w:t>This finding is in support of the deductive assumption arguing that digital transformation works as a systemic process of change as opposed to an isolated operational upgrade.</w:t>
      </w:r>
    </w:p>
    <w:p w14:paraId="1C18D21D" w14:textId="797307E1" w:rsidR="00FB6883" w:rsidRPr="00C04179" w:rsidRDefault="00FB6883"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From the digital transformation framework perspective, this finding reflects the shift from tool-centered digitization to organization-wide reconfiguring of value chains, competitive positioning, and governance models. Automotive companies often embed digital technologies into key strategic functions like customer engagement, supply chain coordination, and product development especially in line with connected vehicles, mobility services, and electrification. </w:t>
      </w:r>
    </w:p>
    <w:p w14:paraId="3F45CF23" w14:textId="65986675" w:rsidR="00B92D08" w:rsidRPr="00C04179" w:rsidRDefault="00B92D08"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On the other hand, innovation capability theory explains why similar digital technologies results in uneven outcomes across companies. </w:t>
      </w:r>
      <w:r w:rsidR="009D3D0F" w:rsidRPr="00C04179">
        <w:rPr>
          <w:rFonts w:ascii="Times New Roman" w:hAnsi="Times New Roman" w:cs="Times New Roman"/>
          <w:sz w:val="24"/>
          <w:szCs w:val="24"/>
        </w:rPr>
        <w:t>According to the findings, companies with robust internal learning mechanisms, absorptive capacity, and cross-functional integration are best placed to convert digital tools to innovation outputs</w:t>
      </w:r>
      <w:r w:rsidR="00C04179" w:rsidRPr="00C04179">
        <w:rPr>
          <w:rFonts w:ascii="Times New Roman" w:hAnsi="Times New Roman" w:cs="Times New Roman"/>
          <w:sz w:val="24"/>
          <w:szCs w:val="24"/>
        </w:rPr>
        <w:t xml:space="preserve"> </w:t>
      </w:r>
      <w:r w:rsidR="00C04179">
        <w:rPr>
          <w:rFonts w:ascii="Times New Roman" w:hAnsi="Times New Roman" w:cs="Times New Roman"/>
          <w:sz w:val="24"/>
          <w:szCs w:val="24"/>
        </w:rPr>
        <w:t>(</w:t>
      </w:r>
      <w:r w:rsidR="00C04179" w:rsidRPr="00C04179">
        <w:rPr>
          <w:rFonts w:ascii="Times New Roman" w:hAnsi="Times New Roman" w:cs="Times New Roman"/>
          <w:sz w:val="24"/>
          <w:szCs w:val="24"/>
        </w:rPr>
        <w:t>Görçün et al. 2024)</w:t>
      </w:r>
      <w:r w:rsidR="009D3D0F" w:rsidRPr="00C04179">
        <w:rPr>
          <w:rFonts w:ascii="Times New Roman" w:hAnsi="Times New Roman" w:cs="Times New Roman"/>
          <w:sz w:val="24"/>
          <w:szCs w:val="24"/>
        </w:rPr>
        <w:t xml:space="preserve"> </w:t>
      </w:r>
      <w:r w:rsidR="004544AA" w:rsidRPr="00C04179">
        <w:rPr>
          <w:rFonts w:ascii="Times New Roman" w:hAnsi="Times New Roman" w:cs="Times New Roman"/>
          <w:sz w:val="24"/>
          <w:szCs w:val="24"/>
        </w:rPr>
        <w:t xml:space="preserve">For instance, large OEMs which largely utilize digital platforms along with organizational learning structures show faster innovation cycles and more effective exploitation of insights that are data-driven. </w:t>
      </w:r>
      <w:r w:rsidR="007C5D2D" w:rsidRPr="00C04179">
        <w:rPr>
          <w:rFonts w:ascii="Times New Roman" w:hAnsi="Times New Roman" w:cs="Times New Roman"/>
          <w:sz w:val="24"/>
          <w:szCs w:val="24"/>
        </w:rPr>
        <w:t xml:space="preserve">On the contrary, SMEs and companies within the peripheral areas frequently struggle because of limited innovation capabilities like limited access to knowledge networks and weak R&amp;D integration, and not because of technological irrelevance. </w:t>
      </w:r>
    </w:p>
    <w:p w14:paraId="1D01055F" w14:textId="20E8BD71" w:rsidR="000D17D5" w:rsidRPr="00C04179" w:rsidRDefault="000D17D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Socio-technical systems theory expands this interpretation more by explaining that strategic digital transformation needs alignment between social subsystems and technical systems. According to evidence, digital initiatives underperform or fail when organizational culture, workforce skills, a d leadership practices remain focused on traditional manufacturing logics. Therefore, the success of digital transformation does not rely on strategic intent only but also on the organization’s ability to synchronize technological change with social and organizational adaptation. </w:t>
      </w:r>
    </w:p>
    <w:p w14:paraId="0B81E644" w14:textId="77777777" w:rsidR="00422665" w:rsidRPr="00C04179" w:rsidRDefault="00422665" w:rsidP="00C21670">
      <w:pPr>
        <w:pStyle w:val="Heading3"/>
        <w:jc w:val="both"/>
        <w:rPr>
          <w:rFonts w:ascii="Times New Roman" w:hAnsi="Times New Roman" w:cs="Times New Roman"/>
          <w:b/>
          <w:color w:val="auto"/>
        </w:rPr>
      </w:pPr>
      <w:bookmarkStart w:id="75" w:name="_Toc220925450"/>
      <w:r w:rsidRPr="00C04179">
        <w:rPr>
          <w:rFonts w:ascii="Times New Roman" w:hAnsi="Times New Roman" w:cs="Times New Roman"/>
          <w:b/>
          <w:color w:val="auto"/>
        </w:rPr>
        <w:lastRenderedPageBreak/>
        <w:t>Theme 2: Process optimization and operational efficiency</w:t>
      </w:r>
      <w:bookmarkEnd w:id="75"/>
    </w:p>
    <w:p w14:paraId="3FD811E4" w14:textId="77777777" w:rsidR="0087077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This is also an important theme that was identified in the analysis of documents. It entails the role that digital transformation plays in improving process optimization and operational efficiency in the automotive sector. In the literature, it was found that digital technologies like smart manufacturing platforms, digital twins, advanced analytics, and automation systems are often linked with enhancements on cost efficiency, quality control and productivity</w:t>
      </w:r>
      <w:bookmarkStart w:id="76" w:name="_Hlk212032698"/>
      <w:r w:rsidRPr="00C04179">
        <w:rPr>
          <w:rFonts w:ascii="Times New Roman" w:hAnsi="Times New Roman" w:cs="Times New Roman"/>
          <w:sz w:val="24"/>
          <w:szCs w:val="24"/>
        </w:rPr>
        <w:t xml:space="preserve"> (Hoegaerts, and Schönenberger, 2019; </w:t>
      </w:r>
      <w:bookmarkStart w:id="77" w:name="_Hlk212031649"/>
      <w:r w:rsidRPr="00C04179">
        <w:rPr>
          <w:rFonts w:ascii="Times New Roman" w:hAnsi="Times New Roman" w:cs="Times New Roman"/>
          <w:sz w:val="24"/>
          <w:szCs w:val="24"/>
        </w:rPr>
        <w:t>Muzahid</w:t>
      </w:r>
      <w:bookmarkEnd w:id="77"/>
      <w:r w:rsidRPr="00C04179">
        <w:rPr>
          <w:rFonts w:ascii="Times New Roman" w:hAnsi="Times New Roman" w:cs="Times New Roman"/>
          <w:sz w:val="24"/>
          <w:szCs w:val="24"/>
        </w:rPr>
        <w:t xml:space="preserve"> et al., </w:t>
      </w:r>
      <w:bookmarkEnd w:id="76"/>
      <w:r w:rsidRPr="00C04179">
        <w:rPr>
          <w:rFonts w:ascii="Times New Roman" w:hAnsi="Times New Roman" w:cs="Times New Roman"/>
          <w:sz w:val="24"/>
          <w:szCs w:val="24"/>
        </w:rPr>
        <w:t xml:space="preserve">2023; Xi, M. and Zhao, C. 2023). According to the report of the analyzed studies, manufacturing sectors that are supported digitally allow for real-time production process monitoring, early inefficiency detection, and predictive maintenance. These capabilities reduce waste and downtime and enhance production processes (Lie, A. and Tingvall, 2024). This research finding is in alignment with the socio-technical systems theory which encourage organizations to integrate technological systems into their operational workflows in order to improve their performance. </w:t>
      </w:r>
      <w:r w:rsidR="00870775" w:rsidRPr="00C04179">
        <w:rPr>
          <w:rFonts w:ascii="Times New Roman" w:hAnsi="Times New Roman" w:cs="Times New Roman"/>
          <w:sz w:val="24"/>
          <w:szCs w:val="24"/>
        </w:rPr>
        <w:t xml:space="preserve">Moreover, within the supply chain sector, digital integration has been found to encourage operational efficiency. The studied documents show that there is also improved responsiveness, coordination, and visibility among distributors, manufacturers, and suppliers. This finding is in alignment with the perspective that digital transformation affects more than the internal operations of an organization. </w:t>
      </w:r>
    </w:p>
    <w:p w14:paraId="3F15D520" w14:textId="5F332634" w:rsidR="00870775" w:rsidRPr="00C04179" w:rsidRDefault="009C512A"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However, innovation capability theory shows that the resultant efficiency gains are not mere automatic. Companies that do not have continuous improvement capabilities and structured experimentation often enjoy incremental or short-term benefits. More often than not, SMEs adopted isolate digital tools and failed to embed them into larger process rede</w:t>
      </w:r>
      <w:r w:rsidR="00D03BEB" w:rsidRPr="00C04179">
        <w:rPr>
          <w:rFonts w:ascii="Times New Roman" w:hAnsi="Times New Roman" w:cs="Times New Roman"/>
          <w:sz w:val="24"/>
          <w:szCs w:val="24"/>
        </w:rPr>
        <w:t>s</w:t>
      </w:r>
      <w:r w:rsidRPr="00C04179">
        <w:rPr>
          <w:rFonts w:ascii="Times New Roman" w:hAnsi="Times New Roman" w:cs="Times New Roman"/>
          <w:sz w:val="24"/>
          <w:szCs w:val="24"/>
        </w:rPr>
        <w:t xml:space="preserve">ign, thus reducing their transformative potential. </w:t>
      </w:r>
      <w:r w:rsidR="00D03BEB" w:rsidRPr="00C04179">
        <w:rPr>
          <w:rFonts w:ascii="Times New Roman" w:hAnsi="Times New Roman" w:cs="Times New Roman"/>
          <w:sz w:val="24"/>
          <w:szCs w:val="24"/>
        </w:rPr>
        <w:t xml:space="preserve">This implies that operational efficiency comes not only from the adoption of technology but also from the ability of the company to reconfigure processes and routines around digital capabilities. </w:t>
      </w:r>
    </w:p>
    <w:p w14:paraId="5E3181DD" w14:textId="3F4BD11D" w:rsidR="00870775" w:rsidRPr="00C04179" w:rsidRDefault="0087077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Additionally, from a socio-technical perspective, the findings show that operational enhancement rely on the connection between workforce practices and operational enhancements. </w:t>
      </w:r>
      <w:r w:rsidR="00216FE3" w:rsidRPr="00C04179">
        <w:rPr>
          <w:rFonts w:ascii="Times New Roman" w:hAnsi="Times New Roman" w:cs="Times New Roman"/>
          <w:sz w:val="24"/>
          <w:szCs w:val="24"/>
        </w:rPr>
        <w:t xml:space="preserve">Automated monitoring systems and predictive maintenance produce value only when the company’s employees are well trained to interpret the data outputs and well skilled to act on insights. Where there is more implementation of digital systems without the corresponding adaptations in the work design or development of skills, the likelihood of performance bottlenecks and resistance are apparent. This shows the limitations of technology-focused transformative strategies in the automotive sector. </w:t>
      </w:r>
    </w:p>
    <w:p w14:paraId="080B336C" w14:textId="77777777" w:rsidR="00422665" w:rsidRPr="00C04179" w:rsidRDefault="00422665" w:rsidP="00C21670">
      <w:pPr>
        <w:pStyle w:val="Heading3"/>
        <w:jc w:val="both"/>
        <w:rPr>
          <w:rFonts w:ascii="Times New Roman" w:hAnsi="Times New Roman" w:cs="Times New Roman"/>
          <w:b/>
          <w:color w:val="auto"/>
        </w:rPr>
      </w:pPr>
      <w:bookmarkStart w:id="78" w:name="_Toc220925451"/>
      <w:r w:rsidRPr="00C04179">
        <w:rPr>
          <w:rFonts w:ascii="Times New Roman" w:hAnsi="Times New Roman" w:cs="Times New Roman"/>
          <w:b/>
          <w:color w:val="auto"/>
        </w:rPr>
        <w:t>Theme 3: Technological advancement and innovation capability of organizations</w:t>
      </w:r>
      <w:bookmarkEnd w:id="78"/>
    </w:p>
    <w:p w14:paraId="30C07ACC"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document analysis further shows another important theme that shows a bold association between digital transformation and innovation within the automotive industry. Various research studies have been documented showing digital technologies as powerful influencers of increased experimentation, increased design flexibility, and faster development cycles of products. This finding is in support of the innovation capability theory that contends that the innovation of a company is increased via developing knowledge and technology-based capabilities (Aas and Breunig, 2017; Lopez-Vega, and Moodysson, 2023; Koelmel, Brysch, and Bulander, 2025). Various documents have shown the role played by simulation tools and digital platforms in improving development and research processes. The ability to digitally refine, test, and model automotive factors and systems minimizes development costs and time and increases design accuracy</w:t>
      </w:r>
      <w:bookmarkStart w:id="79" w:name="_Hlk212033726"/>
      <w:r w:rsidRPr="00C04179">
        <w:rPr>
          <w:rFonts w:ascii="Times New Roman" w:hAnsi="Times New Roman" w:cs="Times New Roman"/>
          <w:sz w:val="24"/>
          <w:szCs w:val="24"/>
        </w:rPr>
        <w:t xml:space="preserve"> (Men</w:t>
      </w:r>
      <w:bookmarkEnd w:id="79"/>
      <w:r w:rsidRPr="00C04179">
        <w:rPr>
          <w:rFonts w:ascii="Times New Roman" w:hAnsi="Times New Roman" w:cs="Times New Roman"/>
          <w:sz w:val="24"/>
          <w:szCs w:val="24"/>
        </w:rPr>
        <w:t xml:space="preserve"> et al., 2023; Perri, Silvestri, and Zirpoli, 2025). This has been important in developing connected electrical vehicles and autonomous driving technologies. </w:t>
      </w:r>
    </w:p>
    <w:p w14:paraId="63339F4D"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In addition, analysis of literature has revealed that digital transformation facilitates radical and incremental innovation. Radical innovation comes in ecosystem-based offerings, business </w:t>
      </w:r>
      <w:r w:rsidRPr="00C04179">
        <w:rPr>
          <w:rFonts w:ascii="Times New Roman" w:hAnsi="Times New Roman" w:cs="Times New Roman"/>
          <w:sz w:val="24"/>
          <w:szCs w:val="24"/>
        </w:rPr>
        <w:lastRenderedPageBreak/>
        <w:t xml:space="preserve">models that are data-driven, and new mobility services. According to this finding, deductive expectation is supported which posits that digital transformation expands the intensity and scope of innovation in the automotive sector.  </w:t>
      </w:r>
    </w:p>
    <w:p w14:paraId="5069598E" w14:textId="0017858F" w:rsidR="000D192F" w:rsidRPr="00C04179" w:rsidRDefault="000D192F"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Digital transformation frameworks elaborate how platforms like simulation tools, connected data infrastructures, AI-based R&amp;D systems, and simulation tools expand the innovation scope beyond the traditional mechanical engineering. However, the ability of capitalizing on these technologies is dependent on the organizations’ ability to integrate wide knowledge domains like systems integration, data analytics, and software engineering. </w:t>
      </w:r>
    </w:p>
    <w:p w14:paraId="2E840DA1" w14:textId="6A666737" w:rsidR="008F0E22" w:rsidRPr="00C04179" w:rsidRDefault="008F0E22"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Socio-technical systems theory highlights that innovation capability is socially-embedded. According to the findings, organizations that redesign their structures like ecosystem partnerships and agile teams experienced fruitful benefits of digital tools while translating digital tools into new services and products. On the c</w:t>
      </w:r>
      <w:r w:rsidR="00F64CBA" w:rsidRPr="00C04179">
        <w:rPr>
          <w:rFonts w:ascii="Times New Roman" w:hAnsi="Times New Roman" w:cs="Times New Roman"/>
          <w:sz w:val="24"/>
          <w:szCs w:val="24"/>
        </w:rPr>
        <w:t xml:space="preserve">ontrary, companies that held on to their traditional hierarchies or siloed functions had difficulties in exploiting the innovative potential digital transformation, thus reinforcing the concept that innovation is a socio-technical outcome as opposed to purely technological outcome. </w:t>
      </w:r>
    </w:p>
    <w:p w14:paraId="4E7339D8" w14:textId="77777777" w:rsidR="00422665" w:rsidRPr="00C04179" w:rsidRDefault="00422665" w:rsidP="00C21670">
      <w:pPr>
        <w:pStyle w:val="Heading3"/>
        <w:jc w:val="both"/>
        <w:rPr>
          <w:rFonts w:ascii="Times New Roman" w:hAnsi="Times New Roman" w:cs="Times New Roman"/>
          <w:b/>
          <w:color w:val="auto"/>
        </w:rPr>
      </w:pPr>
      <w:bookmarkStart w:id="80" w:name="_Toc220925452"/>
      <w:r w:rsidRPr="00C04179">
        <w:rPr>
          <w:rFonts w:ascii="Times New Roman" w:hAnsi="Times New Roman" w:cs="Times New Roman"/>
          <w:b/>
          <w:color w:val="auto"/>
        </w:rPr>
        <w:t>Theme 4: Cultural system and organizational transformation</w:t>
      </w:r>
      <w:bookmarkEnd w:id="80"/>
    </w:p>
    <w:p w14:paraId="357EEA63"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Document analysis further shows the theme of cultural system and organizational transformation. According to many research studies, successful digital transformation needs some changes in the workforce capabilities, leadership strategies, and organizational structures (</w:t>
      </w:r>
      <w:bookmarkStart w:id="81" w:name="_Hlk212056773"/>
      <w:r w:rsidRPr="00C04179">
        <w:rPr>
          <w:rFonts w:ascii="Times New Roman" w:hAnsi="Times New Roman" w:cs="Times New Roman"/>
          <w:sz w:val="24"/>
          <w:szCs w:val="24"/>
        </w:rPr>
        <w:t>Cornet et al., 2023</w:t>
      </w:r>
      <w:bookmarkEnd w:id="81"/>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Cummings, and Worley, 2015</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 xml:space="preserve">Manz, 2009; Ngowi, and Mvungi, 2018).   </w:t>
      </w:r>
      <w:r w:rsidRPr="00C04179">
        <w:rPr>
          <w:rFonts w:ascii="Times New Roman" w:hAnsi="Times New Roman" w:cs="Times New Roman"/>
          <w:sz w:val="24"/>
          <w:szCs w:val="24"/>
        </w:rPr>
        <w:t xml:space="preserve"> The body of literature further shows that cultural readiness and skills development are key enablers in digital transformation. Many automotive companies as shown in the literature have invested in digital training, transformative work practices, and cross-functional collaboration (</w:t>
      </w:r>
      <w:r w:rsidRPr="00C04179">
        <w:rPr>
          <w:rFonts w:ascii="Times New Roman" w:hAnsi="Times New Roman" w:cs="Times New Roman"/>
          <w:sz w:val="24"/>
          <w:szCs w:val="24"/>
          <w:lang w:val="en-GB"/>
        </w:rPr>
        <w:t xml:space="preserve">Saetren, and Laumann, </w:t>
      </w:r>
      <w:r w:rsidRPr="00C04179">
        <w:rPr>
          <w:rFonts w:ascii="Times New Roman" w:hAnsi="Times New Roman" w:cs="Times New Roman"/>
          <w:sz w:val="24"/>
          <w:szCs w:val="24"/>
          <w:lang w:val="en-GB"/>
        </w:rPr>
        <w:lastRenderedPageBreak/>
        <w:t xml:space="preserve">2017). </w:t>
      </w:r>
      <w:r w:rsidRPr="00C04179">
        <w:rPr>
          <w:rFonts w:ascii="Times New Roman" w:hAnsi="Times New Roman" w:cs="Times New Roman"/>
          <w:sz w:val="24"/>
          <w:szCs w:val="24"/>
        </w:rPr>
        <w:t xml:space="preserve">This has proved that resistance to change has become a barrier particularly in companies that have embraced the traditional manufacturing cultures. These findings are in alignment with the socio-technical systems theory which argues that there is need for aligning human systems with technological change. </w:t>
      </w:r>
    </w:p>
    <w:p w14:paraId="60F2A66A" w14:textId="0AB0740A"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Moreover, documents such as Hickman</w:t>
      </w:r>
      <w:r w:rsidR="005144D3" w:rsidRPr="00C04179">
        <w:rPr>
          <w:rFonts w:ascii="Times New Roman" w:hAnsi="Times New Roman" w:cs="Times New Roman"/>
          <w:sz w:val="24"/>
          <w:szCs w:val="24"/>
        </w:rPr>
        <w:t xml:space="preserve"> and</w:t>
      </w:r>
      <w:r w:rsidRPr="00C04179">
        <w:rPr>
          <w:rFonts w:ascii="Times New Roman" w:hAnsi="Times New Roman" w:cs="Times New Roman"/>
          <w:sz w:val="24"/>
          <w:szCs w:val="24"/>
        </w:rPr>
        <w:t xml:space="preserve"> Silva, (2018), show that digital technologies show reduced value when organizational structures and culture remain unchanged. As a result, digital transformation proves to be a process that involves both human-focused and technological-centered process. </w:t>
      </w:r>
    </w:p>
    <w:p w14:paraId="02545B6B" w14:textId="05734D2C" w:rsidR="00DD6A36" w:rsidRPr="00C04179" w:rsidRDefault="00DD6A36"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research study’s findings show that digital transformation within the automotive sector is connected to workforce</w:t>
      </w:r>
      <w:r w:rsidR="00031A2B" w:rsidRPr="00C04179">
        <w:rPr>
          <w:rFonts w:ascii="Times New Roman" w:hAnsi="Times New Roman" w:cs="Times New Roman"/>
          <w:sz w:val="24"/>
          <w:szCs w:val="24"/>
        </w:rPr>
        <w:t xml:space="preserve"> restructuring and cultural change. digital transformation frameworks hold that workforce adaptation is a supporting aspect, but socio-technical systems theory holds it as a central factor of transformation outcomes. </w:t>
      </w:r>
    </w:p>
    <w:p w14:paraId="27C5DE80" w14:textId="12B6594D" w:rsidR="009F1E40" w:rsidRPr="00C04179" w:rsidRDefault="009F1E40"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analysis has shown that digital technologies re-mold power relations, skill requirements, and job roles within automotive companies. High-skilled roles within software engineering and data analytics expanded according to the findings, but manual and routine roles declined or were redefined. </w:t>
      </w:r>
      <w:r w:rsidR="00124CD5" w:rsidRPr="00C04179">
        <w:rPr>
          <w:rFonts w:ascii="Times New Roman" w:hAnsi="Times New Roman" w:cs="Times New Roman"/>
          <w:sz w:val="24"/>
          <w:szCs w:val="24"/>
        </w:rPr>
        <w:t xml:space="preserve">Innovation capacity theory has explained this shift as a reallocation of human capital to knowledge-intensive activities which support experimentation and learning. </w:t>
      </w:r>
    </w:p>
    <w:p w14:paraId="4BC57BB9" w14:textId="64E04A94" w:rsidR="00837245" w:rsidRPr="00C04179" w:rsidRDefault="0083724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However, the findings also show the risk of exclusion for certain companies like SMEs and companies in the peripheral regions where there are limitations like inaccessibility of digital skills and lack of training. Without targeted companies and policy interventions, digital transformation may reinforce the existing imbalances as opposed to promoting inclusive upgrading. This </w:t>
      </w:r>
      <w:r w:rsidRPr="00C04179">
        <w:rPr>
          <w:rFonts w:ascii="Times New Roman" w:hAnsi="Times New Roman" w:cs="Times New Roman"/>
          <w:sz w:val="24"/>
          <w:szCs w:val="24"/>
        </w:rPr>
        <w:lastRenderedPageBreak/>
        <w:t xml:space="preserve">strengthens the socio-technical argument that digital transformation </w:t>
      </w:r>
      <w:r w:rsidR="00FA200C" w:rsidRPr="00C04179">
        <w:rPr>
          <w:rFonts w:ascii="Times New Roman" w:hAnsi="Times New Roman" w:cs="Times New Roman"/>
          <w:sz w:val="24"/>
          <w:szCs w:val="24"/>
        </w:rPr>
        <w:t>needs</w:t>
      </w:r>
      <w:r w:rsidRPr="00C04179">
        <w:rPr>
          <w:rFonts w:ascii="Times New Roman" w:hAnsi="Times New Roman" w:cs="Times New Roman"/>
          <w:sz w:val="24"/>
          <w:szCs w:val="24"/>
        </w:rPr>
        <w:t xml:space="preserve"> to be accompanied by deliberate investment in human systems to attain sustainable outcomes.  </w:t>
      </w:r>
    </w:p>
    <w:p w14:paraId="57E7112A" w14:textId="77777777" w:rsidR="00422665" w:rsidRPr="00C04179" w:rsidRDefault="00422665" w:rsidP="00C21670">
      <w:pPr>
        <w:pStyle w:val="Heading3"/>
        <w:jc w:val="both"/>
        <w:rPr>
          <w:rFonts w:ascii="Times New Roman" w:hAnsi="Times New Roman" w:cs="Times New Roman"/>
          <w:b/>
          <w:color w:val="auto"/>
        </w:rPr>
      </w:pPr>
      <w:bookmarkStart w:id="82" w:name="_Toc220925453"/>
      <w:r w:rsidRPr="00C04179">
        <w:rPr>
          <w:rFonts w:ascii="Times New Roman" w:hAnsi="Times New Roman" w:cs="Times New Roman"/>
          <w:b/>
          <w:color w:val="auto"/>
        </w:rPr>
        <w:t>Theme 5: Ecosystem integration and data-based decision-making</w:t>
      </w:r>
      <w:bookmarkEnd w:id="82"/>
    </w:p>
    <w:p w14:paraId="568A5E3C"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This is yet another crucial theme that has emerged in the document analysis. The literature was highly depended on real-time predictive models, integrated information systems, and data analytics to support operational and strategic decisions. According to the documents reviewed, depending on data to make decisions is linked with enhanced risk management and accuracy and reduction in uncertainty (Perri, Silvestri, and Zirpoli, 2025).  It is reported that automotive companies often use digital platforms and digital dashboards to optimize resource allocation, forecast demand, and monitor performance. This finding coincides with frameworks on data-based decision-making that uphold the analytics capability and the information transparency strategic value. </w:t>
      </w:r>
    </w:p>
    <w:p w14:paraId="154E05CE"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Moreover, literature show that there is a growing significance of ecosystem integration especially via connected vehicle-to-everything (V2X) and vehicle technologies communication systems</w:t>
      </w:r>
      <w:bookmarkStart w:id="83" w:name="_Hlk219116154"/>
      <w:r w:rsidRPr="00C04179">
        <w:rPr>
          <w:rFonts w:ascii="Times New Roman" w:hAnsi="Times New Roman" w:cs="Times New Roman"/>
          <w:sz w:val="24"/>
          <w:szCs w:val="24"/>
        </w:rPr>
        <w:t xml:space="preserve"> (Koelmel, Brysch, and Bulander, 2025</w:t>
      </w:r>
      <w:bookmarkStart w:id="84" w:name="_Hlk219116129"/>
      <w:bookmarkEnd w:id="83"/>
      <w:r w:rsidRPr="00C04179">
        <w:rPr>
          <w:rFonts w:ascii="Times New Roman" w:hAnsi="Times New Roman" w:cs="Times New Roman"/>
          <w:sz w:val="24"/>
          <w:szCs w:val="24"/>
        </w:rPr>
        <w:t>; Lopez-Vega, and Moodysson, 2023</w:t>
      </w:r>
      <w:bookmarkEnd w:id="84"/>
      <w:r w:rsidRPr="00C04179">
        <w:rPr>
          <w:rFonts w:ascii="Times New Roman" w:hAnsi="Times New Roman" w:cs="Times New Roman"/>
          <w:sz w:val="24"/>
          <w:szCs w:val="24"/>
        </w:rPr>
        <w:t xml:space="preserve">; Lie, and Tingvall, 2024).  These technologies allow for interaction between external service providers, infrastructure, and vehicle, thus increasing the digital transformation scope more than the firms’ boundaries. </w:t>
      </w:r>
    </w:p>
    <w:p w14:paraId="3821E8BB" w14:textId="31E2FF75" w:rsidR="003D2C43" w:rsidRPr="00C04179" w:rsidRDefault="003D2C43"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These findings show that data control has become a key axis of competition within the digitally transforming automotive industry. Digital transformation frameworks interpret data as a resource of strategy. On the other hand, innovation capability theory emphasizes on the role of data in enabling service innovation and continuous learning. </w:t>
      </w:r>
    </w:p>
    <w:p w14:paraId="0B05DC25" w14:textId="397CE697" w:rsidR="005A5B38" w:rsidRPr="00C04179" w:rsidRDefault="005A5B38"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He socio-technical systems theory provides detailed insights on how data governance structures shape power relations across the ecosystem. evidence in literature demonstrate that propriety data architectures like closed Extended Vehicle models, concentrate informational control in OEMs, reducing innovation opportunities for aftermarket service providers, independent repairers, and SMEs. This creates structural asymmetries that go beyond company-level strategy into industry -wide governance. </w:t>
      </w:r>
    </w:p>
    <w:p w14:paraId="2B61FBBB" w14:textId="64296A18" w:rsidR="005A5B38" w:rsidRPr="00C04179" w:rsidRDefault="005A5B38"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Therefore, the findings suggest that ecosystem participation is shaped by regulatory frameworks, standards, and rules and not inherently inclusive. Automotive companies that dominate data infrastructures are better placed to define innovation trajectories, whereas other become dependent factors. This shows that there is need of viewing digital transformation as a governance challenge with implications for long-term industry resilience and market fairness, as opposed to viewing it as just competitive strategy.</w:t>
      </w:r>
    </w:p>
    <w:p w14:paraId="4B4ECBBE" w14:textId="1A57BF88" w:rsidR="006B17E3" w:rsidRPr="00C04179" w:rsidRDefault="006B17E3" w:rsidP="00C21670">
      <w:pPr>
        <w:pStyle w:val="Heading2"/>
        <w:jc w:val="both"/>
        <w:rPr>
          <w:rFonts w:ascii="Times New Roman" w:hAnsi="Times New Roman" w:cs="Times New Roman"/>
          <w:b/>
          <w:color w:val="auto"/>
          <w:sz w:val="24"/>
          <w:szCs w:val="24"/>
        </w:rPr>
      </w:pPr>
      <w:bookmarkStart w:id="85" w:name="_Toc220925454"/>
      <w:r w:rsidRPr="00C04179">
        <w:rPr>
          <w:rFonts w:ascii="Times New Roman" w:hAnsi="Times New Roman" w:cs="Times New Roman"/>
          <w:b/>
          <w:color w:val="auto"/>
          <w:sz w:val="24"/>
          <w:szCs w:val="24"/>
        </w:rPr>
        <w:t>Summary</w:t>
      </w:r>
      <w:bookmarkEnd w:id="85"/>
    </w:p>
    <w:p w14:paraId="5BC194D8" w14:textId="45611521" w:rsidR="006B17E3" w:rsidRPr="00C04179" w:rsidRDefault="006B17E3"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ab/>
        <w:t>This discussion demonstrates that digital transformation in the automotive sector is a multi-layered process shaped by the interaction of strategic intent, innovation capability, and socio-technical alignment. The integrated theoretical framework adopted in this study explains why digital transformation outcomes vary significantly across firms and regions, despite exposure to similar technological drivers.  The findings advance existing theory by showing that digital transformation cannot be fully explained through technology adoption alone. Instead, successful transformation depends on firms’ ability to develop innovation capabilities and align technological systems with organizational culture, workforce skills, and ecosystem governance.</w:t>
      </w:r>
    </w:p>
    <w:p w14:paraId="6D4179CA" w14:textId="77777777" w:rsidR="00422665" w:rsidRPr="00C04179" w:rsidRDefault="00422665" w:rsidP="00C21670">
      <w:pPr>
        <w:pStyle w:val="Heading2"/>
        <w:jc w:val="both"/>
        <w:rPr>
          <w:rFonts w:ascii="Times New Roman" w:hAnsi="Times New Roman" w:cs="Times New Roman"/>
          <w:b/>
          <w:color w:val="auto"/>
          <w:sz w:val="24"/>
          <w:szCs w:val="24"/>
        </w:rPr>
      </w:pPr>
      <w:bookmarkStart w:id="86" w:name="_Toc220925455"/>
      <w:r w:rsidRPr="00C04179">
        <w:rPr>
          <w:rFonts w:ascii="Times New Roman" w:hAnsi="Times New Roman" w:cs="Times New Roman"/>
          <w:b/>
          <w:color w:val="auto"/>
          <w:sz w:val="24"/>
          <w:szCs w:val="24"/>
        </w:rPr>
        <w:t>Synthesis of the Findings with the Research Objectives</w:t>
      </w:r>
      <w:bookmarkEnd w:id="86"/>
    </w:p>
    <w:p w14:paraId="03EA1EF1"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According to the findings, digital transformation within the automotive industry is strategically important and multifaceted. The analysis of literature shows evidence that digital </w:t>
      </w:r>
      <w:r w:rsidRPr="00C04179">
        <w:rPr>
          <w:rFonts w:ascii="Times New Roman" w:hAnsi="Times New Roman" w:cs="Times New Roman"/>
          <w:sz w:val="24"/>
          <w:szCs w:val="24"/>
        </w:rPr>
        <w:lastRenderedPageBreak/>
        <w:t xml:space="preserve">transformation operates as a systemic change process within organizations, increases process optimization and operational efficiency, increases technological advancement and innovation capabilities, needs cultural and organizational transformation, and allows for ecosystem integration and data-driven decision-making. </w:t>
      </w:r>
    </w:p>
    <w:p w14:paraId="47B1AE09"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i/>
          <w:sz w:val="24"/>
          <w:szCs w:val="24"/>
        </w:rPr>
        <w:t>Research objective 1:</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To identify and analyze key digital transformation strategies in the automotive sector by analyzing published in case studies, journals and reports from 2018-2025, and assessing their alignment with technological drivers such as AI, IoT and electrification.</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 xml:space="preserve">The most relevant theme that relates to this objective is digital transformation as a systemic and strategic process. In this theme, digital transformation as a systemic and strategic process directly tackles this objective by showing that the document analysis has conceptualized digital transformation as a phenomenon in an entire organization. The findings prove that digital transformation is not only the adoption of single technologies but also entails strategic integration across value creation mechanisms, operational structures, and business models. </w:t>
      </w:r>
    </w:p>
    <w:p w14:paraId="066E68BD"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lang w:val="en-GB"/>
        </w:rPr>
        <w:t xml:space="preserve">In the document analysis, digital transformation is seen as a sustainable initiative that is at the core of an organizational vision, alignment, and leadership decision-making thus showing how digital transformation is comprehended in the automotive sector. </w:t>
      </w:r>
    </w:p>
    <w:p w14:paraId="54B4C97D"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i/>
          <w:sz w:val="24"/>
          <w:szCs w:val="24"/>
          <w:lang w:val="en-GB"/>
        </w:rPr>
        <w:t>Research Objective 2:</w:t>
      </w:r>
      <w:r w:rsidRPr="00C04179">
        <w:rPr>
          <w:rFonts w:ascii="Times New Roman" w:hAnsi="Times New Roman" w:cs="Times New Roman"/>
          <w:sz w:val="24"/>
          <w:szCs w:val="24"/>
          <w:lang w:val="en-GB"/>
        </w:rPr>
        <w:t xml:space="preserve"> To examine the challenges and opportunities to upgrade in peripheral regions and SMEs and their impact on employment, value chains and upgrade mechanisms that are relevant to the post-pandemic context</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 xml:space="preserve">One of the themes that relates to this objective is process optimization and operational efficiency which addresses the dimension of operations in this objective by providing evidence that digital transformation is linked to the increase in system responsiveness, process visibility, and production efficiency. The findings show that digital tools allow for real-time increased coordination, predictive maintenance, and </w:t>
      </w:r>
      <w:r w:rsidRPr="00C04179">
        <w:rPr>
          <w:rFonts w:ascii="Times New Roman" w:hAnsi="Times New Roman" w:cs="Times New Roman"/>
          <w:sz w:val="24"/>
          <w:szCs w:val="24"/>
          <w:lang w:val="en-GB"/>
        </w:rPr>
        <w:lastRenderedPageBreak/>
        <w:t xml:space="preserve">monitoring in automotive operations. Another theme that relates to this objective is cultural transformation and organizational change which touches on the organizational part of the objective. According to the findings, organizational transformation, managerial practices, and workforce capabilities are directly connected to digital transformation initiatives. They show digital transformation impacts at workplaces in regards to how work is done and how organizations are governed and structured to deliver successful results. </w:t>
      </w:r>
    </w:p>
    <w:p w14:paraId="36A2AE68"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i/>
          <w:sz w:val="24"/>
          <w:szCs w:val="24"/>
          <w:lang w:val="en-GB"/>
        </w:rPr>
        <w:t>Research Objective 3 and 4:</w:t>
      </w:r>
      <w:r w:rsidRPr="00C04179">
        <w:rPr>
          <w:rFonts w:ascii="Times New Roman" w:hAnsi="Times New Roman" w:cs="Times New Roman"/>
          <w:sz w:val="24"/>
          <w:szCs w:val="24"/>
          <w:lang w:val="en-GB"/>
        </w:rPr>
        <w:t xml:space="preserve"> To determine the implications of data access models and innovation ecosystems in shaping the competition of the auto industry</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The theme of ecosystem integration and data-driven decision-making touches on this objective by showing the vital role played by data analytics, data access, and inter-organizational link in the digital transformation. According to the findings, the automotive organizations largely depend on real-time data to make operational and strategic decisions.</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 xml:space="preserve">Moreover, literature shows that ecosystem integration through connection of collaborative networks, digital platforms, and vehicle systems are important in digital transformation. It focuses on the literature that reveals data ecosystems and their impact on industry dynamics. Coupled with the theme on technological advancement and innovation capability, this finding shows the connection to the objective by determining that digital transformation helps in enhancing innovation processes in the automotive sector. Literature also show that digital technologies support an increase in product development, designing of new digital services, and increased design flexibility. The analysed document throughout the findings demonstrates the association between digital transformation and increased innovation capability showing that technology is an important factor in driving competitive advantage within the automotive industry. This is in alignment with the literature review’s stand on innovation being a key outcome of digital transformation within the automotive industry. </w:t>
      </w:r>
    </w:p>
    <w:p w14:paraId="1A099823"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87" w:name="_Toc220925456"/>
      <w:r w:rsidRPr="00C04179">
        <w:rPr>
          <w:rFonts w:ascii="Times New Roman" w:hAnsi="Times New Roman" w:cs="Times New Roman"/>
          <w:b/>
          <w:color w:val="auto"/>
          <w:sz w:val="24"/>
          <w:szCs w:val="24"/>
          <w:lang w:val="en-GB"/>
        </w:rPr>
        <w:lastRenderedPageBreak/>
        <w:t>Limitations of the Data Analysis</w:t>
      </w:r>
      <w:bookmarkEnd w:id="87"/>
    </w:p>
    <w:p w14:paraId="7D1E2DB5"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There were a few limitations encountered during the document analysis. Firstly, the research study has depended exclusively on secondary data collection method which restricts the ability to include real-time perspectives and company-specific views. This means that the research study solely relies on what someone else has already reported regarding some automotive organizations and their relationships with digital transformation. Secondly, when it comes to highlighting the key themes, some of the themes were largely influenced by the researchers’ judgment and bias rather than the real-time judgment. Also, the study entailed variations in the focus and scope of the documents which may have influenced the comparability of findings across the references (</w:t>
      </w:r>
      <w:r w:rsidRPr="00C04179">
        <w:rPr>
          <w:rFonts w:ascii="Times New Roman" w:hAnsi="Times New Roman" w:cs="Times New Roman"/>
          <w:sz w:val="24"/>
          <w:szCs w:val="24"/>
        </w:rPr>
        <w:t>Armstrong, 2021).</w:t>
      </w:r>
    </w:p>
    <w:p w14:paraId="09CC8566" w14:textId="2BC06A1D" w:rsidR="00422665" w:rsidRPr="00C04179" w:rsidRDefault="00422665" w:rsidP="00C21670">
      <w:pPr>
        <w:pStyle w:val="Heading2"/>
        <w:jc w:val="both"/>
        <w:rPr>
          <w:rFonts w:ascii="Times New Roman" w:hAnsi="Times New Roman" w:cs="Times New Roman"/>
          <w:b/>
          <w:color w:val="auto"/>
          <w:sz w:val="24"/>
          <w:szCs w:val="24"/>
          <w:lang w:val="en-GB"/>
        </w:rPr>
      </w:pPr>
      <w:bookmarkStart w:id="88" w:name="_Toc220925457"/>
      <w:r w:rsidRPr="00C04179">
        <w:rPr>
          <w:rFonts w:ascii="Times New Roman" w:hAnsi="Times New Roman" w:cs="Times New Roman"/>
          <w:b/>
          <w:color w:val="auto"/>
          <w:sz w:val="24"/>
          <w:szCs w:val="24"/>
          <w:lang w:val="en-GB"/>
        </w:rPr>
        <w:t>Summary</w:t>
      </w:r>
      <w:r w:rsidR="002E5FB1" w:rsidRPr="00C04179">
        <w:rPr>
          <w:rFonts w:ascii="Times New Roman" w:hAnsi="Times New Roman" w:cs="Times New Roman"/>
          <w:b/>
          <w:color w:val="auto"/>
          <w:sz w:val="24"/>
          <w:szCs w:val="24"/>
          <w:lang w:val="en-GB"/>
        </w:rPr>
        <w:t xml:space="preserve"> of Chapter</w:t>
      </w:r>
      <w:bookmarkEnd w:id="88"/>
      <w:r w:rsidR="002E5FB1" w:rsidRPr="00C04179">
        <w:rPr>
          <w:rFonts w:ascii="Times New Roman" w:hAnsi="Times New Roman" w:cs="Times New Roman"/>
          <w:b/>
          <w:color w:val="auto"/>
          <w:sz w:val="24"/>
          <w:szCs w:val="24"/>
          <w:lang w:val="en-GB"/>
        </w:rPr>
        <w:t xml:space="preserve"> </w:t>
      </w:r>
    </w:p>
    <w:p w14:paraId="06264B49"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This chapter shows an objective analysis and structure of data using a qualitative document analysis method. The findings show consistent patterns in regards to outcomes, drivers, and nature of digital transformation within the automotive sector. The analysis captured the five key themes that show the apparent outcomes and patterns as reported in the industry and academic sources.</w:t>
      </w:r>
    </w:p>
    <w:p w14:paraId="44BB758D" w14:textId="6E35C4B7" w:rsidR="00422665" w:rsidRPr="00C04179" w:rsidRDefault="00422665" w:rsidP="00C21670">
      <w:pPr>
        <w:spacing w:line="480" w:lineRule="auto"/>
        <w:jc w:val="both"/>
        <w:rPr>
          <w:rFonts w:ascii="Times New Roman" w:hAnsi="Times New Roman" w:cs="Times New Roman"/>
          <w:sz w:val="24"/>
          <w:szCs w:val="24"/>
        </w:rPr>
      </w:pPr>
    </w:p>
    <w:p w14:paraId="1FC895E5"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4E98E3F2" w14:textId="77777777" w:rsidR="00422665" w:rsidRPr="00C04179" w:rsidRDefault="00422665" w:rsidP="00C21670">
      <w:pPr>
        <w:pStyle w:val="Heading1"/>
        <w:jc w:val="both"/>
        <w:rPr>
          <w:rFonts w:ascii="Times New Roman" w:hAnsi="Times New Roman" w:cs="Times New Roman"/>
          <w:b/>
          <w:color w:val="auto"/>
          <w:sz w:val="24"/>
          <w:szCs w:val="24"/>
        </w:rPr>
      </w:pPr>
      <w:bookmarkStart w:id="89" w:name="_Toc220925458"/>
      <w:r w:rsidRPr="00C04179">
        <w:rPr>
          <w:rFonts w:ascii="Times New Roman" w:hAnsi="Times New Roman" w:cs="Times New Roman"/>
          <w:b/>
          <w:color w:val="auto"/>
          <w:sz w:val="24"/>
          <w:szCs w:val="24"/>
        </w:rPr>
        <w:lastRenderedPageBreak/>
        <w:t>CONCLUSIONS AND RECOMMENDATIONS</w:t>
      </w:r>
      <w:bookmarkEnd w:id="89"/>
    </w:p>
    <w:p w14:paraId="5A6D8B76"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0" w:name="_Toc220925459"/>
      <w:r w:rsidRPr="00C04179">
        <w:rPr>
          <w:rFonts w:ascii="Times New Roman" w:hAnsi="Times New Roman" w:cs="Times New Roman"/>
          <w:b/>
          <w:color w:val="auto"/>
          <w:sz w:val="24"/>
          <w:szCs w:val="24"/>
          <w:lang w:val="en-GB"/>
        </w:rPr>
        <w:t>Introduction</w:t>
      </w:r>
      <w:bookmarkEnd w:id="90"/>
    </w:p>
    <w:p w14:paraId="378C11D3" w14:textId="7FB0C984"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This chapter is about summarizing the research study key findings as well as discussions as presented in the previous chapters. It includes the research objectives and shows how they have been handled in the systematic literature analysis and engagement of the vast body of literature. The chapter also entails the practical and theoretical implications of the research study as well as the recommendations found suitable for stakeholders and future researchers within the automotive industry. In alignment with the nature of secondary data collection method, the </w:t>
      </w:r>
      <w:r w:rsidR="002C64A0" w:rsidRPr="00C04179">
        <w:rPr>
          <w:rFonts w:ascii="Times New Roman" w:hAnsi="Times New Roman" w:cs="Times New Roman"/>
          <w:sz w:val="24"/>
          <w:szCs w:val="24"/>
          <w:lang w:val="en-GB"/>
        </w:rPr>
        <w:t>draw</w:t>
      </w:r>
      <w:r w:rsidRPr="00C04179">
        <w:rPr>
          <w:rFonts w:ascii="Times New Roman" w:hAnsi="Times New Roman" w:cs="Times New Roman"/>
          <w:sz w:val="24"/>
          <w:szCs w:val="24"/>
          <w:lang w:val="en-GB"/>
        </w:rPr>
        <w:t xml:space="preserve"> conclusions are founded in an integrated analysis of policy-oriented documents, industry reports, and academic reports. This strategy will encourage the comprehension of digital transformation as an intricate multi-dimensional aspect in the automotive industry. </w:t>
      </w:r>
      <w:r w:rsidR="00AC1871" w:rsidRPr="00C04179">
        <w:rPr>
          <w:rFonts w:ascii="Times New Roman" w:hAnsi="Times New Roman" w:cs="Times New Roman"/>
          <w:sz w:val="24"/>
          <w:szCs w:val="24"/>
          <w:lang w:val="en-GB"/>
        </w:rPr>
        <w:t xml:space="preserve">In addition, the study adopts an </w:t>
      </w:r>
      <w:r w:rsidR="002C64A0" w:rsidRPr="00C04179">
        <w:rPr>
          <w:rFonts w:ascii="Times New Roman" w:hAnsi="Times New Roman" w:cs="Times New Roman"/>
          <w:sz w:val="24"/>
          <w:szCs w:val="24"/>
          <w:lang w:val="en-GB"/>
        </w:rPr>
        <w:t>integrated school of thought</w:t>
      </w:r>
      <w:r w:rsidR="00AC1871" w:rsidRPr="00C04179">
        <w:rPr>
          <w:rFonts w:ascii="Times New Roman" w:hAnsi="Times New Roman" w:cs="Times New Roman"/>
          <w:sz w:val="24"/>
          <w:szCs w:val="24"/>
          <w:lang w:val="en-GB"/>
        </w:rPr>
        <w:t xml:space="preserve"> joining innovation capability theory and socio-technical systems to digital transformation frameworks in interpreting the key findings. Digital transformation frameworks will enhance the comprehension of the changes that happen in automotive companies such as reconfiguration of business models, value chain restructuring, and adoption of digital technologies. </w:t>
      </w:r>
      <w:r w:rsidR="00BD386B" w:rsidRPr="00C04179">
        <w:rPr>
          <w:rFonts w:ascii="Times New Roman" w:hAnsi="Times New Roman" w:cs="Times New Roman"/>
          <w:sz w:val="24"/>
          <w:szCs w:val="24"/>
          <w:lang w:val="en-GB"/>
        </w:rPr>
        <w:t xml:space="preserve">Innovation capability theory complements these changes by providing insight on how companies develop their internal capabilities like experimentation, learning, and knowledge integration needed to utilize digital investments for sustainable competitive advantage. </w:t>
      </w:r>
    </w:p>
    <w:p w14:paraId="4F1E2C59" w14:textId="6C30C211" w:rsidR="00095317" w:rsidRPr="00C04179" w:rsidRDefault="00095317"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Socio-technical systems theory additionally puts into context these processes by explaining why digital transformation outcomes usually vary across companies and regions. It focuses on the alignment between institutional environments, organizational culture, workforce skills and technological systems. </w:t>
      </w:r>
    </w:p>
    <w:p w14:paraId="13948AF8"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1" w:name="_Toc220925460"/>
      <w:r w:rsidRPr="00C04179">
        <w:rPr>
          <w:rFonts w:ascii="Times New Roman" w:hAnsi="Times New Roman" w:cs="Times New Roman"/>
          <w:b/>
          <w:color w:val="auto"/>
          <w:sz w:val="24"/>
          <w:szCs w:val="24"/>
          <w:lang w:val="en-GB"/>
        </w:rPr>
        <w:lastRenderedPageBreak/>
        <w:t>Summary of Key Findings</w:t>
      </w:r>
      <w:bookmarkEnd w:id="91"/>
    </w:p>
    <w:p w14:paraId="44A4123A"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The research study was focused on examining digital transformation within the automotive industry particularly focusing on data-drive, organizational, innovative, operational, and strategic dimensions. The findings show that digital transformation is far from a linear or singular process. Rather, it is a systemic organizational process moulded by interdependent human, strategic, and technological aspects. </w:t>
      </w:r>
    </w:p>
    <w:p w14:paraId="655C1582"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To begin with, it was found that digital transformation is progressively comprehended and implemented as a systemic and strategic process, grounded within sustainable governance structures and organizational vision. Technological opportunity does not single-handedly drive digital transformation, but transformational initiatives are largely shaped by evolving mobility paradigms, regulatory developments, and competitive pressures. </w:t>
      </w:r>
    </w:p>
    <w:p w14:paraId="18B1FF49"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Secondly, the research findings show that process optimization and operational efficiency are critical to digital transformation within the automotive industry. Digital technologies facilitate process integration, predictive operational control, and real-time monitoring, leading to enhanced resilience, agility, and efficiency. Third, the analysis shows the role played by digital transformation in reinforcing technological advancement and innovation capability within automotive industry. Digital infrastructure reinforces cross-functional collaboration, faster innovation cycles, and the development of products and services that are digitally enabled especially in the environment of intelligent and connected vehicles. </w:t>
      </w:r>
    </w:p>
    <w:p w14:paraId="7F9B4BF0"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Fourth, the research findings underline the solid significance of cultural and organizational transformation. The commitment of leaders, cultural readiness, and workforce capabilities are viewed as decisive factors that affect the failure or success of digital transformation initiatives.  Lastly, the research study entails the finding of ecosystem integration and data-driven decision-</w:t>
      </w:r>
      <w:r w:rsidRPr="00C04179">
        <w:rPr>
          <w:rFonts w:ascii="Times New Roman" w:hAnsi="Times New Roman" w:cs="Times New Roman"/>
          <w:sz w:val="24"/>
          <w:szCs w:val="24"/>
          <w:lang w:val="en-GB"/>
        </w:rPr>
        <w:lastRenderedPageBreak/>
        <w:t xml:space="preserve">making as central aspects in enhancing the competitive advantage of automotive organizations. Digital transformation involves more than organizational boundaries by reshaping the participation in value creation within the interconnected digital ecosystems. </w:t>
      </w:r>
    </w:p>
    <w:p w14:paraId="03BD2DC7"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2" w:name="_Toc220925461"/>
      <w:r w:rsidRPr="00C04179">
        <w:rPr>
          <w:rFonts w:ascii="Times New Roman" w:hAnsi="Times New Roman" w:cs="Times New Roman"/>
          <w:b/>
          <w:color w:val="auto"/>
          <w:sz w:val="24"/>
          <w:szCs w:val="24"/>
          <w:lang w:val="en-GB"/>
        </w:rPr>
        <w:t>Addressing the Research Objectives</w:t>
      </w:r>
      <w:bookmarkEnd w:id="92"/>
    </w:p>
    <w:p w14:paraId="0B91DAE0"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The research objectives have been extensively covered in the findings and discussion sections of this study. The objective of comprehending digital transformation conceptualization in the automotive industry has been attained through the demonstration in the document analysis that transformation is perceived as an organization-wide and strategic process as opposed to merely technological initiative. Moreover, the objective concerning the operational implications of digital transformation has also been addressed through proving how digital technologies increase operational control, process optimization, and efficiency. </w:t>
      </w:r>
    </w:p>
    <w:p w14:paraId="758683F6" w14:textId="77777777" w:rsidR="00422665" w:rsidRPr="00C04179" w:rsidRDefault="00422665" w:rsidP="00C21670">
      <w:pPr>
        <w:spacing w:line="480" w:lineRule="auto"/>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The research objective covering analysis of the connection between innovation capability and digital transformation has also been attained through the illustration of how digital infrastructure encourages ecosystem-based, data-driven, and continuous innovation within the automotive industry. </w:t>
      </w:r>
    </w:p>
    <w:p w14:paraId="4481643C"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When it comes to exploring cultural and organizational challenges, it has been found that success factors such as cultural adaptability, skills development, and leadership alignment need to be adopted with the automotive industry. Lastly, in assessing the role of ecosystems and data as an important objective, the research study has achieved this through showing how inter-organizational and decision-making collaboration shape the modern automotive competition. </w:t>
      </w:r>
    </w:p>
    <w:p w14:paraId="32EF32FB"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3" w:name="_Toc220925462"/>
      <w:r w:rsidRPr="00C04179">
        <w:rPr>
          <w:rFonts w:ascii="Times New Roman" w:hAnsi="Times New Roman" w:cs="Times New Roman"/>
          <w:b/>
          <w:color w:val="auto"/>
          <w:sz w:val="24"/>
          <w:szCs w:val="24"/>
          <w:lang w:val="en-GB"/>
        </w:rPr>
        <w:t>Theoretical Implications</w:t>
      </w:r>
      <w:bookmarkEnd w:id="93"/>
    </w:p>
    <w:p w14:paraId="1D839137"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From a theoretical standpoint, this research study strengthens and extends the existing body of knowledge on digital transformation frameworks through applying them in the automotive </w:t>
      </w:r>
      <w:r w:rsidRPr="00C04179">
        <w:rPr>
          <w:rFonts w:ascii="Times New Roman" w:hAnsi="Times New Roman" w:cs="Times New Roman"/>
          <w:sz w:val="24"/>
          <w:szCs w:val="24"/>
          <w:lang w:val="en-GB"/>
        </w:rPr>
        <w:lastRenderedPageBreak/>
        <w:t xml:space="preserve">industry via integrated secondary-data driven perspective. The research findings are in support of the multi-dimensional models of digital transformation that include socio-technical, dynamic capabilities, ecosystem theory, and strategic alignment. </w:t>
      </w:r>
    </w:p>
    <w:p w14:paraId="5B66B023"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By converging various sources, the research study shows that there is no theoretical framework that is self-sufficient in explaining digital transformation as an isolated process. Rather, there is a combination of frameworks that are needed to capture the intricacy of digital transformation in big technology-intensive industries. This adds to the academic understanding by pinpointing that value of systems-based and integrative approaches to digital transformation research. </w:t>
      </w:r>
    </w:p>
    <w:p w14:paraId="0D8021A9"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4" w:name="_Toc220925463"/>
      <w:r w:rsidRPr="00C04179">
        <w:rPr>
          <w:rFonts w:ascii="Times New Roman" w:hAnsi="Times New Roman" w:cs="Times New Roman"/>
          <w:b/>
          <w:color w:val="auto"/>
          <w:sz w:val="24"/>
          <w:szCs w:val="24"/>
          <w:lang w:val="en-GB"/>
        </w:rPr>
        <w:t>Study Limitations</w:t>
      </w:r>
      <w:bookmarkEnd w:id="94"/>
    </w:p>
    <w:p w14:paraId="0797F5F0"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While this research study provides an integrative and comprehensive view of digital transformation within the automotive industry, it largely has several limitations. First, the study is basically dependent on document analysis drawing evidence from secondary sources like policy publications, industry reports, and journal articles. While this method of data collection makes room for wider synthesis across numerous diverse viewpoints and increases theoretical generalizability, it fails to capture the real-time or first-hand experiences of organizations and subjective opinions of practitioners involved in the digital transformation programmes. Thus, the findings of this study show documented patterns and developed interpretation as opposed to real-time operational implications and company-specific nuances.</w:t>
      </w:r>
    </w:p>
    <w:p w14:paraId="6BC2ABBC"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Secondly, the scope of the study is constrained to automotive industry. Despite the fact that the sector has rich important context in ecosystem complexity and technological disruption, the findings may not be directly applicable or transferable to other industries without considering the </w:t>
      </w:r>
      <w:r w:rsidRPr="00C04179">
        <w:rPr>
          <w:rFonts w:ascii="Times New Roman" w:hAnsi="Times New Roman" w:cs="Times New Roman"/>
          <w:sz w:val="24"/>
          <w:szCs w:val="24"/>
          <w:lang w:val="en-GB"/>
        </w:rPr>
        <w:lastRenderedPageBreak/>
        <w:t xml:space="preserve">context carefully. Differences in regulatory contexts, organizational structures, and technological maturity may affect how digital transformation happens in other sectors. </w:t>
      </w:r>
    </w:p>
    <w:p w14:paraId="26434A4D"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Third, the quality and availability of existing literature may also act as a limitation. The study depends of public available data which may over-represent cases of successful transformation programmes or technological developed organizations. Incomplete or even failed digital transformation efforts are not so frequently documented showing bias in publication. This therefore affects the insights drawn from these sources. Therefore, this study has some recommendation insights that would address some of these limitations. </w:t>
      </w:r>
    </w:p>
    <w:p w14:paraId="7E864150"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5" w:name="_Toc220925464"/>
      <w:r w:rsidRPr="00C04179">
        <w:rPr>
          <w:rFonts w:ascii="Times New Roman" w:hAnsi="Times New Roman" w:cs="Times New Roman"/>
          <w:b/>
          <w:color w:val="auto"/>
          <w:sz w:val="24"/>
          <w:szCs w:val="24"/>
          <w:lang w:val="en-GB"/>
        </w:rPr>
        <w:t>Managerial and Practical Recommendations</w:t>
      </w:r>
      <w:bookmarkEnd w:id="95"/>
    </w:p>
    <w:p w14:paraId="7F8495FE" w14:textId="0ED247FD" w:rsidR="00422665" w:rsidRPr="00C04179" w:rsidRDefault="00D30095" w:rsidP="00C21670">
      <w:pPr>
        <w:spacing w:line="480" w:lineRule="auto"/>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ab/>
      </w:r>
      <w:r w:rsidR="00422665" w:rsidRPr="00C04179">
        <w:rPr>
          <w:rFonts w:ascii="Times New Roman" w:hAnsi="Times New Roman" w:cs="Times New Roman"/>
          <w:sz w:val="24"/>
          <w:szCs w:val="24"/>
          <w:lang w:val="en-GB"/>
        </w:rPr>
        <w:t xml:space="preserve">This section shows managerial and practical recommendations as drawn from the research findings and literature. </w:t>
      </w:r>
      <w:r w:rsidRPr="00C04179">
        <w:rPr>
          <w:rFonts w:ascii="Times New Roman" w:hAnsi="Times New Roman" w:cs="Times New Roman"/>
          <w:sz w:val="24"/>
          <w:szCs w:val="24"/>
          <w:lang w:val="en-GB"/>
        </w:rPr>
        <w:t>Based on the qualitative synthesis of automotive case studies and industry literature reviewed between 2018 and 2025, this study proposes five targeted recommendations. Each recommendation is directly linked to a key empirical finding and translated into practical implementation steps that are specific to automotive manufacturers, suppliers, and SMEs operating in both core and peripheral regions.</w:t>
      </w:r>
    </w:p>
    <w:p w14:paraId="1C7B1BE6" w14:textId="4D9F3693" w:rsidR="00422665" w:rsidRPr="00C04179" w:rsidRDefault="00D30095" w:rsidP="00C21670">
      <w:pPr>
        <w:spacing w:line="480" w:lineRule="auto"/>
        <w:jc w:val="both"/>
        <w:rPr>
          <w:rFonts w:ascii="Times New Roman" w:hAnsi="Times New Roman" w:cs="Times New Roman"/>
          <w:b/>
          <w:sz w:val="24"/>
          <w:szCs w:val="24"/>
          <w:lang w:val="en-GB"/>
        </w:rPr>
      </w:pPr>
      <w:r w:rsidRPr="00C04179">
        <w:rPr>
          <w:rFonts w:ascii="Times New Roman" w:hAnsi="Times New Roman" w:cs="Times New Roman"/>
          <w:b/>
          <w:sz w:val="24"/>
          <w:szCs w:val="24"/>
          <w:lang w:val="en-GB"/>
        </w:rPr>
        <w:t>Automotive firms should adopt modular digital architectures rather than full-scale “big bang” digital transformation programs</w:t>
      </w:r>
    </w:p>
    <w:p w14:paraId="62E73705" w14:textId="35C266DA" w:rsidR="00422665" w:rsidRPr="00C04179" w:rsidRDefault="00D3009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Key finding: The review shows that incumbent automotive OEMs such as Volkswagen and GM succeed when digital transformation is layered onto existing ERP, MES, and production systems, while SMEs struggle with capital-intensive, all-at-once digital upgrades (Xi </w:t>
      </w:r>
      <w:r w:rsidR="005144D3" w:rsidRPr="00C04179">
        <w:rPr>
          <w:rFonts w:ascii="Times New Roman" w:hAnsi="Times New Roman" w:cs="Times New Roman"/>
          <w:sz w:val="24"/>
          <w:szCs w:val="24"/>
          <w:lang w:val="en-GB"/>
        </w:rPr>
        <w:t>and</w:t>
      </w:r>
      <w:r w:rsidRPr="00C04179">
        <w:rPr>
          <w:rFonts w:ascii="Times New Roman" w:hAnsi="Times New Roman" w:cs="Times New Roman"/>
          <w:sz w:val="24"/>
          <w:szCs w:val="24"/>
          <w:lang w:val="en-GB"/>
        </w:rPr>
        <w:t xml:space="preserve"> Zhao, 2023; Endrődi-Kovács</w:t>
      </w:r>
      <w:r w:rsidR="005144D3" w:rsidRPr="00C04179">
        <w:rPr>
          <w:rFonts w:ascii="Times New Roman" w:hAnsi="Times New Roman" w:cs="Times New Roman"/>
          <w:sz w:val="24"/>
          <w:szCs w:val="24"/>
          <w:lang w:val="en-GB"/>
        </w:rPr>
        <w:t xml:space="preserve"> and</w:t>
      </w:r>
      <w:r w:rsidRPr="00C04179">
        <w:rPr>
          <w:rFonts w:ascii="Times New Roman" w:hAnsi="Times New Roman" w:cs="Times New Roman"/>
          <w:sz w:val="24"/>
          <w:szCs w:val="24"/>
          <w:lang w:val="en-GB"/>
        </w:rPr>
        <w:t xml:space="preserve"> Stukovszky, 2022).</w:t>
      </w:r>
      <w:r w:rsidR="00422665" w:rsidRPr="00C04179">
        <w:rPr>
          <w:rFonts w:ascii="Times New Roman" w:hAnsi="Times New Roman" w:cs="Times New Roman"/>
          <w:sz w:val="24"/>
          <w:szCs w:val="24"/>
          <w:lang w:val="en-GB"/>
        </w:rPr>
        <w:t xml:space="preserve"> </w:t>
      </w:r>
    </w:p>
    <w:p w14:paraId="0F86115A" w14:textId="3C1339E7" w:rsidR="00D30095" w:rsidRPr="00C04179" w:rsidRDefault="00D3009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lastRenderedPageBreak/>
        <w:t>Automotive firms such as Tier-1 suppliers and SMEs should pursue modular digital transformation, where digital tools are introduced incrementally at clearly defined points in the value chain (e.g., predictive maintenance, quality inspection, or inventory tracking), rather than attempting full Industry 4.0 integration at once. OEMs should break digital transformation into function-specific modules (e.g., AI-driven quality control on one assembly line before scaling). SMEs can prioritize low-cost, high-impact tools such as cloud-based Manufacturing Execution Systems (MES) or sensor-enabled maintenance.</w:t>
      </w:r>
      <w:r w:rsidR="00421E3C" w:rsidRPr="00C04179">
        <w:rPr>
          <w:rFonts w:ascii="Times New Roman" w:hAnsi="Times New Roman" w:cs="Times New Roman"/>
          <w:sz w:val="24"/>
          <w:szCs w:val="24"/>
          <w:lang w:val="en-GB"/>
        </w:rPr>
        <w:t xml:space="preserve"> Firms should pilot each digital module for 6–12 months before scaling across plants or suppliers. This approach reduces financial risk, minimizes organizational resistance, and allows firms to build digital capability progressively (Llopis-Albert et al., 2021; McKinsey, 2023).</w:t>
      </w:r>
    </w:p>
    <w:p w14:paraId="7FB88112" w14:textId="77777777" w:rsidR="00421E3C" w:rsidRPr="00C04179" w:rsidRDefault="00421E3C" w:rsidP="00C21670">
      <w:pPr>
        <w:spacing w:line="480" w:lineRule="auto"/>
        <w:jc w:val="both"/>
        <w:rPr>
          <w:rFonts w:ascii="Times New Roman" w:hAnsi="Times New Roman" w:cs="Times New Roman"/>
          <w:b/>
          <w:sz w:val="24"/>
          <w:szCs w:val="24"/>
          <w:lang w:val="en-GB"/>
        </w:rPr>
      </w:pPr>
      <w:r w:rsidRPr="00C04179">
        <w:rPr>
          <w:rFonts w:ascii="Times New Roman" w:hAnsi="Times New Roman" w:cs="Times New Roman"/>
          <w:b/>
          <w:sz w:val="24"/>
          <w:szCs w:val="24"/>
          <w:lang w:val="en-GB"/>
        </w:rPr>
        <w:t>OEMs should integrate digital supplier-readiness requirements into procurement strategies to prevent SME exclusion</w:t>
      </w:r>
    </w:p>
    <w:p w14:paraId="497E1395" w14:textId="231BAF34" w:rsidR="00422665" w:rsidRPr="00C04179" w:rsidRDefault="00421E3C" w:rsidP="00C21670">
      <w:pPr>
        <w:spacing w:line="480" w:lineRule="auto"/>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ab/>
        <w:t xml:space="preserve">The literature indicates that digital transformation in automotive supply chains is reshaping sourcing criteria, favouring digitally compatible suppliers and marginalizing SMEs lacking digital infrastructure (Görçün et al., 2024; Lopez-Vega </w:t>
      </w:r>
      <w:r w:rsidR="005144D3" w:rsidRPr="00C04179">
        <w:rPr>
          <w:rFonts w:ascii="Times New Roman" w:hAnsi="Times New Roman" w:cs="Times New Roman"/>
          <w:sz w:val="24"/>
          <w:szCs w:val="24"/>
          <w:lang w:val="en-GB"/>
        </w:rPr>
        <w:t>and</w:t>
      </w:r>
      <w:r w:rsidRPr="00C04179">
        <w:rPr>
          <w:rFonts w:ascii="Times New Roman" w:hAnsi="Times New Roman" w:cs="Times New Roman"/>
          <w:sz w:val="24"/>
          <w:szCs w:val="24"/>
          <w:lang w:val="en-GB"/>
        </w:rPr>
        <w:t xml:space="preserve"> Moodysson, 2023). OEMs should explicitly embed digital readiness support mechanisms into supplier procurement frameworks instead of using digital capability solely as a selection filter. OEMs can introduce “digital maturity tiers” for suppliers, allowing gradual compliance rather than immediate exclusion.</w:t>
      </w:r>
      <w:r w:rsidR="00BD2AAE" w:rsidRPr="00C04179">
        <w:rPr>
          <w:rFonts w:ascii="Times New Roman" w:hAnsi="Times New Roman" w:cs="Times New Roman"/>
          <w:sz w:val="24"/>
          <w:szCs w:val="24"/>
          <w:lang w:val="en-GB"/>
        </w:rPr>
        <w:t xml:space="preserve"> Joint digital upgrading programs (e.g., shared MES platforms or data dashboards) can be co-financed between OEMs and strategic suppliers. Tier-1 suppliers should act as digital intermediaries, transferring knowledge and tools to Tier-2 and Tier-3 firms. This reduces supply-chain fragility while preserving regional supplier ecosystems and employment.</w:t>
      </w:r>
    </w:p>
    <w:p w14:paraId="035F9A99" w14:textId="77777777" w:rsidR="00B57D49" w:rsidRPr="00C04179" w:rsidRDefault="00B57D49" w:rsidP="00C21670">
      <w:pPr>
        <w:spacing w:line="480" w:lineRule="auto"/>
        <w:jc w:val="both"/>
        <w:rPr>
          <w:rFonts w:ascii="Times New Roman" w:hAnsi="Times New Roman" w:cs="Times New Roman"/>
          <w:b/>
          <w:sz w:val="24"/>
          <w:szCs w:val="24"/>
          <w:lang w:val="en-GB"/>
        </w:rPr>
      </w:pPr>
      <w:r w:rsidRPr="00C04179">
        <w:rPr>
          <w:rFonts w:ascii="Times New Roman" w:hAnsi="Times New Roman" w:cs="Times New Roman"/>
          <w:b/>
          <w:sz w:val="24"/>
          <w:szCs w:val="24"/>
          <w:lang w:val="en-GB"/>
        </w:rPr>
        <w:lastRenderedPageBreak/>
        <w:t xml:space="preserve">Automotive firms should institutionalize cross-sector innovation partnerships beyond the traditional automotive ecosystem </w:t>
      </w:r>
    </w:p>
    <w:p w14:paraId="7F6433E7" w14:textId="15191738" w:rsidR="00422665" w:rsidRPr="00C04179" w:rsidRDefault="00B57D49" w:rsidP="00C21670">
      <w:pPr>
        <w:spacing w:line="480" w:lineRule="auto"/>
        <w:jc w:val="both"/>
        <w:rPr>
          <w:rFonts w:ascii="Times New Roman" w:hAnsi="Times New Roman" w:cs="Times New Roman"/>
          <w:sz w:val="24"/>
          <w:szCs w:val="24"/>
        </w:rPr>
      </w:pPr>
      <w:r w:rsidRPr="00C04179">
        <w:rPr>
          <w:rFonts w:ascii="Times New Roman" w:hAnsi="Times New Roman" w:cs="Times New Roman"/>
          <w:b/>
          <w:sz w:val="24"/>
          <w:szCs w:val="24"/>
          <w:lang w:val="en-GB"/>
        </w:rPr>
        <w:tab/>
      </w:r>
      <w:r w:rsidRPr="00C04179">
        <w:rPr>
          <w:rFonts w:ascii="Times New Roman" w:hAnsi="Times New Roman" w:cs="Times New Roman"/>
          <w:sz w:val="24"/>
          <w:szCs w:val="24"/>
          <w:lang w:val="en-GB"/>
        </w:rPr>
        <w:t xml:space="preserve">Multiple studies highlight that competitive advantage increasingly depends on knowledge integration across software, AI, telecommunications, and data analytics rather than purely automotive engineering (Koelmel, Brysch </w:t>
      </w:r>
      <w:r w:rsidR="005144D3" w:rsidRPr="00C04179">
        <w:rPr>
          <w:rFonts w:ascii="Times New Roman" w:hAnsi="Times New Roman" w:cs="Times New Roman"/>
          <w:sz w:val="24"/>
          <w:szCs w:val="24"/>
          <w:lang w:val="en-GB"/>
        </w:rPr>
        <w:t xml:space="preserve">and </w:t>
      </w:r>
      <w:r w:rsidRPr="00C04179">
        <w:rPr>
          <w:rFonts w:ascii="Times New Roman" w:hAnsi="Times New Roman" w:cs="Times New Roman"/>
          <w:sz w:val="24"/>
          <w:szCs w:val="24"/>
          <w:lang w:val="en-GB"/>
        </w:rPr>
        <w:t xml:space="preserve">Bulander, 2025; Braidy et al., 2025). Automotive firms should formalize cross-industry collaboration frameworks with technology firms, universities, and digital </w:t>
      </w:r>
      <w:r w:rsidR="005144D3" w:rsidRPr="00C04179">
        <w:rPr>
          <w:rFonts w:ascii="Times New Roman" w:hAnsi="Times New Roman" w:cs="Times New Roman"/>
          <w:sz w:val="24"/>
          <w:szCs w:val="24"/>
          <w:lang w:val="en-GB"/>
        </w:rPr>
        <w:t>start-ups</w:t>
      </w:r>
      <w:r w:rsidRPr="00C04179">
        <w:rPr>
          <w:rFonts w:ascii="Times New Roman" w:hAnsi="Times New Roman" w:cs="Times New Roman"/>
          <w:sz w:val="24"/>
          <w:szCs w:val="24"/>
          <w:lang w:val="en-GB"/>
        </w:rPr>
        <w:t xml:space="preserve"> to accelerate learning and innovation. OEMs can establish joint innovation labs with AI or cloud providers focused on vehicle software, connectivity, or predictive analytics. SMEs should leverage industry incubators and digital innovation hubs rather than developing in-house R&amp;D capacity. Firms should adopt open innovation contracts that allow shared IP development while protecting core manufacturing knowledge. This strategy mirrors the success of digitally native firms such as Li Auto, which integrate software capabilities from inception (Chen, 2025).</w:t>
      </w:r>
      <w:r w:rsidR="00422665" w:rsidRPr="00C04179">
        <w:rPr>
          <w:rFonts w:ascii="Times New Roman" w:hAnsi="Times New Roman" w:cs="Times New Roman"/>
          <w:sz w:val="24"/>
          <w:szCs w:val="24"/>
        </w:rPr>
        <w:t xml:space="preserve"> </w:t>
      </w:r>
    </w:p>
    <w:p w14:paraId="419A361A" w14:textId="77777777" w:rsidR="00B57D49" w:rsidRPr="00C04179" w:rsidRDefault="00B57D49" w:rsidP="00C21670">
      <w:pPr>
        <w:spacing w:line="480" w:lineRule="auto"/>
        <w:jc w:val="both"/>
        <w:rPr>
          <w:rFonts w:ascii="Times New Roman" w:hAnsi="Times New Roman" w:cs="Times New Roman"/>
          <w:b/>
          <w:sz w:val="24"/>
          <w:szCs w:val="24"/>
        </w:rPr>
      </w:pPr>
      <w:r w:rsidRPr="00C04179">
        <w:rPr>
          <w:rFonts w:ascii="Times New Roman" w:hAnsi="Times New Roman" w:cs="Times New Roman"/>
          <w:b/>
          <w:sz w:val="24"/>
          <w:szCs w:val="24"/>
        </w:rPr>
        <w:t>Automotive manufacturers should implement hybrid workforce upskilling models aligned with socio-technical system design</w:t>
      </w:r>
    </w:p>
    <w:p w14:paraId="16EBC19E" w14:textId="681D9780"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ab/>
      </w:r>
      <w:r w:rsidR="00B57D49" w:rsidRPr="00C04179">
        <w:rPr>
          <w:rFonts w:ascii="Times New Roman" w:hAnsi="Times New Roman" w:cs="Times New Roman"/>
          <w:sz w:val="24"/>
          <w:szCs w:val="24"/>
        </w:rPr>
        <w:t xml:space="preserve">Digital transformation redistributes employment toward software, data, and systems roles while increasing skill polarization and regional inequality (Men et al., 2023; Winkelhake, 2019). Firms should align digital investment with continuous workforce reskilling programs that combine technical, organizational, and digital competencies. OEMs should establish hybrid training tracks where mechanical engineers are trained in data analytics, AI-assisted diagnostics, and cyber-physical systems. SMEs can partner with vocational institutes and online platforms for modular digital training rather than costly in-house programs. Workforce transformation metrics should be integrated into digital KPIs, ensuring that technology adoption does not outpace human capability. </w:t>
      </w:r>
      <w:r w:rsidR="00B57D49" w:rsidRPr="00C04179">
        <w:rPr>
          <w:rFonts w:ascii="Times New Roman" w:hAnsi="Times New Roman" w:cs="Times New Roman"/>
          <w:sz w:val="24"/>
          <w:szCs w:val="24"/>
        </w:rPr>
        <w:lastRenderedPageBreak/>
        <w:t>This socio-technical alignment reduces resistance to change and improves long-term productivity (Görçün et al., 2024).</w:t>
      </w:r>
    </w:p>
    <w:p w14:paraId="3722D065" w14:textId="77777777" w:rsidR="00B57D49" w:rsidRPr="00C04179" w:rsidRDefault="00B57D49" w:rsidP="00C21670">
      <w:pPr>
        <w:spacing w:line="480" w:lineRule="auto"/>
        <w:jc w:val="both"/>
        <w:rPr>
          <w:rFonts w:ascii="Times New Roman" w:hAnsi="Times New Roman" w:cs="Times New Roman"/>
          <w:b/>
          <w:sz w:val="24"/>
          <w:szCs w:val="24"/>
        </w:rPr>
      </w:pPr>
      <w:r w:rsidRPr="00C04179">
        <w:rPr>
          <w:rFonts w:ascii="Times New Roman" w:hAnsi="Times New Roman" w:cs="Times New Roman"/>
          <w:b/>
          <w:sz w:val="24"/>
          <w:szCs w:val="24"/>
        </w:rPr>
        <w:t xml:space="preserve">Policymakers and OEMs should promote fair vehicle data access models to sustain aftermarket competition and innovation </w:t>
      </w:r>
    </w:p>
    <w:p w14:paraId="484FD339" w14:textId="528FB688" w:rsidR="00422665" w:rsidRPr="00C04179" w:rsidRDefault="00B57D49"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dominance of proprietary vehicle data architectures such as ExVe models, concentrates power among OEMs and restricts independent repairers and SMEs (Hoegaerts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Schönenberger, 2019; Perri et al., 2025). Automotive stakeholders should adopt regulated, interoperable vehicle data access frameworks that balance innovation incentives with market openness. OEMs can offer standardized APIs for non-safety-critical vehicle data to authorized third parties. Regulators should enforce data interoperability standards aligned with EU mobility</w:t>
      </w:r>
      <w:r w:rsidR="00CD0FF9" w:rsidRPr="00C04179">
        <w:rPr>
          <w:rFonts w:ascii="Times New Roman" w:hAnsi="Times New Roman" w:cs="Times New Roman"/>
          <w:sz w:val="24"/>
          <w:szCs w:val="24"/>
        </w:rPr>
        <w:t xml:space="preserve"> and digital governance frameworks. Independent service providers can form cooperatives to jointly invest in secure diagnostic platforms. Such governance structures preserve innovation while preventing excessive market closure.</w:t>
      </w:r>
    </w:p>
    <w:p w14:paraId="7095F701" w14:textId="79CA5550" w:rsidR="00CD0FF9" w:rsidRPr="00C04179" w:rsidRDefault="00CD0FF9"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ab/>
        <w:t>Collectively, these recommendations emphasize that digital transformation in the automotive industry is not purely a technological challenge but a strategic, organizational, and governance process. Firms that align digital tools with supplier ecosystems, workforce development, and fair data governance are more likely to achieve sustainable and inclusive competitiveness in the evolving mobility landscape.</w:t>
      </w:r>
    </w:p>
    <w:p w14:paraId="39670E8B" w14:textId="77777777" w:rsidR="00422665" w:rsidRPr="00C04179" w:rsidRDefault="00422665" w:rsidP="00C21670">
      <w:pPr>
        <w:pStyle w:val="Heading2"/>
        <w:jc w:val="both"/>
        <w:rPr>
          <w:rFonts w:ascii="Times New Roman" w:hAnsi="Times New Roman" w:cs="Times New Roman"/>
          <w:b/>
          <w:color w:val="auto"/>
          <w:sz w:val="24"/>
          <w:szCs w:val="24"/>
        </w:rPr>
      </w:pPr>
      <w:bookmarkStart w:id="96" w:name="_Toc220925465"/>
      <w:r w:rsidRPr="00C04179">
        <w:rPr>
          <w:rFonts w:ascii="Times New Roman" w:hAnsi="Times New Roman" w:cs="Times New Roman"/>
          <w:b/>
          <w:color w:val="auto"/>
          <w:sz w:val="24"/>
          <w:szCs w:val="24"/>
        </w:rPr>
        <w:t>Alignment of Digital Transformation with Ethical and Regulatory Considerations</w:t>
      </w:r>
      <w:bookmarkEnd w:id="96"/>
    </w:p>
    <w:p w14:paraId="41A5C65C" w14:textId="7689009B"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Given the safety-critical and regulatory intensity nature of the automotive environment, firms need to ensure that digital transformation </w:t>
      </w:r>
      <w:r w:rsidR="00FA200C" w:rsidRPr="00C04179">
        <w:rPr>
          <w:rFonts w:ascii="Times New Roman" w:hAnsi="Times New Roman" w:cs="Times New Roman"/>
          <w:sz w:val="24"/>
          <w:szCs w:val="24"/>
        </w:rPr>
        <w:t>program</w:t>
      </w:r>
      <w:r w:rsidR="00FA200C">
        <w:rPr>
          <w:rFonts w:ascii="Times New Roman" w:hAnsi="Times New Roman" w:cs="Times New Roman"/>
          <w:sz w:val="24"/>
          <w:szCs w:val="24"/>
        </w:rPr>
        <w:t>s</w:t>
      </w:r>
      <w:r w:rsidRPr="00C04179">
        <w:rPr>
          <w:rFonts w:ascii="Times New Roman" w:hAnsi="Times New Roman" w:cs="Times New Roman"/>
          <w:sz w:val="24"/>
          <w:szCs w:val="24"/>
        </w:rPr>
        <w:t xml:space="preserve"> are in alignment with the regulatory and ethical requirements, especially when it comes to vehicle safety, cybersecurity, and data privacy.  The digital transformation body of literature often focuses on ethical and governance oversight as </w:t>
      </w:r>
      <w:r w:rsidRPr="00C04179">
        <w:rPr>
          <w:rFonts w:ascii="Times New Roman" w:hAnsi="Times New Roman" w:cs="Times New Roman"/>
          <w:sz w:val="24"/>
          <w:szCs w:val="24"/>
        </w:rPr>
        <w:lastRenderedPageBreak/>
        <w:t xml:space="preserve">critical factors in long-term transformation particularly in safety-critical and data-intensive sectors. Research studies on connected vehicles as well as V2X communication further underscores regulatory compliance as a basic need for system adoption and public trust (Chen et al., 2024). Therefore, it is important to align digital transformation initiatives with ethical and regulatory frameworks to minimize organizational risk, reinforce responsible digital innovation, and increase legitimacy. </w:t>
      </w:r>
    </w:p>
    <w:p w14:paraId="0FB7856D" w14:textId="77777777" w:rsidR="00422665" w:rsidRPr="00C04179" w:rsidRDefault="00422665" w:rsidP="00C21670">
      <w:pPr>
        <w:pStyle w:val="Heading2"/>
        <w:jc w:val="both"/>
        <w:rPr>
          <w:rFonts w:ascii="Times New Roman" w:hAnsi="Times New Roman" w:cs="Times New Roman"/>
          <w:b/>
          <w:color w:val="auto"/>
          <w:sz w:val="24"/>
          <w:szCs w:val="24"/>
        </w:rPr>
      </w:pPr>
      <w:bookmarkStart w:id="97" w:name="_Toc220925466"/>
      <w:r w:rsidRPr="00C04179">
        <w:rPr>
          <w:rFonts w:ascii="Times New Roman" w:hAnsi="Times New Roman" w:cs="Times New Roman"/>
          <w:b/>
          <w:color w:val="auto"/>
          <w:sz w:val="24"/>
          <w:szCs w:val="24"/>
        </w:rPr>
        <w:t>Contribution to the body of Knowledge and Addressing Literature Gap</w:t>
      </w:r>
      <w:bookmarkEnd w:id="97"/>
    </w:p>
    <w:p w14:paraId="0E865D73"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As shown in the literature review, the literature on digital transformation in the automotive sector is both extensive and fragmented. The literature has focused more on isolated dimensions of digital transformation including V2X communication, automation, connected vehicles, and smart manufacturing and at the same time perceiving these developments as technological phenomena. Whereas these research studies show functional and valuable insights, there are clear gaps when it comes to use of integrative, sector-wide analyses that perceive digital transformation as strategic and holistic organizational process. </w:t>
      </w:r>
    </w:p>
    <w:p w14:paraId="53BBB6C1"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It was also noted in the document analysis that previous research studies adopted technology-based perspective which reduced attention on governance-related, cultural, and organizational dimensions of digital transformation. Despite the fact that some research scholars acknowledge the significance of organizational readiness, skills, and leadership, these aspects are often discussed in isolation or as second-level considerations as opposed to key enablers in the digital transformation process. Additionally, the research review showed that ecosystem-level dynamics like platform-based value creation, data sharing, and inter-organizational collaboration are underexplored despite their prominent visibility in the context of intelligent mobility and connected mobility.  </w:t>
      </w:r>
    </w:p>
    <w:p w14:paraId="635EE9DF"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This research contributes to the body of knowledge by directly handling these gaps via systematic document analysis which connect insights over the broad network of academic research, policy-based literature, and industry reports. By structuring the analysis across five connected themes including digital transformation as a systemic and strategic process, process optimization and operational efficiency, technological advancement and innovation capability of organizations, cultural system and organizational transformation, and ecosystem integration and data-based decision-making, this study has provided a comprehensive and integrated understanding of digital transformation within the automotive industry. </w:t>
      </w:r>
    </w:p>
    <w:p w14:paraId="4B3EEF18"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By doing this, the research study has extended the literature that was reviewed in the previous sections by showing how these factors interrelate and not operate independently. For instance, literature review showed that operational efficiency and innovation are recurring focal points, whereas the findings of this study demonstrate that these outcomes are actually solidly reliant on the organizational culture, data governance structures, and leadership alignment. This perspective is in response to the literature gap pointed out in the review, which encouraged the call for analyses that go beyond the siloed discussions on technology to incorporate more systematic comprehension of transformation. </w:t>
      </w:r>
    </w:p>
    <w:p w14:paraId="486758D0"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Moreover, this research study adds to the methodological approach by effectively combining various sources to a coherent analytical framework. While many existing bodies of literature view digital transformation as either from a practitioner or academic viewpoint, this study bridges this gap by including peer-reviewed research with policy documents and authoritative industry. This strategy increases the practical significance of academic insights while holding onto analytical strength. This responds to the calls within the literature review that is both industry-based and theoretically informed. </w:t>
      </w:r>
    </w:p>
    <w:p w14:paraId="3FC70F62"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This research study builds on the existing body of literature by adding a holistic, multi-faceted synthesis of digital transformation within the automotive industry. It confirms important arguments that have been posited in the literature while advancing them via integrative perspective which clearly includes ecosystem participation, organizational capabilities, and strategic intent. Therefore, the study makes an explicit and original contribution by handling the analytical and theoretical gaps as identified in the literature review. It also provides a stronger comprehension of digital transformation in the dynamic automotive industry. </w:t>
      </w:r>
    </w:p>
    <w:p w14:paraId="52A60B0D" w14:textId="77777777" w:rsidR="00422665" w:rsidRPr="00C04179" w:rsidRDefault="00422665" w:rsidP="00C21670">
      <w:pPr>
        <w:pStyle w:val="Heading2"/>
        <w:jc w:val="both"/>
        <w:rPr>
          <w:rFonts w:ascii="Times New Roman" w:hAnsi="Times New Roman" w:cs="Times New Roman"/>
          <w:b/>
          <w:color w:val="auto"/>
          <w:sz w:val="24"/>
          <w:szCs w:val="24"/>
        </w:rPr>
      </w:pPr>
      <w:bookmarkStart w:id="98" w:name="_Toc220925467"/>
      <w:r w:rsidRPr="00C04179">
        <w:rPr>
          <w:rFonts w:ascii="Times New Roman" w:hAnsi="Times New Roman" w:cs="Times New Roman"/>
          <w:b/>
          <w:color w:val="auto"/>
          <w:sz w:val="24"/>
          <w:szCs w:val="24"/>
        </w:rPr>
        <w:t>Directions for Future Research</w:t>
      </w:r>
      <w:bookmarkEnd w:id="98"/>
    </w:p>
    <w:p w14:paraId="4702D381"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Future research study could contribute to this study by carrying out in-depth case studies within the automotive organizations and at different phases of digital transformation. Strong research that examines how organizations manage ecosystem partnerships, data governance, and cultural change would be crucial in giving complementary insights. </w:t>
      </w:r>
    </w:p>
    <w:p w14:paraId="5278D746"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Furthermore, future studies could also find out new emerging areas like artificial intelligence governance within the automotive industry, environmental implications of digital transformation in the automotive industry, and cybersecurity risks in the connected mobility systems. </w:t>
      </w:r>
    </w:p>
    <w:p w14:paraId="00E7895A" w14:textId="77777777" w:rsidR="00422665" w:rsidRPr="00C04179" w:rsidRDefault="00422665" w:rsidP="00C21670">
      <w:pPr>
        <w:pStyle w:val="Heading2"/>
        <w:jc w:val="both"/>
        <w:rPr>
          <w:rFonts w:ascii="Times New Roman" w:hAnsi="Times New Roman" w:cs="Times New Roman"/>
          <w:b/>
          <w:color w:val="auto"/>
          <w:sz w:val="24"/>
          <w:szCs w:val="24"/>
        </w:rPr>
      </w:pPr>
      <w:bookmarkStart w:id="99" w:name="_Toc220925468"/>
      <w:r w:rsidRPr="00C04179">
        <w:rPr>
          <w:rFonts w:ascii="Times New Roman" w:hAnsi="Times New Roman" w:cs="Times New Roman"/>
          <w:b/>
          <w:color w:val="auto"/>
          <w:sz w:val="24"/>
          <w:szCs w:val="24"/>
        </w:rPr>
        <w:t>Final Reflection</w:t>
      </w:r>
      <w:bookmarkEnd w:id="99"/>
    </w:p>
    <w:p w14:paraId="4D8CEAE8" w14:textId="3728B518" w:rsidR="00422665" w:rsidRPr="00C04179" w:rsidRDefault="00DD6401"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w:t>
      </w:r>
      <w:r w:rsidR="00422665" w:rsidRPr="00C04179">
        <w:rPr>
          <w:rFonts w:ascii="Times New Roman" w:hAnsi="Times New Roman" w:cs="Times New Roman"/>
          <w:sz w:val="24"/>
          <w:szCs w:val="24"/>
        </w:rPr>
        <w:t xml:space="preserve">his research study shows that digital transformation within the automotive sector does not entail mere technological upgrade or advancement. Rather, it entails fundamental strategic and organizational transformation. By using insights from various sources including industry reports and academic literature, this study demonstrates how digital technologies redefine competitive dynamics, innovation processes, and operations. In essence, the findings show that while digital technologies encourage new possibilities, the digital transformation success is highly depended on ecosystem collaboration, organizational capability, and leadership commitment. With the </w:t>
      </w:r>
      <w:r w:rsidR="00422665" w:rsidRPr="00C04179">
        <w:rPr>
          <w:rFonts w:ascii="Times New Roman" w:hAnsi="Times New Roman" w:cs="Times New Roman"/>
          <w:sz w:val="24"/>
          <w:szCs w:val="24"/>
        </w:rPr>
        <w:lastRenderedPageBreak/>
        <w:t xml:space="preserve">evolution of technology, these aspects will remain critical in molding competitive and sustainable digital futures.  </w:t>
      </w:r>
    </w:p>
    <w:p w14:paraId="7CF215A8" w14:textId="5A9D45E4" w:rsidR="00422665" w:rsidRPr="00C04179" w:rsidRDefault="00422665" w:rsidP="00C21670">
      <w:pPr>
        <w:spacing w:line="480" w:lineRule="auto"/>
        <w:jc w:val="both"/>
        <w:rPr>
          <w:rFonts w:ascii="Times New Roman" w:hAnsi="Times New Roman" w:cs="Times New Roman"/>
          <w:sz w:val="24"/>
          <w:szCs w:val="24"/>
        </w:rPr>
      </w:pPr>
    </w:p>
    <w:p w14:paraId="5E8F3356"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0EA7E8DE" w14:textId="6846B0C4" w:rsidR="00004430" w:rsidRPr="00C04179" w:rsidRDefault="00422665" w:rsidP="00C21670">
      <w:pPr>
        <w:pStyle w:val="Heading1"/>
        <w:jc w:val="both"/>
        <w:rPr>
          <w:rFonts w:ascii="Times New Roman" w:hAnsi="Times New Roman" w:cs="Times New Roman"/>
          <w:b/>
          <w:color w:val="auto"/>
          <w:sz w:val="24"/>
          <w:szCs w:val="24"/>
        </w:rPr>
      </w:pPr>
      <w:bookmarkStart w:id="100" w:name="_Toc220925469"/>
      <w:r w:rsidRPr="00C04179">
        <w:rPr>
          <w:rFonts w:ascii="Times New Roman" w:hAnsi="Times New Roman" w:cs="Times New Roman"/>
          <w:b/>
          <w:color w:val="auto"/>
          <w:sz w:val="24"/>
          <w:szCs w:val="24"/>
        </w:rPr>
        <w:lastRenderedPageBreak/>
        <w:t>References</w:t>
      </w:r>
      <w:bookmarkEnd w:id="100"/>
    </w:p>
    <w:p w14:paraId="5A27DDC2" w14:textId="77777777" w:rsidR="00CA1D50" w:rsidRPr="00C04179" w:rsidRDefault="00CA1D50" w:rsidP="00C21670">
      <w:pPr>
        <w:spacing w:line="480" w:lineRule="auto"/>
        <w:ind w:left="720" w:hanging="720"/>
        <w:jc w:val="both"/>
        <w:rPr>
          <w:rFonts w:ascii="Times New Roman" w:hAnsi="Times New Roman" w:cs="Times New Roman"/>
          <w:sz w:val="24"/>
          <w:szCs w:val="24"/>
        </w:rPr>
      </w:pPr>
      <w:bookmarkStart w:id="101" w:name="_Hlk219114088"/>
      <w:r w:rsidRPr="00C04179">
        <w:rPr>
          <w:rFonts w:ascii="Times New Roman" w:hAnsi="Times New Roman" w:cs="Times New Roman"/>
          <w:sz w:val="24"/>
          <w:szCs w:val="24"/>
        </w:rPr>
        <w:t xml:space="preserve">Ahmed, S. K. (2024). </w:t>
      </w:r>
      <w:bookmarkEnd w:id="101"/>
      <w:r w:rsidRPr="00C04179">
        <w:rPr>
          <w:rFonts w:ascii="Times New Roman" w:hAnsi="Times New Roman" w:cs="Times New Roman"/>
          <w:sz w:val="24"/>
          <w:szCs w:val="24"/>
        </w:rPr>
        <w:t>The pillars of trustworthiness in qualitative research. </w:t>
      </w:r>
      <w:r w:rsidRPr="00C04179">
        <w:rPr>
          <w:rFonts w:ascii="Times New Roman" w:hAnsi="Times New Roman" w:cs="Times New Roman"/>
          <w:i/>
          <w:iCs/>
          <w:sz w:val="24"/>
          <w:szCs w:val="24"/>
        </w:rPr>
        <w:t>Journal of Medicine, Surgery, and Public Health</w:t>
      </w:r>
      <w:r w:rsidRPr="00C04179">
        <w:rPr>
          <w:rFonts w:ascii="Times New Roman" w:hAnsi="Times New Roman" w:cs="Times New Roman"/>
          <w:sz w:val="24"/>
          <w:szCs w:val="24"/>
        </w:rPr>
        <w:t>, </w:t>
      </w:r>
      <w:r w:rsidRPr="00C04179">
        <w:rPr>
          <w:rFonts w:ascii="Times New Roman" w:hAnsi="Times New Roman" w:cs="Times New Roman"/>
          <w:i/>
          <w:iCs/>
          <w:sz w:val="24"/>
          <w:szCs w:val="24"/>
        </w:rPr>
        <w:t>2</w:t>
      </w:r>
      <w:r w:rsidRPr="00C04179">
        <w:rPr>
          <w:rFonts w:ascii="Times New Roman" w:hAnsi="Times New Roman" w:cs="Times New Roman"/>
          <w:sz w:val="24"/>
          <w:szCs w:val="24"/>
        </w:rPr>
        <w:t>, 100051.</w:t>
      </w:r>
    </w:p>
    <w:p w14:paraId="46733444"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Ali, I. M. (2024). A guide for positivist research paradigm: From philosophy to methodology. </w:t>
      </w:r>
      <w:r w:rsidRPr="00C04179">
        <w:rPr>
          <w:rFonts w:ascii="Times New Roman" w:hAnsi="Times New Roman" w:cs="Times New Roman"/>
          <w:i/>
          <w:iCs/>
          <w:sz w:val="24"/>
          <w:szCs w:val="24"/>
        </w:rPr>
        <w:t>Idealogy Journal</w:t>
      </w:r>
      <w:r w:rsidRPr="00C04179">
        <w:rPr>
          <w:rFonts w:ascii="Times New Roman" w:hAnsi="Times New Roman" w:cs="Times New Roman"/>
          <w:sz w:val="24"/>
          <w:szCs w:val="24"/>
        </w:rPr>
        <w:t>, </w:t>
      </w:r>
      <w:r w:rsidRPr="00C04179">
        <w:rPr>
          <w:rFonts w:ascii="Times New Roman" w:hAnsi="Times New Roman" w:cs="Times New Roman"/>
          <w:i/>
          <w:iCs/>
          <w:sz w:val="24"/>
          <w:szCs w:val="24"/>
        </w:rPr>
        <w:t>9</w:t>
      </w:r>
      <w:r w:rsidRPr="00C04179">
        <w:rPr>
          <w:rFonts w:ascii="Times New Roman" w:hAnsi="Times New Roman" w:cs="Times New Roman"/>
          <w:sz w:val="24"/>
          <w:szCs w:val="24"/>
        </w:rPr>
        <w:t>(2).</w:t>
      </w:r>
    </w:p>
    <w:p w14:paraId="093B6C02"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Armstrong, C. (2021). Key methods used in qualitative document analysis. </w:t>
      </w:r>
      <w:r w:rsidRPr="00C04179">
        <w:rPr>
          <w:rFonts w:ascii="Times New Roman" w:hAnsi="Times New Roman" w:cs="Times New Roman"/>
          <w:i/>
          <w:iCs/>
          <w:sz w:val="24"/>
          <w:szCs w:val="24"/>
        </w:rPr>
        <w:t>OSF Preprints</w:t>
      </w:r>
      <w:r w:rsidRPr="00C04179">
        <w:rPr>
          <w:rFonts w:ascii="Times New Roman" w:hAnsi="Times New Roman" w:cs="Times New Roman"/>
          <w:sz w:val="24"/>
          <w:szCs w:val="24"/>
        </w:rPr>
        <w:t>, </w:t>
      </w:r>
      <w:r w:rsidRPr="00C04179">
        <w:rPr>
          <w:rFonts w:ascii="Times New Roman" w:hAnsi="Times New Roman" w:cs="Times New Roman"/>
          <w:i/>
          <w:iCs/>
          <w:sz w:val="24"/>
          <w:szCs w:val="24"/>
        </w:rPr>
        <w:t>1</w:t>
      </w:r>
      <w:r w:rsidRPr="00C04179">
        <w:rPr>
          <w:rFonts w:ascii="Times New Roman" w:hAnsi="Times New Roman" w:cs="Times New Roman"/>
          <w:sz w:val="24"/>
          <w:szCs w:val="24"/>
        </w:rPr>
        <w:t>(9).</w:t>
      </w:r>
    </w:p>
    <w:p w14:paraId="47AB2B58"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axonomy. </w:t>
      </w:r>
      <w:r w:rsidRPr="00C04179">
        <w:rPr>
          <w:rFonts w:ascii="Times New Roman" w:hAnsi="Times New Roman" w:cs="Times New Roman"/>
          <w:i/>
          <w:iCs/>
          <w:sz w:val="24"/>
          <w:szCs w:val="24"/>
        </w:rPr>
        <w:t>Automotive Innovation</w:t>
      </w:r>
      <w:r w:rsidRPr="00C04179">
        <w:rPr>
          <w:rFonts w:ascii="Times New Roman" w:hAnsi="Times New Roman" w:cs="Times New Roman"/>
          <w:sz w:val="24"/>
          <w:szCs w:val="24"/>
        </w:rPr>
        <w:t>, pp.1-33.</w:t>
      </w:r>
    </w:p>
    <w:p w14:paraId="0CAAA5AA"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Braidy, A., Pokharel, S. and ElMekkawy, T.Y., 2025. Research Perspectives on Innovation in the Automotive Sector. </w:t>
      </w:r>
      <w:r w:rsidRPr="00C04179">
        <w:rPr>
          <w:rFonts w:ascii="Times New Roman" w:hAnsi="Times New Roman" w:cs="Times New Roman"/>
          <w:i/>
          <w:iCs/>
          <w:sz w:val="24"/>
          <w:szCs w:val="24"/>
        </w:rPr>
        <w:t>Sustainability</w:t>
      </w:r>
      <w:r w:rsidRPr="00C04179">
        <w:rPr>
          <w:rFonts w:ascii="Times New Roman" w:hAnsi="Times New Roman" w:cs="Times New Roman"/>
          <w:sz w:val="24"/>
          <w:szCs w:val="24"/>
        </w:rPr>
        <w:t>, </w:t>
      </w:r>
      <w:r w:rsidRPr="00C04179">
        <w:rPr>
          <w:rFonts w:ascii="Times New Roman" w:hAnsi="Times New Roman" w:cs="Times New Roman"/>
          <w:i/>
          <w:iCs/>
          <w:sz w:val="24"/>
          <w:szCs w:val="24"/>
        </w:rPr>
        <w:t>17</w:t>
      </w:r>
      <w:r w:rsidRPr="00C04179">
        <w:rPr>
          <w:rFonts w:ascii="Times New Roman" w:hAnsi="Times New Roman" w:cs="Times New Roman"/>
          <w:sz w:val="24"/>
          <w:szCs w:val="24"/>
        </w:rPr>
        <w:t>(7), p.2795.</w:t>
      </w:r>
    </w:p>
    <w:p w14:paraId="2C578AFF" w14:textId="77777777" w:rsidR="00CA1D50" w:rsidRPr="00C04179" w:rsidRDefault="00CA1D50" w:rsidP="00C21670">
      <w:pPr>
        <w:spacing w:line="480" w:lineRule="auto"/>
        <w:ind w:left="720" w:hanging="720"/>
        <w:jc w:val="both"/>
        <w:rPr>
          <w:rFonts w:ascii="Times New Roman" w:hAnsi="Times New Roman" w:cs="Times New Roman"/>
          <w:sz w:val="24"/>
          <w:szCs w:val="24"/>
        </w:rPr>
      </w:pPr>
      <w:bookmarkStart w:id="102" w:name="_Hlk212661477"/>
      <w:r w:rsidRPr="00C04179">
        <w:rPr>
          <w:rFonts w:ascii="Times New Roman" w:hAnsi="Times New Roman" w:cs="Times New Roman"/>
          <w:sz w:val="24"/>
          <w:szCs w:val="24"/>
        </w:rPr>
        <w:t xml:space="preserve">Braun, V. and Clarke, V., 2006. </w:t>
      </w:r>
      <w:bookmarkEnd w:id="102"/>
      <w:r w:rsidRPr="00C04179">
        <w:rPr>
          <w:rFonts w:ascii="Times New Roman" w:hAnsi="Times New Roman" w:cs="Times New Roman"/>
          <w:sz w:val="24"/>
          <w:szCs w:val="24"/>
        </w:rPr>
        <w:t>Using thematic analysis in psychology. </w:t>
      </w:r>
      <w:r w:rsidRPr="00C04179">
        <w:rPr>
          <w:rFonts w:ascii="Times New Roman" w:hAnsi="Times New Roman" w:cs="Times New Roman"/>
          <w:i/>
          <w:iCs/>
          <w:sz w:val="24"/>
          <w:szCs w:val="24"/>
        </w:rPr>
        <w:t>Qualitative research in psychology</w:t>
      </w:r>
      <w:r w:rsidRPr="00C04179">
        <w:rPr>
          <w:rFonts w:ascii="Times New Roman" w:hAnsi="Times New Roman" w:cs="Times New Roman"/>
          <w:sz w:val="24"/>
          <w:szCs w:val="24"/>
        </w:rPr>
        <w:t>, </w:t>
      </w:r>
      <w:r w:rsidRPr="00C04179">
        <w:rPr>
          <w:rFonts w:ascii="Times New Roman" w:hAnsi="Times New Roman" w:cs="Times New Roman"/>
          <w:i/>
          <w:iCs/>
          <w:sz w:val="24"/>
          <w:szCs w:val="24"/>
        </w:rPr>
        <w:t>3</w:t>
      </w:r>
      <w:r w:rsidRPr="00C04179">
        <w:rPr>
          <w:rFonts w:ascii="Times New Roman" w:hAnsi="Times New Roman" w:cs="Times New Roman"/>
          <w:sz w:val="24"/>
          <w:szCs w:val="24"/>
        </w:rPr>
        <w:t>(2), pp.77-101.</w:t>
      </w:r>
    </w:p>
    <w:p w14:paraId="74901331"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Chen, Z., 2025. Business Strategies and Digital Transformation of the New Energy Vehicles: A Case Study of Li Auto Inc. </w:t>
      </w:r>
      <w:r w:rsidRPr="00C04179">
        <w:rPr>
          <w:rFonts w:ascii="Times New Roman" w:hAnsi="Times New Roman" w:cs="Times New Roman"/>
          <w:i/>
          <w:iCs/>
          <w:sz w:val="24"/>
          <w:szCs w:val="24"/>
        </w:rPr>
        <w:t>Advances in Economics, Management and Political Sciences</w:t>
      </w:r>
      <w:r w:rsidRPr="00C04179">
        <w:rPr>
          <w:rFonts w:ascii="Times New Roman" w:hAnsi="Times New Roman" w:cs="Times New Roman"/>
          <w:sz w:val="24"/>
          <w:szCs w:val="24"/>
        </w:rPr>
        <w:t>, </w:t>
      </w:r>
      <w:r w:rsidRPr="00C04179">
        <w:rPr>
          <w:rFonts w:ascii="Times New Roman" w:hAnsi="Times New Roman" w:cs="Times New Roman"/>
          <w:i/>
          <w:iCs/>
          <w:sz w:val="24"/>
          <w:szCs w:val="24"/>
        </w:rPr>
        <w:t>193</w:t>
      </w:r>
      <w:r w:rsidRPr="00C04179">
        <w:rPr>
          <w:rFonts w:ascii="Times New Roman" w:hAnsi="Times New Roman" w:cs="Times New Roman"/>
          <w:sz w:val="24"/>
          <w:szCs w:val="24"/>
        </w:rPr>
        <w:t>, pp.215-220.</w:t>
      </w:r>
    </w:p>
    <w:p w14:paraId="07C92DFA"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Cornet, A., Heuss, R., Schaufuss, P. and Tschiesner, A., 2023. A road map for Europe’s automotive industry. </w:t>
      </w:r>
      <w:r w:rsidRPr="00C04179">
        <w:rPr>
          <w:rFonts w:ascii="Times New Roman" w:hAnsi="Times New Roman" w:cs="Times New Roman"/>
          <w:i/>
          <w:iCs/>
          <w:sz w:val="24"/>
          <w:szCs w:val="24"/>
        </w:rPr>
        <w:t>McKinsey &amp; Company</w:t>
      </w:r>
      <w:r w:rsidRPr="00C04179">
        <w:rPr>
          <w:rFonts w:ascii="Times New Roman" w:hAnsi="Times New Roman" w:cs="Times New Roman"/>
          <w:sz w:val="24"/>
          <w:szCs w:val="24"/>
        </w:rPr>
        <w:t>.</w:t>
      </w:r>
    </w:p>
    <w:p w14:paraId="42C31DC8"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Endrődi-Kovács, V. and Stukovszky, T., 2022. The adoption of industry 4.0 and digitalisation of Hungarian SMEs. </w:t>
      </w:r>
      <w:r w:rsidRPr="00C04179">
        <w:rPr>
          <w:rFonts w:ascii="Times New Roman" w:hAnsi="Times New Roman" w:cs="Times New Roman"/>
          <w:i/>
          <w:iCs/>
          <w:sz w:val="24"/>
          <w:szCs w:val="24"/>
        </w:rPr>
        <w:t>Society and Economy</w:t>
      </w:r>
      <w:r w:rsidRPr="00C04179">
        <w:rPr>
          <w:rFonts w:ascii="Times New Roman" w:hAnsi="Times New Roman" w:cs="Times New Roman"/>
          <w:sz w:val="24"/>
          <w:szCs w:val="24"/>
        </w:rPr>
        <w:t>, </w:t>
      </w:r>
      <w:r w:rsidRPr="00C04179">
        <w:rPr>
          <w:rFonts w:ascii="Times New Roman" w:hAnsi="Times New Roman" w:cs="Times New Roman"/>
          <w:i/>
          <w:iCs/>
          <w:sz w:val="24"/>
          <w:szCs w:val="24"/>
        </w:rPr>
        <w:t>44</w:t>
      </w:r>
      <w:r w:rsidRPr="00C04179">
        <w:rPr>
          <w:rFonts w:ascii="Times New Roman" w:hAnsi="Times New Roman" w:cs="Times New Roman"/>
          <w:sz w:val="24"/>
          <w:szCs w:val="24"/>
        </w:rPr>
        <w:t>(1), pp.138-158.</w:t>
      </w:r>
    </w:p>
    <w:p w14:paraId="525A6A7B" w14:textId="77777777" w:rsidR="00CA1D50" w:rsidRPr="00C04179" w:rsidRDefault="00CA1D50" w:rsidP="00C21670">
      <w:pPr>
        <w:spacing w:line="480" w:lineRule="auto"/>
        <w:ind w:left="720" w:hanging="720"/>
        <w:jc w:val="both"/>
        <w:rPr>
          <w:rFonts w:ascii="Times New Roman" w:hAnsi="Times New Roman" w:cs="Times New Roman"/>
          <w:sz w:val="24"/>
          <w:szCs w:val="24"/>
        </w:rPr>
      </w:pPr>
      <w:bookmarkStart w:id="103" w:name="_Hlk212031164"/>
      <w:r w:rsidRPr="00C04179">
        <w:rPr>
          <w:rFonts w:ascii="Times New Roman" w:hAnsi="Times New Roman" w:cs="Times New Roman"/>
          <w:sz w:val="24"/>
          <w:szCs w:val="24"/>
        </w:rPr>
        <w:t xml:space="preserve">Görçün, </w:t>
      </w:r>
      <w:bookmarkEnd w:id="103"/>
      <w:r w:rsidRPr="00C04179">
        <w:rPr>
          <w:rFonts w:ascii="Times New Roman" w:hAnsi="Times New Roman" w:cs="Times New Roman"/>
          <w:sz w:val="24"/>
          <w:szCs w:val="24"/>
        </w:rPr>
        <w:t xml:space="preserve">Ö.F., Mishra, A.R., Aytekin, A., Simic, V. and Korucuk, S., 2024. Evaluation of Industry 4.0 strategies for digital transformation in the automotive manufacturing industry using an </w:t>
      </w:r>
      <w:r w:rsidRPr="00C04179">
        <w:rPr>
          <w:rFonts w:ascii="Times New Roman" w:hAnsi="Times New Roman" w:cs="Times New Roman"/>
          <w:sz w:val="24"/>
          <w:szCs w:val="24"/>
        </w:rPr>
        <w:lastRenderedPageBreak/>
        <w:t>integrated fuzzy decision-making model. </w:t>
      </w:r>
      <w:r w:rsidRPr="00C04179">
        <w:rPr>
          <w:rFonts w:ascii="Times New Roman" w:hAnsi="Times New Roman" w:cs="Times New Roman"/>
          <w:i/>
          <w:iCs/>
          <w:sz w:val="24"/>
          <w:szCs w:val="24"/>
        </w:rPr>
        <w:t>Journal of Manufacturing Systems</w:t>
      </w:r>
      <w:r w:rsidRPr="00C04179">
        <w:rPr>
          <w:rFonts w:ascii="Times New Roman" w:hAnsi="Times New Roman" w:cs="Times New Roman"/>
          <w:sz w:val="24"/>
          <w:szCs w:val="24"/>
        </w:rPr>
        <w:t>, </w:t>
      </w:r>
      <w:r w:rsidRPr="00C04179">
        <w:rPr>
          <w:rFonts w:ascii="Times New Roman" w:hAnsi="Times New Roman" w:cs="Times New Roman"/>
          <w:i/>
          <w:iCs/>
          <w:sz w:val="24"/>
          <w:szCs w:val="24"/>
        </w:rPr>
        <w:t>74</w:t>
      </w:r>
      <w:r w:rsidRPr="00C04179">
        <w:rPr>
          <w:rFonts w:ascii="Times New Roman" w:hAnsi="Times New Roman" w:cs="Times New Roman"/>
          <w:sz w:val="24"/>
          <w:szCs w:val="24"/>
        </w:rPr>
        <w:t>, pp.922-948.</w:t>
      </w:r>
    </w:p>
    <w:p w14:paraId="63B09CC1"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Hoegaerts, L. and Schönenberger, B., 2019. </w:t>
      </w:r>
      <w:r w:rsidRPr="00C04179">
        <w:rPr>
          <w:rFonts w:ascii="Times New Roman" w:hAnsi="Times New Roman" w:cs="Times New Roman"/>
          <w:i/>
          <w:iCs/>
          <w:sz w:val="24"/>
          <w:szCs w:val="24"/>
        </w:rPr>
        <w:t>The automotive digital transformation and the economic impacts of existing data access models, report produced for the FIA</w:t>
      </w:r>
      <w:r w:rsidRPr="00C04179">
        <w:rPr>
          <w:rFonts w:ascii="Times New Roman" w:hAnsi="Times New Roman" w:cs="Times New Roman"/>
          <w:sz w:val="24"/>
          <w:szCs w:val="24"/>
        </w:rPr>
        <w:t> [online]</w:t>
      </w:r>
    </w:p>
    <w:p w14:paraId="3EF8AFAF"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Koelmel, B., Brysch, T. and Bulander, R., 2025. Transformation of the automotive industry: A systematic literature review on the technological drivers of transformation. </w:t>
      </w:r>
      <w:r w:rsidRPr="00C04179">
        <w:rPr>
          <w:rFonts w:ascii="Times New Roman" w:hAnsi="Times New Roman" w:cs="Times New Roman"/>
          <w:i/>
          <w:iCs/>
          <w:sz w:val="24"/>
          <w:szCs w:val="24"/>
        </w:rPr>
        <w:t>Design+</w:t>
      </w:r>
      <w:r w:rsidRPr="00C04179">
        <w:rPr>
          <w:rFonts w:ascii="Times New Roman" w:hAnsi="Times New Roman" w:cs="Times New Roman"/>
          <w:sz w:val="24"/>
          <w:szCs w:val="24"/>
        </w:rPr>
        <w:t>, </w:t>
      </w:r>
      <w:r w:rsidRPr="00C04179">
        <w:rPr>
          <w:rFonts w:ascii="Times New Roman" w:hAnsi="Times New Roman" w:cs="Times New Roman"/>
          <w:i/>
          <w:iCs/>
          <w:sz w:val="24"/>
          <w:szCs w:val="24"/>
        </w:rPr>
        <w:t>2</w:t>
      </w:r>
      <w:r w:rsidRPr="00C04179">
        <w:rPr>
          <w:rFonts w:ascii="Times New Roman" w:hAnsi="Times New Roman" w:cs="Times New Roman"/>
          <w:sz w:val="24"/>
          <w:szCs w:val="24"/>
        </w:rPr>
        <w:t>(1), p.4445.</w:t>
      </w:r>
    </w:p>
    <w:p w14:paraId="6578ABA8" w14:textId="71AF87B1"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 xml:space="preserve">Kumar, S.,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Ujire, D. K. (2024). Inductive and deductive approaches to qualitative research. </w:t>
      </w:r>
      <w:r w:rsidRPr="00C04179">
        <w:rPr>
          <w:rFonts w:ascii="Times New Roman" w:hAnsi="Times New Roman" w:cs="Times New Roman"/>
          <w:i/>
          <w:iCs/>
          <w:sz w:val="24"/>
          <w:szCs w:val="24"/>
        </w:rPr>
        <w:t>International Journal of Multidisciplinary Educational Research</w:t>
      </w:r>
      <w:r w:rsidRPr="00C04179">
        <w:rPr>
          <w:rFonts w:ascii="Times New Roman" w:hAnsi="Times New Roman" w:cs="Times New Roman"/>
          <w:sz w:val="24"/>
          <w:szCs w:val="24"/>
        </w:rPr>
        <w:t>, </w:t>
      </w:r>
      <w:r w:rsidRPr="00C04179">
        <w:rPr>
          <w:rFonts w:ascii="Times New Roman" w:hAnsi="Times New Roman" w:cs="Times New Roman"/>
          <w:i/>
          <w:iCs/>
          <w:sz w:val="24"/>
          <w:szCs w:val="24"/>
        </w:rPr>
        <w:t>13</w:t>
      </w:r>
      <w:r w:rsidRPr="00C04179">
        <w:rPr>
          <w:rFonts w:ascii="Times New Roman" w:hAnsi="Times New Roman" w:cs="Times New Roman"/>
          <w:sz w:val="24"/>
          <w:szCs w:val="24"/>
        </w:rPr>
        <w:t>(1), 58-63.</w:t>
      </w:r>
    </w:p>
    <w:p w14:paraId="76C26C72"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 xml:space="preserve">Lad, M., 2025. ‘Evolution of strategic sourcing in the automotive industry: From cost-cutting to value creation’, </w:t>
      </w:r>
      <w:r w:rsidRPr="00C04179">
        <w:rPr>
          <w:rFonts w:ascii="Times New Roman" w:hAnsi="Times New Roman" w:cs="Times New Roman"/>
          <w:i/>
          <w:iCs/>
          <w:sz w:val="24"/>
          <w:szCs w:val="24"/>
        </w:rPr>
        <w:t>International Journal of Computer Applications</w:t>
      </w:r>
      <w:r w:rsidRPr="00C04179">
        <w:rPr>
          <w:rFonts w:ascii="Times New Roman" w:hAnsi="Times New Roman" w:cs="Times New Roman"/>
          <w:sz w:val="24"/>
          <w:szCs w:val="24"/>
        </w:rPr>
        <w:t xml:space="preserve">, 187(43), pp. 1–8. doi:10.5120/ijca2025925743. </w:t>
      </w:r>
    </w:p>
    <w:p w14:paraId="1BC739DE" w14:textId="1AFA0E0E" w:rsidR="00CA1D50" w:rsidRPr="00C04179" w:rsidRDefault="00CA1D50" w:rsidP="00C21670">
      <w:pPr>
        <w:spacing w:line="480" w:lineRule="auto"/>
        <w:ind w:left="720" w:hanging="720"/>
        <w:jc w:val="both"/>
        <w:rPr>
          <w:rFonts w:ascii="Times New Roman" w:hAnsi="Times New Roman" w:cs="Times New Roman"/>
          <w:sz w:val="24"/>
          <w:szCs w:val="24"/>
        </w:rPr>
      </w:pPr>
      <w:bookmarkStart w:id="104" w:name="_Hlk219113708"/>
      <w:r w:rsidRPr="00C04179">
        <w:rPr>
          <w:rFonts w:ascii="Times New Roman" w:hAnsi="Times New Roman" w:cs="Times New Roman"/>
          <w:sz w:val="24"/>
          <w:szCs w:val="24"/>
        </w:rPr>
        <w:t xml:space="preserve">Li, B., Lei, Y., Hu, M., </w:t>
      </w:r>
      <w:r w:rsidR="005144D3" w:rsidRPr="00C04179">
        <w:rPr>
          <w:rFonts w:ascii="Times New Roman" w:hAnsi="Times New Roman" w:cs="Times New Roman"/>
          <w:sz w:val="24"/>
          <w:szCs w:val="24"/>
        </w:rPr>
        <w:t xml:space="preserve">and </w:t>
      </w:r>
      <w:r w:rsidRPr="00C04179">
        <w:rPr>
          <w:rFonts w:ascii="Times New Roman" w:hAnsi="Times New Roman" w:cs="Times New Roman"/>
          <w:sz w:val="24"/>
          <w:szCs w:val="24"/>
        </w:rPr>
        <w:t xml:space="preserve">Li, W. (2022). </w:t>
      </w:r>
      <w:bookmarkEnd w:id="104"/>
      <w:r w:rsidRPr="00C04179">
        <w:rPr>
          <w:rFonts w:ascii="Times New Roman" w:hAnsi="Times New Roman" w:cs="Times New Roman"/>
          <w:sz w:val="24"/>
          <w:szCs w:val="24"/>
        </w:rPr>
        <w:t>The impact of policy orientation on green innovative performance: the role of green innovative capacity and absorptive capacity. </w:t>
      </w:r>
      <w:r w:rsidRPr="00C04179">
        <w:rPr>
          <w:rFonts w:ascii="Times New Roman" w:hAnsi="Times New Roman" w:cs="Times New Roman"/>
          <w:i/>
          <w:iCs/>
          <w:sz w:val="24"/>
          <w:szCs w:val="24"/>
        </w:rPr>
        <w:t>Frontiers in Environmental Science</w:t>
      </w:r>
      <w:r w:rsidRPr="00C04179">
        <w:rPr>
          <w:rFonts w:ascii="Times New Roman" w:hAnsi="Times New Roman" w:cs="Times New Roman"/>
          <w:sz w:val="24"/>
          <w:szCs w:val="24"/>
        </w:rPr>
        <w:t>, </w:t>
      </w:r>
      <w:r w:rsidRPr="00C04179">
        <w:rPr>
          <w:rFonts w:ascii="Times New Roman" w:hAnsi="Times New Roman" w:cs="Times New Roman"/>
          <w:i/>
          <w:iCs/>
          <w:sz w:val="24"/>
          <w:szCs w:val="24"/>
        </w:rPr>
        <w:t>10</w:t>
      </w:r>
      <w:r w:rsidRPr="00C04179">
        <w:rPr>
          <w:rFonts w:ascii="Times New Roman" w:hAnsi="Times New Roman" w:cs="Times New Roman"/>
          <w:sz w:val="24"/>
          <w:szCs w:val="24"/>
        </w:rPr>
        <w:t>, 842133.</w:t>
      </w:r>
    </w:p>
    <w:p w14:paraId="4503B537"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Lie, A. and Tingvall, C., 2024. Are crash causation studies the best way to understand system failures–Who can we blame?. </w:t>
      </w:r>
      <w:r w:rsidRPr="00C04179">
        <w:rPr>
          <w:rFonts w:ascii="Times New Roman" w:hAnsi="Times New Roman" w:cs="Times New Roman"/>
          <w:i/>
          <w:iCs/>
          <w:sz w:val="24"/>
          <w:szCs w:val="24"/>
        </w:rPr>
        <w:t>Accident Analysis &amp; Prevention</w:t>
      </w:r>
      <w:r w:rsidRPr="00C04179">
        <w:rPr>
          <w:rFonts w:ascii="Times New Roman" w:hAnsi="Times New Roman" w:cs="Times New Roman"/>
          <w:sz w:val="24"/>
          <w:szCs w:val="24"/>
        </w:rPr>
        <w:t>, </w:t>
      </w:r>
      <w:r w:rsidRPr="00C04179">
        <w:rPr>
          <w:rFonts w:ascii="Times New Roman" w:hAnsi="Times New Roman" w:cs="Times New Roman"/>
          <w:i/>
          <w:iCs/>
          <w:sz w:val="24"/>
          <w:szCs w:val="24"/>
        </w:rPr>
        <w:t>196</w:t>
      </w:r>
      <w:r w:rsidRPr="00C04179">
        <w:rPr>
          <w:rFonts w:ascii="Times New Roman" w:hAnsi="Times New Roman" w:cs="Times New Roman"/>
          <w:sz w:val="24"/>
          <w:szCs w:val="24"/>
        </w:rPr>
        <w:t>, p.107432.</w:t>
      </w:r>
    </w:p>
    <w:p w14:paraId="72D761AC"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Llopis-Albert, C., Rubio, F. and Valero, F., 2021. Impact of digital transformation on the automotive industry. </w:t>
      </w:r>
      <w:r w:rsidRPr="00C04179">
        <w:rPr>
          <w:rFonts w:ascii="Times New Roman" w:hAnsi="Times New Roman" w:cs="Times New Roman"/>
          <w:i/>
          <w:iCs/>
          <w:sz w:val="24"/>
          <w:szCs w:val="24"/>
        </w:rPr>
        <w:t>Technological forecasting and social change</w:t>
      </w:r>
      <w:r w:rsidRPr="00C04179">
        <w:rPr>
          <w:rFonts w:ascii="Times New Roman" w:hAnsi="Times New Roman" w:cs="Times New Roman"/>
          <w:sz w:val="24"/>
          <w:szCs w:val="24"/>
        </w:rPr>
        <w:t>, </w:t>
      </w:r>
      <w:r w:rsidRPr="00C04179">
        <w:rPr>
          <w:rFonts w:ascii="Times New Roman" w:hAnsi="Times New Roman" w:cs="Times New Roman"/>
          <w:i/>
          <w:iCs/>
          <w:sz w:val="24"/>
          <w:szCs w:val="24"/>
        </w:rPr>
        <w:t>162</w:t>
      </w:r>
      <w:r w:rsidRPr="00C04179">
        <w:rPr>
          <w:rFonts w:ascii="Times New Roman" w:hAnsi="Times New Roman" w:cs="Times New Roman"/>
          <w:sz w:val="24"/>
          <w:szCs w:val="24"/>
        </w:rPr>
        <w:t>, p.120343.</w:t>
      </w:r>
    </w:p>
    <w:p w14:paraId="4BCAF586"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lastRenderedPageBreak/>
        <w:t>Lopez-Vega, H. and Moodysson, J., 2023. Digital transformation of the automotive industry: an integrating framework to analyse technological novelty and breadth. </w:t>
      </w:r>
      <w:r w:rsidRPr="00C04179">
        <w:rPr>
          <w:rFonts w:ascii="Times New Roman" w:hAnsi="Times New Roman" w:cs="Times New Roman"/>
          <w:i/>
          <w:iCs/>
          <w:sz w:val="24"/>
          <w:szCs w:val="24"/>
        </w:rPr>
        <w:t>Industry and innovation</w:t>
      </w:r>
      <w:r w:rsidRPr="00C04179">
        <w:rPr>
          <w:rFonts w:ascii="Times New Roman" w:hAnsi="Times New Roman" w:cs="Times New Roman"/>
          <w:sz w:val="24"/>
          <w:szCs w:val="24"/>
        </w:rPr>
        <w:t>, </w:t>
      </w:r>
      <w:r w:rsidRPr="00C04179">
        <w:rPr>
          <w:rFonts w:ascii="Times New Roman" w:hAnsi="Times New Roman" w:cs="Times New Roman"/>
          <w:i/>
          <w:iCs/>
          <w:sz w:val="24"/>
          <w:szCs w:val="24"/>
        </w:rPr>
        <w:t>30</w:t>
      </w:r>
      <w:r w:rsidRPr="00C04179">
        <w:rPr>
          <w:rFonts w:ascii="Times New Roman" w:hAnsi="Times New Roman" w:cs="Times New Roman"/>
          <w:sz w:val="24"/>
          <w:szCs w:val="24"/>
        </w:rPr>
        <w:t>(1), pp.67-102.</w:t>
      </w:r>
    </w:p>
    <w:p w14:paraId="1F67C10E"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Men, F., Dong, F., Liu, Y. and Yang, H., 2023. Research on the impact of digital transformation on the product R&amp;D performance of automobile enterprises from the perspective of the innovation ecosystem. </w:t>
      </w:r>
      <w:r w:rsidRPr="00C04179">
        <w:rPr>
          <w:rFonts w:ascii="Times New Roman" w:hAnsi="Times New Roman" w:cs="Times New Roman"/>
          <w:i/>
          <w:iCs/>
          <w:sz w:val="24"/>
          <w:szCs w:val="24"/>
        </w:rPr>
        <w:t>Sustainability</w:t>
      </w:r>
      <w:r w:rsidRPr="00C04179">
        <w:rPr>
          <w:rFonts w:ascii="Times New Roman" w:hAnsi="Times New Roman" w:cs="Times New Roman"/>
          <w:sz w:val="24"/>
          <w:szCs w:val="24"/>
        </w:rPr>
        <w:t>, </w:t>
      </w:r>
      <w:r w:rsidRPr="00C04179">
        <w:rPr>
          <w:rFonts w:ascii="Times New Roman" w:hAnsi="Times New Roman" w:cs="Times New Roman"/>
          <w:i/>
          <w:iCs/>
          <w:sz w:val="24"/>
          <w:szCs w:val="24"/>
        </w:rPr>
        <w:t>15</w:t>
      </w:r>
      <w:r w:rsidRPr="00C04179">
        <w:rPr>
          <w:rFonts w:ascii="Times New Roman" w:hAnsi="Times New Roman" w:cs="Times New Roman"/>
          <w:sz w:val="24"/>
          <w:szCs w:val="24"/>
        </w:rPr>
        <w:t>(7), p.6265.</w:t>
      </w:r>
    </w:p>
    <w:p w14:paraId="6A65F6BF" w14:textId="77777777" w:rsidR="00CA1D50" w:rsidRPr="00C04179" w:rsidRDefault="00CA1D50" w:rsidP="00C21670">
      <w:pPr>
        <w:spacing w:line="480" w:lineRule="auto"/>
        <w:ind w:left="720" w:hanging="720"/>
        <w:jc w:val="both"/>
        <w:rPr>
          <w:rFonts w:ascii="Times New Roman" w:hAnsi="Times New Roman" w:cs="Times New Roman"/>
          <w:sz w:val="24"/>
          <w:szCs w:val="24"/>
        </w:rPr>
      </w:pPr>
      <w:bookmarkStart w:id="105" w:name="_Hlk219113879"/>
      <w:r w:rsidRPr="00C04179">
        <w:rPr>
          <w:rFonts w:ascii="Times New Roman" w:hAnsi="Times New Roman" w:cs="Times New Roman"/>
          <w:sz w:val="24"/>
          <w:szCs w:val="24"/>
        </w:rPr>
        <w:t xml:space="preserve">Morgan, H. (2022). </w:t>
      </w:r>
      <w:bookmarkEnd w:id="105"/>
      <w:r w:rsidRPr="00C04179">
        <w:rPr>
          <w:rFonts w:ascii="Times New Roman" w:hAnsi="Times New Roman" w:cs="Times New Roman"/>
          <w:sz w:val="24"/>
          <w:szCs w:val="24"/>
        </w:rPr>
        <w:t>Conducting a qualitative document analysis. </w:t>
      </w:r>
      <w:r w:rsidRPr="00C04179">
        <w:rPr>
          <w:rFonts w:ascii="Times New Roman" w:hAnsi="Times New Roman" w:cs="Times New Roman"/>
          <w:i/>
          <w:iCs/>
          <w:sz w:val="24"/>
          <w:szCs w:val="24"/>
        </w:rPr>
        <w:t>The qualitative report</w:t>
      </w:r>
      <w:r w:rsidRPr="00C04179">
        <w:rPr>
          <w:rFonts w:ascii="Times New Roman" w:hAnsi="Times New Roman" w:cs="Times New Roman"/>
          <w:sz w:val="24"/>
          <w:szCs w:val="24"/>
        </w:rPr>
        <w:t>, </w:t>
      </w:r>
      <w:r w:rsidRPr="00C04179">
        <w:rPr>
          <w:rFonts w:ascii="Times New Roman" w:hAnsi="Times New Roman" w:cs="Times New Roman"/>
          <w:i/>
          <w:iCs/>
          <w:sz w:val="24"/>
          <w:szCs w:val="24"/>
        </w:rPr>
        <w:t>27</w:t>
      </w:r>
      <w:r w:rsidRPr="00C04179">
        <w:rPr>
          <w:rFonts w:ascii="Times New Roman" w:hAnsi="Times New Roman" w:cs="Times New Roman"/>
          <w:sz w:val="24"/>
          <w:szCs w:val="24"/>
        </w:rPr>
        <w:t>(1), 64-77.</w:t>
      </w:r>
    </w:p>
    <w:p w14:paraId="00210BB2"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Muzahid, A.J.M., Kamarulzaman, S.F., Rahman, M.A., Murad, S.A., Kamal, M.A.S. and Alenezi, A.H., 2023. Multiple vehicle cooperation and collision avoidance in automated vehicles: Survey and an AI-enabled conceptual framework. </w:t>
      </w:r>
      <w:r w:rsidRPr="00C04179">
        <w:rPr>
          <w:rFonts w:ascii="Times New Roman" w:hAnsi="Times New Roman" w:cs="Times New Roman"/>
          <w:i/>
          <w:iCs/>
          <w:sz w:val="24"/>
          <w:szCs w:val="24"/>
        </w:rPr>
        <w:t>Scientific reports</w:t>
      </w:r>
      <w:r w:rsidRPr="00C04179">
        <w:rPr>
          <w:rFonts w:ascii="Times New Roman" w:hAnsi="Times New Roman" w:cs="Times New Roman"/>
          <w:sz w:val="24"/>
          <w:szCs w:val="24"/>
        </w:rPr>
        <w:t>, </w:t>
      </w:r>
      <w:r w:rsidRPr="00C04179">
        <w:rPr>
          <w:rFonts w:ascii="Times New Roman" w:hAnsi="Times New Roman" w:cs="Times New Roman"/>
          <w:i/>
          <w:iCs/>
          <w:sz w:val="24"/>
          <w:szCs w:val="24"/>
        </w:rPr>
        <w:t>13</w:t>
      </w:r>
      <w:r w:rsidRPr="00C04179">
        <w:rPr>
          <w:rFonts w:ascii="Times New Roman" w:hAnsi="Times New Roman" w:cs="Times New Roman"/>
          <w:sz w:val="24"/>
          <w:szCs w:val="24"/>
        </w:rPr>
        <w:t>(1), p.603.</w:t>
      </w:r>
    </w:p>
    <w:p w14:paraId="0ECA6F1A" w14:textId="77777777" w:rsidR="00CA1D50" w:rsidRPr="00C04179" w:rsidRDefault="00CA1D50" w:rsidP="00C21670">
      <w:pPr>
        <w:spacing w:line="480" w:lineRule="auto"/>
        <w:ind w:left="720" w:hanging="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Ngowi, L. and Mvungi, N.H., 2018. Socio-technical systems: Transforming theory into practice. </w:t>
      </w:r>
      <w:r w:rsidRPr="00C04179">
        <w:rPr>
          <w:rFonts w:ascii="Times New Roman" w:hAnsi="Times New Roman" w:cs="Times New Roman"/>
          <w:i/>
          <w:iCs/>
          <w:sz w:val="24"/>
          <w:szCs w:val="24"/>
          <w:lang w:val="en-GB"/>
        </w:rPr>
        <w:t>International Journal of Industrial and Systems Engineering</w:t>
      </w:r>
      <w:r w:rsidRPr="00C04179">
        <w:rPr>
          <w:rFonts w:ascii="Times New Roman" w:hAnsi="Times New Roman" w:cs="Times New Roman"/>
          <w:sz w:val="24"/>
          <w:szCs w:val="24"/>
          <w:lang w:val="en-GB"/>
        </w:rPr>
        <w:t xml:space="preserve">, </w:t>
      </w:r>
      <w:r w:rsidRPr="00C04179">
        <w:rPr>
          <w:rFonts w:ascii="Times New Roman" w:hAnsi="Times New Roman" w:cs="Times New Roman"/>
          <w:i/>
          <w:iCs/>
          <w:sz w:val="24"/>
          <w:szCs w:val="24"/>
          <w:lang w:val="en-GB"/>
        </w:rPr>
        <w:t>12</w:t>
      </w:r>
      <w:r w:rsidRPr="00C04179">
        <w:rPr>
          <w:rFonts w:ascii="Times New Roman" w:hAnsi="Times New Roman" w:cs="Times New Roman"/>
          <w:sz w:val="24"/>
          <w:szCs w:val="24"/>
          <w:lang w:val="en-GB"/>
        </w:rPr>
        <w:t>(2), pp.310-316.</w:t>
      </w:r>
    </w:p>
    <w:p w14:paraId="4B68FD38"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Perri, A., Silvestri, D. and Zirpoli, F., 2025. Technological change, incumbent dominance, and knowledge base evolution in multi-technology industries: A patent analysis of the global automotive sector. </w:t>
      </w:r>
      <w:r w:rsidRPr="00C04179">
        <w:rPr>
          <w:rFonts w:ascii="Times New Roman" w:hAnsi="Times New Roman" w:cs="Times New Roman"/>
          <w:i/>
          <w:iCs/>
          <w:sz w:val="24"/>
          <w:szCs w:val="24"/>
        </w:rPr>
        <w:t>Research Policy</w:t>
      </w:r>
      <w:r w:rsidRPr="00C04179">
        <w:rPr>
          <w:rFonts w:ascii="Times New Roman" w:hAnsi="Times New Roman" w:cs="Times New Roman"/>
          <w:sz w:val="24"/>
          <w:szCs w:val="24"/>
        </w:rPr>
        <w:t>, </w:t>
      </w:r>
      <w:r w:rsidRPr="00C04179">
        <w:rPr>
          <w:rFonts w:ascii="Times New Roman" w:hAnsi="Times New Roman" w:cs="Times New Roman"/>
          <w:i/>
          <w:iCs/>
          <w:sz w:val="24"/>
          <w:szCs w:val="24"/>
        </w:rPr>
        <w:t>54</w:t>
      </w:r>
      <w:r w:rsidRPr="00C04179">
        <w:rPr>
          <w:rFonts w:ascii="Times New Roman" w:hAnsi="Times New Roman" w:cs="Times New Roman"/>
          <w:sz w:val="24"/>
          <w:szCs w:val="24"/>
        </w:rPr>
        <w:t>(9), p.105304.</w:t>
      </w:r>
    </w:p>
    <w:p w14:paraId="15C721B2" w14:textId="77777777" w:rsidR="00CA1D50" w:rsidRPr="00C04179" w:rsidRDefault="00CA1D50" w:rsidP="00C21670">
      <w:pPr>
        <w:spacing w:line="480" w:lineRule="auto"/>
        <w:ind w:left="720" w:hanging="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Saetren, G.B. and Laumann, K., 2017. Organizational change management theories and safety–A critical review. </w:t>
      </w:r>
      <w:r w:rsidRPr="00C04179">
        <w:rPr>
          <w:rFonts w:ascii="Times New Roman" w:hAnsi="Times New Roman" w:cs="Times New Roman"/>
          <w:i/>
          <w:iCs/>
          <w:sz w:val="24"/>
          <w:szCs w:val="24"/>
          <w:lang w:val="en-GB"/>
        </w:rPr>
        <w:t>Safety Science Monitor</w:t>
      </w:r>
      <w:r w:rsidRPr="00C04179">
        <w:rPr>
          <w:rFonts w:ascii="Times New Roman" w:hAnsi="Times New Roman" w:cs="Times New Roman"/>
          <w:sz w:val="24"/>
          <w:szCs w:val="24"/>
          <w:lang w:val="en-GB"/>
        </w:rPr>
        <w:t xml:space="preserve">, </w:t>
      </w:r>
      <w:r w:rsidRPr="00C04179">
        <w:rPr>
          <w:rFonts w:ascii="Times New Roman" w:hAnsi="Times New Roman" w:cs="Times New Roman"/>
          <w:i/>
          <w:iCs/>
          <w:sz w:val="24"/>
          <w:szCs w:val="24"/>
          <w:lang w:val="en-GB"/>
        </w:rPr>
        <w:t>20</w:t>
      </w:r>
      <w:r w:rsidRPr="00C04179">
        <w:rPr>
          <w:rFonts w:ascii="Times New Roman" w:hAnsi="Times New Roman" w:cs="Times New Roman"/>
          <w:sz w:val="24"/>
          <w:szCs w:val="24"/>
          <w:lang w:val="en-GB"/>
        </w:rPr>
        <w:t>(1), pp.1-10.</w:t>
      </w:r>
    </w:p>
    <w:p w14:paraId="108BEF42" w14:textId="36C77D12"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Sardana, N., Shekoohi, S., Cornett, E.M. and Kaye, A.D., 2023. Qualitative and quantitative research methods. In </w:t>
      </w:r>
      <w:r w:rsidRPr="00C04179">
        <w:rPr>
          <w:rFonts w:ascii="Times New Roman" w:hAnsi="Times New Roman" w:cs="Times New Roman"/>
          <w:i/>
          <w:iCs/>
          <w:sz w:val="24"/>
          <w:szCs w:val="24"/>
        </w:rPr>
        <w:t>Substance use and addiction research</w:t>
      </w:r>
      <w:r w:rsidRPr="00C04179">
        <w:rPr>
          <w:rFonts w:ascii="Times New Roman" w:hAnsi="Times New Roman" w:cs="Times New Roman"/>
          <w:sz w:val="24"/>
          <w:szCs w:val="24"/>
        </w:rPr>
        <w:t> (pp. 65-69). Academic Press.</w:t>
      </w:r>
    </w:p>
    <w:p w14:paraId="1E15F0CF" w14:textId="4B002C97" w:rsidR="006F2483" w:rsidRPr="00C04179" w:rsidRDefault="006F2483"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lastRenderedPageBreak/>
        <w:t>Song, L., Wang, W., Hua, H., Jiang, S. and Liu, X., 2025. The supply-demand dynamics of lithium resources and sustainable pathways for vehicle electrification in China.</w:t>
      </w:r>
    </w:p>
    <w:p w14:paraId="63665F23"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Squires, V. (2023). Thematic analysis. In </w:t>
      </w:r>
      <w:r w:rsidRPr="00C04179">
        <w:rPr>
          <w:rFonts w:ascii="Times New Roman" w:hAnsi="Times New Roman" w:cs="Times New Roman"/>
          <w:i/>
          <w:iCs/>
          <w:sz w:val="24"/>
          <w:szCs w:val="24"/>
        </w:rPr>
        <w:t>Varieties of qualitative research methods: Selected contextual perspectives</w:t>
      </w:r>
      <w:r w:rsidRPr="00C04179">
        <w:rPr>
          <w:rFonts w:ascii="Times New Roman" w:hAnsi="Times New Roman" w:cs="Times New Roman"/>
          <w:sz w:val="24"/>
          <w:szCs w:val="24"/>
        </w:rPr>
        <w:t> (pp. 463-468). Cham: Springer International Publishing.</w:t>
      </w:r>
    </w:p>
    <w:p w14:paraId="695CA957"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Tang, D., 2021. What is digital transformation?. </w:t>
      </w:r>
      <w:r w:rsidRPr="00C04179">
        <w:rPr>
          <w:rFonts w:ascii="Times New Roman" w:hAnsi="Times New Roman" w:cs="Times New Roman"/>
          <w:i/>
          <w:iCs/>
          <w:sz w:val="24"/>
          <w:szCs w:val="24"/>
        </w:rPr>
        <w:t>Edpacs</w:t>
      </w:r>
      <w:r w:rsidRPr="00C04179">
        <w:rPr>
          <w:rFonts w:ascii="Times New Roman" w:hAnsi="Times New Roman" w:cs="Times New Roman"/>
          <w:sz w:val="24"/>
          <w:szCs w:val="24"/>
        </w:rPr>
        <w:t>, </w:t>
      </w:r>
      <w:r w:rsidRPr="00C04179">
        <w:rPr>
          <w:rFonts w:ascii="Times New Roman" w:hAnsi="Times New Roman" w:cs="Times New Roman"/>
          <w:i/>
          <w:iCs/>
          <w:sz w:val="24"/>
          <w:szCs w:val="24"/>
        </w:rPr>
        <w:t>64</w:t>
      </w:r>
      <w:r w:rsidRPr="00C04179">
        <w:rPr>
          <w:rFonts w:ascii="Times New Roman" w:hAnsi="Times New Roman" w:cs="Times New Roman"/>
          <w:sz w:val="24"/>
          <w:szCs w:val="24"/>
        </w:rPr>
        <w:t>(1), pp.9-13.</w:t>
      </w:r>
    </w:p>
    <w:p w14:paraId="22D95077"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Winkelhake, U., 2019. Challenges in the digital transformation of the automotive industry. </w:t>
      </w:r>
      <w:r w:rsidRPr="00C04179">
        <w:rPr>
          <w:rFonts w:ascii="Times New Roman" w:hAnsi="Times New Roman" w:cs="Times New Roman"/>
          <w:i/>
          <w:iCs/>
          <w:sz w:val="24"/>
          <w:szCs w:val="24"/>
        </w:rPr>
        <w:t>ATZ worldwide</w:t>
      </w:r>
      <w:r w:rsidRPr="00C04179">
        <w:rPr>
          <w:rFonts w:ascii="Times New Roman" w:hAnsi="Times New Roman" w:cs="Times New Roman"/>
          <w:sz w:val="24"/>
          <w:szCs w:val="24"/>
        </w:rPr>
        <w:t>, </w:t>
      </w:r>
      <w:r w:rsidRPr="00C04179">
        <w:rPr>
          <w:rFonts w:ascii="Times New Roman" w:hAnsi="Times New Roman" w:cs="Times New Roman"/>
          <w:i/>
          <w:iCs/>
          <w:sz w:val="24"/>
          <w:szCs w:val="24"/>
        </w:rPr>
        <w:t>121</w:t>
      </w:r>
      <w:r w:rsidRPr="00C04179">
        <w:rPr>
          <w:rFonts w:ascii="Times New Roman" w:hAnsi="Times New Roman" w:cs="Times New Roman"/>
          <w:sz w:val="24"/>
          <w:szCs w:val="24"/>
        </w:rPr>
        <w:t>(7), pp.36-43.</w:t>
      </w:r>
    </w:p>
    <w:p w14:paraId="33E03B86"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Xi, M. and Zhao, C. 2023. 'Digital transformation for Traditional automakers: Comparative of General Motors and Volkswagen,' </w:t>
      </w:r>
      <w:r w:rsidRPr="00C04179">
        <w:rPr>
          <w:rFonts w:ascii="Times New Roman" w:hAnsi="Times New Roman" w:cs="Times New Roman"/>
          <w:i/>
          <w:iCs/>
          <w:sz w:val="24"/>
          <w:szCs w:val="24"/>
        </w:rPr>
        <w:t>Advances in Economics Management and Political Sciences</w:t>
      </w:r>
      <w:r w:rsidRPr="00C04179">
        <w:rPr>
          <w:rFonts w:ascii="Times New Roman" w:hAnsi="Times New Roman" w:cs="Times New Roman"/>
          <w:sz w:val="24"/>
          <w:szCs w:val="24"/>
        </w:rPr>
        <w:t>, 33(1), pp. 171–181. https://doi.org/10.54254/2754-1169/33/20231652.</w:t>
      </w:r>
    </w:p>
    <w:p w14:paraId="3C585653" w14:textId="77777777" w:rsidR="00CA1D50" w:rsidRPr="00C04179" w:rsidRDefault="00CA1D50" w:rsidP="00C21670">
      <w:pPr>
        <w:spacing w:line="480" w:lineRule="auto"/>
        <w:ind w:left="720" w:hanging="720"/>
        <w:jc w:val="both"/>
        <w:rPr>
          <w:rFonts w:ascii="Times New Roman" w:hAnsi="Times New Roman" w:cs="Times New Roman"/>
          <w:sz w:val="24"/>
          <w:szCs w:val="24"/>
          <w:lang w:val="en-GB"/>
        </w:rPr>
      </w:pPr>
      <w:bookmarkStart w:id="106" w:name="_Hlk212031285"/>
      <w:r w:rsidRPr="00C04179">
        <w:rPr>
          <w:rFonts w:ascii="Times New Roman" w:hAnsi="Times New Roman" w:cs="Times New Roman"/>
          <w:sz w:val="24"/>
          <w:szCs w:val="24"/>
        </w:rPr>
        <w:t xml:space="preserve">Zhang, </w:t>
      </w:r>
      <w:bookmarkEnd w:id="106"/>
      <w:r w:rsidRPr="00C04179">
        <w:rPr>
          <w:rFonts w:ascii="Times New Roman" w:hAnsi="Times New Roman" w:cs="Times New Roman"/>
          <w:sz w:val="24"/>
          <w:szCs w:val="24"/>
        </w:rPr>
        <w:t>X., Li, J., Zhou, J., Zhang, S., Wang, J., Yuan, Y., Liu, J. and Li, J., 2025. Vehicle-to-Everything Communication in Intelligent Connected Vehicles: A Survey and T</w:t>
      </w:r>
      <w:r w:rsidRPr="00C04179">
        <w:rPr>
          <w:rFonts w:ascii="Times New Roman" w:eastAsia="Calibri" w:hAnsi="Times New Roman" w:cs="Times New Roman"/>
          <w:sz w:val="24"/>
          <w:szCs w:val="24"/>
          <w:lang w:val="en-GB"/>
        </w:rPr>
        <w:t xml:space="preserve"> </w:t>
      </w:r>
      <w:r w:rsidRPr="00C04179">
        <w:rPr>
          <w:rFonts w:ascii="Times New Roman" w:hAnsi="Times New Roman" w:cs="Times New Roman"/>
          <w:sz w:val="24"/>
          <w:szCs w:val="24"/>
          <w:lang w:val="en-GB"/>
        </w:rPr>
        <w:t>Aas, T.H. and Breunig, K.J., 2017. Conceptualizing innovation capabilities: A contingency perspective.</w:t>
      </w:r>
    </w:p>
    <w:p w14:paraId="23F49568"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Zhang, X., Li, J., Zhou, J., Zhang, S., Wang, J., Yuan, Y., Liu, J. and Li, J., 2025. Vehicle-to-Everything Communication in Intelligent Connected Vehicles: A Survey and Taxonomy. </w:t>
      </w:r>
      <w:r w:rsidRPr="00C04179">
        <w:rPr>
          <w:rFonts w:ascii="Times New Roman" w:hAnsi="Times New Roman" w:cs="Times New Roman"/>
          <w:i/>
          <w:iCs/>
          <w:sz w:val="24"/>
          <w:szCs w:val="24"/>
        </w:rPr>
        <w:t>Automotive Innovation</w:t>
      </w:r>
      <w:r w:rsidRPr="00C04179">
        <w:rPr>
          <w:rFonts w:ascii="Times New Roman" w:hAnsi="Times New Roman" w:cs="Times New Roman"/>
          <w:sz w:val="24"/>
          <w:szCs w:val="24"/>
        </w:rPr>
        <w:t>, pp.1-33.</w:t>
      </w:r>
    </w:p>
    <w:p w14:paraId="69A5007E" w14:textId="77777777" w:rsidR="00CA1D50" w:rsidRPr="00C04179" w:rsidRDefault="00CA1D50" w:rsidP="00C21670">
      <w:pPr>
        <w:spacing w:line="480" w:lineRule="auto"/>
        <w:jc w:val="both"/>
        <w:rPr>
          <w:rFonts w:ascii="Times New Roman" w:hAnsi="Times New Roman" w:cs="Times New Roman"/>
          <w:sz w:val="24"/>
          <w:szCs w:val="24"/>
        </w:rPr>
      </w:pPr>
    </w:p>
    <w:p w14:paraId="68410164" w14:textId="77777777" w:rsidR="00422665" w:rsidRPr="00C04179" w:rsidRDefault="00422665" w:rsidP="00C21670">
      <w:pPr>
        <w:spacing w:line="480" w:lineRule="auto"/>
        <w:jc w:val="both"/>
        <w:rPr>
          <w:rFonts w:ascii="Times New Roman" w:hAnsi="Times New Roman" w:cs="Times New Roman"/>
          <w:sz w:val="24"/>
          <w:szCs w:val="24"/>
        </w:rPr>
      </w:pPr>
    </w:p>
    <w:p w14:paraId="19044B3D" w14:textId="77777777" w:rsidR="0045438F" w:rsidRPr="00C04179" w:rsidRDefault="0045438F" w:rsidP="00C21670">
      <w:pPr>
        <w:spacing w:line="480" w:lineRule="auto"/>
        <w:jc w:val="both"/>
        <w:rPr>
          <w:rFonts w:ascii="Times New Roman" w:hAnsi="Times New Roman" w:cs="Times New Roman"/>
          <w:sz w:val="24"/>
          <w:szCs w:val="24"/>
        </w:rPr>
      </w:pPr>
    </w:p>
    <w:sectPr w:rsidR="0045438F" w:rsidRPr="00C0417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62128" w14:textId="77777777" w:rsidR="00577723" w:rsidRDefault="00577723" w:rsidP="003D4D69">
      <w:pPr>
        <w:spacing w:after="0" w:line="240" w:lineRule="auto"/>
      </w:pPr>
      <w:r>
        <w:separator/>
      </w:r>
    </w:p>
  </w:endnote>
  <w:endnote w:type="continuationSeparator" w:id="0">
    <w:p w14:paraId="61395FAA" w14:textId="77777777" w:rsidR="00577723" w:rsidRDefault="00577723" w:rsidP="003D4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9C742" w14:textId="77777777" w:rsidR="00577723" w:rsidRDefault="00577723" w:rsidP="003D4D69">
      <w:pPr>
        <w:spacing w:after="0" w:line="240" w:lineRule="auto"/>
      </w:pPr>
      <w:r>
        <w:separator/>
      </w:r>
    </w:p>
  </w:footnote>
  <w:footnote w:type="continuationSeparator" w:id="0">
    <w:p w14:paraId="2A126C0B" w14:textId="77777777" w:rsidR="00577723" w:rsidRDefault="00577723" w:rsidP="003D4D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5044216"/>
      <w:docPartObj>
        <w:docPartGallery w:val="Page Numbers (Top of Page)"/>
        <w:docPartUnique/>
      </w:docPartObj>
    </w:sdtPr>
    <w:sdtEndPr>
      <w:rPr>
        <w:rFonts w:ascii="Times New Roman" w:hAnsi="Times New Roman" w:cs="Times New Roman"/>
        <w:noProof/>
        <w:sz w:val="24"/>
        <w:szCs w:val="24"/>
      </w:rPr>
    </w:sdtEndPr>
    <w:sdtContent>
      <w:p w14:paraId="23D36DB2" w14:textId="610D611A" w:rsidR="00621744" w:rsidRPr="003D4D69" w:rsidRDefault="00621744">
        <w:pPr>
          <w:pStyle w:val="Header"/>
          <w:jc w:val="right"/>
          <w:rPr>
            <w:rFonts w:ascii="Times New Roman" w:hAnsi="Times New Roman" w:cs="Times New Roman"/>
            <w:sz w:val="24"/>
            <w:szCs w:val="24"/>
          </w:rPr>
        </w:pPr>
        <w:r w:rsidRPr="003D4D69">
          <w:rPr>
            <w:rFonts w:ascii="Times New Roman" w:hAnsi="Times New Roman" w:cs="Times New Roman"/>
            <w:sz w:val="24"/>
            <w:szCs w:val="24"/>
          </w:rPr>
          <w:fldChar w:fldCharType="begin"/>
        </w:r>
        <w:r w:rsidRPr="003D4D69">
          <w:rPr>
            <w:rFonts w:ascii="Times New Roman" w:hAnsi="Times New Roman" w:cs="Times New Roman"/>
            <w:sz w:val="24"/>
            <w:szCs w:val="24"/>
          </w:rPr>
          <w:instrText xml:space="preserve"> PAGE   \* MERGEFORMAT </w:instrText>
        </w:r>
        <w:r w:rsidRPr="003D4D69">
          <w:rPr>
            <w:rFonts w:ascii="Times New Roman" w:hAnsi="Times New Roman" w:cs="Times New Roman"/>
            <w:sz w:val="24"/>
            <w:szCs w:val="24"/>
          </w:rPr>
          <w:fldChar w:fldCharType="separate"/>
        </w:r>
        <w:r w:rsidRPr="003D4D69">
          <w:rPr>
            <w:rFonts w:ascii="Times New Roman" w:hAnsi="Times New Roman" w:cs="Times New Roman"/>
            <w:noProof/>
            <w:sz w:val="24"/>
            <w:szCs w:val="24"/>
          </w:rPr>
          <w:t>2</w:t>
        </w:r>
        <w:r w:rsidRPr="003D4D69">
          <w:rPr>
            <w:rFonts w:ascii="Times New Roman" w:hAnsi="Times New Roman" w:cs="Times New Roman"/>
            <w:noProof/>
            <w:sz w:val="24"/>
            <w:szCs w:val="24"/>
          </w:rPr>
          <w:fldChar w:fldCharType="end"/>
        </w:r>
      </w:p>
    </w:sdtContent>
  </w:sdt>
  <w:p w14:paraId="07D43EC5" w14:textId="77777777" w:rsidR="00621744" w:rsidRDefault="006217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80060"/>
    <w:multiLevelType w:val="hybridMultilevel"/>
    <w:tmpl w:val="058039B6"/>
    <w:lvl w:ilvl="0" w:tplc="04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50B44"/>
    <w:multiLevelType w:val="hybridMultilevel"/>
    <w:tmpl w:val="CD22475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1F568B3"/>
    <w:multiLevelType w:val="multilevel"/>
    <w:tmpl w:val="BF50F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182BD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935443B"/>
    <w:multiLevelType w:val="multilevel"/>
    <w:tmpl w:val="C6A8C69C"/>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EC84768"/>
    <w:multiLevelType w:val="hybridMultilevel"/>
    <w:tmpl w:val="9EFA70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6352BEA"/>
    <w:multiLevelType w:val="hybridMultilevel"/>
    <w:tmpl w:val="E340BC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C081064"/>
    <w:multiLevelType w:val="hybridMultilevel"/>
    <w:tmpl w:val="3814BE2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81220072">
    <w:abstractNumId w:val="2"/>
  </w:num>
  <w:num w:numId="2" w16cid:durableId="1176113927">
    <w:abstractNumId w:val="6"/>
  </w:num>
  <w:num w:numId="3" w16cid:durableId="1178077807">
    <w:abstractNumId w:val="5"/>
  </w:num>
  <w:num w:numId="4" w16cid:durableId="1915165688">
    <w:abstractNumId w:val="0"/>
  </w:num>
  <w:num w:numId="5" w16cid:durableId="1644919005">
    <w:abstractNumId w:val="4"/>
  </w:num>
  <w:num w:numId="6" w16cid:durableId="1269923023">
    <w:abstractNumId w:val="7"/>
  </w:num>
  <w:num w:numId="7" w16cid:durableId="1628466428">
    <w:abstractNumId w:val="3"/>
  </w:num>
  <w:num w:numId="8" w16cid:durableId="182936064">
    <w:abstractNumId w:val="3"/>
    <w:lvlOverride w:ilvl="0">
      <w:startOverride w:val="3"/>
    </w:lvlOverride>
    <w:lvlOverride w:ilvl="1">
      <w:startOverride w:val="2"/>
    </w:lvlOverride>
  </w:num>
  <w:num w:numId="9" w16cid:durableId="5185891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430"/>
    <w:rsid w:val="00003DA5"/>
    <w:rsid w:val="00004430"/>
    <w:rsid w:val="00031A2B"/>
    <w:rsid w:val="000822C8"/>
    <w:rsid w:val="00095317"/>
    <w:rsid w:val="000D17D5"/>
    <w:rsid w:val="000D192F"/>
    <w:rsid w:val="00124CD5"/>
    <w:rsid w:val="001558E7"/>
    <w:rsid w:val="0017430B"/>
    <w:rsid w:val="001D36AC"/>
    <w:rsid w:val="00216FE3"/>
    <w:rsid w:val="002350B0"/>
    <w:rsid w:val="0024338A"/>
    <w:rsid w:val="00273D88"/>
    <w:rsid w:val="002A069D"/>
    <w:rsid w:val="002C64A0"/>
    <w:rsid w:val="002E5FB1"/>
    <w:rsid w:val="002F07A4"/>
    <w:rsid w:val="002F2F8F"/>
    <w:rsid w:val="00303875"/>
    <w:rsid w:val="00372536"/>
    <w:rsid w:val="00377F12"/>
    <w:rsid w:val="00385C14"/>
    <w:rsid w:val="003B099E"/>
    <w:rsid w:val="003C60F0"/>
    <w:rsid w:val="003D2C43"/>
    <w:rsid w:val="003D4D69"/>
    <w:rsid w:val="00421E3C"/>
    <w:rsid w:val="00422665"/>
    <w:rsid w:val="00447D0B"/>
    <w:rsid w:val="0045438F"/>
    <w:rsid w:val="004544AA"/>
    <w:rsid w:val="004B1BC5"/>
    <w:rsid w:val="004F4113"/>
    <w:rsid w:val="005144D3"/>
    <w:rsid w:val="00567EE9"/>
    <w:rsid w:val="00577723"/>
    <w:rsid w:val="0059451D"/>
    <w:rsid w:val="005A5B38"/>
    <w:rsid w:val="005B7677"/>
    <w:rsid w:val="005E567F"/>
    <w:rsid w:val="00621744"/>
    <w:rsid w:val="00674B8F"/>
    <w:rsid w:val="006B17E3"/>
    <w:rsid w:val="006F2483"/>
    <w:rsid w:val="006F59CC"/>
    <w:rsid w:val="00722CC5"/>
    <w:rsid w:val="007645F9"/>
    <w:rsid w:val="007C57D1"/>
    <w:rsid w:val="007C5D2D"/>
    <w:rsid w:val="007C5E00"/>
    <w:rsid w:val="007E38E0"/>
    <w:rsid w:val="00837245"/>
    <w:rsid w:val="0086740D"/>
    <w:rsid w:val="00870775"/>
    <w:rsid w:val="008A2D15"/>
    <w:rsid w:val="008B2F74"/>
    <w:rsid w:val="008F0E22"/>
    <w:rsid w:val="00964A59"/>
    <w:rsid w:val="00967EEB"/>
    <w:rsid w:val="00994B1C"/>
    <w:rsid w:val="009C512A"/>
    <w:rsid w:val="009D02B2"/>
    <w:rsid w:val="009D3D0F"/>
    <w:rsid w:val="009F1E40"/>
    <w:rsid w:val="00A37616"/>
    <w:rsid w:val="00A438BC"/>
    <w:rsid w:val="00A51EB1"/>
    <w:rsid w:val="00A733D7"/>
    <w:rsid w:val="00A937D0"/>
    <w:rsid w:val="00AB4231"/>
    <w:rsid w:val="00AB5274"/>
    <w:rsid w:val="00AC1871"/>
    <w:rsid w:val="00AE227E"/>
    <w:rsid w:val="00AE4741"/>
    <w:rsid w:val="00B548EE"/>
    <w:rsid w:val="00B57D49"/>
    <w:rsid w:val="00B92D08"/>
    <w:rsid w:val="00BA00E6"/>
    <w:rsid w:val="00BA7895"/>
    <w:rsid w:val="00BD2AAE"/>
    <w:rsid w:val="00BD386B"/>
    <w:rsid w:val="00BD4CBD"/>
    <w:rsid w:val="00C04179"/>
    <w:rsid w:val="00C1032B"/>
    <w:rsid w:val="00C21670"/>
    <w:rsid w:val="00C63B38"/>
    <w:rsid w:val="00C94B61"/>
    <w:rsid w:val="00CA1D50"/>
    <w:rsid w:val="00CD0FF9"/>
    <w:rsid w:val="00D03BEB"/>
    <w:rsid w:val="00D30095"/>
    <w:rsid w:val="00D34D5C"/>
    <w:rsid w:val="00D4453C"/>
    <w:rsid w:val="00D46729"/>
    <w:rsid w:val="00DA7E3E"/>
    <w:rsid w:val="00DC15E8"/>
    <w:rsid w:val="00DD6401"/>
    <w:rsid w:val="00DD6A36"/>
    <w:rsid w:val="00E23B8A"/>
    <w:rsid w:val="00E25AE6"/>
    <w:rsid w:val="00E41AD0"/>
    <w:rsid w:val="00E65A1A"/>
    <w:rsid w:val="00F615F9"/>
    <w:rsid w:val="00F64CBA"/>
    <w:rsid w:val="00F72ACF"/>
    <w:rsid w:val="00F87E7D"/>
    <w:rsid w:val="00FA200C"/>
    <w:rsid w:val="00FB6883"/>
    <w:rsid w:val="00FC2704"/>
    <w:rsid w:val="00FD380F"/>
    <w:rsid w:val="00FE25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FC8E5"/>
  <w15:chartTrackingRefBased/>
  <w15:docId w15:val="{35735903-6BFC-432A-85EA-86E69C277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D69"/>
    <w:pPr>
      <w:keepNext/>
      <w:keepLines/>
      <w:numPr>
        <w:numId w:val="7"/>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4D69"/>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4D69"/>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4D69"/>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D4D69"/>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D4D69"/>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D4D69"/>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D4D69"/>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4D69"/>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665"/>
    <w:pPr>
      <w:ind w:left="720"/>
      <w:contextualSpacing/>
    </w:pPr>
  </w:style>
  <w:style w:type="paragraph" w:styleId="Header">
    <w:name w:val="header"/>
    <w:basedOn w:val="Normal"/>
    <w:link w:val="HeaderChar"/>
    <w:uiPriority w:val="99"/>
    <w:unhideWhenUsed/>
    <w:rsid w:val="003D4D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4D69"/>
  </w:style>
  <w:style w:type="paragraph" w:styleId="Footer">
    <w:name w:val="footer"/>
    <w:basedOn w:val="Normal"/>
    <w:link w:val="FooterChar"/>
    <w:uiPriority w:val="99"/>
    <w:unhideWhenUsed/>
    <w:rsid w:val="003D4D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4D69"/>
  </w:style>
  <w:style w:type="character" w:customStyle="1" w:styleId="Heading1Char">
    <w:name w:val="Heading 1 Char"/>
    <w:basedOn w:val="DefaultParagraphFont"/>
    <w:link w:val="Heading1"/>
    <w:uiPriority w:val="9"/>
    <w:rsid w:val="003D4D6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4D6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4D6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D4D6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D4D6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D4D6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D4D6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D4D6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4D6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C2704"/>
    <w:pPr>
      <w:numPr>
        <w:numId w:val="0"/>
      </w:numPr>
      <w:outlineLvl w:val="9"/>
    </w:pPr>
  </w:style>
  <w:style w:type="paragraph" w:styleId="TOC1">
    <w:name w:val="toc 1"/>
    <w:basedOn w:val="Normal"/>
    <w:next w:val="Normal"/>
    <w:autoRedefine/>
    <w:uiPriority w:val="39"/>
    <w:unhideWhenUsed/>
    <w:rsid w:val="00FC2704"/>
    <w:pPr>
      <w:spacing w:after="100"/>
    </w:pPr>
  </w:style>
  <w:style w:type="paragraph" w:styleId="TOC2">
    <w:name w:val="toc 2"/>
    <w:basedOn w:val="Normal"/>
    <w:next w:val="Normal"/>
    <w:autoRedefine/>
    <w:uiPriority w:val="39"/>
    <w:unhideWhenUsed/>
    <w:rsid w:val="00FC2704"/>
    <w:pPr>
      <w:spacing w:after="100"/>
      <w:ind w:left="220"/>
    </w:pPr>
  </w:style>
  <w:style w:type="paragraph" w:styleId="TOC3">
    <w:name w:val="toc 3"/>
    <w:basedOn w:val="Normal"/>
    <w:next w:val="Normal"/>
    <w:autoRedefine/>
    <w:uiPriority w:val="39"/>
    <w:unhideWhenUsed/>
    <w:rsid w:val="00FC2704"/>
    <w:pPr>
      <w:spacing w:after="100"/>
      <w:ind w:left="440"/>
    </w:pPr>
  </w:style>
  <w:style w:type="character" w:styleId="Hyperlink">
    <w:name w:val="Hyperlink"/>
    <w:basedOn w:val="DefaultParagraphFont"/>
    <w:uiPriority w:val="99"/>
    <w:unhideWhenUsed/>
    <w:rsid w:val="00FC2704"/>
    <w:rPr>
      <w:color w:val="0563C1" w:themeColor="hyperlink"/>
      <w:u w:val="single"/>
    </w:rPr>
  </w:style>
  <w:style w:type="table" w:styleId="TableGrid">
    <w:name w:val="Table Grid"/>
    <w:basedOn w:val="TableNormal"/>
    <w:uiPriority w:val="39"/>
    <w:rsid w:val="00F615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19317">
      <w:bodyDiv w:val="1"/>
      <w:marLeft w:val="0"/>
      <w:marRight w:val="0"/>
      <w:marTop w:val="0"/>
      <w:marBottom w:val="0"/>
      <w:divBdr>
        <w:top w:val="none" w:sz="0" w:space="0" w:color="auto"/>
        <w:left w:val="none" w:sz="0" w:space="0" w:color="auto"/>
        <w:bottom w:val="none" w:sz="0" w:space="0" w:color="auto"/>
        <w:right w:val="none" w:sz="0" w:space="0" w:color="auto"/>
      </w:divBdr>
    </w:div>
    <w:div w:id="78213333">
      <w:bodyDiv w:val="1"/>
      <w:marLeft w:val="0"/>
      <w:marRight w:val="0"/>
      <w:marTop w:val="0"/>
      <w:marBottom w:val="0"/>
      <w:divBdr>
        <w:top w:val="none" w:sz="0" w:space="0" w:color="auto"/>
        <w:left w:val="none" w:sz="0" w:space="0" w:color="auto"/>
        <w:bottom w:val="none" w:sz="0" w:space="0" w:color="auto"/>
        <w:right w:val="none" w:sz="0" w:space="0" w:color="auto"/>
      </w:divBdr>
    </w:div>
    <w:div w:id="96487473">
      <w:bodyDiv w:val="1"/>
      <w:marLeft w:val="0"/>
      <w:marRight w:val="0"/>
      <w:marTop w:val="0"/>
      <w:marBottom w:val="0"/>
      <w:divBdr>
        <w:top w:val="none" w:sz="0" w:space="0" w:color="auto"/>
        <w:left w:val="none" w:sz="0" w:space="0" w:color="auto"/>
        <w:bottom w:val="none" w:sz="0" w:space="0" w:color="auto"/>
        <w:right w:val="none" w:sz="0" w:space="0" w:color="auto"/>
      </w:divBdr>
    </w:div>
    <w:div w:id="106588455">
      <w:bodyDiv w:val="1"/>
      <w:marLeft w:val="0"/>
      <w:marRight w:val="0"/>
      <w:marTop w:val="0"/>
      <w:marBottom w:val="0"/>
      <w:divBdr>
        <w:top w:val="none" w:sz="0" w:space="0" w:color="auto"/>
        <w:left w:val="none" w:sz="0" w:space="0" w:color="auto"/>
        <w:bottom w:val="none" w:sz="0" w:space="0" w:color="auto"/>
        <w:right w:val="none" w:sz="0" w:space="0" w:color="auto"/>
      </w:divBdr>
    </w:div>
    <w:div w:id="112873417">
      <w:bodyDiv w:val="1"/>
      <w:marLeft w:val="0"/>
      <w:marRight w:val="0"/>
      <w:marTop w:val="0"/>
      <w:marBottom w:val="0"/>
      <w:divBdr>
        <w:top w:val="none" w:sz="0" w:space="0" w:color="auto"/>
        <w:left w:val="none" w:sz="0" w:space="0" w:color="auto"/>
        <w:bottom w:val="none" w:sz="0" w:space="0" w:color="auto"/>
        <w:right w:val="none" w:sz="0" w:space="0" w:color="auto"/>
      </w:divBdr>
    </w:div>
    <w:div w:id="128787281">
      <w:bodyDiv w:val="1"/>
      <w:marLeft w:val="0"/>
      <w:marRight w:val="0"/>
      <w:marTop w:val="0"/>
      <w:marBottom w:val="0"/>
      <w:divBdr>
        <w:top w:val="none" w:sz="0" w:space="0" w:color="auto"/>
        <w:left w:val="none" w:sz="0" w:space="0" w:color="auto"/>
        <w:bottom w:val="none" w:sz="0" w:space="0" w:color="auto"/>
        <w:right w:val="none" w:sz="0" w:space="0" w:color="auto"/>
      </w:divBdr>
    </w:div>
    <w:div w:id="133328371">
      <w:bodyDiv w:val="1"/>
      <w:marLeft w:val="0"/>
      <w:marRight w:val="0"/>
      <w:marTop w:val="0"/>
      <w:marBottom w:val="0"/>
      <w:divBdr>
        <w:top w:val="none" w:sz="0" w:space="0" w:color="auto"/>
        <w:left w:val="none" w:sz="0" w:space="0" w:color="auto"/>
        <w:bottom w:val="none" w:sz="0" w:space="0" w:color="auto"/>
        <w:right w:val="none" w:sz="0" w:space="0" w:color="auto"/>
      </w:divBdr>
    </w:div>
    <w:div w:id="157506328">
      <w:bodyDiv w:val="1"/>
      <w:marLeft w:val="0"/>
      <w:marRight w:val="0"/>
      <w:marTop w:val="0"/>
      <w:marBottom w:val="0"/>
      <w:divBdr>
        <w:top w:val="none" w:sz="0" w:space="0" w:color="auto"/>
        <w:left w:val="none" w:sz="0" w:space="0" w:color="auto"/>
        <w:bottom w:val="none" w:sz="0" w:space="0" w:color="auto"/>
        <w:right w:val="none" w:sz="0" w:space="0" w:color="auto"/>
      </w:divBdr>
    </w:div>
    <w:div w:id="437526142">
      <w:bodyDiv w:val="1"/>
      <w:marLeft w:val="0"/>
      <w:marRight w:val="0"/>
      <w:marTop w:val="0"/>
      <w:marBottom w:val="0"/>
      <w:divBdr>
        <w:top w:val="none" w:sz="0" w:space="0" w:color="auto"/>
        <w:left w:val="none" w:sz="0" w:space="0" w:color="auto"/>
        <w:bottom w:val="none" w:sz="0" w:space="0" w:color="auto"/>
        <w:right w:val="none" w:sz="0" w:space="0" w:color="auto"/>
      </w:divBdr>
    </w:div>
    <w:div w:id="443696847">
      <w:bodyDiv w:val="1"/>
      <w:marLeft w:val="0"/>
      <w:marRight w:val="0"/>
      <w:marTop w:val="0"/>
      <w:marBottom w:val="0"/>
      <w:divBdr>
        <w:top w:val="none" w:sz="0" w:space="0" w:color="auto"/>
        <w:left w:val="none" w:sz="0" w:space="0" w:color="auto"/>
        <w:bottom w:val="none" w:sz="0" w:space="0" w:color="auto"/>
        <w:right w:val="none" w:sz="0" w:space="0" w:color="auto"/>
      </w:divBdr>
    </w:div>
    <w:div w:id="619922533">
      <w:bodyDiv w:val="1"/>
      <w:marLeft w:val="0"/>
      <w:marRight w:val="0"/>
      <w:marTop w:val="0"/>
      <w:marBottom w:val="0"/>
      <w:divBdr>
        <w:top w:val="none" w:sz="0" w:space="0" w:color="auto"/>
        <w:left w:val="none" w:sz="0" w:space="0" w:color="auto"/>
        <w:bottom w:val="none" w:sz="0" w:space="0" w:color="auto"/>
        <w:right w:val="none" w:sz="0" w:space="0" w:color="auto"/>
      </w:divBdr>
    </w:div>
    <w:div w:id="641077514">
      <w:bodyDiv w:val="1"/>
      <w:marLeft w:val="0"/>
      <w:marRight w:val="0"/>
      <w:marTop w:val="0"/>
      <w:marBottom w:val="0"/>
      <w:divBdr>
        <w:top w:val="none" w:sz="0" w:space="0" w:color="auto"/>
        <w:left w:val="none" w:sz="0" w:space="0" w:color="auto"/>
        <w:bottom w:val="none" w:sz="0" w:space="0" w:color="auto"/>
        <w:right w:val="none" w:sz="0" w:space="0" w:color="auto"/>
      </w:divBdr>
    </w:div>
    <w:div w:id="727336381">
      <w:bodyDiv w:val="1"/>
      <w:marLeft w:val="0"/>
      <w:marRight w:val="0"/>
      <w:marTop w:val="0"/>
      <w:marBottom w:val="0"/>
      <w:divBdr>
        <w:top w:val="none" w:sz="0" w:space="0" w:color="auto"/>
        <w:left w:val="none" w:sz="0" w:space="0" w:color="auto"/>
        <w:bottom w:val="none" w:sz="0" w:space="0" w:color="auto"/>
        <w:right w:val="none" w:sz="0" w:space="0" w:color="auto"/>
      </w:divBdr>
    </w:div>
    <w:div w:id="908466165">
      <w:bodyDiv w:val="1"/>
      <w:marLeft w:val="0"/>
      <w:marRight w:val="0"/>
      <w:marTop w:val="0"/>
      <w:marBottom w:val="0"/>
      <w:divBdr>
        <w:top w:val="none" w:sz="0" w:space="0" w:color="auto"/>
        <w:left w:val="none" w:sz="0" w:space="0" w:color="auto"/>
        <w:bottom w:val="none" w:sz="0" w:space="0" w:color="auto"/>
        <w:right w:val="none" w:sz="0" w:space="0" w:color="auto"/>
      </w:divBdr>
    </w:div>
    <w:div w:id="916985876">
      <w:bodyDiv w:val="1"/>
      <w:marLeft w:val="0"/>
      <w:marRight w:val="0"/>
      <w:marTop w:val="0"/>
      <w:marBottom w:val="0"/>
      <w:divBdr>
        <w:top w:val="none" w:sz="0" w:space="0" w:color="auto"/>
        <w:left w:val="none" w:sz="0" w:space="0" w:color="auto"/>
        <w:bottom w:val="none" w:sz="0" w:space="0" w:color="auto"/>
        <w:right w:val="none" w:sz="0" w:space="0" w:color="auto"/>
      </w:divBdr>
    </w:div>
    <w:div w:id="962271209">
      <w:bodyDiv w:val="1"/>
      <w:marLeft w:val="0"/>
      <w:marRight w:val="0"/>
      <w:marTop w:val="0"/>
      <w:marBottom w:val="0"/>
      <w:divBdr>
        <w:top w:val="none" w:sz="0" w:space="0" w:color="auto"/>
        <w:left w:val="none" w:sz="0" w:space="0" w:color="auto"/>
        <w:bottom w:val="none" w:sz="0" w:space="0" w:color="auto"/>
        <w:right w:val="none" w:sz="0" w:space="0" w:color="auto"/>
      </w:divBdr>
    </w:div>
    <w:div w:id="977950117">
      <w:bodyDiv w:val="1"/>
      <w:marLeft w:val="0"/>
      <w:marRight w:val="0"/>
      <w:marTop w:val="0"/>
      <w:marBottom w:val="0"/>
      <w:divBdr>
        <w:top w:val="none" w:sz="0" w:space="0" w:color="auto"/>
        <w:left w:val="none" w:sz="0" w:space="0" w:color="auto"/>
        <w:bottom w:val="none" w:sz="0" w:space="0" w:color="auto"/>
        <w:right w:val="none" w:sz="0" w:space="0" w:color="auto"/>
      </w:divBdr>
    </w:div>
    <w:div w:id="987393841">
      <w:bodyDiv w:val="1"/>
      <w:marLeft w:val="0"/>
      <w:marRight w:val="0"/>
      <w:marTop w:val="0"/>
      <w:marBottom w:val="0"/>
      <w:divBdr>
        <w:top w:val="none" w:sz="0" w:space="0" w:color="auto"/>
        <w:left w:val="none" w:sz="0" w:space="0" w:color="auto"/>
        <w:bottom w:val="none" w:sz="0" w:space="0" w:color="auto"/>
        <w:right w:val="none" w:sz="0" w:space="0" w:color="auto"/>
      </w:divBdr>
    </w:div>
    <w:div w:id="1043359991">
      <w:bodyDiv w:val="1"/>
      <w:marLeft w:val="0"/>
      <w:marRight w:val="0"/>
      <w:marTop w:val="0"/>
      <w:marBottom w:val="0"/>
      <w:divBdr>
        <w:top w:val="none" w:sz="0" w:space="0" w:color="auto"/>
        <w:left w:val="none" w:sz="0" w:space="0" w:color="auto"/>
        <w:bottom w:val="none" w:sz="0" w:space="0" w:color="auto"/>
        <w:right w:val="none" w:sz="0" w:space="0" w:color="auto"/>
      </w:divBdr>
    </w:div>
    <w:div w:id="1048870785">
      <w:bodyDiv w:val="1"/>
      <w:marLeft w:val="0"/>
      <w:marRight w:val="0"/>
      <w:marTop w:val="0"/>
      <w:marBottom w:val="0"/>
      <w:divBdr>
        <w:top w:val="none" w:sz="0" w:space="0" w:color="auto"/>
        <w:left w:val="none" w:sz="0" w:space="0" w:color="auto"/>
        <w:bottom w:val="none" w:sz="0" w:space="0" w:color="auto"/>
        <w:right w:val="none" w:sz="0" w:space="0" w:color="auto"/>
      </w:divBdr>
    </w:div>
    <w:div w:id="1135180208">
      <w:bodyDiv w:val="1"/>
      <w:marLeft w:val="0"/>
      <w:marRight w:val="0"/>
      <w:marTop w:val="0"/>
      <w:marBottom w:val="0"/>
      <w:divBdr>
        <w:top w:val="none" w:sz="0" w:space="0" w:color="auto"/>
        <w:left w:val="none" w:sz="0" w:space="0" w:color="auto"/>
        <w:bottom w:val="none" w:sz="0" w:space="0" w:color="auto"/>
        <w:right w:val="none" w:sz="0" w:space="0" w:color="auto"/>
      </w:divBdr>
    </w:div>
    <w:div w:id="1170680712">
      <w:bodyDiv w:val="1"/>
      <w:marLeft w:val="0"/>
      <w:marRight w:val="0"/>
      <w:marTop w:val="0"/>
      <w:marBottom w:val="0"/>
      <w:divBdr>
        <w:top w:val="none" w:sz="0" w:space="0" w:color="auto"/>
        <w:left w:val="none" w:sz="0" w:space="0" w:color="auto"/>
        <w:bottom w:val="none" w:sz="0" w:space="0" w:color="auto"/>
        <w:right w:val="none" w:sz="0" w:space="0" w:color="auto"/>
      </w:divBdr>
    </w:div>
    <w:div w:id="1177843972">
      <w:bodyDiv w:val="1"/>
      <w:marLeft w:val="0"/>
      <w:marRight w:val="0"/>
      <w:marTop w:val="0"/>
      <w:marBottom w:val="0"/>
      <w:divBdr>
        <w:top w:val="none" w:sz="0" w:space="0" w:color="auto"/>
        <w:left w:val="none" w:sz="0" w:space="0" w:color="auto"/>
        <w:bottom w:val="none" w:sz="0" w:space="0" w:color="auto"/>
        <w:right w:val="none" w:sz="0" w:space="0" w:color="auto"/>
      </w:divBdr>
    </w:div>
    <w:div w:id="1331713098">
      <w:bodyDiv w:val="1"/>
      <w:marLeft w:val="0"/>
      <w:marRight w:val="0"/>
      <w:marTop w:val="0"/>
      <w:marBottom w:val="0"/>
      <w:divBdr>
        <w:top w:val="none" w:sz="0" w:space="0" w:color="auto"/>
        <w:left w:val="none" w:sz="0" w:space="0" w:color="auto"/>
        <w:bottom w:val="none" w:sz="0" w:space="0" w:color="auto"/>
        <w:right w:val="none" w:sz="0" w:space="0" w:color="auto"/>
      </w:divBdr>
    </w:div>
    <w:div w:id="1351253562">
      <w:bodyDiv w:val="1"/>
      <w:marLeft w:val="0"/>
      <w:marRight w:val="0"/>
      <w:marTop w:val="0"/>
      <w:marBottom w:val="0"/>
      <w:divBdr>
        <w:top w:val="none" w:sz="0" w:space="0" w:color="auto"/>
        <w:left w:val="none" w:sz="0" w:space="0" w:color="auto"/>
        <w:bottom w:val="none" w:sz="0" w:space="0" w:color="auto"/>
        <w:right w:val="none" w:sz="0" w:space="0" w:color="auto"/>
      </w:divBdr>
    </w:div>
    <w:div w:id="1479807376">
      <w:bodyDiv w:val="1"/>
      <w:marLeft w:val="0"/>
      <w:marRight w:val="0"/>
      <w:marTop w:val="0"/>
      <w:marBottom w:val="0"/>
      <w:divBdr>
        <w:top w:val="none" w:sz="0" w:space="0" w:color="auto"/>
        <w:left w:val="none" w:sz="0" w:space="0" w:color="auto"/>
        <w:bottom w:val="none" w:sz="0" w:space="0" w:color="auto"/>
        <w:right w:val="none" w:sz="0" w:space="0" w:color="auto"/>
      </w:divBdr>
    </w:div>
    <w:div w:id="1500345266">
      <w:bodyDiv w:val="1"/>
      <w:marLeft w:val="0"/>
      <w:marRight w:val="0"/>
      <w:marTop w:val="0"/>
      <w:marBottom w:val="0"/>
      <w:divBdr>
        <w:top w:val="none" w:sz="0" w:space="0" w:color="auto"/>
        <w:left w:val="none" w:sz="0" w:space="0" w:color="auto"/>
        <w:bottom w:val="none" w:sz="0" w:space="0" w:color="auto"/>
        <w:right w:val="none" w:sz="0" w:space="0" w:color="auto"/>
      </w:divBdr>
    </w:div>
    <w:div w:id="1507867732">
      <w:bodyDiv w:val="1"/>
      <w:marLeft w:val="0"/>
      <w:marRight w:val="0"/>
      <w:marTop w:val="0"/>
      <w:marBottom w:val="0"/>
      <w:divBdr>
        <w:top w:val="none" w:sz="0" w:space="0" w:color="auto"/>
        <w:left w:val="none" w:sz="0" w:space="0" w:color="auto"/>
        <w:bottom w:val="none" w:sz="0" w:space="0" w:color="auto"/>
        <w:right w:val="none" w:sz="0" w:space="0" w:color="auto"/>
      </w:divBdr>
    </w:div>
    <w:div w:id="1629507073">
      <w:bodyDiv w:val="1"/>
      <w:marLeft w:val="0"/>
      <w:marRight w:val="0"/>
      <w:marTop w:val="0"/>
      <w:marBottom w:val="0"/>
      <w:divBdr>
        <w:top w:val="none" w:sz="0" w:space="0" w:color="auto"/>
        <w:left w:val="none" w:sz="0" w:space="0" w:color="auto"/>
        <w:bottom w:val="none" w:sz="0" w:space="0" w:color="auto"/>
        <w:right w:val="none" w:sz="0" w:space="0" w:color="auto"/>
      </w:divBdr>
    </w:div>
    <w:div w:id="1665668305">
      <w:bodyDiv w:val="1"/>
      <w:marLeft w:val="0"/>
      <w:marRight w:val="0"/>
      <w:marTop w:val="0"/>
      <w:marBottom w:val="0"/>
      <w:divBdr>
        <w:top w:val="none" w:sz="0" w:space="0" w:color="auto"/>
        <w:left w:val="none" w:sz="0" w:space="0" w:color="auto"/>
        <w:bottom w:val="none" w:sz="0" w:space="0" w:color="auto"/>
        <w:right w:val="none" w:sz="0" w:space="0" w:color="auto"/>
      </w:divBdr>
    </w:div>
    <w:div w:id="1763648168">
      <w:bodyDiv w:val="1"/>
      <w:marLeft w:val="0"/>
      <w:marRight w:val="0"/>
      <w:marTop w:val="0"/>
      <w:marBottom w:val="0"/>
      <w:divBdr>
        <w:top w:val="none" w:sz="0" w:space="0" w:color="auto"/>
        <w:left w:val="none" w:sz="0" w:space="0" w:color="auto"/>
        <w:bottom w:val="none" w:sz="0" w:space="0" w:color="auto"/>
        <w:right w:val="none" w:sz="0" w:space="0" w:color="auto"/>
      </w:divBdr>
    </w:div>
    <w:div w:id="1771393342">
      <w:bodyDiv w:val="1"/>
      <w:marLeft w:val="0"/>
      <w:marRight w:val="0"/>
      <w:marTop w:val="0"/>
      <w:marBottom w:val="0"/>
      <w:divBdr>
        <w:top w:val="none" w:sz="0" w:space="0" w:color="auto"/>
        <w:left w:val="none" w:sz="0" w:space="0" w:color="auto"/>
        <w:bottom w:val="none" w:sz="0" w:space="0" w:color="auto"/>
        <w:right w:val="none" w:sz="0" w:space="0" w:color="auto"/>
      </w:divBdr>
    </w:div>
    <w:div w:id="1843008308">
      <w:bodyDiv w:val="1"/>
      <w:marLeft w:val="0"/>
      <w:marRight w:val="0"/>
      <w:marTop w:val="0"/>
      <w:marBottom w:val="0"/>
      <w:divBdr>
        <w:top w:val="none" w:sz="0" w:space="0" w:color="auto"/>
        <w:left w:val="none" w:sz="0" w:space="0" w:color="auto"/>
        <w:bottom w:val="none" w:sz="0" w:space="0" w:color="auto"/>
        <w:right w:val="none" w:sz="0" w:space="0" w:color="auto"/>
      </w:divBdr>
    </w:div>
    <w:div w:id="1874492709">
      <w:bodyDiv w:val="1"/>
      <w:marLeft w:val="0"/>
      <w:marRight w:val="0"/>
      <w:marTop w:val="0"/>
      <w:marBottom w:val="0"/>
      <w:divBdr>
        <w:top w:val="none" w:sz="0" w:space="0" w:color="auto"/>
        <w:left w:val="none" w:sz="0" w:space="0" w:color="auto"/>
        <w:bottom w:val="none" w:sz="0" w:space="0" w:color="auto"/>
        <w:right w:val="none" w:sz="0" w:space="0" w:color="auto"/>
      </w:divBdr>
    </w:div>
    <w:div w:id="1934240155">
      <w:bodyDiv w:val="1"/>
      <w:marLeft w:val="0"/>
      <w:marRight w:val="0"/>
      <w:marTop w:val="0"/>
      <w:marBottom w:val="0"/>
      <w:divBdr>
        <w:top w:val="none" w:sz="0" w:space="0" w:color="auto"/>
        <w:left w:val="none" w:sz="0" w:space="0" w:color="auto"/>
        <w:bottom w:val="none" w:sz="0" w:space="0" w:color="auto"/>
        <w:right w:val="none" w:sz="0" w:space="0" w:color="auto"/>
      </w:divBdr>
    </w:div>
    <w:div w:id="1993945932">
      <w:bodyDiv w:val="1"/>
      <w:marLeft w:val="0"/>
      <w:marRight w:val="0"/>
      <w:marTop w:val="0"/>
      <w:marBottom w:val="0"/>
      <w:divBdr>
        <w:top w:val="none" w:sz="0" w:space="0" w:color="auto"/>
        <w:left w:val="none" w:sz="0" w:space="0" w:color="auto"/>
        <w:bottom w:val="none" w:sz="0" w:space="0" w:color="auto"/>
        <w:right w:val="none" w:sz="0" w:space="0" w:color="auto"/>
      </w:divBdr>
    </w:div>
    <w:div w:id="2025207794">
      <w:bodyDiv w:val="1"/>
      <w:marLeft w:val="0"/>
      <w:marRight w:val="0"/>
      <w:marTop w:val="0"/>
      <w:marBottom w:val="0"/>
      <w:divBdr>
        <w:top w:val="none" w:sz="0" w:space="0" w:color="auto"/>
        <w:left w:val="none" w:sz="0" w:space="0" w:color="auto"/>
        <w:bottom w:val="none" w:sz="0" w:space="0" w:color="auto"/>
        <w:right w:val="none" w:sz="0" w:space="0" w:color="auto"/>
      </w:divBdr>
    </w:div>
    <w:div w:id="2116363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9F224-B83F-4B18-A019-7EB618F57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573</TotalTime>
  <Pages>70</Pages>
  <Words>18549</Words>
  <Characters>105735</Characters>
  <Application>Microsoft Office Word</Application>
  <DocSecurity>0</DocSecurity>
  <Lines>881</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Kavya Pokala (2422388)</cp:lastModifiedBy>
  <cp:revision>89</cp:revision>
  <dcterms:created xsi:type="dcterms:W3CDTF">2026-01-15T13:19:00Z</dcterms:created>
  <dcterms:modified xsi:type="dcterms:W3CDTF">2026-02-02T21:25:00Z</dcterms:modified>
</cp:coreProperties>
</file>