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Arial" w:hAnsi="Arial"/>
        </w:rPr>
      </w:pPr>
    </w:p>
    <w:p>
      <w:pPr>
        <w:pStyle w:val="Body A"/>
        <w:rPr>
          <w:rFonts w:ascii="Arial" w:hAnsi="Arial"/>
        </w:rPr>
      </w:pPr>
    </w:p>
    <w:p>
      <w:pPr>
        <w:pStyle w:val="Body A"/>
        <w:rPr>
          <w:rFonts w:ascii="Arial" w:hAnsi="Arial"/>
        </w:rPr>
      </w:pPr>
    </w:p>
    <w:tbl>
      <w:tblPr>
        <w:tblW w:w="814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718"/>
        <w:gridCol w:w="2704"/>
        <w:gridCol w:w="1862"/>
        <w:gridCol w:w="1863"/>
      </w:tblGrid>
      <w:tr>
        <w:tblPrEx>
          <w:shd w:val="clear" w:color="auto" w:fill="cadfff"/>
        </w:tblPrEx>
        <w:trPr>
          <w:trHeight w:val="503"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Student name:</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rPr>
              <w:t>Alexander Skinner</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Student ID number:</w:t>
            </w:r>
          </w:p>
        </w:tc>
        <w:tc>
          <w:tcPr>
            <w:tcW w:type="dxa" w:w="18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before="120" w:after="120" w:line="240" w:lineRule="auto"/>
              <w:jc w:val="both"/>
            </w:pPr>
            <w:r>
              <w:rPr>
                <w:rFonts w:ascii="Arial" w:hAnsi="Arial"/>
                <w:b w:val="1"/>
                <w:bCs w:val="1"/>
                <w:sz w:val="22"/>
                <w:szCs w:val="22"/>
                <w:shd w:val="nil" w:color="auto" w:fill="auto"/>
                <w:rtl w:val="0"/>
              </w:rPr>
              <w:t>2319908</w:t>
            </w:r>
          </w:p>
        </w:tc>
      </w:tr>
      <w:tr>
        <w:tblPrEx>
          <w:shd w:val="clear" w:color="auto" w:fill="cadfff"/>
        </w:tblPrEx>
        <w:trPr>
          <w:trHeight w:val="276"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Programme:</w:t>
            </w:r>
          </w:p>
        </w:tc>
        <w:tc>
          <w:tcPr>
            <w:tcW w:type="dxa" w:w="64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 xml:space="preserve">Graduate Diploma in Policing (GDIP) </w:t>
            </w:r>
          </w:p>
        </w:tc>
      </w:tr>
      <w:tr>
        <w:tblPrEx>
          <w:shd w:val="clear" w:color="auto" w:fill="cadfff"/>
        </w:tblPrEx>
        <w:trPr>
          <w:trHeight w:val="276"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Module:</w:t>
            </w:r>
          </w:p>
        </w:tc>
        <w:tc>
          <w:tcPr>
            <w:tcW w:type="dxa" w:w="64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 xml:space="preserve">Operational Policing Practice 3 </w:t>
            </w:r>
          </w:p>
        </w:tc>
      </w:tr>
      <w:tr>
        <w:tblPrEx>
          <w:shd w:val="clear" w:color="auto" w:fill="cadfff"/>
        </w:tblPrEx>
        <w:trPr>
          <w:trHeight w:val="523" w:hRule="atLeast"/>
        </w:trPr>
        <w:tc>
          <w:tcPr>
            <w:tcW w:type="dxa" w:w="17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Module code:</w:t>
            </w:r>
          </w:p>
        </w:tc>
        <w:tc>
          <w:tcPr>
            <w:tcW w:type="dxa" w:w="2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BMPP6005D</w:t>
            </w:r>
          </w:p>
        </w:tc>
        <w:tc>
          <w:tcPr>
            <w:tcW w:type="dxa" w:w="18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Assignment Title:</w:t>
            </w:r>
          </w:p>
        </w:tc>
        <w:tc>
          <w:tcPr>
            <w:tcW w:type="dxa" w:w="18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shd w:val="nil" w:color="auto" w:fill="auto"/>
                <w:rtl w:val="0"/>
                <w:lang w:val="en-US"/>
              </w:rPr>
              <w:t>Academic assignment</w:t>
            </w:r>
          </w:p>
        </w:tc>
      </w:tr>
    </w:tbl>
    <w:p>
      <w:pPr>
        <w:pStyle w:val="Body A"/>
        <w:widowControl w:val="0"/>
        <w:ind w:left="108" w:hanging="108"/>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b w:val="1"/>
          <w:bCs w:val="1"/>
          <w:sz w:val="24"/>
          <w:szCs w:val="24"/>
        </w:rPr>
      </w:pPr>
      <w:r>
        <w:rPr>
          <w:rFonts w:ascii="Arial" w:hAnsi="Arial"/>
          <w:b w:val="1"/>
          <w:bCs w:val="1"/>
          <w:rtl w:val="0"/>
          <w:lang w:val="en-US"/>
        </w:rPr>
        <w:t xml:space="preserve">Essay 1 </w:t>
      </w:r>
    </w:p>
    <w:p>
      <w:pPr>
        <w:pStyle w:val="Body A"/>
        <w:rPr>
          <w:rFonts w:ascii="Arial" w:cs="Arial" w:hAnsi="Arial" w:eastAsia="Arial"/>
          <w:b w:val="1"/>
          <w:bCs w:val="1"/>
          <w:sz w:val="24"/>
          <w:szCs w:val="24"/>
        </w:rPr>
      </w:pPr>
      <w:r>
        <w:rPr>
          <w:rFonts w:ascii="Arial" w:hAnsi="Arial"/>
          <w:b w:val="1"/>
          <w:bCs w:val="1"/>
          <w:sz w:val="24"/>
          <w:szCs w:val="24"/>
          <w:rtl w:val="0"/>
          <w:lang w:val="en-US"/>
        </w:rPr>
        <w:t>How effectively has the police service adapted to accommodate diversity within the UK? Consider the police force itself and/or the way police engage with diverse communities.</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 xml:space="preserve">The Police service has made great strides I attempting to accommodate diversity within the UK. There have been effective initiatives that have not only attempted to support diverse communities that the police serve, but also within the force itself. </w:t>
      </w:r>
      <w:r>
        <w:rPr>
          <w:rFonts w:ascii="Arial" w:hAnsi="Arial"/>
          <w:sz w:val="24"/>
          <w:szCs w:val="24"/>
          <w:rtl w:val="0"/>
          <w:lang w:val="en-US"/>
        </w:rPr>
        <w:t>This essay will explore</w:t>
      </w:r>
      <w:r>
        <w:rPr>
          <w:rFonts w:ascii="Arial" w:hAnsi="Arial"/>
          <w:sz w:val="24"/>
          <w:szCs w:val="24"/>
          <w:rtl w:val="0"/>
          <w:lang w:val="en-US"/>
        </w:rPr>
        <w:t xml:space="preserve"> policies and procedures that have been implemented by the College of Policing, training that might have been undertaken to upscale officers as well as the feedback surrounding this.</w:t>
      </w: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Police in the UK have been heavily scrutinised when it comes to the task of accommodating diversity, and engaging with diverse communities. There have been a number of initiatives aimed at promoting diversity and inclusion, however there is a large amount of research showing that there are still significant challenges faced by police, both within their institutions well as their engagement within the diverse communities that they police. As of 2024, the top five ethnicities in the UK in terms of numbers are White (81.7%), Asian (9.3%), Black (4.0%) and mixed race (2.9%) (Office for National Statistics, 2022). Due to the large number of diverse communities that we have policing has also had to adapt and evolve in order to effectively deal with the new struggle that arise from protecting and serving these communities.</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 xml:space="preserve">One of the ways in which the UK police force has attempted to tackle diversity has been through its recruitment drives. Initiatives have been designed to support unrepresented candidates, in order to diversify police forces. The Police Uplift Programme that concluded in 2023, resulted in the recruitment of an additional 20,947 police officers. The programme itself aimed to increase workforce diversity, with notable increases in ethnic minority officers, which they attribute to the Online Assessment Process (Home Office, 2024). These programmes demonstrate a positive commitment to diversifying the uk Police force, with the aim to better reflect the communities that they serve. Processes such as the Online Assessment Process also helped improve fairness in the recruitment process. This clearly shows that the police force has shown a concerted, effective effort in their recruitment strategy, however the Police Federation (2024) states that the progress is still slow when it comes to improving the number of diverse officers in the force, despite the overall improvements. </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The goal of improving diversity within the forces are not only to provide more opportunities for underrepresented communities within the force, but also to allow the police forces to evolve in a way that allows them to communicate with and support the communities that they represent more effectively. This is an admirable goal, however some researchers such as Hesketh and Stubbs (2024) have argued that the measures that have been taken often fail to address the deeper systematic issues within the police force in the uk, and therefore fall short of the goals that they have outlined for themselves. They have argued that although they may be increasing representation within the force, they are not in fact leading to any substantial changes within the organisation itself, and that in order for any meaningful changes to take place, they would require a deep overhaul of the organisational culture and their recruitment process (Hesketh and Stubbs, 2024). In addition to this study, Fielding (2024), conducted a review of the effects of diverse recruitment in the UK Police force, the findings of which showed that while the numbers of diverse candidates have risen, the effects of the increase in the numbers have not yet let to any conclusive evidence that any meaningful change has taken place in regards to the policing in diverse communities. The research concludes that recruitment alone has not yet been sufficient enough to lead to any impactful change (Fielding, 2024).</w:t>
      </w:r>
      <w:r>
        <w:rPr>
          <w:rFonts w:ascii="Arial" w:hAnsi="Arial"/>
          <w:sz w:val="24"/>
          <w:szCs w:val="24"/>
          <w:rtl w:val="0"/>
          <w:lang w:val="en-US"/>
        </w:rPr>
        <w:t xml:space="preserve"> Wicks, N (2025) also conducted a study analysing institutional racism in UK policing. This study states that improving diversity in the recruitment process alone cannot undo the structural issues regarding racism within the force. They state that oftentimes, the reforms are often only superficial, and that the more senior officers within the force often only seem to engage with pro-diversity agendas in order to align with the management of the force</w:t>
      </w:r>
      <w:r>
        <w:rPr>
          <w:rFonts w:ascii="Arial" w:hAnsi="Arial" w:hint="default"/>
          <w:sz w:val="24"/>
          <w:szCs w:val="24"/>
          <w:rtl w:val="0"/>
          <w:lang w:val="en-US"/>
        </w:rPr>
        <w:t>’</w:t>
      </w:r>
      <w:r>
        <w:rPr>
          <w:rFonts w:ascii="Arial" w:hAnsi="Arial"/>
          <w:sz w:val="24"/>
          <w:szCs w:val="24"/>
          <w:rtl w:val="0"/>
          <w:lang w:val="en-US"/>
        </w:rPr>
        <w:t xml:space="preserve">s reputation, rather than in an attempt to make any real change within the institution. </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When it comes to the Police and their engagement with diverse communities, this topic has often been a strained one, as has the relationship with police and such communities. There are a number of historical issues around the subject that have lead to mistrust from diverse communities. Bullock and Johnson (2018) explored the subject of police engagement with Muslim communities, and stated that there were a number of barriers that blocked police from effectively working with them, such as mistrust as well as a lack of understanding from the police around their culture and ways of life. Bullock and Johnson stated that in order for police to effectively work with these communities, they would need to advance, and move their organisational culture beyond superficial engagement, and they would need to adopt deeper partnerships with diverse communities, leading stronger partnerships and better policing outcomes (Bullock and Johnson, 2018).</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Charman (2024) supports this research, as they highlight the challenges facing policing diverse communities in the UK, as well as the lack of deep cultural change. They state that despite there being many structural changes, there has been, on the whole, a lack of focus on cultural change within the police. They concluded that without addressing the current cultures and attitudes in the force as a whole, on a far deeper level, there will only be superficial changes to the attempt to tackle the challenges around accommodating diversity in the UK. Therefore, Charman</w:t>
      </w:r>
      <w:r>
        <w:rPr>
          <w:rFonts w:ascii="Arial" w:hAnsi="Arial" w:hint="default"/>
          <w:sz w:val="24"/>
          <w:szCs w:val="24"/>
          <w:rtl w:val="0"/>
          <w:lang w:val="en-US"/>
        </w:rPr>
        <w:t>’</w:t>
      </w:r>
      <w:r>
        <w:rPr>
          <w:rFonts w:ascii="Arial" w:hAnsi="Arial"/>
          <w:sz w:val="24"/>
          <w:szCs w:val="24"/>
          <w:rtl w:val="0"/>
          <w:lang w:val="en-US"/>
        </w:rPr>
        <w:t>s study shows that for mental wellbeing to be managed effectively, it requires a cultural transformation in order to sustain long lasting improvements</w:t>
      </w:r>
      <w:r>
        <w:rPr>
          <w:rFonts w:ascii="Arial" w:hAnsi="Arial"/>
          <w:sz w:val="24"/>
          <w:szCs w:val="24"/>
          <w:rtl w:val="0"/>
          <w:lang w:val="en-US"/>
        </w:rPr>
        <w:t xml:space="preserve"> </w:t>
      </w:r>
      <w:r>
        <w:rPr>
          <w:rFonts w:ascii="Arial" w:hAnsi="Arial"/>
          <w:sz w:val="24"/>
          <w:szCs w:val="24"/>
          <w:rtl w:val="0"/>
          <w:lang w:val="en-US"/>
        </w:rPr>
        <w:t>Charman (2024)</w:t>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In conclusion, there have clearly been strong efforts that have been made around supporting our diverse communities in the UK, however </w:t>
      </w:r>
      <w:r>
        <w:rPr>
          <w:rFonts w:ascii="Arial" w:hAnsi="Arial"/>
          <w:sz w:val="24"/>
          <w:szCs w:val="24"/>
          <w:rtl w:val="0"/>
          <w:lang w:val="en-US"/>
        </w:rPr>
        <w:t xml:space="preserve">as </w:t>
      </w:r>
      <w:r>
        <w:rPr>
          <w:rFonts w:ascii="Arial" w:hAnsi="Arial"/>
          <w:sz w:val="24"/>
          <w:szCs w:val="24"/>
          <w:rtl w:val="0"/>
          <w:lang w:val="en-US"/>
        </w:rPr>
        <w:t xml:space="preserve">outlined </w:t>
      </w:r>
      <w:r>
        <w:rPr>
          <w:rFonts w:ascii="Arial" w:hAnsi="Arial"/>
          <w:sz w:val="24"/>
          <w:szCs w:val="24"/>
          <w:rtl w:val="0"/>
          <w:lang w:val="en-US"/>
        </w:rPr>
        <w:t>in this essay,</w:t>
      </w:r>
      <w:r>
        <w:rPr>
          <w:rFonts w:ascii="Arial" w:hAnsi="Arial"/>
          <w:sz w:val="24"/>
          <w:szCs w:val="24"/>
          <w:rtl w:val="0"/>
          <w:lang w:val="en-US"/>
        </w:rPr>
        <w:t xml:space="preserve"> it </w:t>
      </w:r>
      <w:r>
        <w:rPr>
          <w:rFonts w:ascii="Arial" w:hAnsi="Arial"/>
          <w:sz w:val="24"/>
          <w:szCs w:val="24"/>
          <w:rtl w:val="0"/>
          <w:lang w:val="en-US"/>
        </w:rPr>
        <w:t xml:space="preserve">is </w:t>
      </w:r>
      <w:r>
        <w:rPr>
          <w:rFonts w:ascii="Arial" w:hAnsi="Arial"/>
          <w:sz w:val="24"/>
          <w:szCs w:val="24"/>
          <w:rtl w:val="0"/>
          <w:lang w:val="en-US"/>
        </w:rPr>
        <w:t xml:space="preserve">clear that the police force in the UK still has a long way to go until they have managed to successfully integrate diversity into not only their ranks, but also in a way that gains the support of these communities as a whole. There is evidently still mistrust from these communities when it comes to police, however </w:t>
      </w:r>
      <w:r>
        <w:rPr>
          <w:rFonts w:ascii="Arial" w:hAnsi="Arial"/>
          <w:sz w:val="24"/>
          <w:szCs w:val="24"/>
          <w:rtl w:val="0"/>
          <w:lang w:val="en-US"/>
        </w:rPr>
        <w:t>as this essay outlines</w:t>
      </w:r>
      <w:r>
        <w:rPr>
          <w:rFonts w:ascii="Arial" w:hAnsi="Arial"/>
          <w:sz w:val="24"/>
          <w:szCs w:val="24"/>
          <w:rtl w:val="0"/>
          <w:lang w:val="en-US"/>
        </w:rPr>
        <w:t>, these issues will not be solved until further attempts to restructure the organisation as a whole are made, rather than the superficial attempts that have been made so far.</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WORD COUNT: 987</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Essay 2</w:t>
      </w:r>
    </w:p>
    <w:p>
      <w:pPr>
        <w:pStyle w:val="Body A"/>
        <w:rPr>
          <w:rFonts w:ascii="Arial" w:cs="Arial" w:hAnsi="Arial" w:eastAsia="Arial"/>
          <w:sz w:val="24"/>
          <w:szCs w:val="24"/>
        </w:rPr>
      </w:pPr>
      <w:r>
        <w:rPr>
          <w:rFonts w:ascii="Arial" w:hAnsi="Arial"/>
          <w:sz w:val="24"/>
          <w:szCs w:val="24"/>
          <w:rtl w:val="0"/>
          <w:lang w:val="en-US"/>
        </w:rPr>
        <w:t xml:space="preserve">Response policing </w:t>
      </w:r>
      <w:r>
        <w:rPr>
          <w:rFonts w:ascii="Arial" w:hAnsi="Arial" w:hint="default"/>
          <w:sz w:val="24"/>
          <w:szCs w:val="24"/>
          <w:rtl w:val="0"/>
        </w:rPr>
        <w:t xml:space="preserve">– </w:t>
      </w:r>
      <w:r>
        <w:rPr>
          <w:rFonts w:ascii="Arial" w:hAnsi="Arial"/>
          <w:sz w:val="24"/>
          <w:szCs w:val="24"/>
          <w:rtl w:val="0"/>
          <w:lang w:val="en-US"/>
        </w:rPr>
        <w:t>Why is it important to manage mental wellbeing in policing? What can be the consequences if mental wellbeing is not managed appropriately?</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This essay shall assess the</w:t>
      </w:r>
      <w:r>
        <w:rPr>
          <w:rFonts w:ascii="Arial" w:hAnsi="Arial"/>
          <w:sz w:val="24"/>
          <w:szCs w:val="24"/>
          <w:rtl w:val="0"/>
          <w:lang w:val="en-US"/>
        </w:rPr>
        <w:t xml:space="preserve"> importance of mental wellbeing in policing, and the potential consequences of officers not being given the proper support to be able to manage their mental wellbeing. </w:t>
      </w:r>
      <w:r>
        <w:rPr>
          <w:rFonts w:ascii="Arial" w:hAnsi="Arial"/>
          <w:sz w:val="24"/>
          <w:szCs w:val="24"/>
          <w:rtl w:val="0"/>
          <w:lang w:val="en-US"/>
        </w:rPr>
        <w:t>This essay shall also evaluate</w:t>
      </w:r>
      <w:r>
        <w:rPr>
          <w:rFonts w:ascii="Arial" w:hAnsi="Arial"/>
          <w:sz w:val="24"/>
          <w:szCs w:val="24"/>
          <w:rtl w:val="0"/>
          <w:lang w:val="en-US"/>
        </w:rPr>
        <w:t xml:space="preserve"> sources that discuss the catalysts for poor mental health in policing. </w:t>
      </w:r>
      <w:r>
        <w:rPr>
          <w:rFonts w:ascii="Arial" w:hAnsi="Arial"/>
          <w:sz w:val="24"/>
          <w:szCs w:val="24"/>
          <w:rtl w:val="0"/>
          <w:lang w:val="en-US"/>
        </w:rPr>
        <w:t>A</w:t>
      </w:r>
      <w:r>
        <w:rPr>
          <w:rFonts w:ascii="Arial" w:hAnsi="Arial"/>
          <w:sz w:val="24"/>
          <w:szCs w:val="24"/>
          <w:rtl w:val="0"/>
          <w:lang w:val="en-US"/>
        </w:rPr>
        <w:t xml:space="preserve"> range of studies </w:t>
      </w:r>
      <w:r>
        <w:rPr>
          <w:rFonts w:ascii="Arial" w:hAnsi="Arial"/>
          <w:sz w:val="24"/>
          <w:szCs w:val="24"/>
          <w:rtl w:val="0"/>
          <w:lang w:val="en-US"/>
        </w:rPr>
        <w:t xml:space="preserve">and </w:t>
      </w:r>
      <w:r>
        <w:rPr>
          <w:rFonts w:ascii="Arial" w:hAnsi="Arial"/>
          <w:sz w:val="24"/>
          <w:szCs w:val="24"/>
          <w:rtl w:val="0"/>
          <w:lang w:val="en-US"/>
        </w:rPr>
        <w:t xml:space="preserve">statistics </w:t>
      </w:r>
      <w:r>
        <w:rPr>
          <w:rFonts w:ascii="Arial" w:hAnsi="Arial"/>
          <w:sz w:val="24"/>
          <w:szCs w:val="24"/>
          <w:rtl w:val="0"/>
          <w:lang w:val="en-US"/>
        </w:rPr>
        <w:t xml:space="preserve">will be consulted and assessed </w:t>
      </w:r>
      <w:r>
        <w:rPr>
          <w:rFonts w:ascii="Arial" w:hAnsi="Arial"/>
          <w:sz w:val="24"/>
          <w:szCs w:val="24"/>
          <w:rtl w:val="0"/>
          <w:lang w:val="en-US"/>
        </w:rPr>
        <w:t xml:space="preserve">regarding the </w:t>
      </w:r>
      <w:r>
        <w:rPr>
          <w:rFonts w:ascii="Arial" w:hAnsi="Arial"/>
          <w:sz w:val="24"/>
          <w:szCs w:val="24"/>
          <w:rtl w:val="0"/>
          <w:lang w:val="en-US"/>
        </w:rPr>
        <w:t>topic</w:t>
      </w: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The occupation of a Police Officer can be a rewarding one, however it does not come without its challenges, which can lead to negative effects on the mental health of it</w:t>
      </w:r>
      <w:r>
        <w:rPr>
          <w:rFonts w:ascii="Arial" w:hAnsi="Arial" w:hint="default"/>
          <w:sz w:val="24"/>
          <w:szCs w:val="24"/>
          <w:rtl w:val="0"/>
          <w:lang w:val="en-US"/>
        </w:rPr>
        <w:t>’</w:t>
      </w:r>
      <w:r>
        <w:rPr>
          <w:rFonts w:ascii="Arial" w:hAnsi="Arial"/>
          <w:sz w:val="24"/>
          <w:szCs w:val="24"/>
          <w:rtl w:val="0"/>
          <w:lang w:val="en-US"/>
        </w:rPr>
        <w:t xml:space="preserve">s officers. On average, depending on the length of their career, an officer may encounter 400 - 600 traumatic incidents in their lifetime, in comparison to the average 3 - 4 traumatic incidents that are encountered by civilians during their lifetimes (British Psychological Society, 2022). </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 xml:space="preserve">Syed et al led a study for </w:t>
      </w:r>
      <w:r>
        <w:rPr>
          <w:rFonts w:ascii="Arial" w:hAnsi="Arial"/>
          <w:sz w:val="24"/>
          <w:szCs w:val="24"/>
          <w:rtl w:val="0"/>
          <w:lang w:val="en-US"/>
        </w:rPr>
        <w:t xml:space="preserve">University College London </w:t>
      </w:r>
      <w:r>
        <w:rPr>
          <w:rFonts w:ascii="Arial" w:hAnsi="Arial"/>
          <w:sz w:val="24"/>
          <w:szCs w:val="24"/>
          <w:rtl w:val="0"/>
          <w:lang w:val="en-US"/>
        </w:rPr>
        <w:t xml:space="preserve">(UCL) </w:t>
      </w:r>
      <w:r>
        <w:rPr>
          <w:rFonts w:ascii="Arial" w:hAnsi="Arial"/>
          <w:sz w:val="24"/>
          <w:szCs w:val="24"/>
          <w:rtl w:val="0"/>
          <w:lang w:val="en-US"/>
        </w:rPr>
        <w:t xml:space="preserve"> </w:t>
      </w:r>
      <w:r>
        <w:rPr>
          <w:rFonts w:ascii="Arial" w:hAnsi="Arial"/>
          <w:sz w:val="24"/>
          <w:szCs w:val="24"/>
          <w:rtl w:val="0"/>
          <w:lang w:val="en-US"/>
        </w:rPr>
        <w:t>in</w:t>
      </w:r>
      <w:r>
        <w:rPr>
          <w:rFonts w:ascii="Arial" w:hAnsi="Arial"/>
          <w:sz w:val="24"/>
          <w:szCs w:val="24"/>
          <w:rtl w:val="0"/>
          <w:lang w:val="en-US"/>
        </w:rPr>
        <w:t xml:space="preserve"> 2020</w:t>
      </w:r>
      <w:r>
        <w:rPr>
          <w:rFonts w:ascii="Arial" w:hAnsi="Arial"/>
          <w:sz w:val="24"/>
          <w:szCs w:val="24"/>
          <w:rtl w:val="0"/>
          <w:lang w:val="en-US"/>
        </w:rPr>
        <w:t xml:space="preserve"> that</w:t>
      </w:r>
      <w:r>
        <w:rPr>
          <w:rFonts w:ascii="Arial" w:hAnsi="Arial"/>
          <w:sz w:val="24"/>
          <w:szCs w:val="24"/>
          <w:rtl w:val="0"/>
          <w:lang w:val="en-US"/>
        </w:rPr>
        <w:t xml:space="preserve"> looked at the negative side affects of being a police officer, from participants across the globe. The stresses were found to stem from not only what they have witnessed, but also from the stress that can be induced from high workloads and pressures from the organisations they work for. The study looked at a wide range of officers, internationally, and found that mental health issues were a substantial health concern among those in the profession. They found that approximately one in four were drinking at potentially hazardous levels, and approximately one in ten met the criteria for mental health disorders and suicidal thoughts. (</w:t>
      </w:r>
      <w:r>
        <w:rPr>
          <w:rFonts w:ascii="Arial" w:hAnsi="Arial"/>
          <w:sz w:val="24"/>
          <w:szCs w:val="24"/>
          <w:rtl w:val="0"/>
          <w:lang w:val="en-US"/>
        </w:rPr>
        <w:t>Syed et al</w:t>
      </w:r>
      <w:r>
        <w:rPr>
          <w:rFonts w:ascii="Arial" w:hAnsi="Arial"/>
          <w:sz w:val="24"/>
          <w:szCs w:val="24"/>
          <w:rtl w:val="0"/>
          <w:lang w:val="en-US"/>
        </w:rPr>
        <w:t>, 2020). The study found that 14% of their participants met the criteria for PTSD, 14.5% met the criteria for depression, 9.5% met the criteria for anxiety disorders and 8.5% had suicidal thoughts.  (University College London, 2020). This study sources participants from worldwide, which indicates that the problem of poor mental health in policing is not confined to one specific country, and it is an issue that requires urgent attention. It highlights that the continuous exposure to traumatic situations has a clear effect on officers, resulting in often permanent negative effects. Therefore, the ability to manage mental health and wellbeing for police officers is vital in order for officers to continue to enact their job effectively.</w:t>
      </w:r>
      <w:r>
        <w:rPr>
          <w:rFonts w:ascii="Arial" w:hAnsi="Arial"/>
          <w:sz w:val="24"/>
          <w:szCs w:val="24"/>
          <w:rtl w:val="0"/>
          <w:lang w:val="en-US"/>
        </w:rPr>
        <w:t xml:space="preserve"> </w:t>
      </w:r>
      <w:r>
        <w:rPr>
          <w:rFonts w:ascii="Arial" w:hAnsi="Arial"/>
          <w:sz w:val="24"/>
          <w:szCs w:val="24"/>
          <w:rtl w:val="0"/>
        </w:rPr>
        <w:t>Brewin, C.R.</w:t>
      </w:r>
      <w:r>
        <w:rPr>
          <w:rFonts w:ascii="Arial" w:hAnsi="Arial"/>
          <w:sz w:val="24"/>
          <w:szCs w:val="24"/>
          <w:rtl w:val="0"/>
          <w:lang w:val="en-US"/>
        </w:rPr>
        <w:t xml:space="preserve"> et al (2022) conducted the Airwave Health Monitoring Study, whose results supports these findings. They found that among over 40,299 UK Police officers, 9.8% suffered from depression, 8.5% suffered from anxiety, and 3.9% suffered from PTSD. This study highlights the mental health disorders suffered by police officers, and demonstrates the link between trauma and mental distress as a link to the job. The rates of psychological distress suffered by officers are significantly higher than the general public, which indicates that the demands of the job clearly exacerbates any potential risks mental health that other, civilian careers (</w:t>
      </w:r>
      <w:r>
        <w:rPr>
          <w:rFonts w:ascii="Arial" w:hAnsi="Arial"/>
          <w:sz w:val="24"/>
          <w:szCs w:val="24"/>
          <w:rtl w:val="0"/>
        </w:rPr>
        <w:t>Brewin, C.R.</w:t>
      </w:r>
      <w:r>
        <w:rPr>
          <w:rFonts w:ascii="Arial" w:hAnsi="Arial"/>
          <w:sz w:val="24"/>
          <w:szCs w:val="24"/>
          <w:rtl w:val="0"/>
          <w:lang w:val="en-US"/>
        </w:rPr>
        <w:t>, 2022).</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While the issues that can be induced from the stresses of a policing career can manifest themselves in an array of mental health disorders, these can also in turn affect an officer</w:t>
      </w:r>
      <w:r>
        <w:rPr>
          <w:rFonts w:ascii="Arial" w:hAnsi="Arial" w:hint="default"/>
          <w:sz w:val="24"/>
          <w:szCs w:val="24"/>
          <w:rtl w:val="0"/>
          <w:lang w:val="en-US"/>
        </w:rPr>
        <w:t>’</w:t>
      </w:r>
      <w:r>
        <w:rPr>
          <w:rFonts w:ascii="Arial" w:hAnsi="Arial"/>
          <w:sz w:val="24"/>
          <w:szCs w:val="24"/>
          <w:rtl w:val="0"/>
          <w:lang w:val="en-US"/>
        </w:rPr>
        <w:t xml:space="preserve">s physical health. Health Psychology Research conducted a study in 2023 on the effects of poor mental health on the physical health of police officers. The study found that these mental health issues can lead to physical ailments such as high blood pressure, gastrointestinal issues as well as an increased risk of suffering from heart disease (Health Psychology Research, 2023). </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Without receiving proper support for any of these issues, it can lead to a long term impact on an officer</w:t>
      </w:r>
      <w:r>
        <w:rPr>
          <w:rFonts w:ascii="Arial" w:hAnsi="Arial" w:hint="default"/>
          <w:sz w:val="24"/>
          <w:szCs w:val="24"/>
          <w:rtl w:val="0"/>
          <w:lang w:val="en-US"/>
        </w:rPr>
        <w:t>’</w:t>
      </w:r>
      <w:r>
        <w:rPr>
          <w:rFonts w:ascii="Arial" w:hAnsi="Arial"/>
          <w:sz w:val="24"/>
          <w:szCs w:val="24"/>
          <w:rtl w:val="0"/>
          <w:lang w:val="en-US"/>
        </w:rPr>
        <w:t xml:space="preserve">s career. Officers struggling with their mental health are more likely to suffer with burnout in their careers, leading to an early retirement and therefore ;ending to a lower staff retention for a police force. This can lead to increased expenditure in training new officers in order to make up for the officers that have left the job due to possibly avoidable circumstances like job-related stress (Vector Solutions, 2025). The Police Federation also backed this up in their 2024 article, noting that in the UK, over 14,500 officers in the UK had to be signed off from working due to factors such as stress, depression, anxiety or PTSD from 2023 - 2024. They also noted that this had increased by 130% from 2012 - 2013 (Police Federation, 2024). The Federation also found that within their study, that there was a large stigma around mental health in the Police, noting that  the culture within the workplace discourages officers from seeking help. They noted that many officers believe that by admitting that they are struggling with mental health issues, it may have a negative effect on their career progression, and that it may lead to them being perceived as weak by their colleagues (Police Federation, 2024). </w:t>
      </w:r>
    </w:p>
    <w:p>
      <w:pPr>
        <w:pStyle w:val="Body A"/>
        <w:rPr>
          <w:rFonts w:ascii="Arial" w:cs="Arial" w:hAnsi="Arial" w:eastAsia="Arial"/>
          <w:sz w:val="24"/>
          <w:szCs w:val="24"/>
          <w:lang w:val="en-US"/>
        </w:rPr>
      </w:pPr>
    </w:p>
    <w:p>
      <w:pPr>
        <w:pStyle w:val="Default"/>
        <w:suppressAutoHyphens w:val="1"/>
        <w:spacing w:before="0" w:line="240" w:lineRule="auto"/>
        <w:jc w:val="left"/>
        <w:rPr>
          <w:rFonts w:ascii="Arial" w:cs="Arial" w:hAnsi="Arial" w:eastAsia="Arial"/>
          <w:sz w:val="24"/>
          <w:szCs w:val="24"/>
          <w:lang w:val="en-US"/>
        </w:rPr>
      </w:pPr>
      <w:r>
        <w:rPr>
          <w:rFonts w:ascii="Arial" w:hAnsi="Arial"/>
          <w:sz w:val="24"/>
          <w:szCs w:val="24"/>
          <w:rtl w:val="0"/>
          <w:lang w:val="en-US"/>
        </w:rPr>
        <w:t>Smith, J</w:t>
      </w:r>
      <w:r>
        <w:rPr>
          <w:rFonts w:ascii="Arial" w:hAnsi="Arial"/>
          <w:sz w:val="24"/>
          <w:szCs w:val="24"/>
          <w:rtl w:val="0"/>
          <w:lang w:val="en-US"/>
        </w:rPr>
        <w:t>. et al (2022) found that former police officers recalled a culture within the force that expected officers to toughen up, as opposed to discussing the emotional impact of the job. The study found that these officers ended up suppressing their emotions and avoiding discussing mental heath in an open environment. Officers that took part in the study described the stigma that they faced, whereby they feared that by talking openly about mental health, it would affect their careers. This essay clearly shows that mental health initiatives are needed in order to promote transparency regarding mental health issues within the force. It also shows that training should be promoted throughout the forces in order to promote a culture that allows officers to seek help should they need to (</w:t>
      </w:r>
      <w:r>
        <w:rPr>
          <w:rFonts w:ascii="Arial" w:hAnsi="Arial"/>
          <w:rtl w:val="0"/>
          <w:lang w:val="en-US"/>
        </w:rPr>
        <w:t>Smith, J</w:t>
      </w:r>
      <w:r>
        <w:rPr>
          <w:rFonts w:ascii="Arial" w:hAnsi="Arial"/>
          <w:rtl w:val="0"/>
          <w:lang w:val="en-US"/>
        </w:rPr>
        <w:t>. et al, 2022)</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In response to the growing awareness around mental health issues in police officers, there have been a number of initiatives that have grown around tackling the problem. Initiatives such as the Blue Light Programme and Oscar Kilo have been created in order to assist officers struggling with their mental health issues, in an effort to tackle the issues before they become too much for the officers to bare. They provide services such as mindfulness workshops, mental health awareness programmes as well as resilience training.</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In conclusion, there is a clear need for mental health awareness within the police forces across the UK. The studies and articles that have</w:t>
      </w:r>
      <w:r>
        <w:rPr>
          <w:rFonts w:ascii="Arial" w:hAnsi="Arial"/>
          <w:sz w:val="24"/>
          <w:szCs w:val="24"/>
          <w:rtl w:val="0"/>
          <w:lang w:val="en-US"/>
        </w:rPr>
        <w:t xml:space="preserve"> been</w:t>
      </w:r>
      <w:r>
        <w:rPr>
          <w:rFonts w:ascii="Arial" w:hAnsi="Arial"/>
          <w:sz w:val="24"/>
          <w:szCs w:val="24"/>
          <w:rtl w:val="0"/>
          <w:lang w:val="en-US"/>
        </w:rPr>
        <w:t xml:space="preserve"> mentioned above have highlighted the necessity for better ways for forces to tackle these issues, not only for the benefit of the individual, but also for the benefit of the force. It can be bad enough for individual officers to be struggling with mental health issues, which have been proven to lead to more serious physical health issues later down the line, but it has also shown that the force as a whole can suffer negatively from the impact of having officers needing to take time from work in order to heal, both physically and mentally. If these issues are addressed, it will not only benefit the individual, but also the force as a whole, in regards to their reputation as well as the monetary gain that they will enjoy from higher retention rates, negating the need to retrain new officers and to provide cover for officers suffering from burnout from the role.</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WORD COUNT: 1,008</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Essay 3</w:t>
      </w: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Outline potential links between serious and organised crime and public protection issues. What characteristics make some people more vulnerable to exploitation by serious and organised crime gangs?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lang w:val="en-US"/>
        </w:rPr>
      </w:pPr>
      <w:r>
        <w:rPr>
          <w:rFonts w:ascii="Arial" w:hAnsi="Arial"/>
          <w:rtl w:val="0"/>
          <w:lang w:val="en-US"/>
        </w:rPr>
        <w:t xml:space="preserve">This essay </w:t>
      </w:r>
      <w:r>
        <w:rPr>
          <w:rFonts w:ascii="Arial" w:hAnsi="Arial"/>
          <w:rtl w:val="0"/>
          <w:lang w:val="en-US"/>
        </w:rPr>
        <w:t xml:space="preserve">shall be looking into serious organised crime in relation to the issues it causes to public protection. Organised crime has far reaching consequences when it come to public protection. These groups are often known to target and exploit those in financial distress, offering them assistance and services in exchange for them to use vulnerable people and their homes in order to carry out illegal and illicit activities. Exploitation such as this is detrimental to not only the vulnerable individuals at the receiving end of it, but also the communities around them, where it can often lead to an erosion of their safety and trust in public services (Scottish Government, 2018). People from lower socio-economic backgrounds are also more susceptible to being recruited by organised crime groups. The attraction of financial gain that they can provide to people from these backgrounds can also be a factor in their allure. Avenues such as this tend to lend the promise of potential to advance and gain more money and power in communities where they would otherwise being extremely limited. This attractive goal is even more prevalent in organised crime gangs who are targeting and grooming youths into their ranks. Youths are at a heightened risk - especially those who are already living in lower socioeconomic areas. This issue can also be more likely to occur for those who have family members who are already taking part in working for these gangs (Scottish Government, 2018). </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lang w:val="en-US"/>
        </w:rPr>
      </w:pPr>
      <w:r>
        <w:rPr>
          <w:rFonts w:ascii="Arial" w:hAnsi="Arial"/>
          <w:rtl w:val="0"/>
          <w:lang w:val="en-US"/>
        </w:rPr>
        <w:t>Criminal gangs often target young children, and often these children can be as young as 11, in order to use them to smuggle drugs across the country, in what is known as County Lines Drug Trafficking. These activities can often expose them to violent criminal activities, whereby they are not only forced or coerced to take part in them, but are also victim to criminal activities themselves (HM Inspectorate of Probation, 2024).</w:t>
      </w:r>
      <w:r>
        <w:rPr>
          <w:rFonts w:ascii="Arial" w:hAnsi="Arial"/>
          <w:rtl w:val="0"/>
          <w:lang w:val="en-US"/>
        </w:rPr>
        <w:t xml:space="preserve"> </w:t>
      </w:r>
      <w:r>
        <w:rPr>
          <w:rFonts w:ascii="Arial" w:hAnsi="Arial"/>
          <w:rtl w:val="0"/>
        </w:rPr>
        <w:t>G</w:t>
      </w:r>
      <w:r>
        <w:rPr>
          <w:rFonts w:ascii="Arial" w:hAnsi="Arial" w:hint="default"/>
          <w:rtl w:val="0"/>
          <w:lang w:val="da-DK"/>
        </w:rPr>
        <w:t>ø</w:t>
      </w:r>
      <w:r>
        <w:rPr>
          <w:rFonts w:ascii="Arial" w:hAnsi="Arial"/>
          <w:rtl w:val="0"/>
          <w:lang w:val="da-DK"/>
        </w:rPr>
        <w:t>tzsche-Astrup, O</w:t>
      </w:r>
      <w:r>
        <w:rPr>
          <w:rFonts w:ascii="Arial" w:hAnsi="Arial"/>
          <w:rtl w:val="0"/>
          <w:lang w:val="en-US"/>
        </w:rPr>
        <w:t xml:space="preserve"> et al (2022) conducted a study on personality traits that are often displayed in individuals who take part or are groomed into taking part in organised crime. They noted that these individuals may present certain traits such leading to emotional instability and vulnerability, and in turn leading them to be less likely to pursue conventional lifestyles like the majority of society, and therefore making them more likely to follow paths in organised crime (</w:t>
      </w:r>
      <w:r>
        <w:rPr>
          <w:rFonts w:ascii="Arial" w:hAnsi="Arial"/>
          <w:rtl w:val="0"/>
        </w:rPr>
        <w:t>G</w:t>
      </w:r>
      <w:r>
        <w:rPr>
          <w:rFonts w:ascii="Arial" w:hAnsi="Arial" w:hint="default"/>
          <w:rtl w:val="0"/>
          <w:lang w:val="da-DK"/>
        </w:rPr>
        <w:t>ø</w:t>
      </w:r>
      <w:r>
        <w:rPr>
          <w:rFonts w:ascii="Arial" w:hAnsi="Arial"/>
          <w:rtl w:val="0"/>
          <w:lang w:val="da-DK"/>
        </w:rPr>
        <w:t>tzsche-Astrup, O</w:t>
      </w:r>
      <w:r>
        <w:rPr>
          <w:rFonts w:ascii="Arial" w:hAnsi="Arial"/>
          <w:rtl w:val="0"/>
          <w:lang w:val="en-US"/>
        </w:rPr>
        <w:t xml:space="preserve"> et al (2022).</w:t>
      </w:r>
    </w:p>
    <w:p>
      <w:pPr>
        <w:pStyle w:val="Default"/>
        <w:suppressAutoHyphens w:val="1"/>
        <w:spacing w:before="0" w:line="240" w:lineRule="auto"/>
        <w:rPr>
          <w:rFonts w:ascii="Arial" w:cs="Arial" w:hAnsi="Arial" w:eastAsia="Arial"/>
        </w:rPr>
      </w:pPr>
      <w:r>
        <w:rPr>
          <w:rFonts w:ascii="Arial" w:hAnsi="Arial"/>
          <w:rtl w:val="0"/>
          <w:lang w:val="en-US"/>
        </w:rPr>
        <w:t xml:space="preserve"> </w:t>
      </w:r>
    </w:p>
    <w:p>
      <w:pPr>
        <w:pStyle w:val="Default"/>
        <w:suppressAutoHyphens w:val="1"/>
        <w:spacing w:before="0" w:line="240" w:lineRule="auto"/>
        <w:rPr>
          <w:rFonts w:ascii="Arial" w:cs="Arial" w:hAnsi="Arial" w:eastAsia="Arial"/>
          <w:lang w:val="en-US"/>
        </w:rPr>
      </w:pPr>
      <w:r>
        <w:rPr>
          <w:rFonts w:ascii="Arial" w:hAnsi="Arial"/>
          <w:rtl w:val="0"/>
          <w:lang w:val="en-US"/>
        </w:rPr>
        <w:t>Early intervention in the lives of these youths can assist in them avoiding these paths. Programmes such as the Violence Reduction Unit and Redthread are making efforts in this area, whereby they aim to work with police and hospitals in order to build a rapport with vulnerable individuals, especially those who have been arrested. Their interventions have shown a positive effect in reducing the rates of youths reoffending by engaging with them at critical moments in their lives and steering them on a legitimate path (Local Government Association, 2022).</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lang w:val="en-US"/>
        </w:rPr>
      </w:pPr>
      <w:r>
        <w:rPr>
          <w:rFonts w:ascii="Arial" w:hAnsi="Arial"/>
          <w:rtl w:val="0"/>
          <w:lang w:val="en-US"/>
        </w:rPr>
        <w:t xml:space="preserve">The UK Government also has what they call a Serious Violence Strategy, whereby they have described violence as being a public health issue. They also agree that it is of high importance that early intervention is at the heart of stopping organised crime, as youths caught up in the cycle of it are the ones most susceptible to carrying it on in the future, and therefore grooming future young people into the lifestyles as well. They agree that a multi-agency approach is necessary in the attempt to limit organised crime (HM Government, </w:t>
      </w:r>
      <w:r>
        <w:rPr>
          <w:rFonts w:ascii="Arial" w:hAnsi="Arial"/>
          <w:rtl w:val="0"/>
        </w:rPr>
        <w:t>2023)</w:t>
      </w:r>
      <w:r>
        <w:rPr>
          <w:rFonts w:ascii="Arial" w:hAnsi="Arial"/>
          <w:rtl w:val="0"/>
          <w:lang w:val="en-US"/>
        </w:rPr>
        <w:t>. This approach is essential for protecting the public, as it helps to bring down the numbers of youths both participating and becoming perpetrators within organised crime gangs.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lang w:val="en-US"/>
        </w:rPr>
      </w:pPr>
      <w:r>
        <w:rPr>
          <w:rFonts w:ascii="Arial" w:hAnsi="Arial"/>
          <w:rtl w:val="0"/>
          <w:lang w:val="en-US"/>
        </w:rPr>
        <w:t>Young people are not the only targets of organised crime, as there are other predatory practices such as cuckooing that are used to target vulnerable people. Police have taken measures in order to identify and tackle the practice of cuckooing but it is still prevalent today. Cuckooing is where organised crime members will target a vulnerable individual</w:t>
      </w:r>
      <w:r>
        <w:rPr>
          <w:rFonts w:ascii="Arial" w:hAnsi="Arial" w:hint="default"/>
          <w:rtl w:val="0"/>
          <w:lang w:val="en-US"/>
        </w:rPr>
        <w:t>’</w:t>
      </w:r>
      <w:r>
        <w:rPr>
          <w:rFonts w:ascii="Arial" w:hAnsi="Arial"/>
          <w:rtl w:val="0"/>
          <w:lang w:val="en-US"/>
        </w:rPr>
        <w:t xml:space="preserve">s home, whether they are socioeconomically vulnerable, mentally vulnerable or vulnerable due to old age. They will use the home for various criminal activities that can span from using the property to store drugs or stolen items, or for facilitating sex work, or to take over the property in order to exploit the individual for their benefits and therefore financially abusing the victim. They may even just use the property to take it over for a place for them to live, against the wishes of the tenant </w:t>
      </w:r>
      <w:r>
        <w:rPr>
          <w:rFonts w:ascii="Arial" w:hAnsi="Arial"/>
          <w:rtl w:val="0"/>
          <w:lang w:val="en-US"/>
        </w:rPr>
        <w:t>(</w:t>
      </w:r>
      <w:r>
        <w:rPr>
          <w:rFonts w:ascii="Arial" w:hAnsi="Arial"/>
          <w:rtl w:val="0"/>
          <w:lang w:val="en-US"/>
        </w:rPr>
        <w:t>Spicer, J.</w:t>
      </w:r>
      <w:r>
        <w:rPr>
          <w:rFonts w:ascii="Arial" w:hAnsi="Arial"/>
          <w:rtl w:val="0"/>
          <w:lang w:val="en-US"/>
        </w:rPr>
        <w:t>, 2020)</w:t>
      </w:r>
      <w:r>
        <w:rPr>
          <w:rFonts w:ascii="Arial" w:hAnsi="Arial"/>
          <w:rtl w:val="0"/>
          <w:lang w:val="en-US"/>
        </w:rPr>
        <w:t>.</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lang w:val="en-US"/>
        </w:rPr>
      </w:pPr>
      <w:r>
        <w:rPr>
          <w:rFonts w:ascii="Arial" w:hAnsi="Arial"/>
          <w:rtl w:val="0"/>
          <w:lang w:val="en-US"/>
        </w:rPr>
        <w:t>They will often start this by luring the victim into a false sense of security, through befriending them, eventually moving into the individual</w:t>
      </w:r>
      <w:r>
        <w:rPr>
          <w:rFonts w:ascii="Arial" w:hAnsi="Arial" w:hint="default"/>
          <w:rtl w:val="0"/>
          <w:lang w:val="en-US"/>
        </w:rPr>
        <w:t>’</w:t>
      </w:r>
      <w:r>
        <w:rPr>
          <w:rFonts w:ascii="Arial" w:hAnsi="Arial"/>
          <w:rtl w:val="0"/>
          <w:lang w:val="en-US"/>
        </w:rPr>
        <w:t>s home. They often alienate this person from their support networks, threatening them with violence if there is any sign of them not cooperating. Signs of cuckooing often include a large number of people entering and leaving the individual</w:t>
      </w:r>
      <w:r>
        <w:rPr>
          <w:rFonts w:ascii="Arial" w:hAnsi="Arial" w:hint="default"/>
          <w:rtl w:val="0"/>
          <w:lang w:val="en-US"/>
        </w:rPr>
        <w:t>’</w:t>
      </w:r>
      <w:r>
        <w:rPr>
          <w:rFonts w:ascii="Arial" w:hAnsi="Arial"/>
          <w:rtl w:val="0"/>
          <w:lang w:val="en-US"/>
        </w:rPr>
        <w:t>s home, signs of drug use in the home, an increase in antisocial behaviour and a lack of healthcare visitors to name a few (</w:t>
      </w:r>
      <w:r>
        <w:rPr>
          <w:rFonts w:ascii="Arial" w:hAnsi="Arial"/>
          <w:rtl w:val="0"/>
        </w:rPr>
        <w:t>Darby</w:t>
      </w:r>
      <w:r>
        <w:rPr>
          <w:rFonts w:ascii="Arial" w:hAnsi="Arial"/>
          <w:rtl w:val="0"/>
          <w:lang w:val="en-US"/>
        </w:rPr>
        <w:t xml:space="preserve">, </w:t>
      </w:r>
      <w:r>
        <w:rPr>
          <w:rFonts w:ascii="Arial" w:hAnsi="Arial"/>
          <w:rtl w:val="0"/>
        </w:rPr>
        <w:t>2020)</w:t>
      </w:r>
      <w:r>
        <w:rPr>
          <w:rFonts w:ascii="Arial" w:hAnsi="Arial"/>
          <w:rtl w:val="0"/>
          <w:lang w:val="en-US"/>
        </w:rPr>
        <w:t xml:space="preserve">. Due to the nature of cuckooing, it can often be hard for law enforcement to identify, or even stop. The efforts to do so often require a multi-agency effort in order to identify victims and to support them (College of Policing, </w:t>
      </w:r>
      <w:r>
        <w:rPr>
          <w:rFonts w:ascii="Arial" w:hAnsi="Arial"/>
          <w:rtl w:val="0"/>
          <w:lang w:val="en-US"/>
        </w:rPr>
        <w:t>2024</w:t>
      </w:r>
      <w:r>
        <w:rPr>
          <w:rFonts w:ascii="Arial" w:hAnsi="Arial"/>
          <w:rtl w:val="0"/>
          <w:lang w:val="en-US"/>
        </w:rPr>
        <w:t>).</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 xml:space="preserve">In conclusion, organised crime can have devastating effects on not only the individuals suffering the hands of these gangs, but also the communities around them. The studies that have </w:t>
      </w:r>
      <w:r>
        <w:rPr>
          <w:rFonts w:ascii="Arial" w:hAnsi="Arial"/>
          <w:rtl w:val="0"/>
          <w:lang w:val="en-US"/>
        </w:rPr>
        <w:t xml:space="preserve">been assessed </w:t>
      </w:r>
      <w:r>
        <w:rPr>
          <w:rFonts w:ascii="Arial" w:hAnsi="Arial"/>
          <w:rtl w:val="0"/>
          <w:lang w:val="en-US"/>
        </w:rPr>
        <w:t>in this essay have shown that there are many avenues and victims targeted by these criminal gangs, and that there are clearly efforts that have been made by police and partner agencies in order to identify and tackle the issues in this area, however there is clearly more that needs to be done in educating communities and local authorities in ways of identifying and limiting these activities.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WORD COUNT: 980</w:t>
      </w:r>
    </w:p>
    <w:p>
      <w:pPr>
        <w:pStyle w:val="Default"/>
        <w:suppressAutoHyphens w:val="1"/>
        <w:spacing w:before="0" w:after="24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Essay 4</w:t>
      </w: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How effective is early intervention an effective means of preventing young people from offending or re-offending?</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lang w:val="en-US"/>
        </w:rPr>
      </w:pPr>
      <w:r>
        <w:rPr>
          <w:rFonts w:ascii="Arial" w:hAnsi="Arial"/>
          <w:rtl w:val="0"/>
          <w:lang w:val="en-US"/>
        </w:rPr>
        <w:t xml:space="preserve">This essay will be discussing early intervention as an effective means of preventing young people from offending or reoffending, as well as the various strategies that have been put into place. </w:t>
      </w:r>
      <w:r>
        <w:rPr>
          <w:rFonts w:ascii="Arial" w:hAnsi="Arial"/>
          <w:rtl w:val="0"/>
          <w:lang w:val="en-US"/>
        </w:rPr>
        <w:t xml:space="preserve">This essay </w:t>
      </w:r>
      <w:r>
        <w:rPr>
          <w:rFonts w:ascii="Arial" w:hAnsi="Arial"/>
          <w:rtl w:val="0"/>
          <w:lang w:val="en-US"/>
        </w:rPr>
        <w:t>shall also be evaluating the effectiveness of these strategies and what can be done</w:t>
      </w:r>
      <w:r>
        <w:rPr>
          <w:rFonts w:ascii="Arial" w:hAnsi="Arial"/>
          <w:rtl w:val="0"/>
          <w:lang w:val="en-US"/>
        </w:rPr>
        <w:t xml:space="preserve"> in order to prevent reoffending in young people.</w:t>
      </w:r>
      <w:r>
        <w:rPr>
          <w:rFonts w:ascii="Arial" w:hAnsi="Arial"/>
          <w:rtl w:val="0"/>
          <w:lang w:val="en-US"/>
        </w:rPr>
        <w:t xml:space="preserve"> Early intervention has had a positive effect in this area, as a useful strategy in limiting and eliminating the opportunity for youths to take part in criminal activity. In the UK, the average age in which individuals are first recognised as taking part in criminal activity is around 24 years old, however the most common age for these individuals to actually start engaging in criminal activity is around 15 years old (Dawes, W. et al, </w:t>
      </w:r>
      <w:r>
        <w:rPr>
          <w:rFonts w:ascii="Arial" w:hAnsi="Arial"/>
          <w:rtl w:val="0"/>
        </w:rPr>
        <w:t>2017</w:t>
      </w:r>
      <w:r>
        <w:rPr>
          <w:rFonts w:ascii="Arial" w:hAnsi="Arial"/>
          <w:rtl w:val="0"/>
          <w:lang w:val="en-US"/>
        </w:rPr>
        <w:t>).</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r>
        <w:rPr>
          <w:rFonts w:ascii="Arial" w:hAnsi="Arial"/>
          <w:rtl w:val="0"/>
          <w:lang w:val="en-US"/>
        </w:rPr>
        <w:t>Early intervention programmes tend to have roots in developmental psychology and criminological theory, and aim to limit criminal behaviour in youths before it takes root in their lives leading into adulthood. Once they become adults, these behaviours become much harder to eliminate. Developmental and life-course criminology is one theory that supports the notion that criminal behaviour should be addressed at a young age. Moffitt noted in their 1993 study that early intervention can disrupt this behaviour (Moffitt, 1993). In this article, Moffitt argues that young offenders often engage in antisocial behaviour as a form of rebellion, and in order to impress their peers. Moffitt states that offenders who display persistent offender behaviour into adulthood in fact display traits from early childhood that have persisted into their adult lives. This study supports the notion that early intervention can be an effective mode of preventing reoffending in later life (Moffitt, 1993).</w:t>
      </w:r>
    </w:p>
    <w:p>
      <w:pPr>
        <w:pStyle w:val="Default"/>
        <w:suppressAutoHyphens w:val="1"/>
        <w:spacing w:before="0" w:line="240" w:lineRule="auto"/>
        <w:rPr>
          <w:rFonts w:ascii="Arial" w:cs="Arial" w:hAnsi="Arial" w:eastAsia="Arial"/>
        </w:rPr>
      </w:pPr>
      <w:r>
        <w:rPr>
          <w:rFonts w:ascii="Arial" w:hAnsi="Arial"/>
          <w:rtl w:val="0"/>
          <w:lang w:val="en-US"/>
        </w:rPr>
        <w:t>A UK based case study from 2005, from the Youth Inclusion Panels, devised a scheme that identifies and supports children aged 8 to 13 that are considered to be of higher risk of taking part in antisocial behaviour, offending or reoffending. The panels brought together multiple different partner agencies in order to tackle the issues surrounding this, from police and social services. They have developed schemes in order to tackle the issues through mentoring the individuals, family support, education and mental health support. They have also found that recreational activities such as taking part in sports and clubs have also had a positive effect in steering youths away from antisocial behaviours and criminal activities, as they have provided a positive distraction for these youths to take part in (Youth Justice Board, 2005). The individuals who have taken part in these activities have also been proven to have reduced rates of reoffending, when compared to youths who were in similar positions who had not taken part in the scheme. Continued support is needed in these areas however, as without consistent efforts, there is a likelihood that the individuals may continue down paths to reoffending. There are also issues surrounding how this scheme and ones like it are implemented across the country, as different local authorities are in consisted in how they implement these methods, leading to varied outcomes. The outcomes also tend to be varied in relation to how engaged some of the families of the offenders can be, as some tend to be disengaged and unwilling to take part.</w:t>
      </w:r>
    </w:p>
    <w:p>
      <w:pPr>
        <w:pStyle w:val="Default"/>
        <w:suppressAutoHyphens w:val="1"/>
        <w:spacing w:before="0" w:line="240" w:lineRule="auto"/>
        <w:rPr>
          <w:rFonts w:ascii="Arial" w:cs="Arial" w:hAnsi="Arial" w:eastAsia="Arial"/>
        </w:rPr>
      </w:pPr>
      <w:r>
        <w:rPr>
          <w:rFonts w:ascii="Arial" w:hAnsi="Arial"/>
          <w:rtl w:val="0"/>
          <w:lang w:val="en-US"/>
        </w:rPr>
        <w:t>There are also programmes such as the Triple P - Positive Parenting Programme, that have researched and implemented early intervention programmes aimed at tackling offending behaviour in youths. This has been implemented internationally, with positive results. They have tailored their support to parents, in order to to promote positive relationships between parents and their children, as well as equipping parents in disciplining strategies that they might not otherwise have, and in doing so they have been able to provide a positive impact in the homes of offending youths and therefore tackling the issue at an early stage, and by assisting the parents, who are the adults who take primary care in shaping the lives of these youths. This programme has had a positive impact in reducing some of the behavioural issues that face many children who end up taking part in criminal activities, such as aggression and defiance of authority figures, which have often been linked to enhancing future criminal behaviour (</w:t>
      </w:r>
      <w:r>
        <w:rPr>
          <w:rFonts w:ascii="Arial" w:hAnsi="Arial"/>
          <w:rtl w:val="0"/>
          <w:lang w:val="nl-NL"/>
        </w:rPr>
        <w:t>Sanders, M.R.,</w:t>
      </w:r>
      <w:r>
        <w:rPr>
          <w:rFonts w:ascii="Arial" w:hAnsi="Arial"/>
          <w:rtl w:val="0"/>
          <w:lang w:val="en-US"/>
        </w:rPr>
        <w:t xml:space="preserve"> et al, 2008).</w:t>
      </w:r>
    </w:p>
    <w:p>
      <w:pPr>
        <w:pStyle w:val="Default"/>
        <w:suppressAutoHyphens w:val="1"/>
        <w:spacing w:before="0" w:line="240" w:lineRule="auto"/>
        <w:rPr>
          <w:rFonts w:ascii="Arial" w:cs="Arial" w:hAnsi="Arial" w:eastAsia="Arial"/>
        </w:rPr>
      </w:pPr>
      <w:r>
        <w:rPr>
          <w:rFonts w:ascii="Arial" w:hAnsi="Arial"/>
          <w:rtl w:val="0"/>
          <w:lang w:val="en-US"/>
        </w:rPr>
        <w:t>Farrington et al (2010) analysed the effectiveness of early prevention programmes. They state that while the impact of such programmes are limited, the findings show that by changing the early trajectories of youths involved in these programmes, they can change the behavioural and social skills of youths, which can shift the developmental trajectories to better outcomes (Farrington, D.P, 2010). This supports articles mentioned earlier in this essay such as the one by Moffit, in stating that the early intervention of youths can change the behavioural attributes in a positive way that avoids offender behaviour in later life.</w:t>
      </w:r>
    </w:p>
    <w:p>
      <w:pPr>
        <w:pStyle w:val="Default"/>
        <w:suppressAutoHyphens w:val="1"/>
        <w:spacing w:before="0" w:line="240" w:lineRule="auto"/>
        <w:rPr>
          <w:rFonts w:ascii="Arial" w:cs="Arial" w:hAnsi="Arial" w:eastAsia="Arial"/>
        </w:rPr>
      </w:pPr>
      <w:r>
        <w:rPr>
          <w:rFonts w:ascii="Arial" w:hAnsi="Arial"/>
          <w:rtl w:val="0"/>
          <w:lang w:val="en-US"/>
        </w:rPr>
        <w:t xml:space="preserve">Police in the UK also taken part in the shaping of youth in regards to offending and reoffending. Youth Offending Teams, also known as YOTS, are multi-agency initiatives that were created by the Crime and Disorder Act of 1998, and they work with agencies such as social services and schools in order to tackle criminal behaviour in youths (Youth Justice Board, 2010). YOTS have demonstrated how police can work well with partner agencies in order to reduce the likelihood of youths reoffending in the future. </w:t>
      </w:r>
    </w:p>
    <w:p>
      <w:pPr>
        <w:pStyle w:val="Default"/>
        <w:suppressAutoHyphens w:val="1"/>
        <w:spacing w:before="0" w:line="240" w:lineRule="auto"/>
        <w:rPr>
          <w:rFonts w:ascii="Arial" w:cs="Arial" w:hAnsi="Arial" w:eastAsia="Arial"/>
        </w:rPr>
      </w:pPr>
      <w:r>
        <w:rPr>
          <w:rFonts w:ascii="Arial" w:hAnsi="Arial"/>
          <w:rtl w:val="0"/>
          <w:lang w:val="en-US"/>
        </w:rPr>
        <w:t>In conclusion, there have been many initiatives that have shown a positive impact on the offending and reoffending rates in youths. They have shown that there is not only a necessity for early intervention in the lives of these individuals, but also that these efforts have been highly effective. The issues that can arise from these interventions mainly tend to stem from the individual</w:t>
      </w:r>
      <w:r>
        <w:rPr>
          <w:rFonts w:ascii="Arial" w:hAnsi="Arial" w:hint="default"/>
          <w:rtl w:val="0"/>
          <w:lang w:val="en-US"/>
        </w:rPr>
        <w:t>’</w:t>
      </w:r>
      <w:r>
        <w:rPr>
          <w:rFonts w:ascii="Arial" w:hAnsi="Arial"/>
          <w:rtl w:val="0"/>
          <w:lang w:val="en-US"/>
        </w:rPr>
        <w:t>s willingness to participate, as well as how well these initiatives have been implemented across the Local Authorities. This being said, all the research and studies show that offending rates can be limited through early intervention, taking the negative behaviours that test youths may have, as well as giving them alternative avenues for them to spend their time on, such as extra curricular activities.</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rPr>
      </w:pPr>
      <w:r>
        <w:rPr>
          <w:rFonts w:ascii="Arial" w:hAnsi="Arial"/>
          <w:b w:val="1"/>
          <w:bCs w:val="1"/>
          <w:rtl w:val="0"/>
          <w:lang w:val="en-US"/>
        </w:rPr>
        <w:t>WORD COUNT: 1,008</w:t>
      </w: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sz w:val="26"/>
          <w:szCs w:val="26"/>
        </w:rPr>
      </w:pPr>
      <w:r>
        <w:rPr>
          <w:rFonts w:ascii="Arial" w:hAnsi="Arial"/>
          <w:b w:val="1"/>
          <w:bCs w:val="1"/>
          <w:sz w:val="26"/>
          <w:szCs w:val="26"/>
          <w:rtl w:val="0"/>
          <w:lang w:val="en-US"/>
        </w:rPr>
        <w:t>Bibliography:</w:t>
      </w:r>
    </w:p>
    <w:p>
      <w:pPr>
        <w:pStyle w:val="Default"/>
        <w:suppressAutoHyphens w:val="1"/>
        <w:spacing w:before="0" w:after="240" w:line="240" w:lineRule="auto"/>
        <w:rPr>
          <w:rFonts w:ascii="Arial" w:cs="Arial" w:hAnsi="Arial" w:eastAsia="Arial"/>
        </w:rPr>
      </w:pPr>
    </w:p>
    <w:p>
      <w:pPr>
        <w:pStyle w:val="Default"/>
        <w:suppressAutoHyphens w:val="1"/>
        <w:spacing w:before="0" w:after="240" w:line="240" w:lineRule="auto"/>
        <w:rPr>
          <w:rStyle w:val="None"/>
          <w:rFonts w:ascii="Arial" w:cs="Arial" w:hAnsi="Arial" w:eastAsia="Arial"/>
          <w:lang w:val="en-US"/>
        </w:rPr>
      </w:pPr>
      <w:r>
        <w:rPr>
          <w:rFonts w:ascii="Arial" w:hAnsi="Arial"/>
          <w:rtl w:val="0"/>
          <w:lang w:val="en-US"/>
        </w:rPr>
        <w:t xml:space="preserve">Associated Press (2023) The cumulative stress of policing has public safety consequences for law enforcement officers, too. </w:t>
      </w:r>
      <w:r>
        <w:rPr>
          <w:rFonts w:ascii="Arial" w:hAnsi="Arial"/>
          <w:i w:val="1"/>
          <w:iCs w:val="1"/>
          <w:rtl w:val="0"/>
          <w:lang w:val="en-US"/>
        </w:rPr>
        <w:t>AP News</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"https://apnews.com/article/12cbfbac3f683fe6f43850463e56177c"</w:instrText>
      </w:r>
      <w:r>
        <w:rPr>
          <w:rStyle w:val="Hyperlink.0"/>
          <w:rFonts w:ascii="Arial" w:cs="Arial" w:hAnsi="Arial" w:eastAsia="Arial"/>
        </w:rPr>
        <w:fldChar w:fldCharType="separate" w:fldLock="0"/>
      </w:r>
      <w:r>
        <w:rPr>
          <w:rStyle w:val="Hyperlink.0"/>
          <w:rFonts w:ascii="Arial" w:hAnsi="Arial"/>
          <w:rtl w:val="0"/>
          <w:lang w:val="en-US"/>
        </w:rPr>
        <w:t>https://apnews.com/article/12cbfbac3f683fe6f43850463e56177c</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line="240" w:lineRule="auto"/>
        <w:jc w:val="left"/>
        <w:rPr>
          <w:rFonts w:ascii="Arial" w:cs="Arial" w:hAnsi="Arial" w:eastAsia="Arial"/>
        </w:rPr>
      </w:pPr>
      <w:r>
        <w:rPr>
          <w:rFonts w:ascii="Arial" w:hAnsi="Arial"/>
          <w:rtl w:val="0"/>
          <w:lang w:val="en-US"/>
        </w:rPr>
        <w:t xml:space="preserve">Brewin, C.R., Miller, J.K., Soffia, M., Peart, A. and Burchell, B. (2022) </w:t>
      </w:r>
      <w:r>
        <w:rPr>
          <w:rFonts w:ascii="Arial" w:hAnsi="Arial" w:hint="default"/>
          <w:rtl w:val="1"/>
        </w:rPr>
        <w:t>‘</w:t>
      </w:r>
      <w:r>
        <w:rPr>
          <w:rFonts w:ascii="Arial" w:hAnsi="Arial"/>
          <w:rtl w:val="0"/>
          <w:lang w:val="en-US"/>
        </w:rPr>
        <w:t>The mental health and wellbeing of police officers: An analysis of the Airwave Health Monitoring Study</w:t>
      </w:r>
      <w:r>
        <w:rPr>
          <w:rFonts w:ascii="Arial" w:hAnsi="Arial" w:hint="default"/>
          <w:rtl w:val="1"/>
        </w:rPr>
        <w:t>’</w:t>
      </w:r>
      <w:r>
        <w:rPr>
          <w:rFonts w:ascii="Arial" w:hAnsi="Arial"/>
          <w:rtl w:val="0"/>
        </w:rPr>
        <w:t xml:space="preserve">, </w:t>
      </w:r>
      <w:r>
        <w:rPr>
          <w:rStyle w:val="None"/>
          <w:rFonts w:ascii="Arial" w:hAnsi="Arial"/>
          <w:i w:val="1"/>
          <w:iCs w:val="1"/>
          <w:rtl w:val="0"/>
          <w:lang w:val="en-US"/>
        </w:rPr>
        <w:t>ResearchGate</w:t>
      </w:r>
      <w:r>
        <w:rPr>
          <w:rFonts w:ascii="Arial" w:hAnsi="Arial"/>
          <w:rtl w:val="0"/>
        </w:rPr>
        <w:t>.</w:t>
      </w:r>
    </w:p>
    <w:p>
      <w:pPr>
        <w:pStyle w:val="Default"/>
        <w:suppressAutoHyphens w:val="1"/>
        <w:spacing w:before="0" w:line="240" w:lineRule="auto"/>
        <w:jc w:val="left"/>
        <w:rPr>
          <w:rFonts w:ascii="Arial" w:cs="Arial" w:hAnsi="Arial" w:eastAsia="Arial"/>
        </w:rPr>
      </w:pP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British Psychological Society (BPS) (2022) Police: why and how we should care. </w:t>
      </w:r>
      <w:r>
        <w:rPr>
          <w:rStyle w:val="None"/>
          <w:rFonts w:ascii="Arial" w:hAnsi="Arial"/>
          <w:i w:val="1"/>
          <w:iCs w:val="1"/>
          <w:rtl w:val="0"/>
          <w:lang w:val="en-US"/>
        </w:rPr>
        <w:t>The Psychologist</w:t>
      </w:r>
      <w:r>
        <w:rPr>
          <w:rStyle w:val="None"/>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"https://www.bps.org.uk/psychologist/police-why-and-how-we-should-care"</w:instrText>
      </w:r>
      <w:r>
        <w:rPr>
          <w:rStyle w:val="Hyperlink.0"/>
          <w:rFonts w:ascii="Arial" w:cs="Arial" w:hAnsi="Arial" w:eastAsia="Arial"/>
        </w:rPr>
        <w:fldChar w:fldCharType="separate" w:fldLock="0"/>
      </w:r>
      <w:r>
        <w:rPr>
          <w:rStyle w:val="Hyperlink.0"/>
          <w:rFonts w:ascii="Arial" w:hAnsi="Arial"/>
          <w:rtl w:val="0"/>
          <w:lang w:val="en-US"/>
        </w:rPr>
        <w:t>https://www.bps.org.uk/psychologist/police-why-and-how-we-should-care</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Bullock, K. and Garland, J. (2021) Police officers, mental health and stigma. </w:t>
      </w:r>
      <w:r>
        <w:rPr>
          <w:rStyle w:val="None"/>
          <w:rFonts w:ascii="Arial" w:hAnsi="Arial"/>
          <w:i w:val="1"/>
          <w:iCs w:val="1"/>
          <w:rtl w:val="0"/>
          <w:lang w:val="en-US"/>
        </w:rPr>
        <w:t>The Police Journal: Theory, Practice and Principles</w:t>
      </w:r>
      <w:r>
        <w:rPr>
          <w:rFonts w:ascii="Arial" w:hAnsi="Arial"/>
          <w:rtl w:val="0"/>
        </w:rPr>
        <w:t>, 94(4), pp. 427</w:t>
      </w:r>
      <w:r>
        <w:rPr>
          <w:rFonts w:ascii="Arial" w:hAnsi="Arial" w:hint="default"/>
          <w:rtl w:val="0"/>
        </w:rPr>
        <w:t>–</w:t>
      </w:r>
      <w:r>
        <w:rPr>
          <w:rStyle w:val="None"/>
          <w:rFonts w:ascii="Arial" w:hAnsi="Arial"/>
          <w:rtl w:val="0"/>
          <w:lang w:val="en-US"/>
        </w:rPr>
        <w:t xml:space="preserve">446.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"https://journals.sagepub.com/doi/full/10.1177/0032258X211049009"</w:instrText>
      </w:r>
      <w:r>
        <w:rPr>
          <w:rStyle w:val="Hyperlink.0"/>
          <w:rFonts w:ascii="Arial" w:cs="Arial" w:hAnsi="Arial" w:eastAsia="Arial"/>
        </w:rPr>
        <w:fldChar w:fldCharType="separate" w:fldLock="0"/>
      </w:r>
      <w:r>
        <w:rPr>
          <w:rStyle w:val="Hyperlink.0"/>
          <w:rFonts w:ascii="Arial" w:hAnsi="Arial"/>
          <w:rtl w:val="0"/>
          <w:lang w:val="en-US"/>
        </w:rPr>
        <w:t>https://journals.sagepub.com/doi/full/10.1177/0032258X211049009</w:t>
      </w:r>
      <w:r>
        <w:rPr>
          <w:rFonts w:ascii="Arial" w:cs="Arial" w:hAnsi="Arial" w:eastAsia="Arial"/>
        </w:rPr>
        <w:fldChar w:fldCharType="end" w:fldLock="0"/>
      </w:r>
      <w:r>
        <w:rPr>
          <w:rStyle w:val="None"/>
          <w:rFonts w:ascii="Arial" w:hAnsi="Arial"/>
          <w:rtl w:val="0"/>
          <w:lang w:val="en-US"/>
        </w:rPr>
        <w:t>(Accessed: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Bullock, K. and Johnson, P. (2018) Police engagement with Muslim communities: breaking out, breaking in and breaking through. </w:t>
      </w:r>
      <w:r>
        <w:rPr>
          <w:rStyle w:val="None"/>
          <w:rFonts w:ascii="Arial" w:hAnsi="Arial"/>
          <w:i w:val="1"/>
          <w:iCs w:val="1"/>
          <w:rtl w:val="0"/>
          <w:lang w:val="en-US"/>
        </w:rPr>
        <w:t>Policing and Society</w:t>
      </w:r>
      <w:r>
        <w:rPr>
          <w:rFonts w:ascii="Arial" w:hAnsi="Arial"/>
          <w:rtl w:val="0"/>
        </w:rPr>
        <w:t>, 28(5), pp. 556</w:t>
      </w:r>
      <w:r>
        <w:rPr>
          <w:rFonts w:ascii="Arial" w:hAnsi="Arial" w:hint="default"/>
          <w:rtl w:val="0"/>
        </w:rPr>
        <w:t>–</w:t>
      </w:r>
      <w:r>
        <w:rPr>
          <w:rStyle w:val="None"/>
          <w:rFonts w:ascii="Arial" w:hAnsi="Arial"/>
          <w:rtl w:val="0"/>
          <w:lang w:val="en-US"/>
        </w:rPr>
        <w:t xml:space="preserve">570.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"https://www.tandfonline.com/doi/abs/10.1080/10439463.2017.1339706"</w:instrText>
      </w:r>
      <w:r>
        <w:rPr>
          <w:rStyle w:val="Hyperlink.0"/>
          <w:rFonts w:ascii="Arial" w:cs="Arial" w:hAnsi="Arial" w:eastAsia="Arial"/>
        </w:rPr>
        <w:fldChar w:fldCharType="separate" w:fldLock="0"/>
      </w:r>
      <w:r>
        <w:rPr>
          <w:rStyle w:val="Hyperlink.0"/>
          <w:rFonts w:ascii="Arial" w:hAnsi="Arial"/>
          <w:rtl w:val="0"/>
          <w:lang w:val="en-US"/>
        </w:rPr>
        <w:t>https://www.tandfonline.com/doi/abs/10.1080/10439463.2017.1339706</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Cambridge Interfaith Programme (no date) Effective Community Policing: Negotiating Changing Religious Identities. University of Cambridge.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"https://www.interfaith.cam.ac.uk/resources/lecturespapersandspeeches/effectivecommunitypolicing"</w:instrText>
      </w:r>
      <w:r>
        <w:rPr>
          <w:rStyle w:val="Hyperlink.0"/>
          <w:rFonts w:ascii="Arial" w:cs="Arial" w:hAnsi="Arial" w:eastAsia="Arial"/>
        </w:rPr>
        <w:fldChar w:fldCharType="separate" w:fldLock="0"/>
      </w:r>
      <w:r>
        <w:rPr>
          <w:rStyle w:val="Hyperlink.0"/>
          <w:rFonts w:ascii="Arial" w:hAnsi="Arial"/>
          <w:rtl w:val="0"/>
          <w:lang w:val="en-US"/>
        </w:rPr>
        <w:t>https://www.interfaith.cam.ac.uk/resources/lecturespapersandspeeches/effectivecommunitypolicing</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Charman, S. (2024) Steering a path to cultural change: Emerging and enduring characteristics of policing cultures in the UK. </w:t>
      </w:r>
      <w:r>
        <w:rPr>
          <w:rStyle w:val="None"/>
          <w:rFonts w:ascii="Arial" w:hAnsi="Arial"/>
          <w:i w:val="1"/>
          <w:iCs w:val="1"/>
          <w:rtl w:val="0"/>
          <w:lang w:val="en-US"/>
        </w:rPr>
        <w:t>Policing: A Journal of Policy and Practice</w:t>
      </w:r>
      <w:r>
        <w:rPr>
          <w:rStyle w:val="None"/>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"https://journals.sagepub.com/doi/full/10.1177/14613557241298814"</w:instrText>
      </w:r>
      <w:r>
        <w:rPr>
          <w:rStyle w:val="Hyperlink.0"/>
          <w:rFonts w:ascii="Arial" w:cs="Arial" w:hAnsi="Arial" w:eastAsia="Arial"/>
        </w:rPr>
        <w:fldChar w:fldCharType="separate" w:fldLock="0"/>
      </w:r>
      <w:r>
        <w:rPr>
          <w:rStyle w:val="Hyperlink.0"/>
          <w:rFonts w:ascii="Arial" w:hAnsi="Arial"/>
          <w:rtl w:val="0"/>
          <w:lang w:val="en-US"/>
        </w:rPr>
        <w:t>https://journals.sagepub.com/doi/full/10.1177/14613557241298814</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College of Policing (2024) Understanding and preventing 'cuckooing' victimisation.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"https://www.college.police.uk/research/projects/understanding-and-preventing-cuckooing-victimisation"</w:instrText>
      </w:r>
      <w:r>
        <w:rPr>
          <w:rStyle w:val="Hyperlink.1"/>
          <w:rFonts w:ascii="Arial" w:cs="Arial" w:hAnsi="Arial" w:eastAsia="Arial"/>
        </w:rPr>
        <w:fldChar w:fldCharType="separate" w:fldLock="0"/>
      </w:r>
      <w:r>
        <w:rPr>
          <w:rStyle w:val="Hyperlink.1"/>
          <w:rFonts w:ascii="Arial" w:hAnsi="Arial"/>
          <w:rtl w:val="0"/>
          <w:lang w:val="en-US"/>
        </w:rPr>
        <w:t>https://www.college.police.uk/research/projects/understanding-and-preventing-cuckooing-victimisation</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Darby, P. (2020) Cuckooing </w:t>
      </w:r>
      <w:r>
        <w:rPr>
          <w:rFonts w:ascii="Arial" w:hAnsi="Arial" w:hint="default"/>
          <w:rtl w:val="0"/>
        </w:rPr>
        <w:t xml:space="preserve">– </w:t>
      </w:r>
      <w:r>
        <w:rPr>
          <w:rStyle w:val="None"/>
          <w:rFonts w:ascii="Arial" w:hAnsi="Arial"/>
          <w:rtl w:val="0"/>
          <w:lang w:val="en-US"/>
        </w:rPr>
        <w:t xml:space="preserve">Redbridge Safeguarding Adults Board. </w:t>
      </w:r>
      <w:r>
        <w:rPr>
          <w:rStyle w:val="None"/>
          <w:rFonts w:ascii="Arial" w:hAnsi="Arial"/>
          <w:i w:val="1"/>
          <w:iCs w:val="1"/>
          <w:rtl w:val="0"/>
          <w:lang w:val="de-DE"/>
        </w:rPr>
        <w:t>Redbridgesab.org.uk</w:t>
      </w:r>
      <w:r>
        <w:rPr>
          <w:rStyle w:val="None"/>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"https://www.redbridgesab.org.uk/for-professionals/types-of-abuse/exploitation/cuckooing/"</w:instrText>
      </w:r>
      <w:r>
        <w:rPr>
          <w:rStyle w:val="Hyperlink.0"/>
          <w:rFonts w:ascii="Arial" w:cs="Arial" w:hAnsi="Arial" w:eastAsia="Arial"/>
        </w:rPr>
        <w:fldChar w:fldCharType="separate" w:fldLock="0"/>
      </w:r>
      <w:r>
        <w:rPr>
          <w:rStyle w:val="Hyperlink.0"/>
          <w:rFonts w:ascii="Arial" w:hAnsi="Arial"/>
          <w:rtl w:val="0"/>
          <w:lang w:val="en-US"/>
        </w:rPr>
        <w:t>https://www.redbridgesab.org.uk/for-professionals/types-of-abuse/exploitation/cuckooing/</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Dawes, W., Howard, P. and Lloyd, C. (2017) Understanding the educational background of young offenders: Summary report. </w:t>
      </w:r>
      <w:r>
        <w:rPr>
          <w:rStyle w:val="None"/>
          <w:rFonts w:ascii="Arial" w:hAnsi="Arial"/>
          <w:i w:val="1"/>
          <w:iCs w:val="1"/>
          <w:rtl w:val="0"/>
          <w:lang w:val="en-US"/>
        </w:rPr>
        <w:t>Home Office Research Report</w:t>
      </w:r>
      <w:r>
        <w:rPr>
          <w:rStyle w:val="None"/>
          <w:rFonts w:ascii="Arial" w:hAnsi="Arial"/>
          <w:rtl w:val="0"/>
          <w:lang w:val="en-US"/>
        </w:rPr>
        <w:t xml:space="preserve"> 77. London: Home Office.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"https://assets.publishing.service.gov.uk/media/5a74c511e5274a3f93b48abb/horr77.pdf"</w:instrText>
      </w:r>
      <w:r>
        <w:rPr>
          <w:rStyle w:val="Hyperlink.2"/>
          <w:rFonts w:ascii="Arial" w:cs="Arial" w:hAnsi="Arial" w:eastAsia="Arial"/>
        </w:rPr>
        <w:fldChar w:fldCharType="separate" w:fldLock="0"/>
      </w:r>
      <w:r>
        <w:rPr>
          <w:rStyle w:val="Hyperlink.2"/>
          <w:rFonts w:ascii="Arial" w:hAnsi="Arial"/>
          <w:rtl w:val="0"/>
        </w:rPr>
        <w:t>https://assets.publishing.service.gov.uk/media/5a74c511e5274a3f93b48abb/horr77.pdf</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Farrington, D.P. et al. (2010) Effects of early prevention programs on adult criminal offending: a meta-analysis. </w:t>
      </w:r>
      <w:r>
        <w:rPr>
          <w:rStyle w:val="None"/>
          <w:rFonts w:ascii="Arial" w:hAnsi="Arial"/>
          <w:i w:val="1"/>
          <w:iCs w:val="1"/>
          <w:rtl w:val="0"/>
          <w:lang w:val="en-US"/>
        </w:rPr>
        <w:t>Journal unknown</w:t>
      </w:r>
      <w:r>
        <w:rPr>
          <w:rFonts w:ascii="Arial" w:hAnsi="Arial"/>
          <w:rtl w:val="0"/>
        </w:rPr>
        <w:t>, OR 1.26, pp. xx</w:t>
      </w:r>
      <w:r>
        <w:rPr>
          <w:rFonts w:ascii="Arial" w:hAnsi="Arial" w:hint="default"/>
          <w:rtl w:val="0"/>
        </w:rPr>
        <w:t>–</w:t>
      </w:r>
      <w:r>
        <w:rPr>
          <w:rStyle w:val="None"/>
          <w:rFonts w:ascii="Arial" w:hAnsi="Arial"/>
          <w:rtl w:val="0"/>
          <w:lang w:val="en-US"/>
        </w:rPr>
        <w:t>xx. Available at: PubMed (Accessed: 25 June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Fielding, N. (2024) Understanding minority recruitment to the police: beyond systematic review. </w:t>
      </w:r>
      <w:r>
        <w:rPr>
          <w:rStyle w:val="None"/>
          <w:rFonts w:ascii="Arial" w:hAnsi="Arial"/>
          <w:i w:val="1"/>
          <w:iCs w:val="1"/>
          <w:rtl w:val="0"/>
          <w:lang w:val="en-US"/>
        </w:rPr>
        <w:t>HESA Law Journal</w:t>
      </w:r>
      <w:r>
        <w:rPr>
          <w:rStyle w:val="None"/>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"https://hesalawjournal.com/2024/05/06/understanding-minority-recruitment-to-the-police-beyond-systematic-review"</w:instrText>
      </w:r>
      <w:r>
        <w:rPr>
          <w:rStyle w:val="Hyperlink.0"/>
          <w:rFonts w:ascii="Arial" w:cs="Arial" w:hAnsi="Arial" w:eastAsia="Arial"/>
        </w:rPr>
        <w:fldChar w:fldCharType="separate" w:fldLock="0"/>
      </w:r>
      <w:r>
        <w:rPr>
          <w:rStyle w:val="Hyperlink.0"/>
          <w:rFonts w:ascii="Arial" w:hAnsi="Arial"/>
          <w:rtl w:val="0"/>
          <w:lang w:val="en-US"/>
        </w:rPr>
        <w:t>https://hesalawjournal.com/2024/05/06/understanding-minority-recruitment-to-the-police-beyond-systematic-review</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Fonts w:ascii="Arial" w:hAnsi="Arial"/>
          <w:rtl w:val="0"/>
        </w:rPr>
        <w:t>G</w:t>
      </w:r>
      <w:r>
        <w:rPr>
          <w:rStyle w:val="None"/>
          <w:rFonts w:ascii="Arial" w:hAnsi="Arial" w:hint="default"/>
          <w:rtl w:val="0"/>
          <w:lang w:val="da-DK"/>
        </w:rPr>
        <w:t>ø</w:t>
      </w:r>
      <w:r>
        <w:rPr>
          <w:rStyle w:val="None"/>
          <w:rFonts w:ascii="Arial" w:hAnsi="Arial"/>
          <w:rtl w:val="0"/>
          <w:lang w:val="en-US"/>
        </w:rPr>
        <w:t xml:space="preserve">tzsche-Astrup, O., Overgaard, B. and Lindekilde, L. (2022) Vulnerable and dominant: Bright and dark side personality traits and values of individuals in organized crime in Denmark. </w:t>
      </w:r>
      <w:r>
        <w:rPr>
          <w:rStyle w:val="None"/>
          <w:rFonts w:ascii="Arial" w:hAnsi="Arial"/>
          <w:i w:val="1"/>
          <w:iCs w:val="1"/>
          <w:rtl w:val="0"/>
          <w:lang w:val="en-US"/>
        </w:rPr>
        <w:t>Scandinavian Journal of Psychology</w:t>
      </w:r>
      <w:r>
        <w:rPr>
          <w:rFonts w:ascii="Arial" w:hAnsi="Arial"/>
          <w:rtl w:val="0"/>
        </w:rPr>
        <w:t>, 63(5), pp. 536</w:t>
      </w:r>
      <w:r>
        <w:rPr>
          <w:rFonts w:ascii="Arial" w:hAnsi="Arial" w:hint="default"/>
          <w:rtl w:val="0"/>
        </w:rPr>
        <w:t>–</w:t>
      </w:r>
      <w:r>
        <w:rPr>
          <w:rFonts w:ascii="Arial" w:hAnsi="Arial"/>
          <w:rtl w:val="0"/>
        </w:rPr>
        <w:t>544. doi: 10.1111/sjop.12831.</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Havard, T.E., Densley, J.A., Whittaker, A. and Wills, J. (2023) Street gangs and coercive control: The gendered exploitation of young women and girls in county lines. </w:t>
      </w:r>
      <w:r>
        <w:rPr>
          <w:rStyle w:val="None"/>
          <w:rFonts w:ascii="Arial" w:hAnsi="Arial"/>
          <w:i w:val="1"/>
          <w:iCs w:val="1"/>
          <w:rtl w:val="0"/>
          <w:lang w:val="en-US"/>
        </w:rPr>
        <w:t>Criminology &amp; Criminal Justice</w:t>
      </w:r>
      <w:r>
        <w:rPr>
          <w:rStyle w:val="None"/>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"https://journals.sagepub.com/doi/full/10.1177/17488958211051513"</w:instrText>
      </w:r>
      <w:r>
        <w:rPr>
          <w:rStyle w:val="Hyperlink.0"/>
          <w:rFonts w:ascii="Arial" w:cs="Arial" w:hAnsi="Arial" w:eastAsia="Arial"/>
        </w:rPr>
        <w:fldChar w:fldCharType="separate" w:fldLock="0"/>
      </w:r>
      <w:r>
        <w:rPr>
          <w:rStyle w:val="Hyperlink.0"/>
          <w:rFonts w:ascii="Arial" w:hAnsi="Arial"/>
          <w:rtl w:val="0"/>
          <w:lang w:val="en-US"/>
        </w:rPr>
        <w:t>https://journals.sagepub.com/doi/full/10.1177/17488958211051513</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Health Psychology Research (2023) Mental health in law enforcement: a review of psychological impacts and interventions. </w:t>
      </w:r>
      <w:r>
        <w:rPr>
          <w:rStyle w:val="None"/>
          <w:rFonts w:ascii="Arial" w:hAnsi="Arial"/>
          <w:i w:val="1"/>
          <w:iCs w:val="1"/>
          <w:rtl w:val="0"/>
          <w:lang w:val="en-US"/>
        </w:rPr>
        <w:t>Health Psychology Research</w:t>
      </w:r>
      <w:r>
        <w:rPr>
          <w:rStyle w:val="None"/>
          <w:rFonts w:ascii="Arial" w:hAnsi="Arial"/>
          <w:rtl w:val="0"/>
          <w:lang w:val="en-US"/>
        </w:rPr>
        <w:t>.</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Hesketh, I. and Stubbs, G. (2024) Positive action paradox in UK police recruitment: A critical perspective. </w:t>
      </w:r>
      <w:r>
        <w:rPr>
          <w:rStyle w:val="None"/>
          <w:rFonts w:ascii="Arial" w:hAnsi="Arial"/>
          <w:i w:val="1"/>
          <w:iCs w:val="1"/>
          <w:rtl w:val="0"/>
          <w:lang w:val="en-US"/>
        </w:rPr>
        <w:t>The Police Journal: Theory, Practice and Principles</w:t>
      </w:r>
      <w:r>
        <w:rPr>
          <w:rStyle w:val="None"/>
          <w:rFonts w:ascii="Arial" w:hAnsi="Arial"/>
          <w:rtl w:val="0"/>
          <w:lang w:val="en-US"/>
        </w:rPr>
        <w:t xml:space="preserve">. Available at: </w:t>
      </w:r>
      <w:r>
        <w:rPr>
          <w:rStyle w:val="Hyperlink.3"/>
          <w:rFonts w:ascii="Arial" w:cs="Arial" w:hAnsi="Arial" w:eastAsia="Arial"/>
        </w:rPr>
        <w:fldChar w:fldCharType="begin" w:fldLock="0"/>
      </w:r>
      <w:r>
        <w:rPr>
          <w:rStyle w:val="Hyperlink.3"/>
          <w:rFonts w:ascii="Arial" w:cs="Arial" w:hAnsi="Arial" w:eastAsia="Arial"/>
        </w:rPr>
        <w:instrText xml:space="preserve"> HYPERLINK "https://journals.sagepub.com/doi/10.1177/0032258X231172030"</w:instrText>
      </w:r>
      <w:r>
        <w:rPr>
          <w:rStyle w:val="Hyperlink.3"/>
          <w:rFonts w:ascii="Arial" w:cs="Arial" w:hAnsi="Arial" w:eastAsia="Arial"/>
        </w:rPr>
        <w:fldChar w:fldCharType="separate" w:fldLock="0"/>
      </w:r>
      <w:r>
        <w:rPr>
          <w:rStyle w:val="Hyperlink.3"/>
          <w:rFonts w:ascii="Arial" w:hAnsi="Arial"/>
          <w:rtl w:val="0"/>
          <w:lang w:val="de-DE"/>
        </w:rPr>
        <w:t>https://journals.sagepub.com/doi/10.1177/0032258X231172030</w:t>
      </w:r>
      <w:r>
        <w:rPr>
          <w:rFonts w:ascii="Arial" w:cs="Arial" w:hAnsi="Arial" w:eastAsia="Arial"/>
        </w:rPr>
        <w:fldChar w:fldCharType="end" w:fldLock="0"/>
      </w:r>
      <w:r>
        <w:rPr>
          <w:rStyle w:val="None"/>
          <w:rFonts w:ascii="Arial" w:hAnsi="Arial"/>
          <w:rtl w:val="0"/>
          <w:lang w:val="en-US"/>
        </w:rPr>
        <w:t>(Accessed: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Henry, L., Miller, P. and Linton-Williams, K. (2024) A review of the impact of inclusion training in Merseyside Police. Institute for Educational and Social Equity, University of Greenwich. Available at: GALA repository (Accessed: 30 June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HM Government (2013) Serious and organised crime strategy. London: Home Office.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"https://www.gov.uk/government/publications/serious-organised-crime-strategy"</w:instrText>
      </w:r>
      <w:r>
        <w:rPr>
          <w:rStyle w:val="Hyperlink.0"/>
          <w:rFonts w:ascii="Arial" w:cs="Arial" w:hAnsi="Arial" w:eastAsia="Arial"/>
        </w:rPr>
        <w:fldChar w:fldCharType="separate" w:fldLock="0"/>
      </w:r>
      <w:r>
        <w:rPr>
          <w:rStyle w:val="Hyperlink.0"/>
          <w:rFonts w:ascii="Arial" w:hAnsi="Arial"/>
          <w:rtl w:val="0"/>
          <w:lang w:val="en-US"/>
        </w:rPr>
        <w:t>https://www.gov.uk/government/publications/serious-organised-crime-strategy</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HM Government (2023) Preventing serious violence: a multi-agency approach </w:t>
      </w:r>
      <w:r>
        <w:rPr>
          <w:rFonts w:ascii="Arial" w:hAnsi="Arial" w:hint="default"/>
          <w:rtl w:val="0"/>
        </w:rPr>
        <w:t xml:space="preserve">– </w:t>
      </w:r>
      <w:r>
        <w:rPr>
          <w:rStyle w:val="None"/>
          <w:rFonts w:ascii="Arial" w:hAnsi="Arial"/>
          <w:rtl w:val="0"/>
          <w:lang w:val="en-US"/>
        </w:rPr>
        <w:t xml:space="preserve">Summary.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"https://www.gov.uk/government/publications/preventing-serious-violence-a-multi-agency-approach/preventing-serious-violence-summary"</w:instrText>
      </w:r>
      <w:r>
        <w:rPr>
          <w:rStyle w:val="Hyperlink.1"/>
          <w:rFonts w:ascii="Arial" w:cs="Arial" w:hAnsi="Arial" w:eastAsia="Arial"/>
        </w:rPr>
        <w:fldChar w:fldCharType="separate" w:fldLock="0"/>
      </w:r>
      <w:r>
        <w:rPr>
          <w:rStyle w:val="Hyperlink.1"/>
          <w:rFonts w:ascii="Arial" w:hAnsi="Arial"/>
          <w:rtl w:val="0"/>
          <w:lang w:val="en-US"/>
        </w:rPr>
        <w:t>https://www.gov.uk/government/publications/preventing-serious-violence-a-multi-agency-approach/preventing-serious-violence-summary</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Holdaway, S. (1991) Race relations and police recruitment. </w:t>
      </w:r>
      <w:r>
        <w:rPr>
          <w:rStyle w:val="None"/>
          <w:rFonts w:ascii="Arial" w:hAnsi="Arial"/>
          <w:i w:val="1"/>
          <w:iCs w:val="1"/>
          <w:rtl w:val="0"/>
          <w:lang w:val="en-US"/>
        </w:rPr>
        <w:t>The British Journal of Criminology</w:t>
      </w:r>
      <w:r>
        <w:rPr>
          <w:rFonts w:ascii="Arial" w:hAnsi="Arial"/>
          <w:rtl w:val="0"/>
        </w:rPr>
        <w:t>, 31(4), pp. 365</w:t>
      </w:r>
      <w:r>
        <w:rPr>
          <w:rFonts w:ascii="Arial" w:hAnsi="Arial" w:hint="default"/>
          <w:rtl w:val="0"/>
        </w:rPr>
        <w:t>–</w:t>
      </w:r>
      <w:r>
        <w:rPr>
          <w:rFonts w:ascii="Arial" w:hAnsi="Arial"/>
          <w:rtl w:val="0"/>
        </w:rPr>
        <w:t>381.</w:t>
      </w:r>
    </w:p>
    <w:p>
      <w:pPr>
        <w:pStyle w:val="Default"/>
        <w:suppressAutoHyphens w:val="1"/>
        <w:spacing w:before="0" w:after="240" w:line="240" w:lineRule="auto"/>
        <w:rPr>
          <w:rFonts w:ascii="Arial" w:cs="Arial" w:hAnsi="Arial" w:eastAsia="Arial"/>
        </w:rPr>
      </w:pPr>
      <w:r>
        <w:rPr>
          <w:rStyle w:val="None"/>
          <w:rFonts w:ascii="Arial" w:hAnsi="Arial"/>
          <w:rtl w:val="0"/>
          <w:lang w:val="en-US"/>
        </w:rPr>
        <w:t>Holdaway, S. and O</w:t>
      </w:r>
      <w:r>
        <w:rPr>
          <w:rStyle w:val="None"/>
          <w:rFonts w:ascii="Arial" w:hAnsi="Arial" w:hint="default"/>
          <w:rtl w:val="1"/>
        </w:rPr>
        <w:t>’</w:t>
      </w:r>
      <w:r>
        <w:rPr>
          <w:rStyle w:val="None"/>
          <w:rFonts w:ascii="Arial" w:hAnsi="Arial"/>
          <w:rtl w:val="0"/>
          <w:lang w:val="en-US"/>
        </w:rPr>
        <w:t xml:space="preserve">Neill, M. (2006) Ethnicity and culture: thinking about </w:t>
      </w:r>
      <w:r>
        <w:rPr>
          <w:rStyle w:val="None"/>
          <w:rFonts w:ascii="Arial" w:hAnsi="Arial" w:hint="default"/>
          <w:rtl w:val="1"/>
        </w:rPr>
        <w:t>‘</w:t>
      </w:r>
      <w:r>
        <w:rPr>
          <w:rStyle w:val="None"/>
          <w:rFonts w:ascii="Arial" w:hAnsi="Arial"/>
          <w:rtl w:val="0"/>
          <w:lang w:val="fr-FR"/>
        </w:rPr>
        <w:t>police ethnicity</w:t>
      </w:r>
      <w:r>
        <w:rPr>
          <w:rStyle w:val="None"/>
          <w:rFonts w:ascii="Arial" w:hAnsi="Arial" w:hint="default"/>
          <w:rtl w:val="1"/>
        </w:rPr>
        <w:t>’</w:t>
      </w:r>
      <w:r>
        <w:rPr>
          <w:rFonts w:ascii="Arial" w:hAnsi="Arial"/>
          <w:rtl w:val="0"/>
        </w:rPr>
        <w:t xml:space="preserve">. </w:t>
      </w:r>
      <w:r>
        <w:rPr>
          <w:rStyle w:val="None"/>
          <w:rFonts w:ascii="Arial" w:hAnsi="Arial"/>
          <w:i w:val="1"/>
          <w:iCs w:val="1"/>
          <w:rtl w:val="0"/>
          <w:lang w:val="en-US"/>
        </w:rPr>
        <w:t>Policing and Society</w:t>
      </w:r>
      <w:r>
        <w:rPr>
          <w:rFonts w:ascii="Arial" w:hAnsi="Arial"/>
          <w:rtl w:val="0"/>
        </w:rPr>
        <w:t>, 16(4), pp. 401</w:t>
      </w:r>
      <w:r>
        <w:rPr>
          <w:rFonts w:ascii="Arial" w:hAnsi="Arial" w:hint="default"/>
          <w:rtl w:val="0"/>
        </w:rPr>
        <w:t>–</w:t>
      </w:r>
      <w:r>
        <w:rPr>
          <w:rFonts w:ascii="Arial" w:hAnsi="Arial"/>
          <w:rtl w:val="0"/>
        </w:rPr>
        <w:t>418.</w:t>
      </w:r>
    </w:p>
    <w:p>
      <w:pPr>
        <w:pStyle w:val="Default"/>
        <w:suppressAutoHyphens w:val="1"/>
        <w:spacing w:before="0" w:after="240" w:line="240" w:lineRule="auto"/>
        <w:rPr>
          <w:rFonts w:ascii="Arial" w:cs="Arial" w:hAnsi="Arial" w:eastAsia="Arial"/>
        </w:rPr>
      </w:pPr>
      <w:r>
        <w:rPr>
          <w:rStyle w:val="None"/>
          <w:rFonts w:ascii="Arial" w:hAnsi="Arial"/>
          <w:rtl w:val="0"/>
          <w:lang w:val="en-US"/>
        </w:rPr>
        <w:t>Holdaway, S. and O</w:t>
      </w:r>
      <w:r>
        <w:rPr>
          <w:rStyle w:val="None"/>
          <w:rFonts w:ascii="Arial" w:hAnsi="Arial" w:hint="default"/>
          <w:rtl w:val="1"/>
        </w:rPr>
        <w:t>’</w:t>
      </w:r>
      <w:r>
        <w:rPr>
          <w:rStyle w:val="None"/>
          <w:rFonts w:ascii="Arial" w:hAnsi="Arial"/>
          <w:rtl w:val="0"/>
          <w:lang w:val="en-US"/>
        </w:rPr>
        <w:t xml:space="preserve">Neill, M. (2013) Black police associations and the Lawrence report: reinforcing or changing the status quo? </w:t>
      </w:r>
      <w:r>
        <w:rPr>
          <w:rStyle w:val="None"/>
          <w:rFonts w:ascii="Arial" w:hAnsi="Arial"/>
          <w:i w:val="1"/>
          <w:iCs w:val="1"/>
          <w:rtl w:val="0"/>
          <w:lang w:val="en-US"/>
        </w:rPr>
        <w:t>The Police Journal</w:t>
      </w:r>
      <w:r>
        <w:rPr>
          <w:rFonts w:ascii="Arial" w:hAnsi="Arial"/>
          <w:rtl w:val="0"/>
        </w:rPr>
        <w:t>, 86(3), pp. 195</w:t>
      </w:r>
      <w:r>
        <w:rPr>
          <w:rFonts w:ascii="Arial" w:hAnsi="Arial" w:hint="default"/>
          <w:rtl w:val="0"/>
        </w:rPr>
        <w:t>–</w:t>
      </w:r>
      <w:r>
        <w:rPr>
          <w:rFonts w:ascii="Arial" w:hAnsi="Arial"/>
          <w:rtl w:val="0"/>
        </w:rPr>
        <w:t>208.</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Home Office (2024) Police Uplift Programme. </w:t>
      </w:r>
      <w:r>
        <w:rPr>
          <w:rStyle w:val="None"/>
          <w:rFonts w:ascii="Arial" w:hAnsi="Arial"/>
          <w:i w:val="1"/>
          <w:iCs w:val="1"/>
          <w:rtl w:val="0"/>
          <w:lang w:val="en-US"/>
        </w:rPr>
        <w:t>Evidence to the Police Remuneration Review Body, 2024 to 2025</w:t>
      </w:r>
      <w:r>
        <w:rPr>
          <w:rStyle w:val="None"/>
          <w:rFonts w:ascii="Arial" w:hAnsi="Arial"/>
          <w:rtl w:val="0"/>
          <w:lang w:val="en-US"/>
        </w:rPr>
        <w:t xml:space="preserv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"https://www.gov.uk/government/publications/home-office-evidence-to-the-police-remuneration-review-body-2024-to-2025/home-office-evidence-to-the-police-remuneration-review-body-2024-to-2025-accessible"</w:instrText>
      </w:r>
      <w:r>
        <w:rPr>
          <w:rStyle w:val="Hyperlink.1"/>
          <w:rFonts w:ascii="Arial" w:cs="Arial" w:hAnsi="Arial" w:eastAsia="Arial"/>
        </w:rPr>
        <w:fldChar w:fldCharType="separate" w:fldLock="0"/>
      </w:r>
      <w:r>
        <w:rPr>
          <w:rStyle w:val="Hyperlink.1"/>
          <w:rFonts w:ascii="Arial" w:hAnsi="Arial"/>
          <w:rtl w:val="0"/>
          <w:lang w:val="en-US"/>
        </w:rPr>
        <w:t>https://www.gov.uk/government/publications/home-office-evidence-to-the-police-remuneration-review-body-2024-to-2025/home-office-evidence-to-the-police-remuneration-review-body-2024-to-2025-accessible</w:t>
      </w:r>
      <w:r>
        <w:rPr>
          <w:rFonts w:ascii="Arial" w:cs="Arial" w:hAnsi="Arial" w:eastAsia="Arial"/>
        </w:rPr>
        <w:fldChar w:fldCharType="end" w:fldLock="0"/>
      </w:r>
      <w:r>
        <w:rPr>
          <w:rStyle w:val="None"/>
          <w:rFonts w:ascii="Arial" w:hAnsi="Arial"/>
          <w:rtl w:val="0"/>
          <w:lang w:val="en-US"/>
        </w:rPr>
        <w:t xml:space="preserve"> (Accessed: 25 June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Local Government Association (2022) Supporting the youngest children in the youth justice system: what works to reduce offending and improve outcomes?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"https://www.local.gov.uk/publications/supporting-youngest-children-youth-justice-system-what-works-reduce-offending-and"</w:instrText>
      </w:r>
      <w:r>
        <w:rPr>
          <w:rStyle w:val="Hyperlink.0"/>
          <w:rFonts w:ascii="Arial" w:cs="Arial" w:hAnsi="Arial" w:eastAsia="Arial"/>
        </w:rPr>
        <w:fldChar w:fldCharType="separate" w:fldLock="0"/>
      </w:r>
      <w:r>
        <w:rPr>
          <w:rStyle w:val="Hyperlink.0"/>
          <w:rFonts w:ascii="Arial" w:hAnsi="Arial"/>
          <w:rtl w:val="0"/>
          <w:lang w:val="en-US"/>
        </w:rPr>
        <w:t>https://www.local.gov.uk/publications/supporting-youngest-children-youth-justice-system-what-works-reduce-offending-and</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Moffitt, T.E. (1993) Adolescence-limited and life-course-persistent antisocial behavior: A developmental taxonomy. </w:t>
      </w:r>
      <w:r>
        <w:rPr>
          <w:rStyle w:val="None"/>
          <w:rFonts w:ascii="Arial" w:hAnsi="Arial"/>
          <w:i w:val="1"/>
          <w:iCs w:val="1"/>
          <w:rtl w:val="0"/>
          <w:lang w:val="en-US"/>
        </w:rPr>
        <w:t>Psychological Review</w:t>
      </w:r>
      <w:r>
        <w:rPr>
          <w:rStyle w:val="None"/>
          <w:rFonts w:ascii="Arial" w:hAnsi="Arial"/>
          <w:rtl w:val="0"/>
          <w:lang w:val="it-IT"/>
        </w:rPr>
        <w:t>, 100(4), pp. 674</w:t>
      </w:r>
      <w:r>
        <w:rPr>
          <w:rFonts w:ascii="Arial" w:hAnsi="Arial" w:hint="default"/>
          <w:rtl w:val="0"/>
        </w:rPr>
        <w:t>–</w:t>
      </w:r>
      <w:r>
        <w:rPr>
          <w:rFonts w:ascii="Arial" w:hAnsi="Arial"/>
          <w:rtl w:val="0"/>
        </w:rPr>
        <w:t>701.</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Office for National Statistics (ONS) (2022) Ethnic group, England and Wales: Census 2021.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"https://www.ons.gov.uk/peoplepopulationandcommunity/culturalidentity/ethnicity/bulletins/ethnicgroupenglandandwales/census2021"</w:instrText>
      </w:r>
      <w:r>
        <w:rPr>
          <w:rStyle w:val="Hyperlink.1"/>
          <w:rFonts w:ascii="Arial" w:cs="Arial" w:hAnsi="Arial" w:eastAsia="Arial"/>
        </w:rPr>
        <w:fldChar w:fldCharType="separate" w:fldLock="0"/>
      </w:r>
      <w:r>
        <w:rPr>
          <w:rStyle w:val="Hyperlink.1"/>
          <w:rFonts w:ascii="Arial" w:hAnsi="Arial"/>
          <w:rtl w:val="0"/>
          <w:lang w:val="en-US"/>
        </w:rPr>
        <w:t>https://www.ons.gov.uk/peoplepopulationandcommunity/culturalidentity/ethnicity/bulletins/ethnicgroupenglandandwales/census2021</w:t>
      </w:r>
      <w:r>
        <w:rPr>
          <w:rFonts w:ascii="Arial" w:cs="Arial" w:hAnsi="Arial" w:eastAsia="Arial"/>
        </w:rPr>
        <w:fldChar w:fldCharType="end" w:fldLock="0"/>
      </w:r>
      <w:r>
        <w:rPr>
          <w:rStyle w:val="None"/>
          <w:rFonts w:ascii="Arial" w:hAnsi="Arial"/>
          <w:rtl w:val="0"/>
          <w:lang w:val="en-US"/>
        </w:rPr>
        <w:t>(Accessed: 25 June 2025).</w:t>
      </w:r>
    </w:p>
    <w:p>
      <w:pPr>
        <w:pStyle w:val="Default"/>
        <w:suppressAutoHyphens w:val="1"/>
        <w:spacing w:before="0" w:after="240" w:line="240" w:lineRule="auto"/>
        <w:rPr>
          <w:rFonts w:ascii="Arial" w:cs="Arial" w:hAnsi="Arial" w:eastAsia="Arial"/>
        </w:rPr>
      </w:pPr>
      <w:r>
        <w:rPr>
          <w:rStyle w:val="None"/>
          <w:rFonts w:ascii="Arial" w:hAnsi="Arial"/>
          <w:rtl w:val="0"/>
          <w:lang w:val="en-US"/>
        </w:rPr>
        <w:t xml:space="preserve">Personnel Today (2024) Three-quarters of police admit to wellbeing difficulties.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"https://www.personneltoday.com/hr/three-quarters-of-police-admit-to-wellbeing-difficulties/"</w:instrText>
      </w:r>
      <w:r>
        <w:rPr>
          <w:rStyle w:val="Hyperlink.0"/>
          <w:rFonts w:ascii="Arial" w:cs="Arial" w:hAnsi="Arial" w:eastAsia="Arial"/>
        </w:rPr>
        <w:fldChar w:fldCharType="separate" w:fldLock="0"/>
      </w:r>
      <w:r>
        <w:rPr>
          <w:rStyle w:val="Hyperlink.0"/>
          <w:rFonts w:ascii="Arial" w:hAnsi="Arial"/>
          <w:rtl w:val="0"/>
          <w:lang w:val="en-US"/>
        </w:rPr>
        <w:t>https://www.personneltoday.com/hr/three-quarters-of-police-admit-to-wellbeing-difficulties/</w:t>
      </w:r>
      <w:r>
        <w:rPr>
          <w:rFonts w:ascii="Arial" w:cs="Arial" w:hAnsi="Arial" w:eastAsia="Arial"/>
        </w:rPr>
        <w:fldChar w:fldCharType="end" w:fldLock="0"/>
      </w:r>
      <w:r>
        <w:rPr>
          <w:rStyle w:val="None"/>
          <w:rFonts w:ascii="Arial" w:hAnsi="Arial"/>
          <w:rtl w:val="0"/>
          <w:lang w:val="en-US"/>
        </w:rPr>
        <w:t xml:space="preserve"> (Accessed: 26 May 2025).</w:t>
      </w:r>
    </w:p>
    <w:p>
      <w:pPr>
        <w:pStyle w:val="Default"/>
        <w:suppressAutoHyphens w:val="1"/>
        <w:spacing w:before="0" w:after="240" w:line="240" w:lineRule="auto"/>
        <w:rPr>
          <w:rStyle w:val="None"/>
          <w:rFonts w:ascii="Arial" w:cs="Arial" w:hAnsi="Arial" w:eastAsia="Arial"/>
          <w:lang w:val="en-US"/>
        </w:rPr>
      </w:pPr>
      <w:r>
        <w:rPr>
          <w:rStyle w:val="None"/>
          <w:rFonts w:ascii="Arial" w:hAnsi="Arial"/>
          <w:rtl w:val="0"/>
          <w:lang w:val="en-US"/>
        </w:rPr>
        <w:t xml:space="preserve">Police Federation (2024) Record 14,508 officers signed off with poor mental health in past year. Available at: </w:t>
      </w:r>
      <w:r>
        <w:rPr>
          <w:rStyle w:val="Hyperlink.4"/>
          <w:rFonts w:ascii="Arial" w:cs="Arial" w:hAnsi="Arial" w:eastAsia="Arial"/>
        </w:rPr>
        <w:fldChar w:fldCharType="begin" w:fldLock="0"/>
      </w:r>
      <w:r>
        <w:rPr>
          <w:rStyle w:val="Hyperlink.4"/>
          <w:rFonts w:ascii="Arial" w:cs="Arial" w:hAnsi="Arial" w:eastAsia="Arial"/>
        </w:rPr>
        <w:instrText xml:space="preserve"> HYPERLINK "https://www.polfed.org/news/latest"</w:instrText>
      </w:r>
      <w:r>
        <w:rPr>
          <w:rStyle w:val="Hyperlink.4"/>
          <w:rFonts w:ascii="Arial" w:cs="Arial" w:hAnsi="Arial" w:eastAsia="Arial"/>
        </w:rPr>
        <w:fldChar w:fldCharType="separate" w:fldLock="0"/>
      </w:r>
      <w:r>
        <w:rPr>
          <w:rStyle w:val="Hyperlink.4"/>
          <w:rFonts w:ascii="Arial" w:hAnsi="Arial"/>
          <w:rtl w:val="0"/>
          <w:lang w:val="en-US"/>
        </w:rPr>
        <w:t>https://www.polfed.org/news/latest</w:t>
      </w:r>
      <w:r>
        <w:rPr>
          <w:rFonts w:ascii="Arial" w:cs="Arial" w:hAnsi="Arial" w:eastAsia="Arial"/>
        </w:rPr>
        <w:fldChar w:fldCharType="end" w:fldLock="0"/>
      </w:r>
    </w:p>
    <w:p>
      <w:pPr>
        <w:pStyle w:val="Default"/>
        <w:suppressAutoHyphens w:val="1"/>
        <w:spacing w:before="0" w:line="240" w:lineRule="auto"/>
        <w:jc w:val="left"/>
        <w:rPr>
          <w:rFonts w:ascii="Arial" w:cs="Arial" w:hAnsi="Arial" w:eastAsia="Arial"/>
        </w:rPr>
      </w:pPr>
      <w:r>
        <w:rPr>
          <w:rFonts w:ascii="Arial" w:hAnsi="Arial"/>
          <w:rtl w:val="0"/>
          <w:lang w:val="en-US"/>
        </w:rPr>
        <w:t xml:space="preserve">Spicer, J., Moyle, L. and Coomber, R. (2020) </w:t>
      </w:r>
      <w:r>
        <w:rPr>
          <w:rFonts w:ascii="Arial" w:hAnsi="Arial" w:hint="default"/>
          <w:rtl w:val="1"/>
        </w:rPr>
        <w:t>‘</w:t>
      </w:r>
      <w:r>
        <w:rPr>
          <w:rFonts w:ascii="Arial" w:hAnsi="Arial"/>
          <w:rtl w:val="0"/>
          <w:lang w:val="en-US"/>
        </w:rPr>
        <w:t xml:space="preserve">The variable and evolving nature of </w:t>
      </w:r>
      <w:r>
        <w:rPr>
          <w:rFonts w:ascii="Arial" w:hAnsi="Arial" w:hint="default"/>
          <w:rtl w:val="1"/>
        </w:rPr>
        <w:t>‘</w:t>
      </w:r>
      <w:r>
        <w:rPr>
          <w:rFonts w:ascii="Arial" w:hAnsi="Arial"/>
          <w:rtl w:val="0"/>
          <w:lang w:val="nl-NL"/>
        </w:rPr>
        <w:t>cuckooing</w:t>
      </w:r>
      <w:r>
        <w:rPr>
          <w:rFonts w:ascii="Arial" w:hAnsi="Arial" w:hint="default"/>
          <w:rtl w:val="1"/>
        </w:rPr>
        <w:t xml:space="preserve">’ </w:t>
      </w:r>
      <w:r>
        <w:rPr>
          <w:rFonts w:ascii="Arial" w:hAnsi="Arial"/>
          <w:rtl w:val="0"/>
          <w:lang w:val="en-US"/>
        </w:rPr>
        <w:t>as a form of criminal exploitation in street level drug markets</w:t>
      </w:r>
      <w:r>
        <w:rPr>
          <w:rFonts w:ascii="Arial" w:hAnsi="Arial" w:hint="default"/>
          <w:rtl w:val="1"/>
        </w:rPr>
        <w:t>’</w:t>
      </w:r>
      <w:r>
        <w:rPr>
          <w:rFonts w:ascii="Arial" w:hAnsi="Arial"/>
          <w:rtl w:val="0"/>
        </w:rPr>
        <w:t xml:space="preserve">, </w:t>
      </w:r>
      <w:r>
        <w:rPr>
          <w:rStyle w:val="None"/>
          <w:rFonts w:ascii="Arial" w:hAnsi="Arial"/>
          <w:i w:val="1"/>
          <w:iCs w:val="1"/>
          <w:rtl w:val="0"/>
          <w:lang w:val="en-US"/>
        </w:rPr>
        <w:t>Trends in Organized Crime</w:t>
      </w:r>
      <w:r>
        <w:rPr>
          <w:rFonts w:ascii="Arial" w:hAnsi="Arial"/>
          <w:rtl w:val="0"/>
        </w:rPr>
        <w:t>, 23(4), pp.</w:t>
      </w:r>
      <w:r>
        <w:rPr>
          <w:rFonts w:ascii="Arial" w:hAnsi="Arial" w:hint="default"/>
          <w:rtl w:val="0"/>
          <w:lang w:val="fr-FR"/>
        </w:rPr>
        <w:t> </w:t>
      </w:r>
      <w:r>
        <w:rPr>
          <w:rFonts w:ascii="Arial" w:hAnsi="Arial"/>
          <w:rtl w:val="0"/>
        </w:rPr>
        <w:t>301</w:t>
      </w:r>
      <w:r>
        <w:rPr>
          <w:rFonts w:ascii="Arial" w:hAnsi="Arial" w:hint="default"/>
          <w:rtl w:val="0"/>
        </w:rPr>
        <w:t>–</w:t>
      </w:r>
      <w:r>
        <w:rPr>
          <w:rFonts w:ascii="Arial" w:hAnsi="Arial"/>
          <w:rtl w:val="0"/>
        </w:rPr>
        <w:t>323.</w:t>
      </w:r>
    </w:p>
    <w:p>
      <w:pPr>
        <w:pStyle w:val="Default"/>
        <w:suppressAutoHyphens w:val="1"/>
        <w:spacing w:before="0" w:line="240" w:lineRule="auto"/>
        <w:jc w:val="left"/>
        <w:rPr>
          <w:rStyle w:val="None"/>
          <w:rFonts w:ascii="Arial" w:cs="Arial" w:hAnsi="Arial" w:eastAsia="Arial"/>
          <w:lang w:val="en-US"/>
        </w:rPr>
      </w:pPr>
    </w:p>
    <w:p>
      <w:pPr>
        <w:pStyle w:val="Default"/>
        <w:suppressAutoHyphens w:val="1"/>
        <w:spacing w:before="0" w:line="240" w:lineRule="auto"/>
        <w:jc w:val="left"/>
        <w:rPr>
          <w:rFonts w:ascii="Arial" w:cs="Arial" w:hAnsi="Arial" w:eastAsia="Arial"/>
        </w:rPr>
      </w:pPr>
      <w:r>
        <w:rPr>
          <w:rFonts w:ascii="Arial" w:hAnsi="Arial"/>
          <w:rtl w:val="0"/>
        </w:rPr>
        <w:t xml:space="preserve">Smith, J. and Tehrani, N. (2023) </w:t>
      </w:r>
      <w:r>
        <w:rPr>
          <w:rFonts w:ascii="Arial" w:hAnsi="Arial" w:hint="default"/>
          <w:rtl w:val="1"/>
        </w:rPr>
        <w:t>‘</w:t>
      </w:r>
      <w:r>
        <w:rPr>
          <w:rFonts w:ascii="Arial" w:hAnsi="Arial"/>
          <w:rtl w:val="0"/>
          <w:lang w:val="en-US"/>
        </w:rPr>
        <w:t>The policing culture: an exploration into the mental health of former British police officers</w:t>
      </w:r>
      <w:r>
        <w:rPr>
          <w:rFonts w:ascii="Arial" w:hAnsi="Arial" w:hint="default"/>
          <w:rtl w:val="1"/>
        </w:rPr>
        <w:t>’</w:t>
      </w:r>
      <w:r>
        <w:rPr>
          <w:rFonts w:ascii="Arial" w:hAnsi="Arial"/>
          <w:rtl w:val="0"/>
        </w:rPr>
        <w:t xml:space="preserve">, </w:t>
      </w:r>
      <w:r>
        <w:rPr>
          <w:rStyle w:val="None"/>
          <w:rFonts w:ascii="Arial" w:hAnsi="Arial"/>
          <w:i w:val="1"/>
          <w:iCs w:val="1"/>
          <w:rtl w:val="0"/>
          <w:lang w:val="en-US"/>
        </w:rPr>
        <w:t>Current Psychology</w:t>
      </w:r>
      <w:r>
        <w:rPr>
          <w:rFonts w:ascii="Arial" w:hAnsi="Arial"/>
          <w:rtl w:val="0"/>
        </w:rPr>
        <w:t>.</w:t>
      </w:r>
    </w:p>
    <w:p>
      <w:pPr>
        <w:pStyle w:val="Default"/>
        <w:suppressAutoHyphens w:val="1"/>
        <w:spacing w:before="0" w:line="240" w:lineRule="auto"/>
        <w:jc w:val="left"/>
        <w:rPr>
          <w:rFonts w:ascii="Arial" w:cs="Arial" w:hAnsi="Arial" w:eastAsia="Arial"/>
        </w:rPr>
      </w:pPr>
    </w:p>
    <w:p>
      <w:pPr>
        <w:pStyle w:val="Default"/>
        <w:suppressAutoHyphens w:val="1"/>
        <w:spacing w:before="0" w:line="240" w:lineRule="auto"/>
        <w:jc w:val="left"/>
        <w:rPr>
          <w:rFonts w:ascii="Arial" w:cs="Arial" w:hAnsi="Arial" w:eastAsia="Arial"/>
        </w:rPr>
      </w:pPr>
      <w:r>
        <w:rPr>
          <w:rFonts w:ascii="Arial" w:hAnsi="Arial"/>
          <w:rtl w:val="0"/>
          <w:lang w:val="en-US"/>
        </w:rPr>
        <w:t xml:space="preserve">Syed, S., Ashwick, R., Schlosser, M., Jones, R., Rowe, S. &amp; Billings, J., 2020. Global prevalence and risk factors for mental health problems in police personnel: a systematic review and meta-analysis. </w:t>
      </w:r>
      <w:r>
        <w:rPr>
          <w:rStyle w:val="None"/>
          <w:rFonts w:ascii="Arial" w:hAnsi="Arial"/>
          <w:i w:val="1"/>
          <w:iCs w:val="1"/>
          <w:rtl w:val="0"/>
          <w:lang w:val="en-US"/>
        </w:rPr>
        <w:t>Occupational and Environmental Medicine</w:t>
      </w:r>
      <w:r>
        <w:rPr>
          <w:rFonts w:ascii="Arial" w:hAnsi="Arial"/>
          <w:rtl w:val="0"/>
        </w:rPr>
        <w:t>, 77(11), pp.737</w:t>
      </w:r>
    </w:p>
    <w:p>
      <w:pPr>
        <w:pStyle w:val="Default"/>
        <w:suppressAutoHyphens w:val="1"/>
        <w:spacing w:before="0" w:line="240" w:lineRule="auto"/>
        <w:jc w:val="left"/>
        <w:rPr>
          <w:rStyle w:val="None"/>
          <w:rFonts w:ascii="Arial" w:cs="Arial" w:hAnsi="Arial" w:eastAsia="Arial"/>
          <w:lang w:val="en-US"/>
        </w:rPr>
      </w:pPr>
    </w:p>
    <w:p>
      <w:pPr>
        <w:pStyle w:val="Default"/>
        <w:suppressAutoHyphens w:val="1"/>
        <w:spacing w:before="0" w:line="240" w:lineRule="auto"/>
        <w:jc w:val="left"/>
      </w:pPr>
      <w:r>
        <w:rPr>
          <w:rFonts w:ascii="Arial" w:hAnsi="Arial"/>
          <w:rtl w:val="0"/>
        </w:rPr>
        <w:t xml:space="preserve">Wicks, N. (2025) </w:t>
      </w:r>
      <w:r>
        <w:rPr>
          <w:rFonts w:ascii="Arial" w:hAnsi="Arial" w:hint="default"/>
          <w:rtl w:val="1"/>
        </w:rPr>
        <w:t>‘</w:t>
      </w:r>
      <w:r>
        <w:rPr>
          <w:rFonts w:ascii="Arial" w:hAnsi="Arial"/>
          <w:rtl w:val="0"/>
          <w:lang w:val="en-US"/>
        </w:rPr>
        <w:t>The racial ideology of the British police: Protecting and projecting whiteness</w:t>
      </w:r>
      <w:r>
        <w:rPr>
          <w:rFonts w:ascii="Arial" w:hAnsi="Arial" w:hint="default"/>
          <w:rtl w:val="1"/>
        </w:rPr>
        <w:t>’</w:t>
      </w:r>
      <w:r>
        <w:rPr>
          <w:rFonts w:ascii="Arial" w:hAnsi="Arial"/>
          <w:rtl w:val="0"/>
        </w:rPr>
        <w:t xml:space="preserve">, </w:t>
      </w:r>
      <w:r>
        <w:rPr>
          <w:rStyle w:val="None"/>
          <w:rFonts w:ascii="Arial" w:hAnsi="Arial"/>
          <w:i w:val="1"/>
          <w:iCs w:val="1"/>
          <w:rtl w:val="0"/>
          <w:lang w:val="en-US"/>
        </w:rPr>
        <w:t>British Journal of Criminology</w:t>
      </w:r>
      <w:r>
        <w:rPr>
          <w:rFonts w:ascii="Arial" w:hAnsi="Arial"/>
          <w:rtl w:val="0"/>
        </w:rPr>
        <w:t>, 65(2), pp. 298</w:t>
      </w:r>
      <w:r>
        <w:rPr>
          <w:rFonts w:ascii="Arial" w:hAnsi="Arial" w:hint="default"/>
          <w:rtl w:val="0"/>
        </w:rPr>
        <w:t>–</w:t>
      </w:r>
      <w:r>
        <w:rPr>
          <w:rFonts w:ascii="Arial" w:hAnsi="Arial"/>
          <w:rtl w:val="0"/>
        </w:rPr>
        <w:t>316.</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ee"/>
      <w:u w:val="single" w:color="0000ee"/>
      <w:lang w:val="en-US"/>
      <w14:textFill>
        <w14:solidFill>
          <w14:srgbClr w14:val="0000EE"/>
        </w14:solidFill>
      </w14:textFill>
    </w:rPr>
  </w:style>
  <w:style w:type="character" w:styleId="Hyperlink.1">
    <w:name w:val="Hyperlink.1"/>
    <w:basedOn w:val="None"/>
    <w:next w:val="Hyperlink.1"/>
    <w:rPr>
      <w:outline w:val="0"/>
      <w:color w:val="0000ff"/>
      <w:u w:val="single" w:color="0000ff"/>
      <w:lang w:val="en-US"/>
      <w14:textFill>
        <w14:solidFill>
          <w14:srgbClr w14:val="0000FF"/>
        </w14:solidFill>
      </w14:textFill>
    </w:rPr>
  </w:style>
  <w:style w:type="character" w:styleId="Hyperlink.2">
    <w:name w:val="Hyperlink.2"/>
    <w:basedOn w:val="None"/>
    <w:next w:val="Hyperlink.2"/>
    <w:rPr>
      <w:outline w:val="0"/>
      <w:color w:val="0000ee"/>
      <w:u w:val="single" w:color="0000ee"/>
      <w14:textFill>
        <w14:solidFill>
          <w14:srgbClr w14:val="0000EE"/>
        </w14:solidFill>
      </w14:textFill>
    </w:rPr>
  </w:style>
  <w:style w:type="character" w:styleId="Hyperlink.3">
    <w:name w:val="Hyperlink.3"/>
    <w:basedOn w:val="None"/>
    <w:next w:val="Hyperlink.3"/>
    <w:rPr>
      <w:outline w:val="0"/>
      <w:color w:val="0000ee"/>
      <w:u w:val="single" w:color="0000ee"/>
      <w:lang w:val="de-DE"/>
      <w14:textFill>
        <w14:solidFill>
          <w14:srgbClr w14:val="0000EE"/>
        </w14:solidFill>
      </w14:textFill>
    </w:rPr>
  </w:style>
  <w:style w:type="character" w:styleId="Hyperlink.4">
    <w:name w:val="Hyperlink.4"/>
    <w:basedOn w:val="Hyperlink"/>
    <w:next w:val="Hyperlink.4"/>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