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11F52"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drawing>
          <wp:inline distT="0" distB="0" distL="0" distR="0" wp14:anchorId="3FDAEFE7" wp14:editId="4D32588B">
            <wp:extent cx="2026920" cy="708660"/>
            <wp:effectExtent l="0" t="0" r="0" b="0"/>
            <wp:docPr id="15743453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6920" cy="708660"/>
                    </a:xfrm>
                    <a:prstGeom prst="rect">
                      <a:avLst/>
                    </a:prstGeom>
                    <a:noFill/>
                    <a:ln>
                      <a:noFill/>
                    </a:ln>
                  </pic:spPr>
                </pic:pic>
              </a:graphicData>
            </a:graphic>
          </wp:inline>
        </w:drawing>
      </w:r>
      <w:r w:rsidRPr="00DC7A3F">
        <w:rPr>
          <w:rFonts w:ascii="Times New Roman" w:eastAsia="Calibri" w:hAnsi="Times New Roman" w:cs="Times New Roman"/>
          <w:b/>
          <w:kern w:val="0"/>
          <w:sz w:val="48"/>
          <w14:ligatures w14:val="none"/>
        </w:rPr>
        <w:t> </w:t>
      </w:r>
    </w:p>
    <w:p w14:paraId="186B794A"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E18BFF5"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GRADUATE CERTIFICATE in Consolidation of Social Work Practice</w:t>
      </w:r>
      <w:r w:rsidRPr="00DC7A3F">
        <w:rPr>
          <w:rFonts w:ascii="Times New Roman" w:eastAsia="Calibri" w:hAnsi="Times New Roman" w:cs="Times New Roman"/>
          <w:b/>
          <w:kern w:val="0"/>
          <w:sz w:val="48"/>
          <w14:ligatures w14:val="none"/>
        </w:rPr>
        <w:t> </w:t>
      </w:r>
    </w:p>
    <w:p w14:paraId="4688FD0F"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LEVEL 6 - 60 Credits</w:t>
      </w:r>
      <w:r w:rsidRPr="00DC7A3F">
        <w:rPr>
          <w:rFonts w:ascii="Times New Roman" w:eastAsia="Calibri" w:hAnsi="Times New Roman" w:cs="Times New Roman"/>
          <w:b/>
          <w:kern w:val="0"/>
          <w:sz w:val="48"/>
          <w14:ligatures w14:val="none"/>
        </w:rPr>
        <w:t> </w:t>
      </w:r>
    </w:p>
    <w:p w14:paraId="10610763"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BMPF6044</w:t>
      </w:r>
      <w:r w:rsidRPr="00DC7A3F">
        <w:rPr>
          <w:rFonts w:ascii="Times New Roman" w:eastAsia="Calibri" w:hAnsi="Times New Roman" w:cs="Times New Roman"/>
          <w:b/>
          <w:kern w:val="0"/>
          <w:sz w:val="48"/>
          <w14:ligatures w14:val="none"/>
        </w:rPr>
        <w:t> </w:t>
      </w:r>
    </w:p>
    <w:p w14:paraId="756519C2"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429A1B8A"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2D1F64E9"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 PORTFOLIO</w:t>
      </w:r>
      <w:r w:rsidRPr="00DC7A3F">
        <w:rPr>
          <w:rFonts w:ascii="Times New Roman" w:eastAsia="Calibri" w:hAnsi="Times New Roman" w:cs="Times New Roman"/>
          <w:b/>
          <w:kern w:val="0"/>
          <w:sz w:val="48"/>
          <w14:ligatures w14:val="none"/>
        </w:rPr>
        <w:t> </w:t>
      </w:r>
    </w:p>
    <w:p w14:paraId="286F0813"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(PORTH AGORED and UNIVERSITY OF WALES TRINITY SAINT DAVID)</w:t>
      </w:r>
      <w:r w:rsidRPr="00DC7A3F">
        <w:rPr>
          <w:rFonts w:ascii="Times New Roman" w:eastAsia="Calibri" w:hAnsi="Times New Roman" w:cs="Times New Roman"/>
          <w:b/>
          <w:kern w:val="0"/>
          <w:sz w:val="48"/>
          <w14:ligatures w14:val="none"/>
        </w:rPr>
        <w:t> </w:t>
      </w:r>
    </w:p>
    <w:p w14:paraId="46959B0A"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7469BC2D"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1764F99E"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Learner’s name: Sarah Rees</w:t>
      </w:r>
      <w:r w:rsidRPr="00DC7A3F">
        <w:rPr>
          <w:rFonts w:ascii="Times New Roman" w:eastAsia="Calibri" w:hAnsi="Times New Roman" w:cs="Times New Roman"/>
          <w:b/>
          <w:kern w:val="0"/>
          <w:sz w:val="48"/>
          <w14:ligatures w14:val="none"/>
        </w:rPr>
        <w:t> </w:t>
      </w:r>
    </w:p>
    <w:p w14:paraId="17C8F233"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1300532A"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xml:space="preserve">Email address: </w:t>
      </w:r>
    </w:p>
    <w:p w14:paraId="0E83346C" w14:textId="77777777" w:rsidR="002D503C"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hyperlink r:id="rId5" w:history="1">
        <w:r w:rsidRPr="00140845">
          <w:rPr>
            <w:rStyle w:val="Hyperlink"/>
            <w:rFonts w:ascii="Times New Roman" w:eastAsia="Calibri" w:hAnsi="Times New Roman" w:cs="Times New Roman"/>
            <w:b/>
            <w:kern w:val="0"/>
            <w:sz w:val="48"/>
            <w14:ligatures w14:val="none"/>
          </w:rPr>
          <w:t>2332653@student.uwtsd.ac.uk</w:t>
        </w:r>
      </w:hyperlink>
      <w:r>
        <w:rPr>
          <w:rFonts w:ascii="Times New Roman" w:eastAsia="Calibri" w:hAnsi="Times New Roman" w:cs="Times New Roman"/>
          <w:b/>
          <w:kern w:val="0"/>
          <w:sz w:val="48"/>
          <w14:ligatures w14:val="none"/>
        </w:rPr>
        <w:t xml:space="preserve"> </w:t>
      </w:r>
    </w:p>
    <w:p w14:paraId="5A7ED59F"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p>
    <w:p w14:paraId="4ED60C0D" w14:textId="77777777" w:rsidR="002D503C" w:rsidRDefault="002D503C" w:rsidP="002D503C">
      <w:pPr>
        <w:spacing w:after="0" w:line="240" w:lineRule="auto"/>
        <w:ind w:right="-957"/>
        <w:rPr>
          <w:rFonts w:ascii="Times New Roman" w:eastAsia="Calibri" w:hAnsi="Times New Roman" w:cs="Times New Roman"/>
          <w:b/>
          <w:bCs/>
          <w:kern w:val="0"/>
          <w:sz w:val="48"/>
          <w14:ligatures w14:val="none"/>
        </w:rPr>
      </w:pPr>
      <w:r w:rsidRPr="00DC7A3F">
        <w:rPr>
          <w:rFonts w:ascii="Times New Roman" w:eastAsia="Calibri" w:hAnsi="Times New Roman" w:cs="Times New Roman"/>
          <w:b/>
          <w:bCs/>
          <w:kern w:val="0"/>
          <w:sz w:val="48"/>
          <w14:ligatures w14:val="none"/>
        </w:rPr>
        <w:t>Learner’s University Registration Number:</w:t>
      </w:r>
    </w:p>
    <w:p w14:paraId="04994005"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8C17D6">
        <w:rPr>
          <w:rFonts w:ascii="Times New Roman" w:eastAsia="Calibri" w:hAnsi="Times New Roman" w:cs="Times New Roman"/>
          <w:b/>
          <w:kern w:val="0"/>
          <w:sz w:val="48"/>
          <w14:ligatures w14:val="none"/>
        </w:rPr>
        <w:t>2332653</w:t>
      </w:r>
    </w:p>
    <w:p w14:paraId="0639A582"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C8F2DB6"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Cohort: 21 onwards</w:t>
      </w:r>
      <w:r w:rsidRPr="00DC7A3F">
        <w:rPr>
          <w:rFonts w:ascii="Times New Roman" w:eastAsia="Calibri" w:hAnsi="Times New Roman" w:cs="Times New Roman"/>
          <w:b/>
          <w:kern w:val="0"/>
          <w:sz w:val="48"/>
          <w14:ligatures w14:val="none"/>
        </w:rPr>
        <w:t> </w:t>
      </w:r>
    </w:p>
    <w:p w14:paraId="4BD995E1" w14:textId="77777777" w:rsidR="002D503C" w:rsidRPr="00DC7A3F" w:rsidRDefault="002D503C" w:rsidP="002D503C">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w:t>
      </w:r>
      <w:r w:rsidRPr="00DC7A3F">
        <w:rPr>
          <w:rFonts w:ascii="Times New Roman" w:eastAsia="Calibri" w:hAnsi="Times New Roman" w:cs="Times New Roman"/>
          <w:b/>
          <w:kern w:val="0"/>
          <w:sz w:val="48"/>
          <w14:ligatures w14:val="none"/>
        </w:rPr>
        <w:t> </w:t>
      </w:r>
    </w:p>
    <w:p w14:paraId="7557AED4" w14:textId="77777777" w:rsidR="002D503C" w:rsidRDefault="002D503C" w:rsidP="002D503C">
      <w:pPr>
        <w:spacing w:after="0" w:line="240" w:lineRule="auto"/>
        <w:ind w:right="-957"/>
        <w:rPr>
          <w:rFonts w:ascii="Times New Roman" w:eastAsia="Calibri" w:hAnsi="Times New Roman" w:cs="Times New Roman"/>
          <w:b/>
          <w:kern w:val="0"/>
          <w:sz w:val="48"/>
          <w14:ligatures w14:val="none"/>
        </w:rPr>
      </w:pPr>
    </w:p>
    <w:p w14:paraId="20016DA8" w14:textId="77777777" w:rsidR="002D503C" w:rsidRPr="002D503C" w:rsidRDefault="002D503C" w:rsidP="002D503C">
      <w:pPr>
        <w:overflowPunct w:val="0"/>
        <w:autoSpaceDE w:val="0"/>
        <w:autoSpaceDN w:val="0"/>
        <w:adjustRightInd w:val="0"/>
        <w:spacing w:after="0" w:line="240" w:lineRule="auto"/>
        <w:jc w:val="center"/>
        <w:textAlignment w:val="baseline"/>
        <w:rPr>
          <w:rFonts w:ascii="Arial" w:eastAsia="Times New Roman" w:hAnsi="Arial" w:cs="Arial"/>
          <w:b/>
          <w:color w:val="000000"/>
          <w:kern w:val="0"/>
          <w:lang w:eastAsia="en-GB"/>
          <w14:ligatures w14:val="none"/>
        </w:rPr>
      </w:pPr>
    </w:p>
    <w:p w14:paraId="71D89813" w14:textId="77777777" w:rsidR="002D503C" w:rsidRPr="002D503C" w:rsidRDefault="002D503C" w:rsidP="002D503C">
      <w:pPr>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2D503C">
        <w:rPr>
          <w:rFonts w:ascii="Arial" w:eastAsia="Times New Roman" w:hAnsi="Arial" w:cs="Arial"/>
          <w:b/>
          <w:color w:val="000000"/>
          <w:kern w:val="0"/>
          <w:sz w:val="28"/>
          <w:szCs w:val="28"/>
          <w:lang w:eastAsia="en-GB"/>
          <w14:ligatures w14:val="none"/>
        </w:rPr>
        <w:t>Task 4</w:t>
      </w:r>
    </w:p>
    <w:p w14:paraId="1D4F0D23" w14:textId="77777777" w:rsidR="002D503C" w:rsidRPr="002D503C" w:rsidRDefault="002D503C" w:rsidP="002D503C">
      <w:pPr>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p>
    <w:p w14:paraId="7CB7B17B" w14:textId="77777777" w:rsidR="002D503C" w:rsidRPr="002D503C" w:rsidRDefault="002D503C" w:rsidP="002D503C">
      <w:pPr>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2D503C">
        <w:rPr>
          <w:rFonts w:ascii="Arial" w:eastAsia="Times New Roman" w:hAnsi="Arial" w:cs="Arial"/>
          <w:b/>
          <w:color w:val="000000"/>
          <w:kern w:val="0"/>
          <w:sz w:val="28"/>
          <w:szCs w:val="28"/>
          <w:lang w:eastAsia="en-GB"/>
          <w14:ligatures w14:val="none"/>
        </w:rPr>
        <w:t>Safeguarding in an area which is not your main area of work</w:t>
      </w:r>
    </w:p>
    <w:p w14:paraId="2E20BD9C"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color w:val="000000"/>
          <w:kern w:val="0"/>
          <w:lang w:eastAsia="en-GB"/>
          <w14:ligatures w14:val="none"/>
        </w:rPr>
      </w:pPr>
    </w:p>
    <w:p w14:paraId="3916E250" w14:textId="77777777" w:rsidR="002D503C" w:rsidRPr="002D503C" w:rsidRDefault="002D503C" w:rsidP="002D503C">
      <w:pPr>
        <w:overflowPunct w:val="0"/>
        <w:autoSpaceDE w:val="0"/>
        <w:autoSpaceDN w:val="0"/>
        <w:adjustRightInd w:val="0"/>
        <w:spacing w:after="0" w:line="240" w:lineRule="auto"/>
        <w:ind w:left="-90"/>
        <w:jc w:val="both"/>
        <w:textAlignment w:val="baseline"/>
        <w:rPr>
          <w:rFonts w:ascii="Arial" w:eastAsia="Times New Roman" w:hAnsi="Arial" w:cs="Arial"/>
          <w:b/>
          <w:i/>
          <w:color w:val="000000"/>
          <w:kern w:val="0"/>
          <w:lang w:eastAsia="en-GB"/>
          <w14:ligatures w14:val="none"/>
        </w:rPr>
      </w:pPr>
      <w:r w:rsidRPr="002D503C">
        <w:rPr>
          <w:rFonts w:ascii="Arial" w:eastAsia="Times New Roman" w:hAnsi="Arial" w:cs="Arial"/>
          <w:b/>
          <w:i/>
          <w:color w:val="000000"/>
          <w:kern w:val="0"/>
          <w:lang w:eastAsia="en-GB"/>
          <w14:ligatures w14:val="none"/>
        </w:rPr>
        <w:t xml:space="preserve">Guidance: </w:t>
      </w:r>
    </w:p>
    <w:p w14:paraId="3DF4EC55" w14:textId="77777777" w:rsidR="002D503C" w:rsidRPr="002D503C" w:rsidRDefault="002D503C" w:rsidP="002D503C">
      <w:pPr>
        <w:overflowPunct w:val="0"/>
        <w:autoSpaceDE w:val="0"/>
        <w:autoSpaceDN w:val="0"/>
        <w:adjustRightInd w:val="0"/>
        <w:spacing w:after="0" w:line="240" w:lineRule="auto"/>
        <w:ind w:left="-90"/>
        <w:jc w:val="both"/>
        <w:textAlignment w:val="baseline"/>
        <w:rPr>
          <w:rFonts w:ascii="Arial" w:eastAsia="Times New Roman" w:hAnsi="Arial" w:cs="Arial"/>
          <w:i/>
          <w:iCs/>
          <w:color w:val="000000"/>
          <w:kern w:val="0"/>
          <w:lang w:eastAsia="en-GB"/>
          <w14:ligatures w14:val="none"/>
        </w:rPr>
      </w:pPr>
      <w:r w:rsidRPr="002D503C">
        <w:rPr>
          <w:rFonts w:ascii="Arial" w:eastAsia="Times New Roman" w:hAnsi="Arial" w:cs="Arial"/>
          <w:i/>
          <w:iCs/>
          <w:color w:val="000000"/>
          <w:kern w:val="0"/>
          <w:lang w:eastAsia="en-GB"/>
          <w14:ligatures w14:val="none"/>
        </w:rPr>
        <w:t xml:space="preserve">Social Care Wales require newly qualified social workers to provide evidence of their understanding of safeguarding work with adults and children. The assignment below will enable you to demonstrate this. </w:t>
      </w:r>
      <w:r w:rsidRPr="002D503C">
        <w:rPr>
          <w:rFonts w:ascii="Arial" w:eastAsia="Times New Roman" w:hAnsi="Arial" w:cs="Arial"/>
          <w:b/>
          <w:bCs/>
          <w:i/>
          <w:iCs/>
          <w:color w:val="000000"/>
          <w:kern w:val="0"/>
          <w:lang w:eastAsia="en-GB"/>
          <w14:ligatures w14:val="none"/>
        </w:rPr>
        <w:t>N.B</w:t>
      </w:r>
      <w:r w:rsidRPr="002D503C">
        <w:rPr>
          <w:rFonts w:ascii="Arial" w:eastAsia="Times New Roman" w:hAnsi="Arial" w:cs="Arial"/>
          <w:i/>
          <w:iCs/>
          <w:color w:val="000000"/>
          <w:kern w:val="0"/>
          <w:lang w:eastAsia="en-GB"/>
          <w14:ligatures w14:val="none"/>
        </w:rPr>
        <w:t>. if your usual area of work is with children please write about adult safeguarding. If you usually work with adults, then write about child safeguarding.  Ensure you meet the learning out comes for this task (see appendix 5 of the handbook).</w:t>
      </w:r>
    </w:p>
    <w:p w14:paraId="781B477A" w14:textId="77777777" w:rsidR="002D503C" w:rsidRPr="002D503C" w:rsidRDefault="002D503C" w:rsidP="002D503C">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kern w:val="0"/>
          <w:u w:val="single"/>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D503C" w:rsidRPr="002D503C" w14:paraId="3D987682" w14:textId="77777777" w:rsidTr="00F8220A">
        <w:tc>
          <w:tcPr>
            <w:tcW w:w="10188" w:type="dxa"/>
          </w:tcPr>
          <w:p w14:paraId="499201EA"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color w:val="000000"/>
                <w:kern w:val="0"/>
                <w:lang w:eastAsia="en-GB"/>
                <w14:ligatures w14:val="none"/>
              </w:rPr>
            </w:pPr>
            <w:r w:rsidRPr="002D503C">
              <w:rPr>
                <w:rFonts w:ascii="Arial" w:eastAsia="Times New Roman" w:hAnsi="Arial" w:cs="Arial"/>
                <w:b/>
                <w:color w:val="000000"/>
                <w:kern w:val="0"/>
                <w:lang w:eastAsia="en-GB"/>
                <w14:ligatures w14:val="none"/>
              </w:rPr>
              <w:t>Question a:</w:t>
            </w:r>
          </w:p>
          <w:p w14:paraId="01604BBF"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 xml:space="preserve">In an area </w:t>
            </w:r>
            <w:r w:rsidRPr="002D503C">
              <w:rPr>
                <w:rFonts w:ascii="Arial" w:eastAsia="Times New Roman" w:hAnsi="Arial" w:cs="Arial"/>
                <w:b/>
                <w:color w:val="000000"/>
                <w:kern w:val="0"/>
                <w:lang w:eastAsia="en-GB"/>
                <w14:ligatures w14:val="none"/>
              </w:rPr>
              <w:t xml:space="preserve">that is not your </w:t>
            </w:r>
            <w:proofErr w:type="gramStart"/>
            <w:r w:rsidRPr="002D503C">
              <w:rPr>
                <w:rFonts w:ascii="Arial" w:eastAsia="Times New Roman" w:hAnsi="Arial" w:cs="Arial"/>
                <w:b/>
                <w:color w:val="000000"/>
                <w:kern w:val="0"/>
                <w:lang w:eastAsia="en-GB"/>
                <w14:ligatures w14:val="none"/>
              </w:rPr>
              <w:t>main focus</w:t>
            </w:r>
            <w:proofErr w:type="gramEnd"/>
            <w:r w:rsidRPr="002D503C">
              <w:rPr>
                <w:rFonts w:ascii="Arial" w:eastAsia="Times New Roman" w:hAnsi="Arial" w:cs="Arial"/>
                <w:b/>
                <w:color w:val="000000"/>
                <w:kern w:val="0"/>
                <w:lang w:eastAsia="en-GB"/>
                <w14:ligatures w14:val="none"/>
              </w:rPr>
              <w:t xml:space="preserve"> of work </w:t>
            </w:r>
            <w:r w:rsidRPr="002D503C">
              <w:rPr>
                <w:rFonts w:ascii="Arial" w:eastAsia="Times New Roman" w:hAnsi="Arial" w:cs="Arial"/>
                <w:color w:val="000000"/>
                <w:kern w:val="0"/>
                <w:lang w:eastAsia="en-GB"/>
                <w14:ligatures w14:val="none"/>
              </w:rPr>
              <w:t xml:space="preserve">(see guidance above), explain the relevant legislation, and the national, local and organisational policies and procedures for safeguarding. </w:t>
            </w:r>
          </w:p>
          <w:p w14:paraId="66469AC7"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3DACAD92"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For the purposes of confidentiality, the Local Authority I work within will be identified as Local Authority X. I am based within Children Services; and so, this task will focus on adults safeguarding.</w:t>
            </w:r>
          </w:p>
          <w:p w14:paraId="248B80D9"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16DAD143"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The Social Services and Well-being (Wales) Act 2014 (SSWBWA</w:t>
            </w:r>
            <w:proofErr w:type="gramStart"/>
            <w:r w:rsidRPr="002D503C">
              <w:rPr>
                <w:rFonts w:ascii="Arial" w:eastAsia="Times New Roman" w:hAnsi="Arial" w:cs="Arial"/>
                <w:color w:val="000000"/>
                <w:kern w:val="0"/>
                <w:lang w:eastAsia="en-GB"/>
                <w14:ligatures w14:val="none"/>
              </w:rPr>
              <w:t>)(</w:t>
            </w:r>
            <w:proofErr w:type="gramEnd"/>
            <w:r w:rsidRPr="002D503C">
              <w:rPr>
                <w:rFonts w:ascii="Arial" w:eastAsia="Times New Roman" w:hAnsi="Arial" w:cs="Arial"/>
                <w:color w:val="000000"/>
                <w:kern w:val="0"/>
                <w:lang w:eastAsia="en-GB"/>
                <w14:ligatures w14:val="none"/>
              </w:rPr>
              <w:t>2014) places responsibilities on Local Authorities in Wales, Health Boards, and Welsh Ministers to promote the well-being of children, adults, and carers. The SSWBA (2014) aims to improve the support individuals receive and to empower them with greater voice and control over their lives and the services they access. According to Section 137 of the SSWBWA 2014, an adult is defined as anyone aged 18 years or older. Part 7, section 136 of the SSWBWA (2014) focuses on safeguarding adults who may be at risk. It defines an "adult at risk" as someone who is experiencing, or is at risk of, abuse or neglect and who also has care and support needs. Under this section, local authorities are required to make inquiries to establish whether an individual meets this definition and to determine whether any action is necessary to protect them.</w:t>
            </w:r>
          </w:p>
          <w:p w14:paraId="639AB54E"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412A537E"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The Wales Safeguarding Procedures were launched on 11 November 2019. (WSP, 2019) They replaced earlier guidance: the All-Wales Child Protection Procedures and the Wales Interim Policy and Procedures for the Protection of Vulnerable Adults from Abuse. The procedures translate the legal requirements, primarily the SSWBWA (2014) into practice. They aim to ensure consistency in how safeguarding is done across Wales so that adults at risk receive similar protection regardless of region. They enshrine a set of safeguarding principles, including Person centred practice: the adult at risk is involved in decisions to the extent possible. Advocacy and communication are emphasised: ensuring the adult’s voice, views, and rights are central. Prevention, early help and timely response.</w:t>
            </w:r>
            <w:r w:rsidRPr="002D503C">
              <w:rPr>
                <w:rFonts w:ascii="Arial" w:eastAsia="Times New Roman" w:hAnsi="Arial" w:cs="Arial"/>
                <w:color w:val="000000"/>
                <w:kern w:val="0"/>
                <w:sz w:val="20"/>
                <w:szCs w:val="20"/>
                <w:lang w:eastAsia="en-GB"/>
                <w14:ligatures w14:val="none"/>
              </w:rPr>
              <w:t xml:space="preserve"> </w:t>
            </w:r>
            <w:r w:rsidRPr="002D503C">
              <w:rPr>
                <w:rFonts w:ascii="Arial" w:eastAsia="Times New Roman" w:hAnsi="Arial" w:cs="Arial"/>
                <w:color w:val="000000"/>
                <w:kern w:val="0"/>
                <w:lang w:eastAsia="en-GB"/>
                <w14:ligatures w14:val="none"/>
              </w:rPr>
              <w:t>WSP (2019)</w:t>
            </w:r>
          </w:p>
          <w:p w14:paraId="0FD1E0AB"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01A4B613"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 xml:space="preserve">CWMPAS is the Regional Safeguarding Adults Board for Mid &amp; West Wales. The CWMPAS Regional Adult Safeguarding Threshold Guidance is an essential resource for professionals working across Mid and West Wales. It offers a structured framework to help determine when safeguarding concerns should be referred to the Local Authority and how those concerns should be managed. The guidance </w:t>
            </w:r>
            <w:r w:rsidRPr="002D503C">
              <w:rPr>
                <w:rFonts w:ascii="Arial" w:eastAsia="Times New Roman" w:hAnsi="Arial" w:cs="Arial"/>
                <w:color w:val="000000"/>
                <w:kern w:val="0"/>
                <w:lang w:eastAsia="en-GB"/>
                <w14:ligatures w14:val="none"/>
              </w:rPr>
              <w:lastRenderedPageBreak/>
              <w:t>promotes a consistent, proportionate, and appropriate multi-agency response to suspected or actual abuse, neglect, or risk thereof. While it does not provide an exhaustive list of scenarios, it is intended to support rather than replace professional judgment, helping practitioners make informed and defensible decisions. CWMPAS (2018)</w:t>
            </w:r>
          </w:p>
          <w:p w14:paraId="26E9A1FD"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6BF82B65"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 xml:space="preserve">Part 3, Section 19 of the Social Services and Well-being (Wales) Act 2014 (SSWBWA), details how all Local Authorities have a legal duty to assess the care and support needs of an adult. This includes gathering the adult’s views, wishes, and feelings about their circumstances and evaluating their support requirements. Part 3 s19 SSWB(W)A 2014, the local authority has a duty to assess where there is a need for care and support, so the individual has the right to request an assessment if they feel they have the need for care and support. (SSWBA,2019) Adults have the right to refuse such assessments unless they lack the capacity to make decisions for themselves, in which case an authorised person, such as someone holding a Lasting Power of Attorney may make decisions on their behalf. </w:t>
            </w:r>
          </w:p>
          <w:p w14:paraId="2AA5A7C8"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30227D0C"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bCs/>
                <w:color w:val="000000"/>
                <w:kern w:val="0"/>
                <w:lang w:eastAsia="en-GB"/>
                <w14:ligatures w14:val="none"/>
              </w:rPr>
            </w:pPr>
            <w:r w:rsidRPr="002D503C">
              <w:rPr>
                <w:rFonts w:ascii="Arial" w:eastAsia="Times New Roman" w:hAnsi="Arial" w:cs="Arial"/>
                <w:b/>
                <w:bCs/>
                <w:color w:val="000000"/>
                <w:kern w:val="0"/>
                <w:lang w:eastAsia="en-GB"/>
                <w14:ligatures w14:val="none"/>
              </w:rPr>
              <w:t>Word Count: 534</w:t>
            </w:r>
          </w:p>
          <w:p w14:paraId="36240396"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1EAA5D3F"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08C805DE"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7C95D02A"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1A5FD625"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69A6F8B8"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i/>
                <w:color w:val="000000"/>
                <w:kern w:val="0"/>
                <w:lang w:eastAsia="en-GB"/>
                <w14:ligatures w14:val="none"/>
              </w:rPr>
              <w:t>500 words</w:t>
            </w:r>
            <w:r w:rsidRPr="002D503C">
              <w:rPr>
                <w:rFonts w:ascii="Arial" w:eastAsia="Times New Roman" w:hAnsi="Arial" w:cs="Arial"/>
                <w:color w:val="000000"/>
                <w:kern w:val="0"/>
                <w:lang w:eastAsia="en-GB"/>
                <w14:ligatures w14:val="none"/>
              </w:rPr>
              <w:t xml:space="preserve"> (+/- 10%: include your actual word count at the end of each section).</w:t>
            </w:r>
          </w:p>
          <w:p w14:paraId="45A09C49"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color w:val="000000"/>
                <w:kern w:val="0"/>
                <w:lang w:eastAsia="en-GB"/>
                <w14:ligatures w14:val="none"/>
              </w:rPr>
            </w:pPr>
          </w:p>
        </w:tc>
      </w:tr>
    </w:tbl>
    <w:p w14:paraId="1D0738D6"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391C3AE4"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0B0C0BCE"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D503C" w:rsidRPr="002D503C" w14:paraId="2C4E91A3" w14:textId="77777777" w:rsidTr="00F8220A">
        <w:tc>
          <w:tcPr>
            <w:tcW w:w="10278" w:type="dxa"/>
          </w:tcPr>
          <w:p w14:paraId="682DA28B"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color w:val="000000"/>
                <w:kern w:val="0"/>
                <w:lang w:eastAsia="en-GB"/>
                <w14:ligatures w14:val="none"/>
              </w:rPr>
            </w:pPr>
            <w:r w:rsidRPr="002D503C">
              <w:rPr>
                <w:rFonts w:ascii="Arial" w:eastAsia="Times New Roman" w:hAnsi="Arial" w:cs="Arial"/>
                <w:b/>
                <w:color w:val="000000"/>
                <w:kern w:val="0"/>
                <w:lang w:eastAsia="en-GB"/>
                <w14:ligatures w14:val="none"/>
              </w:rPr>
              <w:t>Question b:</w:t>
            </w:r>
          </w:p>
          <w:p w14:paraId="39C19DFD"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Reflect on the difference between safeguarding in adults’ and children’s work</w:t>
            </w:r>
          </w:p>
          <w:p w14:paraId="53D6D78A"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7417A0CC"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 xml:space="preserve">When considering the differences between Adult and Children’s safeguarding, Consent is a clear difference. Part 5, Section 47 of the Children Act (1989) outlines the law relating to the local authority’s duty to investigate should they have reasonable cause to suspect that a child who lives, or is found, in their area is suffering, or is likely to suffer, significant harm. As a social worker for children’s services when identified, we are required to undertake a S47 investigation, without prior consent from parents or persons with parental responsibility for the child based on the safeguarding Laws in Wales as set out in the CA (1989) and the SSWBA (2014). As part of best practice consent is usually gained, however this decision is always made based on any risks, the safety of, and best interests of the child.  </w:t>
            </w:r>
          </w:p>
          <w:p w14:paraId="49809FE1"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sz w:val="20"/>
                <w:szCs w:val="20"/>
                <w:lang w:eastAsia="en-GB"/>
                <w14:ligatures w14:val="none"/>
              </w:rPr>
            </w:pPr>
            <w:r w:rsidRPr="002D503C">
              <w:rPr>
                <w:rFonts w:ascii="Arial" w:eastAsia="Times New Roman" w:hAnsi="Arial" w:cs="Arial"/>
                <w:color w:val="000000"/>
                <w:kern w:val="0"/>
                <w:lang w:eastAsia="en-GB"/>
                <w14:ligatures w14:val="none"/>
              </w:rPr>
              <w:t>Adults are not required to partake in any assessment, even if there is an identified safeguarding concern, they are able to refuse any service offered. This is based on no concerns being raised regarding their capacity to make safe choices and not presenting a risk of harm to others. Adults are considered able to make informed decisions for themselves, unless assessed as otherwise. (MCA,2005) This links to social workers duties as set out within (WSP,2019)</w:t>
            </w:r>
          </w:p>
          <w:p w14:paraId="6682589F"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318EBC74"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r w:rsidRPr="002D503C">
              <w:rPr>
                <w:rFonts w:ascii="Arial" w:eastAsia="Times New Roman" w:hAnsi="Arial" w:cs="Arial"/>
                <w:color w:val="000000"/>
                <w:kern w:val="0"/>
                <w:lang w:eastAsia="en-GB"/>
                <w14:ligatures w14:val="none"/>
              </w:rPr>
              <w:t xml:space="preserve">Another factor when thinking about adult and children’s safeguarding is capacity. </w:t>
            </w:r>
            <w:r w:rsidRPr="002D503C">
              <w:rPr>
                <w:rFonts w:ascii="Arial" w:eastAsia="Arial" w:hAnsi="Arial" w:cs="Arial"/>
                <w:color w:val="000000"/>
                <w:kern w:val="0"/>
                <w:lang w:eastAsia="en-GB"/>
                <w14:ligatures w14:val="none"/>
              </w:rPr>
              <w:t xml:space="preserve">Within adult services, the Mental Capacity Act 2005 (MCA,2005) framework is used </w:t>
            </w:r>
            <w:r w:rsidRPr="002D503C">
              <w:rPr>
                <w:rFonts w:ascii="Arial" w:eastAsia="Arial" w:hAnsi="Arial" w:cs="Arial"/>
                <w:color w:val="000000"/>
                <w:kern w:val="0"/>
                <w:lang w:eastAsia="en-GB"/>
                <w14:ligatures w14:val="none"/>
              </w:rPr>
              <w:lastRenderedPageBreak/>
              <w:t>to assess whether an adult has the capacity to make decisions. The MCA, 2025 is guided by five key principles: always assume capacity unless proven otherwise, support individuals to make their own decisions, respect the right to make unwise decisions, ensure decisions are made in the person’s best interests, and choose the least restrictive option when making decisions on their behalf.</w:t>
            </w:r>
          </w:p>
          <w:p w14:paraId="4BE08F2C" w14:textId="77777777" w:rsidR="002D503C" w:rsidRPr="002D503C" w:rsidRDefault="002D503C" w:rsidP="002D503C">
            <w:pPr>
              <w:overflowPunct w:val="0"/>
              <w:autoSpaceDE w:val="0"/>
              <w:autoSpaceDN w:val="0"/>
              <w:adjustRightInd w:val="0"/>
              <w:spacing w:before="240" w:after="240" w:line="240" w:lineRule="auto"/>
              <w:jc w:val="both"/>
              <w:textAlignment w:val="baseline"/>
              <w:rPr>
                <w:rFonts w:ascii="Times New Roman" w:eastAsia="Times New Roman" w:hAnsi="Times New Roman" w:cs="Times New Roman"/>
                <w:color w:val="000000"/>
                <w:kern w:val="0"/>
                <w:lang w:eastAsia="en-GB"/>
                <w14:ligatures w14:val="none"/>
              </w:rPr>
            </w:pPr>
            <w:r w:rsidRPr="002D503C">
              <w:rPr>
                <w:rFonts w:ascii="Arial" w:eastAsia="Arial" w:hAnsi="Arial" w:cs="Arial"/>
                <w:color w:val="000000"/>
                <w:kern w:val="0"/>
                <w:lang w:eastAsia="en-GB"/>
                <w14:ligatures w14:val="none"/>
              </w:rPr>
              <w:t xml:space="preserve">Unlike adult services, these formal capacity assessments are not typically conducted in children’s services. Previously, mental capacity assessments applied only to those aged 18 and over, but this has now been lowered to include individuals aged 16 and 17. (MCA, 2025). </w:t>
            </w:r>
          </w:p>
          <w:p w14:paraId="00E16D72" w14:textId="77777777" w:rsidR="002D503C" w:rsidRPr="002D503C" w:rsidRDefault="002D503C" w:rsidP="002D503C">
            <w:pPr>
              <w:overflowPunct w:val="0"/>
              <w:autoSpaceDE w:val="0"/>
              <w:autoSpaceDN w:val="0"/>
              <w:adjustRightInd w:val="0"/>
              <w:spacing w:before="240" w:after="240" w:line="240" w:lineRule="auto"/>
              <w:jc w:val="both"/>
              <w:textAlignment w:val="baseline"/>
              <w:rPr>
                <w:rFonts w:ascii="Arial" w:eastAsia="Arial" w:hAnsi="Arial" w:cs="Arial"/>
                <w:color w:val="000000"/>
                <w:kern w:val="0"/>
                <w:lang w:eastAsia="en-GB"/>
                <w14:ligatures w14:val="none"/>
              </w:rPr>
            </w:pPr>
            <w:r w:rsidRPr="002D503C">
              <w:rPr>
                <w:rFonts w:ascii="Arial" w:eastAsia="Arial" w:hAnsi="Arial" w:cs="Arial"/>
                <w:color w:val="000000"/>
                <w:kern w:val="0"/>
                <w:lang w:eastAsia="en-GB"/>
                <w14:ligatures w14:val="none"/>
              </w:rPr>
              <w:t>Although the MCA 2005 does not apply to those under 16, practitioners use alternative frameworks such as Gillick competence and Fraser guidelines. This helps assess whether a child is mature enough to make their own decisions and understand the potential consequences (NSPCC, 2022). The</w:t>
            </w:r>
            <w:r w:rsidRPr="002D503C">
              <w:rPr>
                <w:rFonts w:ascii="Arial" w:eastAsia="Times New Roman" w:hAnsi="Arial" w:cs="Arial"/>
                <w:color w:val="000000"/>
                <w:kern w:val="0"/>
                <w:sz w:val="20"/>
                <w:szCs w:val="20"/>
                <w:lang w:eastAsia="en-GB"/>
                <w14:ligatures w14:val="none"/>
              </w:rPr>
              <w:t xml:space="preserve"> </w:t>
            </w:r>
            <w:r w:rsidRPr="002D503C">
              <w:rPr>
                <w:rFonts w:ascii="Arial" w:eastAsia="Arial" w:hAnsi="Arial" w:cs="Arial"/>
                <w:color w:val="000000"/>
                <w:kern w:val="0"/>
                <w:lang w:eastAsia="en-GB"/>
                <w14:ligatures w14:val="none"/>
              </w:rPr>
              <w:t>CA (1989) deems under 18’s children and so in need of protection, overriding MCA 2005 16-17 definition.</w:t>
            </w:r>
          </w:p>
          <w:p w14:paraId="63305573"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504B0EF8"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b/>
                <w:bCs/>
                <w:color w:val="000000"/>
                <w:kern w:val="0"/>
                <w:lang w:eastAsia="en-GB"/>
                <w14:ligatures w14:val="none"/>
              </w:rPr>
            </w:pPr>
            <w:r w:rsidRPr="002D503C">
              <w:rPr>
                <w:rFonts w:ascii="Arial" w:eastAsia="Times New Roman" w:hAnsi="Arial" w:cs="Arial"/>
                <w:b/>
                <w:bCs/>
                <w:color w:val="000000"/>
                <w:kern w:val="0"/>
                <w:lang w:eastAsia="en-GB"/>
                <w14:ligatures w14:val="none"/>
              </w:rPr>
              <w:t>Word count: 394</w:t>
            </w:r>
          </w:p>
          <w:p w14:paraId="6A8A1E80"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p w14:paraId="4FC10F9B"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i/>
                <w:color w:val="000000"/>
                <w:kern w:val="0"/>
                <w:lang w:eastAsia="en-GB"/>
                <w14:ligatures w14:val="none"/>
              </w:rPr>
            </w:pPr>
            <w:r w:rsidRPr="002D503C">
              <w:rPr>
                <w:rFonts w:ascii="Arial" w:eastAsia="Times New Roman" w:hAnsi="Arial" w:cs="Arial"/>
                <w:i/>
                <w:color w:val="000000"/>
                <w:kern w:val="0"/>
                <w:lang w:eastAsia="en-GB"/>
                <w14:ligatures w14:val="none"/>
              </w:rPr>
              <w:t>400 words</w:t>
            </w:r>
            <w:r w:rsidRPr="002D503C">
              <w:rPr>
                <w:rFonts w:ascii="Arial" w:eastAsia="Times New Roman" w:hAnsi="Arial" w:cs="Arial"/>
                <w:color w:val="000000"/>
                <w:kern w:val="0"/>
                <w:lang w:eastAsia="en-GB"/>
                <w14:ligatures w14:val="none"/>
              </w:rPr>
              <w:t xml:space="preserve"> </w:t>
            </w:r>
            <w:r w:rsidRPr="002D503C">
              <w:rPr>
                <w:rFonts w:ascii="Arial" w:eastAsia="Times New Roman" w:hAnsi="Arial" w:cs="Arial"/>
                <w:i/>
                <w:color w:val="000000"/>
                <w:kern w:val="0"/>
                <w:lang w:eastAsia="en-GB"/>
                <w14:ligatures w14:val="none"/>
              </w:rPr>
              <w:t>(+/- 10%: include your actual word count at the end of each section).</w:t>
            </w:r>
          </w:p>
          <w:p w14:paraId="3C8097DB" w14:textId="77777777" w:rsidR="002D503C" w:rsidRPr="002D503C" w:rsidRDefault="002D503C" w:rsidP="002D503C">
            <w:pPr>
              <w:overflowPunct w:val="0"/>
              <w:autoSpaceDE w:val="0"/>
              <w:autoSpaceDN w:val="0"/>
              <w:adjustRightInd w:val="0"/>
              <w:spacing w:after="0" w:line="240" w:lineRule="auto"/>
              <w:jc w:val="both"/>
              <w:textAlignment w:val="baseline"/>
              <w:rPr>
                <w:rFonts w:ascii="Arial" w:eastAsia="Times New Roman" w:hAnsi="Arial" w:cs="Arial"/>
                <w:color w:val="000000"/>
                <w:kern w:val="0"/>
                <w:lang w:eastAsia="en-GB"/>
                <w14:ligatures w14:val="none"/>
              </w:rPr>
            </w:pPr>
          </w:p>
        </w:tc>
      </w:tr>
    </w:tbl>
    <w:p w14:paraId="676F91D2" w14:textId="77777777" w:rsidR="002D503C" w:rsidRDefault="002D503C"/>
    <w:sectPr w:rsidR="002D5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03C"/>
    <w:rsid w:val="00053755"/>
    <w:rsid w:val="002D5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4422"/>
  <w15:chartTrackingRefBased/>
  <w15:docId w15:val="{E326CE9B-5F4E-4F7F-B903-710A3ADE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03C"/>
  </w:style>
  <w:style w:type="paragraph" w:styleId="Heading1">
    <w:name w:val="heading 1"/>
    <w:basedOn w:val="Normal"/>
    <w:next w:val="Normal"/>
    <w:link w:val="Heading1Char"/>
    <w:uiPriority w:val="9"/>
    <w:qFormat/>
    <w:rsid w:val="002D50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0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0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0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0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0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0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0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0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0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0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0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0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0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0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0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03C"/>
    <w:rPr>
      <w:rFonts w:eastAsiaTheme="majorEastAsia" w:cstheme="majorBidi"/>
      <w:color w:val="272727" w:themeColor="text1" w:themeTint="D8"/>
    </w:rPr>
  </w:style>
  <w:style w:type="paragraph" w:styleId="Title">
    <w:name w:val="Title"/>
    <w:basedOn w:val="Normal"/>
    <w:next w:val="Normal"/>
    <w:link w:val="TitleChar"/>
    <w:uiPriority w:val="10"/>
    <w:qFormat/>
    <w:rsid w:val="002D5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0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0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0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03C"/>
    <w:pPr>
      <w:spacing w:before="160"/>
      <w:jc w:val="center"/>
    </w:pPr>
    <w:rPr>
      <w:i/>
      <w:iCs/>
      <w:color w:val="404040" w:themeColor="text1" w:themeTint="BF"/>
    </w:rPr>
  </w:style>
  <w:style w:type="character" w:customStyle="1" w:styleId="QuoteChar">
    <w:name w:val="Quote Char"/>
    <w:basedOn w:val="DefaultParagraphFont"/>
    <w:link w:val="Quote"/>
    <w:uiPriority w:val="29"/>
    <w:rsid w:val="002D503C"/>
    <w:rPr>
      <w:i/>
      <w:iCs/>
      <w:color w:val="404040" w:themeColor="text1" w:themeTint="BF"/>
    </w:rPr>
  </w:style>
  <w:style w:type="paragraph" w:styleId="ListParagraph">
    <w:name w:val="List Paragraph"/>
    <w:basedOn w:val="Normal"/>
    <w:uiPriority w:val="34"/>
    <w:qFormat/>
    <w:rsid w:val="002D503C"/>
    <w:pPr>
      <w:ind w:left="720"/>
      <w:contextualSpacing/>
    </w:pPr>
  </w:style>
  <w:style w:type="character" w:styleId="IntenseEmphasis">
    <w:name w:val="Intense Emphasis"/>
    <w:basedOn w:val="DefaultParagraphFont"/>
    <w:uiPriority w:val="21"/>
    <w:qFormat/>
    <w:rsid w:val="002D503C"/>
    <w:rPr>
      <w:i/>
      <w:iCs/>
      <w:color w:val="0F4761" w:themeColor="accent1" w:themeShade="BF"/>
    </w:rPr>
  </w:style>
  <w:style w:type="paragraph" w:styleId="IntenseQuote">
    <w:name w:val="Intense Quote"/>
    <w:basedOn w:val="Normal"/>
    <w:next w:val="Normal"/>
    <w:link w:val="IntenseQuoteChar"/>
    <w:uiPriority w:val="30"/>
    <w:qFormat/>
    <w:rsid w:val="002D50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03C"/>
    <w:rPr>
      <w:i/>
      <w:iCs/>
      <w:color w:val="0F4761" w:themeColor="accent1" w:themeShade="BF"/>
    </w:rPr>
  </w:style>
  <w:style w:type="character" w:styleId="IntenseReference">
    <w:name w:val="Intense Reference"/>
    <w:basedOn w:val="DefaultParagraphFont"/>
    <w:uiPriority w:val="32"/>
    <w:qFormat/>
    <w:rsid w:val="002D503C"/>
    <w:rPr>
      <w:b/>
      <w:bCs/>
      <w:smallCaps/>
      <w:color w:val="0F4761" w:themeColor="accent1" w:themeShade="BF"/>
      <w:spacing w:val="5"/>
    </w:rPr>
  </w:style>
  <w:style w:type="character" w:styleId="Hyperlink">
    <w:name w:val="Hyperlink"/>
    <w:basedOn w:val="DefaultParagraphFont"/>
    <w:uiPriority w:val="99"/>
    <w:unhideWhenUsed/>
    <w:rsid w:val="002D503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2332653@student.uwtsd.ac.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1094</Words>
  <Characters>6240</Characters>
  <Application>Microsoft Office Word</Application>
  <DocSecurity>0</DocSecurity>
  <Lines>52</Lines>
  <Paragraphs>14</Paragraphs>
  <ScaleCrop>false</ScaleCrop>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 (Children Services)</dc:creator>
  <cp:keywords/>
  <dc:description/>
  <cp:lastModifiedBy>Sarah Rees (Children Services)</cp:lastModifiedBy>
  <cp:revision>2</cp:revision>
  <dcterms:created xsi:type="dcterms:W3CDTF">2025-10-07T21:13:00Z</dcterms:created>
  <dcterms:modified xsi:type="dcterms:W3CDTF">2025-10-07T21:13:00Z</dcterms:modified>
</cp:coreProperties>
</file>