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41" w:lineRule="auto"/>
        <w:rPr>
          <w:sz w:val="21"/>
        </w:rPr>
      </w:pPr>
      <w:r/>
    </w:p>
    <w:p>
      <w:pPr>
        <w:pStyle w:val="BodyText"/>
        <w:spacing w:line="241" w:lineRule="auto"/>
        <w:rPr>
          <w:sz w:val="21"/>
        </w:rPr>
      </w:pPr>
      <w:r/>
    </w:p>
    <w:p>
      <w:pPr>
        <w:pStyle w:val="BodyText"/>
        <w:spacing w:line="241" w:lineRule="auto"/>
        <w:rPr>
          <w:sz w:val="21"/>
        </w:rPr>
      </w:pPr>
      <w:r/>
    </w:p>
    <w:p>
      <w:pPr>
        <w:pStyle w:val="BodyText"/>
        <w:spacing w:line="241" w:lineRule="auto"/>
        <w:rPr>
          <w:sz w:val="21"/>
        </w:rPr>
      </w:pPr>
      <w:r/>
    </w:p>
    <w:p>
      <w:pPr>
        <w:pStyle w:val="BodyText"/>
        <w:spacing w:line="241" w:lineRule="auto"/>
        <w:rPr>
          <w:sz w:val="21"/>
        </w:rPr>
      </w:pPr>
      <w:r/>
    </w:p>
    <w:p>
      <w:pPr>
        <w:pStyle w:val="BodyText"/>
        <w:spacing w:line="241" w:lineRule="auto"/>
        <w:rPr>
          <w:sz w:val="21"/>
        </w:rPr>
      </w:pPr>
      <w:r/>
    </w:p>
    <w:p>
      <w:pPr>
        <w:pStyle w:val="BodyText"/>
        <w:spacing w:line="242" w:lineRule="auto"/>
        <w:rPr>
          <w:sz w:val="21"/>
        </w:rPr>
      </w:pPr>
      <w:r/>
    </w:p>
    <w:p>
      <w:pPr>
        <w:pStyle w:val="BodyText"/>
        <w:spacing w:line="242" w:lineRule="auto"/>
        <w:rPr>
          <w:sz w:val="21"/>
        </w:rPr>
      </w:pPr>
      <w:r/>
    </w:p>
    <w:p>
      <w:pPr>
        <w:pStyle w:val="BodyText"/>
        <w:spacing w:line="242" w:lineRule="auto"/>
        <w:rPr>
          <w:sz w:val="21"/>
        </w:rPr>
      </w:pPr>
      <w:r/>
    </w:p>
    <w:p>
      <w:pPr>
        <w:pStyle w:val="BodyText"/>
        <w:spacing w:line="242" w:lineRule="auto"/>
        <w:rPr>
          <w:sz w:val="21"/>
        </w:rPr>
      </w:pPr>
      <w:r/>
    </w:p>
    <w:p>
      <w:pPr>
        <w:pStyle w:val="BodyText"/>
        <w:ind w:left="5279"/>
        <w:spacing w:before="32" w:line="198" w:lineRule="auto"/>
        <w:rPr>
          <w:sz w:val="11"/>
          <w:szCs w:val="11"/>
        </w:rPr>
      </w:pPr>
      <w:r>
        <w:rPr>
          <w:sz w:val="11"/>
          <w:szCs w:val="11"/>
          <w:b/>
          <w:bCs/>
          <w:u w:val="single" w:color="auto"/>
          <w:spacing w:val="-1"/>
        </w:rPr>
        <w:t>REFERENCES</w:t>
      </w:r>
    </w:p>
    <w:p>
      <w:pPr>
        <w:pStyle w:val="BodyText"/>
        <w:spacing w:before="155" w:line="198" w:lineRule="auto"/>
        <w:rPr/>
      </w:pPr>
      <w:r>
        <w:rPr/>
        <w:t>Asmus,S.(2025).The   Welsh   Verbal    Noun.Languages,10(3),43.</w:t>
      </w:r>
    </w:p>
    <w:p>
      <w:pPr>
        <w:pStyle w:val="BodyText"/>
        <w:ind w:left="610" w:right="310" w:hanging="610"/>
        <w:spacing w:before="102" w:line="256" w:lineRule="auto"/>
        <w:rPr/>
      </w:pPr>
      <w:r>
        <w:rPr/>
        <w:t>Carter,H.,&amp;Wiliams,S.(2023)</w:t>
      </w:r>
      <w:r>
        <w:rPr>
          <w:spacing w:val="-1"/>
        </w:rPr>
        <w:t>.Aggregate</w:t>
      </w:r>
      <w:r>
        <w:rPr>
          <w:spacing w:val="36"/>
          <w:w w:val="102"/>
        </w:rPr>
        <w:t xml:space="preserve"> </w:t>
      </w:r>
      <w:r>
        <w:rPr>
          <w:spacing w:val="-1"/>
        </w:rPr>
        <w:t>studies</w:t>
      </w:r>
      <w:r>
        <w:rPr>
          <w:spacing w:val="36"/>
          <w:w w:val="101"/>
        </w:rPr>
        <w:t xml:space="preserve"> </w:t>
      </w:r>
      <w:r>
        <w:rPr>
          <w:spacing w:val="-1"/>
        </w:rPr>
        <w:t>of</w:t>
      </w:r>
      <w:r>
        <w:rPr>
          <w:spacing w:val="36"/>
        </w:rPr>
        <w:t xml:space="preserve"> </w:t>
      </w:r>
      <w:r>
        <w:rPr>
          <w:spacing w:val="-1"/>
        </w:rPr>
        <w:t>language</w:t>
      </w:r>
      <w:r>
        <w:rPr>
          <w:spacing w:val="37"/>
        </w:rPr>
        <w:t xml:space="preserve"> </w:t>
      </w:r>
      <w:r>
        <w:rPr>
          <w:spacing w:val="-1"/>
        </w:rPr>
        <w:t>and</w:t>
      </w:r>
      <w:r>
        <w:rPr>
          <w:spacing w:val="37"/>
          <w:w w:val="101"/>
        </w:rPr>
        <w:t xml:space="preserve"> </w:t>
      </w:r>
      <w:r>
        <w:rPr>
          <w:spacing w:val="-1"/>
        </w:rPr>
        <w:t>culture</w:t>
      </w:r>
      <w:r>
        <w:rPr>
          <w:spacing w:val="37"/>
          <w:w w:val="102"/>
        </w:rPr>
        <w:t xml:space="preserve"> </w:t>
      </w:r>
      <w:r>
        <w:rPr>
          <w:spacing w:val="-1"/>
        </w:rPr>
        <w:t>change  in</w:t>
      </w:r>
      <w:r>
        <w:rPr>
          <w:spacing w:val="33"/>
          <w:w w:val="101"/>
        </w:rPr>
        <w:t xml:space="preserve"> </w:t>
      </w:r>
      <w:r>
        <w:rPr>
          <w:spacing w:val="-1"/>
        </w:rPr>
        <w:t>Wales.In</w:t>
      </w:r>
      <w:r>
        <w:rPr>
          <w:spacing w:val="38"/>
          <w:w w:val="101"/>
        </w:rPr>
        <w:t xml:space="preserve"> </w:t>
      </w:r>
      <w:r>
        <w:rPr>
          <w:spacing w:val="-1"/>
        </w:rPr>
        <w:t>Social</w:t>
      </w:r>
      <w:r>
        <w:rPr>
          <w:spacing w:val="37"/>
        </w:rPr>
        <w:t xml:space="preserve"> </w:t>
      </w:r>
      <w:r>
        <w:rPr>
          <w:spacing w:val="-1"/>
        </w:rPr>
        <w:t>and</w:t>
      </w:r>
      <w:r>
        <w:rPr>
          <w:spacing w:val="39"/>
        </w:rPr>
        <w:t xml:space="preserve"> </w:t>
      </w:r>
      <w:r>
        <w:rPr>
          <w:spacing w:val="-1"/>
        </w:rPr>
        <w:t>Cultural</w:t>
      </w:r>
      <w:r>
        <w:rPr>
          <w:spacing w:val="39"/>
          <w:w w:val="101"/>
        </w:rPr>
        <w:t xml:space="preserve"> </w:t>
      </w:r>
      <w:r>
        <w:rPr>
          <w:spacing w:val="-1"/>
        </w:rPr>
        <w:t>Change  in  Contemporary</w:t>
      </w:r>
      <w:r>
        <w:rPr>
          <w:spacing w:val="33"/>
          <w:w w:val="101"/>
        </w:rPr>
        <w:t xml:space="preserve"> </w:t>
      </w:r>
      <w:r>
        <w:rPr>
          <w:spacing w:val="-1"/>
        </w:rPr>
        <w:t>Wales  (pp.143-165).</w:t>
      </w:r>
      <w:r>
        <w:rPr/>
        <w:t xml:space="preserve"> </w:t>
      </w:r>
      <w:r>
        <w:rPr>
          <w:spacing w:val="-2"/>
        </w:rPr>
        <w:t>Routledge.</w:t>
      </w:r>
    </w:p>
    <w:p>
      <w:pPr>
        <w:pStyle w:val="BodyText"/>
        <w:spacing w:before="122" w:line="205" w:lineRule="exact"/>
        <w:rPr/>
      </w:pPr>
      <w:r>
        <w:rPr>
          <w:position w:val="2"/>
        </w:rPr>
        <w:t>Corcoran,P.,Palmer,G.,Arman,L.,Knight,D.,&amp;Spasic,I.(2021).Creating    welsh     language     word     embeddings.Applied    Sciences,11(15),6896.</w:t>
      </w:r>
    </w:p>
    <w:p>
      <w:pPr>
        <w:pStyle w:val="BodyText"/>
        <w:ind w:left="610" w:right="446" w:hanging="610"/>
        <w:spacing w:before="104" w:line="268" w:lineRule="auto"/>
        <w:rPr/>
      </w:pPr>
      <w:r>
        <w:rPr/>
        <w:t>Cunliffe,D.,Vlachidis,A.,Williams,D.,&amp;Tudhope,D.(2022).Natur</w:t>
      </w:r>
      <w:r>
        <w:rPr>
          <w:spacing w:val="-1"/>
        </w:rPr>
        <w:t>al</w:t>
      </w:r>
      <w:r>
        <w:rPr>
          <w:spacing w:val="17"/>
          <w:w w:val="101"/>
        </w:rPr>
        <w:t xml:space="preserve">  </w:t>
      </w:r>
      <w:r>
        <w:rPr>
          <w:spacing w:val="-1"/>
        </w:rPr>
        <w:t>language</w:t>
      </w:r>
      <w:r>
        <w:rPr>
          <w:spacing w:val="17"/>
          <w:w w:val="102"/>
        </w:rPr>
        <w:t xml:space="preserve">  </w:t>
      </w:r>
      <w:r>
        <w:rPr>
          <w:spacing w:val="-1"/>
        </w:rPr>
        <w:t>processing</w:t>
      </w:r>
      <w:r>
        <w:rPr>
          <w:spacing w:val="13"/>
          <w:w w:val="101"/>
        </w:rPr>
        <w:t xml:space="preserve">  </w:t>
      </w:r>
      <w:r>
        <w:rPr>
          <w:spacing w:val="-1"/>
        </w:rPr>
        <w:t>for</w:t>
      </w:r>
      <w:r>
        <w:rPr>
          <w:spacing w:val="16"/>
          <w:w w:val="101"/>
        </w:rPr>
        <w:t xml:space="preserve">  </w:t>
      </w:r>
      <w:r>
        <w:rPr>
          <w:spacing w:val="-1"/>
        </w:rPr>
        <w:t>under-resourced</w:t>
      </w:r>
      <w:r>
        <w:rPr>
          <w:spacing w:val="17"/>
          <w:w w:val="101"/>
        </w:rPr>
        <w:t xml:space="preserve">  </w:t>
      </w:r>
      <w:r>
        <w:rPr>
          <w:spacing w:val="-1"/>
        </w:rPr>
        <w:t>languages:Developing</w:t>
      </w:r>
      <w:r>
        <w:rPr>
          <w:spacing w:val="15"/>
          <w:w w:val="101"/>
        </w:rPr>
        <w:t xml:space="preserve">  </w:t>
      </w:r>
      <w:r>
        <w:rPr>
          <w:spacing w:val="-1"/>
        </w:rPr>
        <w:t>a</w:t>
      </w:r>
      <w:r>
        <w:rPr>
          <w:spacing w:val="13"/>
          <w:w w:val="101"/>
        </w:rPr>
        <w:t xml:space="preserve">  </w:t>
      </w:r>
      <w:r>
        <w:rPr>
          <w:spacing w:val="-1"/>
        </w:rPr>
        <w:t>Welsh</w:t>
      </w:r>
      <w:r>
        <w:rPr>
          <w:spacing w:val="17"/>
          <w:w w:val="102"/>
        </w:rPr>
        <w:t xml:space="preserve">  </w:t>
      </w:r>
      <w:r>
        <w:rPr>
          <w:spacing w:val="-1"/>
        </w:rPr>
        <w:t>natural</w:t>
      </w:r>
      <w:r>
        <w:rPr>
          <w:spacing w:val="17"/>
          <w:w w:val="101"/>
        </w:rPr>
        <w:t xml:space="preserve">  </w:t>
      </w:r>
      <w:r>
        <w:rPr>
          <w:spacing w:val="-1"/>
        </w:rPr>
        <w:t>language</w:t>
      </w:r>
      <w:r>
        <w:rPr/>
        <w:t xml:space="preserve"> </w:t>
      </w:r>
      <w:r>
        <w:rPr/>
        <w:t>toolkit.Computer   speech    &amp;language,72,101311.</w:t>
      </w:r>
    </w:p>
    <w:p>
      <w:pPr>
        <w:pStyle w:val="BodyText"/>
        <w:spacing w:before="140" w:line="198" w:lineRule="auto"/>
        <w:rPr/>
      </w:pPr>
      <w:r>
        <w:rPr/>
        <w:t>Da</w:t>
      </w:r>
      <w:r>
        <w:rPr>
          <w:spacing w:val="17"/>
          <w:w w:val="101"/>
        </w:rPr>
        <w:t xml:space="preserve">  </w:t>
      </w:r>
      <w:r>
        <w:rPr/>
        <w:t>Gama</w:t>
      </w:r>
      <w:r>
        <w:rPr>
          <w:spacing w:val="19"/>
          <w:w w:val="101"/>
        </w:rPr>
        <w:t xml:space="preserve">  </w:t>
      </w:r>
      <w:r>
        <w:rPr/>
        <w:t>Howells,M.(2021)</w:t>
      </w:r>
      <w:r>
        <w:rPr>
          <w:spacing w:val="-1"/>
        </w:rPr>
        <w:t>.Culture,Communications,Welsh</w:t>
      </w:r>
      <w:r>
        <w:rPr>
          <w:spacing w:val="19"/>
        </w:rPr>
        <w:t xml:space="preserve">  </w:t>
      </w:r>
      <w:r>
        <w:rPr>
          <w:spacing w:val="-1"/>
        </w:rPr>
        <w:t>Language,Sport,and   International</w:t>
      </w:r>
      <w:r>
        <w:rPr>
          <w:spacing w:val="19"/>
          <w:w w:val="101"/>
        </w:rPr>
        <w:t xml:space="preserve">  </w:t>
      </w:r>
      <w:r>
        <w:rPr>
          <w:spacing w:val="-1"/>
        </w:rPr>
        <w:t>Relations</w:t>
      </w:r>
      <w:r>
        <w:rPr>
          <w:spacing w:val="17"/>
        </w:rPr>
        <w:t xml:space="preserve">  </w:t>
      </w:r>
      <w:r>
        <w:rPr>
          <w:spacing w:val="-1"/>
        </w:rPr>
        <w:t>Committee.</w:t>
      </w:r>
    </w:p>
    <w:p>
      <w:pPr>
        <w:pStyle w:val="BodyText"/>
        <w:spacing w:before="123" w:line="204" w:lineRule="exact"/>
        <w:rPr/>
      </w:pPr>
      <w:r>
        <w:rPr>
          <w:spacing w:val="-3"/>
          <w:position w:val="2"/>
        </w:rPr>
        <w:t>Dabrowska,1.(2017).The</w:t>
      </w:r>
      <w:r>
        <w:rPr>
          <w:spacing w:val="9"/>
          <w:position w:val="2"/>
        </w:rPr>
        <w:t xml:space="preserve"> </w:t>
      </w:r>
      <w:r>
        <w:rPr>
          <w:spacing w:val="-3"/>
          <w:position w:val="2"/>
        </w:rPr>
        <w:t>Role of Cymraeg in Shaping Welsh</w:t>
      </w:r>
      <w:r>
        <w:rPr>
          <w:spacing w:val="11"/>
          <w:w w:val="102"/>
          <w:position w:val="2"/>
        </w:rPr>
        <w:t xml:space="preserve"> </w:t>
      </w:r>
      <w:r>
        <w:rPr>
          <w:spacing w:val="-3"/>
          <w:position w:val="2"/>
        </w:rPr>
        <w:t>Ide</w:t>
      </w:r>
      <w:r>
        <w:rPr>
          <w:spacing w:val="-4"/>
          <w:position w:val="2"/>
        </w:rPr>
        <w:t>ntity.Anglica.An</w:t>
      </w:r>
      <w:r>
        <w:rPr>
          <w:spacing w:val="11"/>
          <w:position w:val="2"/>
        </w:rPr>
        <w:t xml:space="preserve"> </w:t>
      </w:r>
      <w:r>
        <w:rPr>
          <w:spacing w:val="-4"/>
          <w:position w:val="2"/>
        </w:rPr>
        <w:t>International Journal of</w:t>
      </w:r>
      <w:r>
        <w:rPr>
          <w:spacing w:val="4"/>
          <w:position w:val="2"/>
        </w:rPr>
        <w:t xml:space="preserve"> </w:t>
      </w:r>
      <w:r>
        <w:rPr>
          <w:spacing w:val="-4"/>
          <w:position w:val="2"/>
        </w:rPr>
        <w:t>English</w:t>
      </w:r>
      <w:r>
        <w:rPr>
          <w:spacing w:val="4"/>
          <w:position w:val="2"/>
        </w:rPr>
        <w:t xml:space="preserve"> </w:t>
      </w:r>
      <w:r>
        <w:rPr>
          <w:spacing w:val="-4"/>
          <w:position w:val="2"/>
        </w:rPr>
        <w:t>Studies,26/1,131-147.</w:t>
      </w:r>
      <w:hyperlink w:history="true" r:id="rId1">
        <w:r>
          <w:rPr>
            <w:spacing w:val="-4"/>
            <w:position w:val="2"/>
          </w:rPr>
          <w:t>https://doi.org/10.7311/0860-5734.26.1.09</w:t>
        </w:r>
      </w:hyperlink>
    </w:p>
    <w:p>
      <w:pPr>
        <w:spacing w:line="85" w:lineRule="exact"/>
        <w:rPr/>
      </w:pPr>
      <w:r/>
    </w:p>
    <w:p>
      <w:pPr>
        <w:spacing w:line="85" w:lineRule="exact"/>
        <w:sectPr>
          <w:pgSz w:w="12240" w:h="15840"/>
          <w:pgMar w:top="1346" w:right="577" w:bottom="0" w:left="370" w:header="0" w:footer="0" w:gutter="0"/>
          <w:cols w:equalWidth="0" w:num="1">
            <w:col w:w="11293" w:space="0"/>
          </w:cols>
        </w:sectPr>
        <w:rPr/>
      </w:pPr>
    </w:p>
    <w:p>
      <w:pPr>
        <w:pStyle w:val="BodyText"/>
        <w:ind w:left="610" w:right="72" w:hanging="610"/>
        <w:spacing w:before="86" w:line="218" w:lineRule="auto"/>
        <w:rPr/>
      </w:pPr>
      <w:r>
        <w:rPr/>
        <w:t>Edwards,M.E.,Bodger,O.,Brown,M.,Roberts,L.,Roberts,L.D.,Davies,J.S.,&amp;Mo</w:t>
      </w:r>
      <w:r>
        <w:rPr>
          <w:spacing w:val="-1"/>
        </w:rPr>
        <w:t>rgan,A.H.(2025).The</w:t>
      </w:r>
      <w:r>
        <w:rPr/>
        <w:t xml:space="preserve"> </w:t>
      </w:r>
      <w:r>
        <w:rPr/>
        <w:t>healthcare:the   Welsh    perspective.medRxi</w:t>
      </w:r>
      <w:r>
        <w:rPr>
          <w:spacing w:val="-1"/>
        </w:rPr>
        <w:t>v,2025-02.</w:t>
      </w:r>
    </w:p>
    <w:p>
      <w:pPr>
        <w:pStyle w:val="BodyText"/>
        <w:spacing w:before="167" w:line="198" w:lineRule="auto"/>
        <w:rPr/>
      </w:pPr>
      <w:r>
        <w:rPr/>
        <w:t>Espinosa-Anke,L.,Palmer,G.,Corcoran,P.,Filimonov,M.,Spasic,I.,&amp;Knight,D.(2</w:t>
      </w:r>
      <w:r>
        <w:rPr>
          <w:spacing w:val="-1"/>
        </w:rPr>
        <w:t>021).English-Welsh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39" w:line="205" w:lineRule="exact"/>
        <w:rPr/>
      </w:pPr>
      <w:r>
        <w:rPr>
          <w:position w:val="2"/>
        </w:rPr>
        <w:t>experience    and    perception </w:t>
      </w:r>
      <w:r>
        <w:rPr>
          <w:spacing w:val="-1"/>
          <w:position w:val="2"/>
        </w:rPr>
        <w:t xml:space="preserve">   of    first</w:t>
      </w:r>
      <w:r>
        <w:rPr>
          <w:spacing w:val="2"/>
          <w:position w:val="2"/>
        </w:rPr>
        <w:t xml:space="preserve">    </w:t>
      </w:r>
      <w:r>
        <w:rPr>
          <w:spacing w:val="-1"/>
          <w:position w:val="2"/>
        </w:rPr>
        <w:t>language</w:t>
      </w:r>
      <w:r>
        <w:rPr>
          <w:spacing w:val="3"/>
          <w:position w:val="2"/>
        </w:rPr>
        <w:t xml:space="preserve">    </w:t>
      </w:r>
      <w:r>
        <w:rPr>
          <w:spacing w:val="-1"/>
          <w:position w:val="2"/>
        </w:rPr>
        <w:t>usage</w:t>
      </w:r>
      <w:r>
        <w:rPr>
          <w:spacing w:val="2"/>
          <w:position w:val="2"/>
        </w:rPr>
        <w:t xml:space="preserve">    </w:t>
      </w:r>
      <w:r>
        <w:rPr>
          <w:spacing w:val="-1"/>
          <w:position w:val="2"/>
        </w:rPr>
        <w:t>in</w:t>
      </w:r>
    </w:p>
    <w:p>
      <w:pPr>
        <w:pStyle w:val="BodyText"/>
        <w:ind w:left="144"/>
        <w:spacing w:before="276" w:line="204" w:lineRule="exact"/>
        <w:rPr/>
      </w:pPr>
      <w:r>
        <w:rPr>
          <w:position w:val="2"/>
        </w:rPr>
        <w:t>cross</w:t>
      </w:r>
      <w:r>
        <w:rPr>
          <w:spacing w:val="1"/>
          <w:position w:val="2"/>
        </w:rPr>
        <w:t>-</w:t>
      </w:r>
      <w:r>
        <w:rPr>
          <w:position w:val="2"/>
        </w:rPr>
        <w:t>lingual</w:t>
      </w:r>
      <w:r>
        <w:rPr>
          <w:spacing w:val="1"/>
          <w:position w:val="2"/>
        </w:rPr>
        <w:t xml:space="preserve">        </w:t>
      </w:r>
      <w:r>
        <w:rPr>
          <w:position w:val="2"/>
        </w:rPr>
        <w:t>embeddings</w:t>
      </w:r>
      <w:r>
        <w:rPr>
          <w:spacing w:val="1"/>
          <w:position w:val="2"/>
        </w:rPr>
        <w:t>.</w:t>
      </w:r>
      <w:r>
        <w:rPr>
          <w:position w:val="2"/>
        </w:rPr>
        <w:t>Applied</w:t>
      </w:r>
      <w:r>
        <w:rPr>
          <w:spacing w:val="1"/>
          <w:position w:val="2"/>
        </w:rPr>
        <w:t xml:space="preserve">        </w:t>
      </w:r>
      <w:r>
        <w:rPr>
          <w:position w:val="2"/>
        </w:rPr>
        <w:t>Sciences</w:t>
      </w:r>
      <w:r>
        <w:rPr>
          <w:spacing w:val="1"/>
          <w:position w:val="2"/>
        </w:rPr>
        <w:t>,11(14),6</w:t>
      </w:r>
      <w:r>
        <w:rPr>
          <w:position w:val="2"/>
        </w:rPr>
        <w:t>541.</w:t>
      </w:r>
    </w:p>
    <w:p>
      <w:pPr>
        <w:spacing w:line="204" w:lineRule="exact"/>
        <w:sectPr>
          <w:type w:val="continuous"/>
          <w:pgSz w:w="12240" w:h="15840"/>
          <w:pgMar w:top="1346" w:right="577" w:bottom="0" w:left="370" w:header="0" w:footer="0" w:gutter="0"/>
          <w:cols w:equalWidth="0" w:num="2">
            <w:col w:w="6525" w:space="100"/>
            <w:col w:w="4669" w:space="0"/>
          </w:cols>
        </w:sectPr>
        <w:rPr/>
      </w:pPr>
    </w:p>
    <w:p>
      <w:pPr>
        <w:pStyle w:val="BodyText"/>
        <w:spacing w:before="105" w:line="205" w:lineRule="exact"/>
        <w:jc w:val="right"/>
        <w:rPr/>
      </w:pPr>
      <w:r>
        <w:rPr>
          <w:position w:val="2"/>
        </w:rPr>
        <w:t>Grifiths,H.M.,&amp;Tooth,S.(2021).Remembering  and  forgetting</w:t>
      </w:r>
      <w:r>
        <w:rPr>
          <w:spacing w:val="7"/>
          <w:position w:val="2"/>
        </w:rPr>
        <w:t xml:space="preserve">  </w:t>
      </w:r>
      <w:r>
        <w:rPr>
          <w:position w:val="2"/>
        </w:rPr>
        <w:t>floods</w:t>
      </w:r>
      <w:r>
        <w:rPr>
          <w:spacing w:val="9"/>
          <w:position w:val="2"/>
        </w:rPr>
        <w:t xml:space="preserve">  </w:t>
      </w:r>
      <w:r>
        <w:rPr>
          <w:position w:val="2"/>
        </w:rPr>
        <w:t>and</w:t>
      </w:r>
      <w:r>
        <w:rPr>
          <w:spacing w:val="10"/>
          <w:position w:val="2"/>
        </w:rPr>
        <w:t xml:space="preserve">  </w:t>
      </w:r>
      <w:r>
        <w:rPr>
          <w:position w:val="2"/>
        </w:rPr>
        <w:t>droughts:lessons</w:t>
      </w:r>
      <w:r>
        <w:rPr>
          <w:spacing w:val="7"/>
          <w:position w:val="2"/>
        </w:rPr>
        <w:t xml:space="preserve">  </w:t>
      </w:r>
      <w:r>
        <w:rPr>
          <w:position w:val="2"/>
        </w:rPr>
        <w:t>from</w:t>
      </w:r>
      <w:r>
        <w:rPr>
          <w:spacing w:val="8"/>
          <w:position w:val="2"/>
        </w:rPr>
        <w:t xml:space="preserve">  </w:t>
      </w:r>
      <w:r>
        <w:rPr>
          <w:position w:val="2"/>
        </w:rPr>
        <w:t>the</w:t>
      </w:r>
      <w:r>
        <w:rPr>
          <w:spacing w:val="7"/>
          <w:position w:val="2"/>
        </w:rPr>
        <w:t xml:space="preserve">  </w:t>
      </w:r>
      <w:r>
        <w:rPr>
          <w:position w:val="2"/>
        </w:rPr>
        <w:t>Welsh</w:t>
      </w:r>
      <w:r>
        <w:rPr>
          <w:spacing w:val="10"/>
          <w:w w:val="101"/>
          <w:position w:val="2"/>
        </w:rPr>
        <w:t xml:space="preserve">  </w:t>
      </w:r>
      <w:r>
        <w:rPr>
          <w:position w:val="2"/>
        </w:rPr>
        <w:t>colo</w:t>
      </w:r>
      <w:r>
        <w:rPr>
          <w:spacing w:val="-1"/>
          <w:position w:val="2"/>
        </w:rPr>
        <w:t>ny   in   Patagonia.cultural  geographies,28(2),341-361.</w:t>
      </w:r>
    </w:p>
    <w:p>
      <w:pPr>
        <w:pStyle w:val="BodyText"/>
        <w:ind w:left="610" w:right="148" w:hanging="610"/>
        <w:spacing w:before="105" w:line="249" w:lineRule="auto"/>
        <w:rPr>
          <w:rFonts w:ascii="SimHei" w:hAnsi="SimHei" w:eastAsia="SimHei" w:cs="SimHei"/>
        </w:rPr>
      </w:pPr>
      <w:r>
        <w:rPr/>
        <w:t>Hodges,R.(2024).Defiance  within  the  decline?Revisiting  new  Welsh  speakers'language  journeys.Journal  of  Multil</w:t>
      </w:r>
      <w:r>
        <w:rPr>
          <w:spacing w:val="-1"/>
        </w:rPr>
        <w:t>ingual  and</w:t>
      </w:r>
      <w:r>
        <w:rPr>
          <w:spacing w:val="5"/>
        </w:rPr>
        <w:t xml:space="preserve">  </w:t>
      </w:r>
      <w:r>
        <w:rPr>
          <w:spacing w:val="-1"/>
        </w:rPr>
        <w:t>Multicultural</w:t>
      </w:r>
      <w:r>
        <w:rPr>
          <w:spacing w:val="5"/>
        </w:rPr>
        <w:t xml:space="preserve">  </w:t>
      </w:r>
      <w:r>
        <w:rPr>
          <w:spacing w:val="-1"/>
        </w:rPr>
        <w:t>Development,45(2),306-</w:t>
      </w:r>
      <w:r>
        <w:rPr>
          <w:spacing w:val="1"/>
        </w:rPr>
        <w:t xml:space="preserve"> </w:t>
      </w:r>
      <w:r>
        <w:rPr>
          <w:rFonts w:ascii="SimHei" w:hAnsi="SimHei" w:eastAsia="SimHei" w:cs="SimHei"/>
          <w:spacing w:val="-2"/>
        </w:rPr>
        <w:t>322.</w:t>
      </w:r>
    </w:p>
    <w:p>
      <w:pPr>
        <w:pStyle w:val="BodyText"/>
        <w:ind w:left="610" w:right="832" w:hanging="610"/>
        <w:spacing w:before="98" w:line="275" w:lineRule="auto"/>
        <w:rPr/>
      </w:pPr>
      <w:r>
        <w:rPr>
          <w:spacing w:val="-4"/>
        </w:rPr>
        <w:t>Khatri,R.B.,&amp;Assefa,Y.(2022).Access to health services among culturally and</w:t>
      </w:r>
      <w:r>
        <w:rPr>
          <w:spacing w:val="7"/>
        </w:rPr>
        <w:t xml:space="preserve"> </w:t>
      </w:r>
      <w:r>
        <w:rPr>
          <w:spacing w:val="-4"/>
        </w:rPr>
        <w:t>linguistically</w:t>
      </w:r>
      <w:r>
        <w:rPr>
          <w:spacing w:val="2"/>
        </w:rPr>
        <w:t xml:space="preserve"> </w:t>
      </w:r>
      <w:r>
        <w:rPr>
          <w:spacing w:val="-4"/>
        </w:rPr>
        <w:t>diverse</w:t>
      </w:r>
      <w:r>
        <w:rPr>
          <w:spacing w:val="7"/>
        </w:rPr>
        <w:t xml:space="preserve"> </w:t>
      </w:r>
      <w:r>
        <w:rPr>
          <w:spacing w:val="-4"/>
        </w:rPr>
        <w:t>populations</w:t>
      </w:r>
      <w:r>
        <w:rPr>
          <w:spacing w:val="7"/>
        </w:rPr>
        <w:t xml:space="preserve"> </w:t>
      </w:r>
      <w:r>
        <w:rPr>
          <w:spacing w:val="-4"/>
        </w:rPr>
        <w:t>in th</w:t>
      </w:r>
      <w:r>
        <w:rPr>
          <w:spacing w:val="-5"/>
        </w:rPr>
        <w:t>e Australian</w:t>
      </w:r>
      <w:r>
        <w:rPr>
          <w:spacing w:val="7"/>
        </w:rPr>
        <w:t xml:space="preserve"> </w:t>
      </w:r>
      <w:r>
        <w:rPr>
          <w:spacing w:val="-5"/>
        </w:rPr>
        <w:t>universal</w:t>
      </w:r>
      <w:r>
        <w:rPr>
          <w:spacing w:val="7"/>
        </w:rPr>
        <w:t xml:space="preserve"> </w:t>
      </w:r>
      <w:r>
        <w:rPr>
          <w:spacing w:val="-5"/>
        </w:rPr>
        <w:t>health</w:t>
      </w:r>
      <w:r>
        <w:rPr>
          <w:spacing w:val="3"/>
        </w:rPr>
        <w:t xml:space="preserve"> </w:t>
      </w:r>
      <w:r>
        <w:rPr>
          <w:spacing w:val="-5"/>
        </w:rPr>
        <w:t>care</w:t>
      </w:r>
      <w:r>
        <w:rPr>
          <w:spacing w:val="2"/>
        </w:rPr>
        <w:t xml:space="preserve"> </w:t>
      </w:r>
      <w:r>
        <w:rPr>
          <w:spacing w:val="-5"/>
        </w:rPr>
        <w:t>system:issues</w:t>
      </w:r>
      <w:r>
        <w:rPr>
          <w:spacing w:val="2"/>
        </w:rPr>
        <w:t xml:space="preserve"> </w:t>
      </w:r>
      <w:r>
        <w:rPr>
          <w:spacing w:val="-5"/>
        </w:rPr>
        <w:t>and</w:t>
      </w:r>
      <w:r>
        <w:rPr/>
        <w:t xml:space="preserve"> </w:t>
      </w:r>
      <w:r>
        <w:rPr>
          <w:spacing w:val="-2"/>
        </w:rPr>
        <w:t>challenges.BMC public</w:t>
      </w:r>
      <w:r>
        <w:rPr>
          <w:spacing w:val="-3"/>
        </w:rPr>
        <w:t xml:space="preserve"> health,22(1),880.</w:t>
      </w:r>
    </w:p>
    <w:p>
      <w:pPr>
        <w:pStyle w:val="BodyText"/>
        <w:spacing w:before="116" w:line="204" w:lineRule="exact"/>
        <w:rPr/>
      </w:pPr>
      <w:r>
        <w:rPr>
          <w:position w:val="2"/>
        </w:rPr>
        <w:t>Lewis,H.(2025).Looking  beyond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AR</w:t>
      </w:r>
      <w:r>
        <w:rPr>
          <w:spacing w:val="-1"/>
          <w:position w:val="2"/>
        </w:rPr>
        <w:t>FOR:economic</w:t>
      </w:r>
      <w:r>
        <w:rPr>
          <w:spacing w:val="36"/>
          <w:w w:val="101"/>
          <w:position w:val="2"/>
        </w:rPr>
        <w:t xml:space="preserve"> </w:t>
      </w:r>
      <w:r>
        <w:rPr>
          <w:spacing w:val="-1"/>
          <w:position w:val="2"/>
        </w:rPr>
        <w:t>development</w:t>
      </w:r>
      <w:r>
        <w:rPr>
          <w:spacing w:val="36"/>
          <w:w w:val="101"/>
          <w:position w:val="2"/>
        </w:rPr>
        <w:t xml:space="preserve"> </w:t>
      </w:r>
      <w:r>
        <w:rPr>
          <w:spacing w:val="-1"/>
          <w:position w:val="2"/>
        </w:rPr>
        <w:t>strategies</w:t>
      </w:r>
      <w:r>
        <w:rPr>
          <w:spacing w:val="37"/>
          <w:position w:val="2"/>
        </w:rPr>
        <w:t xml:space="preserve"> </w:t>
      </w:r>
      <w:r>
        <w:rPr>
          <w:spacing w:val="-1"/>
          <w:position w:val="2"/>
        </w:rPr>
        <w:t>and</w:t>
      </w:r>
      <w:r>
        <w:rPr>
          <w:spacing w:val="34"/>
          <w:w w:val="101"/>
          <w:position w:val="2"/>
        </w:rPr>
        <w:t xml:space="preserve"> </w:t>
      </w:r>
      <w:r>
        <w:rPr>
          <w:spacing w:val="-1"/>
          <w:position w:val="2"/>
        </w:rPr>
        <w:t>the</w:t>
      </w:r>
      <w:r>
        <w:rPr>
          <w:spacing w:val="33"/>
          <w:w w:val="101"/>
          <w:position w:val="2"/>
        </w:rPr>
        <w:t xml:space="preserve"> </w:t>
      </w:r>
      <w:r>
        <w:rPr>
          <w:spacing w:val="-1"/>
          <w:position w:val="2"/>
        </w:rPr>
        <w:t>Welsh  language.</w:t>
      </w:r>
    </w:p>
    <w:p>
      <w:pPr>
        <w:pStyle w:val="BodyText"/>
        <w:spacing w:before="106" w:line="204" w:lineRule="exact"/>
        <w:rPr/>
      </w:pPr>
      <w:r>
        <w:rPr>
          <w:position w:val="2"/>
        </w:rPr>
        <w:t>Thomas,R.,Bevan,G.,Donovan,P.,&amp;Hawke,A.(2022).A    Dictionary    of</w:t>
      </w:r>
      <w:r>
        <w:rPr>
          <w:spacing w:val="10"/>
          <w:w w:val="101"/>
          <w:position w:val="2"/>
        </w:rPr>
        <w:t xml:space="preserve">   </w:t>
      </w:r>
      <w:r>
        <w:rPr>
          <w:position w:val="2"/>
        </w:rPr>
        <w:t>the</w:t>
      </w:r>
      <w:r>
        <w:rPr>
          <w:spacing w:val="12"/>
          <w:w w:val="101"/>
          <w:position w:val="2"/>
        </w:rPr>
        <w:t xml:space="preserve">   </w:t>
      </w:r>
      <w:r>
        <w:rPr>
          <w:position w:val="2"/>
        </w:rPr>
        <w:t>Welsh    Langua</w:t>
      </w:r>
      <w:r>
        <w:rPr>
          <w:spacing w:val="-1"/>
          <w:position w:val="2"/>
        </w:rPr>
        <w:t>ge-GPC(ELEXIS).</w:t>
      </w:r>
    </w:p>
    <w:p>
      <w:pPr>
        <w:pStyle w:val="BodyText"/>
        <w:spacing w:before="96" w:line="204" w:lineRule="exact"/>
        <w:rPr/>
      </w:pPr>
      <w:r>
        <w:rPr>
          <w:position w:val="2"/>
        </w:rPr>
        <w:t>Tung,K.L.(2025).Reasons</w:t>
      </w:r>
      <w:r>
        <w:rPr>
          <w:spacing w:val="34"/>
          <w:w w:val="102"/>
          <w:position w:val="2"/>
        </w:rPr>
        <w:t xml:space="preserve"> </w:t>
      </w:r>
      <w:r>
        <w:rPr>
          <w:position w:val="2"/>
        </w:rPr>
        <w:t>to  learn</w:t>
      </w:r>
      <w:r>
        <w:rPr>
          <w:spacing w:val="37"/>
          <w:w w:val="101"/>
          <w:position w:val="2"/>
        </w:rPr>
        <w:t xml:space="preserve"> </w:t>
      </w:r>
      <w:r>
        <w:rPr>
          <w:position w:val="2"/>
        </w:rPr>
        <w:t>a  minoritised  la</w:t>
      </w:r>
      <w:r>
        <w:rPr>
          <w:spacing w:val="-1"/>
          <w:position w:val="2"/>
        </w:rPr>
        <w:t>nguage:the</w:t>
      </w:r>
      <w:r>
        <w:rPr>
          <w:spacing w:val="38"/>
          <w:position w:val="2"/>
        </w:rPr>
        <w:t xml:space="preserve"> </w:t>
      </w:r>
      <w:r>
        <w:rPr>
          <w:spacing w:val="-1"/>
          <w:position w:val="2"/>
        </w:rPr>
        <w:t>case</w:t>
      </w:r>
      <w:r>
        <w:rPr>
          <w:spacing w:val="37"/>
          <w:position w:val="2"/>
        </w:rPr>
        <w:t xml:space="preserve"> </w:t>
      </w:r>
      <w:r>
        <w:rPr>
          <w:spacing w:val="-1"/>
          <w:position w:val="2"/>
        </w:rPr>
        <w:t>of</w:t>
      </w:r>
      <w:r>
        <w:rPr>
          <w:spacing w:val="36"/>
          <w:w w:val="102"/>
          <w:position w:val="2"/>
        </w:rPr>
        <w:t xml:space="preserve"> </w:t>
      </w:r>
      <w:r>
        <w:rPr>
          <w:spacing w:val="-1"/>
          <w:position w:val="2"/>
        </w:rPr>
        <w:t>migrant  new</w:t>
      </w:r>
      <w:r>
        <w:rPr>
          <w:spacing w:val="36"/>
          <w:w w:val="102"/>
          <w:position w:val="2"/>
        </w:rPr>
        <w:t xml:space="preserve"> </w:t>
      </w:r>
      <w:r>
        <w:rPr>
          <w:spacing w:val="-1"/>
          <w:position w:val="2"/>
        </w:rPr>
        <w:t>speakers  of</w:t>
      </w:r>
      <w:r>
        <w:rPr>
          <w:spacing w:val="28"/>
          <w:w w:val="101"/>
          <w:position w:val="2"/>
        </w:rPr>
        <w:t xml:space="preserve"> </w:t>
      </w:r>
      <w:r>
        <w:rPr>
          <w:spacing w:val="-1"/>
          <w:position w:val="2"/>
        </w:rPr>
        <w:t>Welsh  in  Cardiff,Wales.Language,Culture</w:t>
      </w:r>
      <w:r>
        <w:rPr>
          <w:spacing w:val="37"/>
          <w:w w:val="101"/>
          <w:position w:val="2"/>
        </w:rPr>
        <w:t xml:space="preserve"> </w:t>
      </w:r>
      <w:r>
        <w:rPr>
          <w:spacing w:val="-1"/>
          <w:position w:val="2"/>
        </w:rPr>
        <w:t>and</w:t>
      </w:r>
      <w:r>
        <w:rPr>
          <w:spacing w:val="39"/>
          <w:w w:val="102"/>
          <w:position w:val="2"/>
        </w:rPr>
        <w:t xml:space="preserve"> </w:t>
      </w:r>
      <w:r>
        <w:rPr>
          <w:spacing w:val="-1"/>
          <w:position w:val="2"/>
        </w:rPr>
        <w:t>Curriculum,1-19.</w:t>
      </w:r>
    </w:p>
    <w:p>
      <w:pPr>
        <w:pStyle w:val="BodyText"/>
        <w:spacing w:before="132" w:line="181" w:lineRule="exact"/>
        <w:rPr/>
      </w:pPr>
      <w:r>
        <w:rPr>
          <w:i/>
          <w:iCs/>
          <w:spacing w:val="-4"/>
          <w:position w:val="2"/>
        </w:rPr>
        <w:t>Use of</w:t>
      </w:r>
      <w:r>
        <w:rPr>
          <w:i/>
          <w:iCs/>
          <w:spacing w:val="-9"/>
          <w:position w:val="2"/>
        </w:rPr>
        <w:t xml:space="preserve"> </w:t>
      </w:r>
      <w:r>
        <w:rPr>
          <w:i/>
          <w:iCs/>
          <w:spacing w:val="-4"/>
          <w:position w:val="2"/>
        </w:rPr>
        <w:t>the</w:t>
      </w:r>
      <w:r>
        <w:rPr>
          <w:i/>
          <w:iCs/>
          <w:spacing w:val="15"/>
          <w:w w:val="101"/>
          <w:position w:val="2"/>
        </w:rPr>
        <w:t xml:space="preserve"> </w:t>
      </w:r>
      <w:r>
        <w:rPr>
          <w:i/>
          <w:iCs/>
          <w:spacing w:val="-4"/>
          <w:position w:val="2"/>
        </w:rPr>
        <w:t>Welsh Language in the Private</w:t>
      </w:r>
      <w:r>
        <w:rPr>
          <w:i/>
          <w:iCs/>
          <w:spacing w:val="7"/>
          <w:position w:val="2"/>
        </w:rPr>
        <w:t xml:space="preserve"> </w:t>
      </w:r>
      <w:r>
        <w:rPr>
          <w:i/>
          <w:iCs/>
          <w:spacing w:val="-4"/>
          <w:position w:val="2"/>
        </w:rPr>
        <w:t>Sector:Case</w:t>
      </w:r>
      <w:r>
        <w:rPr>
          <w:i/>
          <w:iCs/>
          <w:spacing w:val="8"/>
          <w:position w:val="2"/>
        </w:rPr>
        <w:t xml:space="preserve"> </w:t>
      </w:r>
      <w:r>
        <w:rPr>
          <w:i/>
          <w:iCs/>
          <w:spacing w:val="-4"/>
          <w:position w:val="2"/>
        </w:rPr>
        <w:t>Studies A report</w:t>
      </w:r>
      <w:r>
        <w:rPr>
          <w:i/>
          <w:iCs/>
          <w:spacing w:val="-10"/>
          <w:position w:val="2"/>
        </w:rPr>
        <w:t xml:space="preserve"> </w:t>
      </w:r>
      <w:r>
        <w:rPr>
          <w:i/>
          <w:iCs/>
          <w:spacing w:val="-4"/>
          <w:position w:val="2"/>
        </w:rPr>
        <w:t>prepared for.(n.d.).</w:t>
      </w:r>
      <w:hyperlink w:history="true" r:id="rId2">
        <w:r>
          <w:rPr>
            <w:i/>
            <w:iCs/>
            <w:spacing w:val="-4"/>
            <w:position w:val="2"/>
          </w:rPr>
          <w:t>https://www.gov.wales/sites/default/files/statistics-and-research/2018-</w:t>
        </w:r>
      </w:hyperlink>
    </w:p>
    <w:p>
      <w:pPr>
        <w:pStyle w:val="BodyText"/>
        <w:ind w:left="610"/>
        <w:spacing w:line="187" w:lineRule="exact"/>
        <w:rPr/>
      </w:pPr>
      <w:r>
        <w:rPr>
          <w:spacing w:val="-5"/>
          <w:position w:val="2"/>
        </w:rPr>
        <w:t>12/111215welshlanguag</w:t>
      </w:r>
      <w:r>
        <w:rPr>
          <w:spacing w:val="-6"/>
          <w:position w:val="2"/>
        </w:rPr>
        <w:t>een.pdf</w:t>
      </w:r>
    </w:p>
    <w:p>
      <w:pPr>
        <w:pStyle w:val="BodyText"/>
        <w:ind w:left="610" w:right="317" w:hanging="610"/>
        <w:spacing w:before="125" w:line="261" w:lineRule="auto"/>
        <w:rPr/>
      </w:pPr>
      <w:r>
        <w:rPr/>
        <w:t>Whitmore,C.(2021).Culture,Communications,Welsh  Language,Sport  and  Intemational</w:t>
      </w:r>
      <w:r>
        <w:rPr>
          <w:spacing w:val="6"/>
        </w:rPr>
        <w:t xml:space="preserve">  </w:t>
      </w:r>
      <w:r>
        <w:rPr/>
        <w:t>Relations:Priortie</w:t>
      </w:r>
      <w:r>
        <w:rPr>
          <w:spacing w:val="-1"/>
        </w:rPr>
        <w:t>s  for  the  Sixth</w:t>
      </w:r>
      <w:r>
        <w:rPr>
          <w:spacing w:val="3"/>
        </w:rPr>
        <w:t xml:space="preserve">  </w:t>
      </w:r>
      <w:r>
        <w:rPr>
          <w:spacing w:val="-1"/>
        </w:rPr>
        <w:t>Senedd-Consultation</w:t>
      </w:r>
      <w:r>
        <w:rPr>
          <w:spacing w:val="4"/>
        </w:rPr>
        <w:t xml:space="preserve">  </w:t>
      </w:r>
      <w:r>
        <w:rPr>
          <w:spacing w:val="-1"/>
        </w:rPr>
        <w:t>response</w:t>
      </w:r>
      <w:r>
        <w:rPr>
          <w:spacing w:val="5"/>
        </w:rPr>
        <w:t xml:space="preserve">  </w:t>
      </w:r>
      <w:r>
        <w:rPr>
          <w:spacing w:val="-1"/>
        </w:rPr>
        <w:t>by</w:t>
      </w:r>
      <w:r>
        <w:rPr>
          <w:spacing w:val="1"/>
        </w:rPr>
        <w:t xml:space="preserve">  </w:t>
      </w:r>
      <w:r>
        <w:rPr>
          <w:spacing w:val="-1"/>
        </w:rPr>
        <w:t>Wales</w:t>
      </w:r>
      <w:r>
        <w:rPr/>
        <w:t xml:space="preserve"> </w:t>
      </w:r>
      <w:r>
        <w:rPr/>
        <w:t>Council</w:t>
      </w:r>
      <w:r>
        <w:rPr>
          <w:spacing w:val="19"/>
          <w:w w:val="101"/>
        </w:rPr>
        <w:t xml:space="preserve"> </w:t>
      </w:r>
      <w:r>
        <w:rPr/>
        <w:t>for</w:t>
      </w:r>
      <w:r>
        <w:rPr>
          <w:spacing w:val="16"/>
          <w:w w:val="102"/>
        </w:rPr>
        <w:t xml:space="preserve"> </w:t>
      </w:r>
      <w:r>
        <w:rPr/>
        <w:t>Voluntary</w:t>
      </w:r>
      <w:r>
        <w:rPr>
          <w:spacing w:val="18"/>
        </w:rPr>
        <w:t xml:space="preserve"> </w:t>
      </w:r>
      <w:r>
        <w:rPr>
          <w:spacing w:val="-1"/>
        </w:rPr>
        <w:t>Action</w:t>
      </w:r>
      <w:r>
        <w:rPr>
          <w:spacing w:val="27"/>
          <w:w w:val="101"/>
        </w:rPr>
        <w:t xml:space="preserve"> </w:t>
      </w:r>
      <w:r>
        <w:rPr>
          <w:spacing w:val="-1"/>
        </w:rPr>
        <w:t>(WCVA)and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Wales.</w:t>
      </w:r>
    </w:p>
    <w:p>
      <w:pPr>
        <w:pStyle w:val="BodyText"/>
        <w:ind w:left="610" w:right="90" w:hanging="610"/>
        <w:spacing w:before="115" w:line="242" w:lineRule="auto"/>
        <w:rPr/>
      </w:pPr>
      <w:r>
        <w:rPr/>
        <w:t>Wiliams,G.,Roberts,E.,&amp;Isaac,R.(2023).Language  and  aspirations  for</w:t>
      </w:r>
      <w:r>
        <w:rPr>
          <w:spacing w:val="8"/>
        </w:rPr>
        <w:t xml:space="preserve">  </w:t>
      </w:r>
      <w:r>
        <w:rPr/>
        <w:t>upward</w:t>
      </w:r>
      <w:r>
        <w:rPr>
          <w:spacing w:val="6"/>
        </w:rPr>
        <w:t xml:space="preserve">  </w:t>
      </w:r>
      <w:r>
        <w:rPr/>
        <w:t>social</w:t>
      </w:r>
      <w:r>
        <w:rPr>
          <w:spacing w:val="10"/>
        </w:rPr>
        <w:t xml:space="preserve">  </w:t>
      </w:r>
      <w:r>
        <w:rPr/>
        <w:t>mobllty.I</w:t>
      </w:r>
      <w:r>
        <w:rPr>
          <w:spacing w:val="-1"/>
        </w:rPr>
        <w:t>n</w:t>
      </w:r>
      <w:r>
        <w:rPr>
          <w:spacing w:val="7"/>
        </w:rPr>
        <w:t xml:space="preserve">  </w:t>
      </w:r>
      <w:r>
        <w:rPr>
          <w:spacing w:val="-1"/>
        </w:rPr>
        <w:t>Social</w:t>
      </w:r>
      <w:r>
        <w:rPr>
          <w:spacing w:val="7"/>
        </w:rPr>
        <w:t xml:space="preserve">  </w:t>
      </w:r>
      <w:r>
        <w:rPr>
          <w:spacing w:val="-1"/>
        </w:rPr>
        <w:t>and</w:t>
      </w:r>
      <w:r>
        <w:rPr>
          <w:spacing w:val="8"/>
        </w:rPr>
        <w:t xml:space="preserve">  </w:t>
      </w:r>
      <w:r>
        <w:rPr>
          <w:spacing w:val="-1"/>
        </w:rPr>
        <w:t>culural</w:t>
      </w:r>
      <w:r>
        <w:rPr>
          <w:spacing w:val="7"/>
        </w:rPr>
        <w:t xml:space="preserve">  </w:t>
      </w:r>
      <w:r>
        <w:rPr>
          <w:spacing w:val="-1"/>
        </w:rPr>
        <w:t>change</w:t>
      </w:r>
      <w:r>
        <w:rPr>
          <w:spacing w:val="9"/>
        </w:rPr>
        <w:t xml:space="preserve">  </w:t>
      </w:r>
      <w:r>
        <w:rPr>
          <w:spacing w:val="-1"/>
        </w:rPr>
        <w:t>in</w:t>
      </w:r>
      <w:r>
        <w:rPr>
          <w:spacing w:val="7"/>
        </w:rPr>
        <w:t xml:space="preserve">  </w:t>
      </w:r>
      <w:r>
        <w:rPr>
          <w:spacing w:val="-1"/>
        </w:rPr>
        <w:t>contemporary</w:t>
      </w:r>
      <w:r>
        <w:rPr>
          <w:spacing w:val="6"/>
        </w:rPr>
        <w:t xml:space="preserve">  </w:t>
      </w:r>
      <w:r>
        <w:rPr>
          <w:spacing w:val="-1"/>
        </w:rPr>
        <w:t>Wales</w:t>
      </w:r>
      <w:r>
        <w:rPr>
          <w:spacing w:val="9"/>
        </w:rPr>
        <w:t xml:space="preserve">  </w:t>
      </w:r>
      <w:r>
        <w:rPr>
          <w:spacing w:val="-1"/>
        </w:rPr>
        <w:t>(pp.193-205).</w:t>
      </w:r>
      <w:r>
        <w:rPr/>
        <w:t xml:space="preserve"> </w:t>
      </w:r>
      <w:r>
        <w:rPr>
          <w:spacing w:val="-2"/>
        </w:rPr>
        <w:t>Routledge.</w:t>
      </w:r>
    </w:p>
    <w:p>
      <w:pPr>
        <w:pStyle w:val="BodyText"/>
        <w:spacing w:before="123" w:line="204" w:lineRule="exact"/>
        <w:rPr/>
      </w:pPr>
      <w:r>
        <w:rPr>
          <w:position w:val="2"/>
        </w:rPr>
        <w:t>Wiliams,M.,&amp;Cooper,S.(2021).Adult</w:t>
      </w:r>
      <w:r>
        <w:rPr>
          <w:spacing w:val="14"/>
          <w:w w:val="101"/>
          <w:position w:val="2"/>
        </w:rPr>
        <w:t xml:space="preserve">  </w:t>
      </w:r>
      <w:r>
        <w:rPr>
          <w:position w:val="2"/>
        </w:rPr>
        <w:t>new</w:t>
      </w:r>
      <w:r>
        <w:rPr>
          <w:spacing w:val="12"/>
          <w:position w:val="2"/>
        </w:rPr>
        <w:t xml:space="preserve">  </w:t>
      </w:r>
      <w:r>
        <w:rPr>
          <w:position w:val="2"/>
        </w:rPr>
        <w:t>speakers</w:t>
      </w:r>
      <w:r>
        <w:rPr>
          <w:spacing w:val="12"/>
          <w:position w:val="2"/>
        </w:rPr>
        <w:t xml:space="preserve">  </w:t>
      </w:r>
      <w:r>
        <w:rPr>
          <w:position w:val="2"/>
        </w:rPr>
        <w:t>of  Welsh:Accent,pronunciation</w:t>
      </w:r>
      <w:r>
        <w:rPr>
          <w:spacing w:val="12"/>
          <w:w w:val="101"/>
          <w:position w:val="2"/>
        </w:rPr>
        <w:t xml:space="preserve">  </w:t>
      </w:r>
      <w:r>
        <w:rPr>
          <w:position w:val="2"/>
        </w:rPr>
        <w:t>and   la</w:t>
      </w:r>
      <w:r>
        <w:rPr>
          <w:spacing w:val="-1"/>
          <w:position w:val="2"/>
        </w:rPr>
        <w:t>nguage</w:t>
      </w:r>
      <w:r>
        <w:rPr>
          <w:spacing w:val="12"/>
          <w:w w:val="101"/>
          <w:position w:val="2"/>
        </w:rPr>
        <w:t xml:space="preserve">  </w:t>
      </w:r>
      <w:r>
        <w:rPr>
          <w:spacing w:val="-1"/>
          <w:position w:val="2"/>
        </w:rPr>
        <w:t>experience</w:t>
      </w:r>
      <w:r>
        <w:rPr>
          <w:spacing w:val="14"/>
          <w:w w:val="101"/>
          <w:position w:val="2"/>
        </w:rPr>
        <w:t xml:space="preserve">  </w:t>
      </w:r>
      <w:r>
        <w:rPr>
          <w:spacing w:val="-1"/>
          <w:position w:val="2"/>
        </w:rPr>
        <w:t>in</w:t>
      </w:r>
      <w:r>
        <w:rPr>
          <w:spacing w:val="13"/>
          <w:position w:val="2"/>
        </w:rPr>
        <w:t xml:space="preserve">  </w:t>
      </w:r>
      <w:r>
        <w:rPr>
          <w:spacing w:val="-1"/>
          <w:position w:val="2"/>
        </w:rPr>
        <w:t>South</w:t>
      </w:r>
      <w:r>
        <w:rPr>
          <w:spacing w:val="10"/>
          <w:w w:val="101"/>
          <w:position w:val="2"/>
        </w:rPr>
        <w:t xml:space="preserve">  </w:t>
      </w:r>
      <w:r>
        <w:rPr>
          <w:spacing w:val="-1"/>
          <w:position w:val="2"/>
        </w:rPr>
        <w:t>Wales.Languages,6(2),86.</w:t>
      </w:r>
    </w:p>
    <w:p>
      <w:pPr>
        <w:spacing w:line="55" w:lineRule="auto"/>
        <w:rPr>
          <w:rFonts w:ascii="Arial"/>
          <w:sz w:val="2"/>
        </w:rPr>
      </w:pPr>
      <w:r>
        <w:rPr>
          <w:rFonts w:ascii="Arial"/>
          <w:sz w:val="2"/>
        </w:rPr>
      </w:r>
    </w:p>
    <w:p>
      <w:pPr>
        <w:spacing w:line="55" w:lineRule="auto"/>
        <w:sectPr>
          <w:type w:val="continuous"/>
          <w:pgSz w:w="12240" w:h="15840"/>
          <w:pgMar w:top="1346" w:right="577" w:bottom="0" w:left="370" w:header="0" w:footer="0" w:gutter="0"/>
          <w:cols w:equalWidth="0" w:num="1">
            <w:col w:w="11293" w:space="0"/>
          </w:cols>
        </w:sectPr>
        <w:rPr>
          <w:rFonts w:ascii="Arial" w:hAnsi="Arial" w:eastAsia="Arial" w:cs="Arial"/>
          <w:sz w:val="2"/>
          <w:szCs w:val="2"/>
        </w:rPr>
      </w:pPr>
    </w:p>
    <w:p>
      <w:pPr>
        <w:pStyle w:val="BodyText"/>
        <w:ind w:left="610" w:right="35" w:hanging="610"/>
        <w:spacing w:before="85" w:line="273" w:lineRule="auto"/>
        <w:rPr/>
      </w:pPr>
      <w:r>
        <w:rPr/>
        <w:t>Ward,R.,&amp;Sanoudaki,E.(2021).Lan</w:t>
      </w:r>
      <w:r>
        <w:rPr>
          <w:spacing w:val="-1"/>
        </w:rPr>
        <w:t>guage</w:t>
      </w:r>
      <w:r>
        <w:rPr/>
        <w:t xml:space="preserve"> </w:t>
      </w:r>
      <w:r>
        <w:rPr/>
        <w:t>Disorders,93,106126.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ind w:left="58"/>
        <w:spacing w:before="39" w:line="205" w:lineRule="exact"/>
        <w:rPr/>
      </w:pPr>
      <w:r>
        <w:rPr>
          <w:spacing w:val="-2"/>
          <w:position w:val="2"/>
        </w:rPr>
        <w:t>profiles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39" w:line="205" w:lineRule="exact"/>
        <w:rPr/>
      </w:pPr>
      <w:r>
        <w:rPr>
          <w:position w:val="2"/>
        </w:rPr>
        <w:t>of    Welsh-English     bilingual    children     with    Down    </w:t>
      </w:r>
      <w:r>
        <w:rPr>
          <w:spacing w:val="-1"/>
          <w:position w:val="2"/>
        </w:rPr>
        <w:t xml:space="preserve"> syndrome.Joumal    of     Communication</w:t>
      </w:r>
    </w:p>
    <w:sectPr>
      <w:type w:val="continuous"/>
      <w:pgSz w:w="12240" w:h="15840"/>
      <w:pgMar w:top="1346" w:right="577" w:bottom="0" w:left="370" w:header="0" w:footer="0" w:gutter="0"/>
      <w:cols w:equalWidth="0" w:num="3">
        <w:col w:w="2759" w:space="100"/>
        <w:col w:w="720" w:space="0"/>
        <w:col w:w="7715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15"/>
      <w:szCs w:val="1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hyperlink" Target="https://www.gov.wales/sites/default/files/statistics-and-research/2018-" TargetMode="External"/><Relationship Id="rId1" Type="http://schemas.openxmlformats.org/officeDocument/2006/relationships/hyperlink" Target="https://doi.org/10.7311/0860-5734.26.1.09" TargetMode="Externa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2025-04-21T04:55:49Z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2025-04-21T04:55:49</vt:filetime>
  </property>
  <property fmtid="{D5CDD505-2E9C-101B-9397-08002B2CF9AE}" pid="4" name="UsrData">
    <vt:lpwstr>b0c0f47d1703409e8fb6985bc4e9b4a9</vt:lpwstr>
  </property>
</Properties>
</file>