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603" w:rsidRPr="00870783" w:rsidRDefault="00E71308" w:rsidP="00633D5A">
      <w:pPr>
        <w:rPr>
          <w:rFonts w:ascii="Times New Roman" w:eastAsia="Times New Roman" w:hAnsi="Times New Roman" w:cs="Times New Roman"/>
          <w:sz w:val="24"/>
          <w:szCs w:val="24"/>
        </w:rPr>
      </w:pPr>
      <w:r w:rsidRPr="006814BF">
        <w:rPr>
          <w:b/>
        </w:rPr>
        <w:t>A Critical Comparison of two Secondary Sources</w:t>
      </w:r>
      <w:r>
        <w:br/>
      </w:r>
      <w:r>
        <w:br/>
      </w:r>
      <w:r w:rsidRPr="00811712">
        <w:rPr>
          <w:b/>
        </w:rPr>
        <w:t>Introduction:</w:t>
      </w:r>
      <w:r>
        <w:rPr>
          <w:b/>
        </w:rPr>
        <w:br/>
      </w:r>
      <w:r>
        <w:br/>
        <w:t xml:space="preserve">This essay critically compares and contrasts two secondary sources. The secondary sources chosen are Tony Walter and Helen Waterhouse paper titled ‘A Very Private Belief: Reincarnation in Contemporary England’ published in 1999 in </w:t>
      </w:r>
      <w:r w:rsidRPr="00E71308">
        <w:rPr>
          <w:i/>
        </w:rPr>
        <w:t>Sociology of Religion</w:t>
      </w:r>
      <w:r>
        <w:rPr>
          <w:i/>
        </w:rPr>
        <w:t xml:space="preserve">, </w:t>
      </w:r>
      <w:r>
        <w:t>an</w:t>
      </w:r>
      <w:r w:rsidR="008E1FA4">
        <w:t>d Gillian Bennet</w:t>
      </w:r>
      <w:r w:rsidR="00FF7848">
        <w:t>t</w:t>
      </w:r>
      <w:r w:rsidR="008E1FA4">
        <w:t>’</w:t>
      </w:r>
      <w:r>
        <w:t xml:space="preserve">s paper </w:t>
      </w:r>
      <w:r w:rsidR="003D626C">
        <w:t xml:space="preserve">‘ “If I Knew You were Coming I'd Have Baked a Cake”: The Folklore of Foreknowledge in a Neighborhood Group’ published in </w:t>
      </w:r>
      <w:r w:rsidR="003D626C" w:rsidRPr="003D626C">
        <w:rPr>
          <w:i/>
        </w:rPr>
        <w:t>Out of the Ordinary: Folklore and the Supernatural</w:t>
      </w:r>
      <w:r w:rsidR="003D626C">
        <w:rPr>
          <w:i/>
        </w:rPr>
        <w:t xml:space="preserve"> </w:t>
      </w:r>
      <w:r w:rsidR="003D626C" w:rsidRPr="003D626C">
        <w:t>in</w:t>
      </w:r>
      <w:r w:rsidR="003D626C">
        <w:t xml:space="preserve"> 1995.</w:t>
      </w:r>
      <w:r w:rsidR="008375EE">
        <w:rPr>
          <w:rStyle w:val="FootnoteReference"/>
        </w:rPr>
        <w:footnoteReference w:id="1"/>
      </w:r>
      <w:r>
        <w:br/>
        <w:t xml:space="preserve">We’ll compare how both these texts </w:t>
      </w:r>
      <w:r w:rsidR="004A3AD6">
        <w:t>express the authors</w:t>
      </w:r>
      <w:r w:rsidR="00633D5A">
        <w:t>’ research on</w:t>
      </w:r>
      <w:r w:rsidR="004A3AD6">
        <w:t xml:space="preserve"> private worldviews, about reincarnation in one case</w:t>
      </w:r>
      <w:r w:rsidR="008E1FA4">
        <w:t xml:space="preserve"> and foreknowledge in the other, </w:t>
      </w:r>
      <w:r w:rsidR="004A3AD6">
        <w:t xml:space="preserve"> focusing on the authors</w:t>
      </w:r>
      <w:r w:rsidR="008E1FA4">
        <w:t>’</w:t>
      </w:r>
      <w:r w:rsidR="004A3AD6">
        <w:t xml:space="preserve"> methodologies, </w:t>
      </w:r>
      <w:r w:rsidR="008375EE">
        <w:t xml:space="preserve"> their </w:t>
      </w:r>
      <w:r w:rsidR="008E1FA4">
        <w:t>handling of ethical questions,</w:t>
      </w:r>
      <w:r w:rsidR="001E675E">
        <w:t xml:space="preserve"> and how they place themselves in the</w:t>
      </w:r>
      <w:r w:rsidR="008E1FA4">
        <w:t>ir own</w:t>
      </w:r>
      <w:r w:rsidR="001E675E">
        <w:t xml:space="preserve"> research and wider academic world.</w:t>
      </w:r>
      <w:r w:rsidR="004A3AD6">
        <w:t xml:space="preserve">  </w:t>
      </w:r>
      <w:r>
        <w:br/>
      </w:r>
      <w:r>
        <w:br/>
      </w:r>
      <w:r w:rsidR="003064A3">
        <w:rPr>
          <w:b/>
        </w:rPr>
        <w:t>Exploring private’s worldview</w:t>
      </w:r>
      <w:r w:rsidR="00E94D61">
        <w:rPr>
          <w:b/>
        </w:rPr>
        <w:t>s: reincarnation and foreknowledge</w:t>
      </w:r>
      <w:r>
        <w:br/>
      </w:r>
      <w:r w:rsidR="007C79A2">
        <w:br/>
        <w:t>The</w:t>
      </w:r>
      <w:r w:rsidR="008E1FA4">
        <w:t xml:space="preserve"> papers studied</w:t>
      </w:r>
      <w:r w:rsidR="00A74508">
        <w:t xml:space="preserve"> here </w:t>
      </w:r>
      <w:r w:rsidR="008E1FA4">
        <w:t>are those</w:t>
      </w:r>
      <w:r w:rsidR="007C79A2">
        <w:t xml:space="preserve"> of researchers exploring private worldviews and reporting on these findings: Walter and Waterhouse focus on belief in reincarnation, while Benne</w:t>
      </w:r>
      <w:r w:rsidR="00FF7848">
        <w:t>t</w:t>
      </w:r>
      <w:r w:rsidR="007C79A2">
        <w:t>t focuses on the subject o</w:t>
      </w:r>
      <w:r w:rsidR="008E1FA4">
        <w:t>f foreknowledge. While only 4 years separated the publishing date of these papers and that they both explored</w:t>
      </w:r>
      <w:r w:rsidR="007C79A2">
        <w:t xml:space="preserve"> private worldviews, these papers share both similarities and differences. </w:t>
      </w:r>
      <w:r w:rsidR="005E50F7">
        <w:br/>
      </w:r>
      <w:r w:rsidR="007C79A2">
        <w:br/>
      </w:r>
      <w:r w:rsidR="00A5226E">
        <w:t xml:space="preserve">In their paper, </w:t>
      </w:r>
      <w:r w:rsidR="007C79A2">
        <w:t xml:space="preserve">Walter and Waterhouse </w:t>
      </w:r>
      <w:r w:rsidR="00A5226E">
        <w:t>teamed up, bringing together Waterhouse’s religious studies perspectives and Walter’s sociology perspective</w:t>
      </w:r>
      <w:r w:rsidR="00624190">
        <w:t>s</w:t>
      </w:r>
      <w:r w:rsidR="00A5226E">
        <w:t>, to explore the beliefs of westerners interested in reincarnation</w:t>
      </w:r>
      <w:r w:rsidR="00333F1D">
        <w:t>,</w:t>
      </w:r>
      <w:r w:rsidR="00A5226E">
        <w:t xml:space="preserve"> outside of Eastern or New Age belief</w:t>
      </w:r>
      <w:r w:rsidR="007C47FE">
        <w:t xml:space="preserve"> systems</w:t>
      </w:r>
      <w:r w:rsidR="00A5226E">
        <w:t>.</w:t>
      </w:r>
      <w:r w:rsidR="00A5226E">
        <w:rPr>
          <w:rStyle w:val="FootnoteReference"/>
        </w:rPr>
        <w:footnoteReference w:id="2"/>
      </w:r>
      <w:r w:rsidR="00A5226E">
        <w:t xml:space="preserve"> Their exploration was fueled by previous survey </w:t>
      </w:r>
      <w:r w:rsidR="00333F1D">
        <w:t>data that indicate</w:t>
      </w:r>
      <w:r w:rsidR="00624190">
        <w:t>d</w:t>
      </w:r>
      <w:r w:rsidR="001E37A4">
        <w:t xml:space="preserve"> </w:t>
      </w:r>
      <w:r w:rsidR="00333F1D">
        <w:t>what appears to be a rise in Westerners who entertain the idea of reincarnation.</w:t>
      </w:r>
      <w:r w:rsidR="00333F1D">
        <w:rPr>
          <w:rStyle w:val="FootnoteReference"/>
        </w:rPr>
        <w:footnoteReference w:id="3"/>
      </w:r>
      <w:r w:rsidR="00333F1D">
        <w:t xml:space="preserve"> They posit that since ‘the figures for belief in reincarnation in Europe and North America far exceed the number of Hindus, Sikhs, and Buddhists’, this belief is also to be found</w:t>
      </w:r>
      <w:r w:rsidR="00624190">
        <w:t xml:space="preserve"> in other belief</w:t>
      </w:r>
      <w:r w:rsidR="001E37A4">
        <w:t xml:space="preserve"> systems in such a way that ‘one might be tempted to suppose that reincarnation is an alternative to Christianity and secularism, or might be broadly categorized as part of the New Age’.</w:t>
      </w:r>
      <w:r w:rsidR="001E37A4">
        <w:rPr>
          <w:rStyle w:val="FootnoteReference"/>
        </w:rPr>
        <w:footnoteReference w:id="4"/>
      </w:r>
      <w:r w:rsidR="00A51222">
        <w:t xml:space="preserve"> They then conducted their own interview study with westerners ‘who take seriously the possibility of reincarnation’ to explore the nature, content and source of their belief  in reincarnation, as well as the effects of that belief in thei</w:t>
      </w:r>
      <w:r w:rsidR="007C47FE">
        <w:t xml:space="preserve">r life and how this belief fit </w:t>
      </w:r>
      <w:r w:rsidR="00A51222">
        <w:t>with their religious association</w:t>
      </w:r>
      <w:r w:rsidR="00A51222">
        <w:rPr>
          <w:rStyle w:val="FootnoteReference"/>
        </w:rPr>
        <w:footnoteReference w:id="5"/>
      </w:r>
      <w:r w:rsidR="00A51222">
        <w:t xml:space="preserve">. For Walter and </w:t>
      </w:r>
      <w:r w:rsidR="00A51222">
        <w:lastRenderedPageBreak/>
        <w:t xml:space="preserve">Waterhouse, the conclusions that stood out were that, while </w:t>
      </w:r>
      <w:r w:rsidR="007C47FE">
        <w:t>this group’s</w:t>
      </w:r>
      <w:r w:rsidR="00A51222">
        <w:t xml:space="preserve"> experiences of reincarnation</w:t>
      </w:r>
      <w:r w:rsidR="007C47FE">
        <w:t xml:space="preserve"> ‘are but a pale shadow of those found in the popular </w:t>
      </w:r>
      <w:r w:rsidR="00313DD0">
        <w:t>literature</w:t>
      </w:r>
      <w:r w:rsidR="007C47FE">
        <w:t xml:space="preserve">’ on the subject, it </w:t>
      </w:r>
      <w:r w:rsidR="00A51222">
        <w:t>was possible to both go to church and be</w:t>
      </w:r>
      <w:r w:rsidR="007C47FE">
        <w:t xml:space="preserve">lieve in reincarnation </w:t>
      </w:r>
      <w:r w:rsidR="00313DD0">
        <w:t xml:space="preserve">- </w:t>
      </w:r>
      <w:r w:rsidR="007C47FE">
        <w:t>and that for some</w:t>
      </w:r>
      <w:r w:rsidR="00313DD0">
        <w:t>,</w:t>
      </w:r>
      <w:r w:rsidR="007C47FE">
        <w:t xml:space="preserve"> reincarnation might be ‘one way of tackling issues of suffering that Christianity struggles with’</w:t>
      </w:r>
      <w:r w:rsidR="00313DD0">
        <w:t>-</w:t>
      </w:r>
      <w:r w:rsidR="007C47FE">
        <w:t>,</w:t>
      </w:r>
      <w:r w:rsidR="00A51222">
        <w:t xml:space="preserve"> that belief</w:t>
      </w:r>
      <w:r w:rsidR="007C47FE">
        <w:t xml:space="preserve"> in</w:t>
      </w:r>
      <w:r w:rsidR="00A51222">
        <w:t xml:space="preserve"> reincarnation wasn’t necessarily associated with the New </w:t>
      </w:r>
      <w:r w:rsidR="007C47FE">
        <w:t>Age movement, and that this belief in reincarnation had ‘v</w:t>
      </w:r>
      <w:r w:rsidR="00624190">
        <w:t>ery little effect on people’s</w:t>
      </w:r>
      <w:r w:rsidR="007C47FE">
        <w:t xml:space="preserve"> everyday life’</w:t>
      </w:r>
      <w:r w:rsidR="003E0857">
        <w:rPr>
          <w:rStyle w:val="FootnoteReference"/>
        </w:rPr>
        <w:footnoteReference w:id="6"/>
      </w:r>
      <w:r w:rsidR="007C47FE">
        <w:t>. They end their article by sharing that</w:t>
      </w:r>
      <w:r w:rsidR="003E0857">
        <w:t xml:space="preserve">, </w:t>
      </w:r>
      <w:r w:rsidR="007C47FE">
        <w:t xml:space="preserve">to them, this rise in belief in reincarnation, did not ‘signals a major religious revolution’ as it was ‘ultimate detached, private belief’. </w:t>
      </w:r>
      <w:r w:rsidR="003E0857">
        <w:rPr>
          <w:rStyle w:val="FootnoteReference"/>
        </w:rPr>
        <w:footnoteReference w:id="7"/>
      </w:r>
      <w:r w:rsidR="00A51222">
        <w:br/>
      </w:r>
      <w:r w:rsidR="00A5226E">
        <w:br/>
      </w:r>
      <w:r w:rsidR="005E50F7">
        <w:t>Meanwhile, Bennet</w:t>
      </w:r>
      <w:r w:rsidR="00FF7848">
        <w:t>t</w:t>
      </w:r>
      <w:r w:rsidR="005E50F7">
        <w:t xml:space="preserve">’s paper </w:t>
      </w:r>
      <w:r w:rsidR="00A62523">
        <w:t>fo</w:t>
      </w:r>
      <w:r w:rsidR="00624190">
        <w:t>cused</w:t>
      </w:r>
      <w:r w:rsidR="00A62523">
        <w:t xml:space="preserve"> on foreknowledge, by exploring the private worldviews of a group of elderly </w:t>
      </w:r>
      <w:r w:rsidR="00624190">
        <w:t>British</w:t>
      </w:r>
      <w:r w:rsidR="00A62523">
        <w:t xml:space="preserve"> women in regard to that subject. Differently from Walter and Waterhouse, wh</w:t>
      </w:r>
      <w:r w:rsidR="000D20F1">
        <w:t>o used quantitative data as the academic rationale</w:t>
      </w:r>
      <w:r w:rsidR="00A62523">
        <w:t xml:space="preserve"> fo</w:t>
      </w:r>
      <w:r w:rsidR="00624190">
        <w:t>r their research, Benne</w:t>
      </w:r>
      <w:r w:rsidR="00FF7848">
        <w:t>t</w:t>
      </w:r>
      <w:r w:rsidR="00624190">
        <w:t xml:space="preserve">t started </w:t>
      </w:r>
      <w:r w:rsidR="00A62523">
        <w:t xml:space="preserve">with an historical perspective of </w:t>
      </w:r>
      <w:r w:rsidR="00624190">
        <w:t>British</w:t>
      </w:r>
      <w:r w:rsidR="00A62523">
        <w:t xml:space="preserve"> traditions regarding foreknowing</w:t>
      </w:r>
      <w:r w:rsidR="005E1F12">
        <w:t>.</w:t>
      </w:r>
      <w:r w:rsidR="005E1F12">
        <w:rPr>
          <w:rStyle w:val="FootnoteReference"/>
        </w:rPr>
        <w:footnoteReference w:id="8"/>
      </w:r>
      <w:r w:rsidR="005E1F12">
        <w:t xml:space="preserve">  From </w:t>
      </w:r>
      <w:r w:rsidR="009E4DA7">
        <w:t>this historical perspective</w:t>
      </w:r>
      <w:r w:rsidR="005E1F12">
        <w:t>, she distinguished two main strand</w:t>
      </w:r>
      <w:r w:rsidR="009E4DA7">
        <w:t>s</w:t>
      </w:r>
      <w:r w:rsidR="005E1F12">
        <w:t xml:space="preserve"> relating to foreknowledge, a divinatory</w:t>
      </w:r>
      <w:r w:rsidR="009E4DA7">
        <w:t xml:space="preserve"> tradition and a visionary one, that s</w:t>
      </w:r>
      <w:r w:rsidR="005E1F12">
        <w:t>he then e</w:t>
      </w:r>
      <w:r w:rsidR="009E4DA7">
        <w:t xml:space="preserve">xplored within her own research </w:t>
      </w:r>
      <w:r w:rsidR="005E1F12">
        <w:t xml:space="preserve">through </w:t>
      </w:r>
      <w:r w:rsidR="00624190">
        <w:t>‘</w:t>
      </w:r>
      <w:r w:rsidR="005E1F12">
        <w:t>interviews, conversations and stories</w:t>
      </w:r>
      <w:r w:rsidR="00624190">
        <w:t>’</w:t>
      </w:r>
      <w:r w:rsidR="005E1F12">
        <w:t>.</w:t>
      </w:r>
      <w:r w:rsidR="009E4DA7">
        <w:rPr>
          <w:rStyle w:val="FootnoteReference"/>
        </w:rPr>
        <w:footnoteReference w:id="9"/>
      </w:r>
      <w:r w:rsidR="005E1F12">
        <w:t xml:space="preserve"> She discovered that the group she studied was familiar with th</w:t>
      </w:r>
      <w:r w:rsidR="00624190">
        <w:t>e topic of foreknowing and the</w:t>
      </w:r>
      <w:r w:rsidR="005E1F12">
        <w:t xml:space="preserve"> two</w:t>
      </w:r>
      <w:r w:rsidR="00624190">
        <w:t xml:space="preserve"> distinct</w:t>
      </w:r>
      <w:r w:rsidR="005E1F12">
        <w:t xml:space="preserve"> traditions, but preferred the visionary tradition.</w:t>
      </w:r>
      <w:r w:rsidR="009E4DA7">
        <w:rPr>
          <w:rStyle w:val="FootnoteReference"/>
        </w:rPr>
        <w:footnoteReference w:id="10"/>
      </w:r>
      <w:r w:rsidR="005E1F12">
        <w:t xml:space="preserve"> Benne</w:t>
      </w:r>
      <w:r w:rsidR="00FF7848">
        <w:t>t</w:t>
      </w:r>
      <w:r w:rsidR="005E1F12">
        <w:t>t suggest</w:t>
      </w:r>
      <w:r w:rsidR="009E4DA7">
        <w:t>ed</w:t>
      </w:r>
      <w:r w:rsidR="005E1F12">
        <w:t xml:space="preserve"> that this had to do with the</w:t>
      </w:r>
      <w:r w:rsidR="009E4DA7">
        <w:t xml:space="preserve"> traditional values that the study group</w:t>
      </w:r>
      <w:r w:rsidR="005E1F12">
        <w:t xml:space="preserve"> espoused, </w:t>
      </w:r>
      <w:r w:rsidR="009E4DA7">
        <w:t>a</w:t>
      </w:r>
      <w:r w:rsidR="005E1F12">
        <w:t>nd that</w:t>
      </w:r>
      <w:r w:rsidR="009E4DA7">
        <w:t xml:space="preserve"> the visionary tradition encapsulated</w:t>
      </w:r>
      <w:r w:rsidR="005E1F12">
        <w:t xml:space="preserve"> better.</w:t>
      </w:r>
      <w:r w:rsidR="009E4DA7">
        <w:rPr>
          <w:rStyle w:val="FootnoteReference"/>
        </w:rPr>
        <w:footnoteReference w:id="11"/>
      </w:r>
      <w:r w:rsidR="00D927DD">
        <w:br/>
      </w:r>
      <w:r w:rsidR="00D927DD">
        <w:br/>
      </w:r>
      <w:r w:rsidR="00FA63A3">
        <w:rPr>
          <w:b/>
        </w:rPr>
        <w:t>To each au</w:t>
      </w:r>
      <w:r w:rsidR="00973092">
        <w:rPr>
          <w:b/>
        </w:rPr>
        <w:t>thor their</w:t>
      </w:r>
      <w:r w:rsidR="00A802F6">
        <w:rPr>
          <w:b/>
        </w:rPr>
        <w:t xml:space="preserve"> own</w:t>
      </w:r>
      <w:r w:rsidR="00973092">
        <w:rPr>
          <w:b/>
        </w:rPr>
        <w:t xml:space="preserve"> </w:t>
      </w:r>
      <w:r w:rsidR="00FA63A3">
        <w:rPr>
          <w:b/>
        </w:rPr>
        <w:t>wa</w:t>
      </w:r>
      <w:r w:rsidR="00A802F6">
        <w:rPr>
          <w:b/>
        </w:rPr>
        <w:t xml:space="preserve">y of exploring private’s </w:t>
      </w:r>
      <w:r w:rsidR="00D750D3">
        <w:rPr>
          <w:b/>
        </w:rPr>
        <w:t>worldviews</w:t>
      </w:r>
      <w:r w:rsidR="00FA63A3">
        <w:rPr>
          <w:b/>
        </w:rPr>
        <w:t>?</w:t>
      </w:r>
    </w:p>
    <w:p w:rsidR="007B2412" w:rsidRDefault="007B2412" w:rsidP="00633D5A">
      <w:r>
        <w:t>In both paper, qualitative methods are chosen</w:t>
      </w:r>
      <w:r w:rsidR="00A802F6">
        <w:t xml:space="preserve"> to study participants private worldview, be it through taped interviews and group interviews in Walter and Waterhouse case, or ‘interviews, conversations, and stories’ in Benne</w:t>
      </w:r>
      <w:r w:rsidR="00FF7848">
        <w:t>t</w:t>
      </w:r>
      <w:r w:rsidR="00A802F6">
        <w:t>t’s case.</w:t>
      </w:r>
      <w:r w:rsidR="00A802F6">
        <w:rPr>
          <w:rStyle w:val="FootnoteReference"/>
        </w:rPr>
        <w:footnoteReference w:id="12"/>
      </w:r>
      <w:r w:rsidR="00A802F6">
        <w:t xml:space="preserve"> Indeed,</w:t>
      </w:r>
      <w:r w:rsidR="00AC023E">
        <w:t xml:space="preserve"> qualitative research and interviews are well suited to study the topics at hand</w:t>
      </w:r>
      <w:r w:rsidR="00870783">
        <w:t xml:space="preserve"> as qualitative research strength resides in</w:t>
      </w:r>
      <w:r w:rsidR="00624190">
        <w:t>, in the word of Alan Bryman,</w:t>
      </w:r>
      <w:r w:rsidR="00870783">
        <w:t xml:space="preserve"> ‘its capacity to expose actors’ meanings and interpretations’</w:t>
      </w:r>
      <w:r w:rsidR="00624190">
        <w:t xml:space="preserve">, </w:t>
      </w:r>
      <w:r w:rsidR="00870783">
        <w:t xml:space="preserve">which is </w:t>
      </w:r>
      <w:r w:rsidR="00624190">
        <w:t xml:space="preserve">indeed </w:t>
      </w:r>
      <w:r w:rsidR="00870783">
        <w:t>needed when exploring one’s worldviews as done here.</w:t>
      </w:r>
      <w:r w:rsidR="00870783">
        <w:rPr>
          <w:rStyle w:val="FootnoteReference"/>
        </w:rPr>
        <w:footnoteReference w:id="13"/>
      </w:r>
      <w:r w:rsidR="00870783">
        <w:t xml:space="preserve"> </w:t>
      </w:r>
      <w:r w:rsidR="00FB051B">
        <w:t xml:space="preserve">Hennink </w:t>
      </w:r>
      <w:r w:rsidR="00FB051B" w:rsidRPr="00FB051B">
        <w:rPr>
          <w:i/>
        </w:rPr>
        <w:t>et al</w:t>
      </w:r>
      <w:r w:rsidR="00FB051B">
        <w:t xml:space="preserve"> seem to agree with the authors choices of using interv</w:t>
      </w:r>
      <w:r w:rsidR="00624190">
        <w:t>iews</w:t>
      </w:r>
      <w:r w:rsidR="00FB051B">
        <w:t>, as they suggest in-depth interview to ‘’capture people’s individual voices and storie</w:t>
      </w:r>
      <w:r w:rsidR="00A82351">
        <w:t>s</w:t>
      </w:r>
      <w:r w:rsidR="00FB051B">
        <w:t>’’ in order to discover information on participant’s personal experiences, as is the goal here.</w:t>
      </w:r>
      <w:r w:rsidR="00FB051B">
        <w:rPr>
          <w:rStyle w:val="FootnoteReference"/>
        </w:rPr>
        <w:footnoteReference w:id="14"/>
      </w:r>
      <w:r w:rsidR="00FB051B">
        <w:t xml:space="preserve"> </w:t>
      </w:r>
      <w:r w:rsidR="00AC023E">
        <w:t>Neverthel</w:t>
      </w:r>
      <w:r w:rsidR="00624190">
        <w:t xml:space="preserve">ess, although a similar method – here, interview- </w:t>
      </w:r>
      <w:r w:rsidR="00AC023E">
        <w:t>is chosen</w:t>
      </w:r>
      <w:r w:rsidR="00624190">
        <w:t xml:space="preserve"> to explore private’s worldviews </w:t>
      </w:r>
      <w:r w:rsidR="00AC023E">
        <w:t>in both case</w:t>
      </w:r>
      <w:r w:rsidR="009E004E">
        <w:t>s</w:t>
      </w:r>
      <w:r w:rsidR="00AC023E">
        <w:t>, each author seems to proceed diffe</w:t>
      </w:r>
      <w:r w:rsidR="00A82351">
        <w:t>rently in</w:t>
      </w:r>
      <w:r w:rsidR="00AC023E">
        <w:t xml:space="preserve"> practice.</w:t>
      </w:r>
    </w:p>
    <w:p w:rsidR="00817444" w:rsidRDefault="00AC023E" w:rsidP="00AC023E">
      <w:r>
        <w:t xml:space="preserve">These differences can be seen since the beginning of the process in how each author chose their participants. </w:t>
      </w:r>
      <w:r w:rsidR="00B63603">
        <w:t xml:space="preserve">Walter and Waterhouse </w:t>
      </w:r>
      <w:r w:rsidR="00863209">
        <w:t>recruited participants for their research</w:t>
      </w:r>
      <w:r w:rsidR="00B63603">
        <w:t xml:space="preserve"> through different avenues, </w:t>
      </w:r>
      <w:r w:rsidR="00B63603">
        <w:lastRenderedPageBreak/>
        <w:t>from personal contacts, to a call for volunteers on the local radio and snowballing</w:t>
      </w:r>
      <w:r w:rsidR="00863209">
        <w:t>, hence</w:t>
      </w:r>
      <w:r w:rsidR="0053680E">
        <w:t xml:space="preserve"> echoing </w:t>
      </w:r>
      <w:r w:rsidR="00863209">
        <w:t xml:space="preserve">Hennink </w:t>
      </w:r>
      <w:r w:rsidR="00863209" w:rsidRPr="00863209">
        <w:rPr>
          <w:i/>
        </w:rPr>
        <w:t>et al</w:t>
      </w:r>
      <w:r w:rsidR="00863209">
        <w:t xml:space="preserve"> idea that many strategies of recruitment might need to be used in one study</w:t>
      </w:r>
      <w:r w:rsidR="00B63603">
        <w:t xml:space="preserve">. </w:t>
      </w:r>
      <w:r w:rsidR="00B63603">
        <w:rPr>
          <w:rStyle w:val="FootnoteReference"/>
        </w:rPr>
        <w:footnoteReference w:id="15"/>
      </w:r>
      <w:r w:rsidR="009659F5">
        <w:t xml:space="preserve"> They were able to give a brief overview of participant</w:t>
      </w:r>
      <w:r w:rsidR="002E7AC7">
        <w:t>’</w:t>
      </w:r>
      <w:r w:rsidR="009659F5">
        <w:t>s background while acknowledging that ‘the intention was not to assemble a representative sample, but to discover the range of meanings given to the idea of reincarnation’</w:t>
      </w:r>
      <w:r w:rsidR="002E7AC7">
        <w:rPr>
          <w:rStyle w:val="FootnoteReference"/>
        </w:rPr>
        <w:footnoteReference w:id="16"/>
      </w:r>
      <w:r w:rsidR="009659F5">
        <w:t>. They also explained that they ‘deliberately excluded Hindus, Sikhs, and Buddhists’ as the focus of the research was not on ‘the meaning given to reincarnation by people who believe it because their religion tells them to do so’</w:t>
      </w:r>
      <w:r w:rsidR="002E7AC7">
        <w:rPr>
          <w:rStyle w:val="FootnoteReference"/>
        </w:rPr>
        <w:footnoteReference w:id="17"/>
      </w:r>
      <w:r w:rsidR="009659F5">
        <w:t>. For the same reason, they also tried to not ‘seek out obvious New Agers’.</w:t>
      </w:r>
      <w:r w:rsidR="002E7AC7">
        <w:rPr>
          <w:rStyle w:val="FootnoteReference"/>
        </w:rPr>
        <w:footnoteReference w:id="18"/>
      </w:r>
      <w:r w:rsidR="00BB5BD9">
        <w:t xml:space="preserve"> This wish to exclude certain </w:t>
      </w:r>
      <w:r w:rsidR="003C6E54">
        <w:t>belief systems</w:t>
      </w:r>
      <w:r w:rsidR="002E7AC7">
        <w:t xml:space="preserve"> from the research can showcase that Walter and Warehouse knew, since the beginning of their research, the question they wanted to explore and hence what group they would need to interview in order to do so. </w:t>
      </w:r>
      <w:r w:rsidR="00EA5CF6">
        <w:br/>
        <w:t>On the other hand, while Benne</w:t>
      </w:r>
      <w:r w:rsidR="00FF7848">
        <w:t>t</w:t>
      </w:r>
      <w:r w:rsidR="00EA5CF6">
        <w:t>t also agrees that the research conducted was certainly not a representative sample but ‘permits only an impressionistic discussion’ of the question at hand, her participants choices seem way less deliberate than in Walter and Warehouse case.</w:t>
      </w:r>
      <w:r w:rsidR="00BB5BD9">
        <w:rPr>
          <w:rStyle w:val="FootnoteReference"/>
        </w:rPr>
        <w:footnoteReference w:id="19"/>
      </w:r>
      <w:r w:rsidR="00D750D3">
        <w:t xml:space="preserve"> Indeed, conducting her interviews at her father’s clinic, and hence the choice of her study group, feels like a default option after ‘several false starts’.</w:t>
      </w:r>
      <w:r w:rsidR="00D750D3">
        <w:rPr>
          <w:rStyle w:val="FootnoteReference"/>
        </w:rPr>
        <w:footnoteReference w:id="20"/>
      </w:r>
    </w:p>
    <w:p w:rsidR="00AC023E" w:rsidRDefault="00817444" w:rsidP="00AC023E">
      <w:r>
        <w:t xml:space="preserve">The structures </w:t>
      </w:r>
      <w:r w:rsidR="00BC57F4">
        <w:t xml:space="preserve">of the papers differ as well. Walter and Warehouse share about the interview process to then share about the data they collected and expand about this by grouping their findings in different sections. They then bring it all together in </w:t>
      </w:r>
      <w:r w:rsidR="0012544D">
        <w:t>a conclusion that summarizes</w:t>
      </w:r>
      <w:r w:rsidR="001C045A">
        <w:t xml:space="preserve"> it all, hence effectively following the structure they announced at the beginning. </w:t>
      </w:r>
      <w:r w:rsidR="00BC57F4">
        <w:t>On the other hand, Bennet</w:t>
      </w:r>
      <w:r w:rsidR="00FF7848">
        <w:t>t</w:t>
      </w:r>
      <w:r w:rsidR="00BC57F4">
        <w:t xml:space="preserve"> paper reads more as a story that unfolds before our eyes as data collected is examined and then built on with more data, slowly creating a clearer picture of the situation. While the discussion on the divinatory and visionary tradition of foreknowledge form a thread that weave the whole paper together, the conclusion is quite surprising as Benne</w:t>
      </w:r>
      <w:r w:rsidR="00FF7848">
        <w:t>t</w:t>
      </w:r>
      <w:r w:rsidR="00BC57F4">
        <w:t>t introduces</w:t>
      </w:r>
      <w:r w:rsidR="00C6746A">
        <w:t xml:space="preserve"> new data and a new set of participants</w:t>
      </w:r>
      <w:r w:rsidR="0012544D">
        <w:rPr>
          <w:rStyle w:val="FootnoteReference"/>
        </w:rPr>
        <w:footnoteReference w:id="21"/>
      </w:r>
      <w:r w:rsidR="00C6746A">
        <w:t xml:space="preserve">. </w:t>
      </w:r>
      <w:r w:rsidR="0070379C">
        <w:t>While Walter and Warehouse share some insights on their interview process by sharing that ‘the interviews were very open-ended</w:t>
      </w:r>
      <w:r w:rsidR="003C6E54">
        <w:t>’</w:t>
      </w:r>
      <w:r w:rsidR="0070379C">
        <w:t>, and that ‘they were careful not to ask leading questions’, they do not share any exact questions they might have asked</w:t>
      </w:r>
      <w:r w:rsidR="006A7E32">
        <w:rPr>
          <w:rStyle w:val="FootnoteReference"/>
        </w:rPr>
        <w:footnoteReference w:id="22"/>
      </w:r>
      <w:r w:rsidR="0070379C">
        <w:t xml:space="preserve">. </w:t>
      </w:r>
      <w:r w:rsidR="0012544D">
        <w:t>Similarly, Benne</w:t>
      </w:r>
      <w:r w:rsidR="00FF7848">
        <w:t>t</w:t>
      </w:r>
      <w:r w:rsidR="0012544D">
        <w:t>t doesn’t share any of the questions she might have asked neither.</w:t>
      </w:r>
    </w:p>
    <w:p w:rsidR="00AC023E" w:rsidRPr="00475F0D" w:rsidRDefault="00AC023E" w:rsidP="00AC023E">
      <w:r>
        <w:lastRenderedPageBreak/>
        <w:t>Not only are the questions</w:t>
      </w:r>
      <w:r w:rsidR="006A308E">
        <w:t xml:space="preserve"> not shared, </w:t>
      </w:r>
      <w:r>
        <w:t>but in both papers the issue of informed consent and voluntary participation is not clearly treated, even when both researches include minors.</w:t>
      </w:r>
      <w:r>
        <w:rPr>
          <w:rStyle w:val="FootnoteReference"/>
        </w:rPr>
        <w:footnoteReference w:id="23"/>
      </w:r>
      <w:r>
        <w:t xml:space="preserve"> In that sense, no academic rationale was included on the need to precisely in</w:t>
      </w:r>
      <w:r w:rsidR="006A308E">
        <w:t>clude minors in these researches.</w:t>
      </w:r>
      <w:r w:rsidR="00FB051B">
        <w:t xml:space="preserve"> </w:t>
      </w:r>
    </w:p>
    <w:p w:rsidR="00AC023E" w:rsidRDefault="00AC023E" w:rsidP="00633D5A"/>
    <w:p w:rsidR="00AC023E" w:rsidRPr="00AC023E" w:rsidRDefault="00AC023E" w:rsidP="00633D5A">
      <w:pPr>
        <w:rPr>
          <w:b/>
        </w:rPr>
      </w:pPr>
      <w:r w:rsidRPr="00AC023E">
        <w:rPr>
          <w:b/>
        </w:rPr>
        <w:t>Qualitative research and ethics?</w:t>
      </w:r>
    </w:p>
    <w:p w:rsidR="00F307EC" w:rsidRDefault="00DC5C42" w:rsidP="00124170">
      <w:r>
        <w:t xml:space="preserve">This can lead to the question of how ethics are treated in both these papers. To start, </w:t>
      </w:r>
      <w:r w:rsidR="00AC023E">
        <w:t>Bennet</w:t>
      </w:r>
      <w:r w:rsidR="00FF7848">
        <w:t>t</w:t>
      </w:r>
      <w:r w:rsidR="00AC023E">
        <w:t xml:space="preserve"> provided</w:t>
      </w:r>
      <w:r w:rsidR="0053680E">
        <w:t xml:space="preserve"> some background information on her participants</w:t>
      </w:r>
      <w:r w:rsidR="00FF7848">
        <w:t xml:space="preserve">, </w:t>
      </w:r>
      <w:r w:rsidR="0053680E">
        <w:t>but admitted that her father gave her most of the demographic information</w:t>
      </w:r>
      <w:r w:rsidR="00973092">
        <w:t>.</w:t>
      </w:r>
      <w:r w:rsidR="00C50B7D">
        <w:rPr>
          <w:rStyle w:val="FootnoteReference"/>
        </w:rPr>
        <w:footnoteReference w:id="24"/>
      </w:r>
      <w:r w:rsidR="00973092">
        <w:t xml:space="preserve"> This is an ethical concern as, apart from exceptions defined by law and that do not seem to include such a research, confidentiality between medical staffs and patients are not only a fundamental part of medical ethics but also protected by law.</w:t>
      </w:r>
      <w:r w:rsidR="00973092">
        <w:rPr>
          <w:rStyle w:val="FootnoteReference"/>
        </w:rPr>
        <w:footnoteReference w:id="25"/>
      </w:r>
      <w:r w:rsidR="00937C6D">
        <w:t xml:space="preserve"> Confidentiality in the information from the paper itself is not well preserved, as someone could easily find the people involved in the interview by finding back </w:t>
      </w:r>
      <w:r w:rsidR="00FF7848">
        <w:t>Bennett’s</w:t>
      </w:r>
      <w:r w:rsidR="00937C6D">
        <w:t xml:space="preserve"> father’s clinic. </w:t>
      </w:r>
      <w:r w:rsidR="00937C6D">
        <w:rPr>
          <w:rStyle w:val="FootnoteReference"/>
        </w:rPr>
        <w:footnoteReference w:id="26"/>
      </w:r>
      <w:r>
        <w:br/>
      </w:r>
      <w:r w:rsidR="00F307EC">
        <w:br/>
      </w:r>
      <w:r w:rsidR="00937C6D">
        <w:t xml:space="preserve">Furthermore, </w:t>
      </w:r>
      <w:r>
        <w:t xml:space="preserve">one can wonder about how </w:t>
      </w:r>
      <w:r w:rsidR="00AC53DE">
        <w:t>confidentiality is</w:t>
      </w:r>
      <w:r>
        <w:t xml:space="preserve"> ensured when the interview is happening during a treatment within a clin</w:t>
      </w:r>
      <w:r w:rsidR="00FF7848">
        <w:t xml:space="preserve">ic, with a physician present; moreso </w:t>
      </w:r>
      <w:r>
        <w:t>when the said physician is the interviewer’s father and a member of the same church as many of the participants interviewed.</w:t>
      </w:r>
      <w:r>
        <w:rPr>
          <w:rStyle w:val="FootnoteReference"/>
        </w:rPr>
        <w:footnoteReference w:id="27"/>
      </w:r>
      <w:r>
        <w:t>Apart from confidentiality issues, we can also wonder how this situation impacted the research in itself</w:t>
      </w:r>
      <w:r w:rsidR="00FF7848">
        <w:t>,</w:t>
      </w:r>
      <w:r>
        <w:t xml:space="preserve"> as we can wonder if the participants </w:t>
      </w:r>
      <w:r w:rsidR="00FF7848">
        <w:t>felt at ease to disclose as many</w:t>
      </w:r>
      <w:r>
        <w:t xml:space="preserve"> information as they’d </w:t>
      </w:r>
      <w:r w:rsidR="00FF7848">
        <w:t>do</w:t>
      </w:r>
      <w:r>
        <w:t xml:space="preserve"> if they were alone with the interviewer.</w:t>
      </w:r>
      <w:r w:rsidR="004F08EF">
        <w:t xml:space="preserve"> </w:t>
      </w:r>
      <w:r w:rsidR="00AC53DE">
        <w:t>To continue on confidentiality breaches, a</w:t>
      </w:r>
      <w:r w:rsidR="00937C6D">
        <w:t xml:space="preserve"> few names</w:t>
      </w:r>
      <w:r w:rsidR="00AC53DE">
        <w:t xml:space="preserve"> –that seem to be the participant’s real names-</w:t>
      </w:r>
      <w:r w:rsidR="00937C6D">
        <w:t xml:space="preserve"> are actually mentioned </w:t>
      </w:r>
      <w:r w:rsidR="00AC53DE">
        <w:t>in Bennet</w:t>
      </w:r>
      <w:r w:rsidR="00FF7848">
        <w:t>t</w:t>
      </w:r>
      <w:r w:rsidR="00AC53DE">
        <w:t>’s</w:t>
      </w:r>
      <w:r w:rsidR="00937C6D">
        <w:t xml:space="preserve"> paper. </w:t>
      </w:r>
      <w:r w:rsidR="00937C6D">
        <w:rPr>
          <w:rStyle w:val="FootnoteReference"/>
        </w:rPr>
        <w:footnoteReference w:id="28"/>
      </w:r>
      <w:r w:rsidR="00347C62">
        <w:t xml:space="preserve"> </w:t>
      </w:r>
      <w:r w:rsidR="00865EA4">
        <w:t xml:space="preserve"> </w:t>
      </w:r>
      <w:r w:rsidR="00AC53DE">
        <w:br/>
      </w:r>
      <w:r w:rsidR="00AC53DE">
        <w:br/>
      </w:r>
      <w:r w:rsidR="00865EA4">
        <w:t xml:space="preserve">Qualitative research deals </w:t>
      </w:r>
      <w:r w:rsidR="00FF7848">
        <w:t xml:space="preserve">with the inner world of people; </w:t>
      </w:r>
      <w:r w:rsidR="00865EA4">
        <w:t xml:space="preserve">Hennink </w:t>
      </w:r>
      <w:r w:rsidR="00865EA4" w:rsidRPr="00863209">
        <w:rPr>
          <w:i/>
        </w:rPr>
        <w:t>et al</w:t>
      </w:r>
      <w:r w:rsidR="00865EA4">
        <w:t xml:space="preserve">  share that it hence ‘demands that we carefully consider the ethical principle of ‘doing no harm’, by keeping the information we acquire secure, and making the data anonymous’. </w:t>
      </w:r>
      <w:r w:rsidR="00865EA4">
        <w:rPr>
          <w:rStyle w:val="FootnoteReference"/>
        </w:rPr>
        <w:footnoteReference w:id="29"/>
      </w:r>
      <w:r w:rsidR="00865EA4">
        <w:t>Disclosure of such data could result in harm to the participants, be it in the form of physical harm, mental</w:t>
      </w:r>
      <w:r w:rsidR="00FF7848">
        <w:t xml:space="preserve"> harm</w:t>
      </w:r>
      <w:r w:rsidR="00865EA4">
        <w:t xml:space="preserve"> or social harm.</w:t>
      </w:r>
      <w:r w:rsidR="00865EA4">
        <w:rPr>
          <w:rStyle w:val="FootnoteReference"/>
        </w:rPr>
        <w:footnoteReference w:id="30"/>
      </w:r>
      <w:r w:rsidR="005A0A1B">
        <w:t xml:space="preserve"> Hennink </w:t>
      </w:r>
      <w:r w:rsidR="005A0A1B" w:rsidRPr="00863209">
        <w:rPr>
          <w:i/>
        </w:rPr>
        <w:t>et al</w:t>
      </w:r>
      <w:r w:rsidR="00FF7848">
        <w:t xml:space="preserve"> </w:t>
      </w:r>
      <w:r w:rsidR="005A0A1B">
        <w:t>also state that anonymity</w:t>
      </w:r>
      <w:r w:rsidR="00FF7848">
        <w:t xml:space="preserve"> and confidentiality also refer</w:t>
      </w:r>
      <w:r w:rsidR="005A0A1B">
        <w:t xml:space="preserve"> to ‘removing not only any information that may identify a participant but also any text that may indirectly do so’, as could be the case in Bennet</w:t>
      </w:r>
      <w:r w:rsidR="00FF7848">
        <w:t>t</w:t>
      </w:r>
      <w:r w:rsidR="005A0A1B">
        <w:t>’s disclosure of the interviews taking pla</w:t>
      </w:r>
      <w:r w:rsidR="00FF7848">
        <w:t>ce at</w:t>
      </w:r>
      <w:r w:rsidR="005A0A1B">
        <w:t xml:space="preserve"> her father’s clinic.</w:t>
      </w:r>
      <w:r w:rsidR="005A0A1B">
        <w:rPr>
          <w:rStyle w:val="FootnoteReference"/>
        </w:rPr>
        <w:footnoteReference w:id="31"/>
      </w:r>
      <w:r w:rsidR="000548DC">
        <w:br/>
      </w:r>
      <w:r w:rsidR="000548DC">
        <w:lastRenderedPageBreak/>
        <w:br/>
      </w:r>
    </w:p>
    <w:p w:rsidR="00AC491C" w:rsidRDefault="00AC491C" w:rsidP="00124170"/>
    <w:p w:rsidR="00AC491C" w:rsidRPr="006C74A9" w:rsidRDefault="00AC491C" w:rsidP="00124170">
      <w:r w:rsidRPr="00F76B7C">
        <w:rPr>
          <w:b/>
        </w:rPr>
        <w:t>The researcher</w:t>
      </w:r>
      <w:r w:rsidR="0000157D">
        <w:rPr>
          <w:b/>
        </w:rPr>
        <w:t>’s place</w:t>
      </w:r>
      <w:r w:rsidRPr="00F76B7C">
        <w:rPr>
          <w:b/>
        </w:rPr>
        <w:t xml:space="preserve"> within its study and the wider academic world</w:t>
      </w:r>
      <w:r>
        <w:br/>
      </w:r>
      <w:r w:rsidR="00F76B7C">
        <w:br/>
        <w:t>Contrarily to Benne</w:t>
      </w:r>
      <w:r w:rsidR="003D7F4D">
        <w:t>t</w:t>
      </w:r>
      <w:r w:rsidR="00F76B7C">
        <w:t>t, Walter and Warehouse do keep their participants information confidential; but might push it to the other extreme by not showcasing the voice of their participants. On the opposite of Bennet</w:t>
      </w:r>
      <w:r w:rsidR="003D7F4D">
        <w:t>t,</w:t>
      </w:r>
      <w:r w:rsidR="00F76B7C">
        <w:t xml:space="preserve"> who shares large chunks of conversations she h</w:t>
      </w:r>
      <w:r w:rsidR="003D7F4D">
        <w:t>ad with her study participants with sometime too much information as seen previously</w:t>
      </w:r>
      <w:r w:rsidR="00F76B7C">
        <w:t>, Walter and Warehouse only share very small quotations from their participants.</w:t>
      </w:r>
      <w:r w:rsidR="00F76B7C">
        <w:rPr>
          <w:rStyle w:val="FootnoteReference"/>
        </w:rPr>
        <w:footnoteReference w:id="32"/>
      </w:r>
      <w:r w:rsidR="00F76B7C">
        <w:t xml:space="preserve"> Hennink </w:t>
      </w:r>
      <w:r w:rsidR="00F76B7C" w:rsidRPr="00863209">
        <w:rPr>
          <w:i/>
        </w:rPr>
        <w:t>et al</w:t>
      </w:r>
      <w:r w:rsidR="00F76B7C">
        <w:rPr>
          <w:i/>
        </w:rPr>
        <w:t xml:space="preserve"> </w:t>
      </w:r>
      <w:r w:rsidR="00111431">
        <w:t>share that v</w:t>
      </w:r>
      <w:r w:rsidR="00F76B7C">
        <w:t>erstehen ‘refers to understanding the issues from the interpretive framework of the study population’ and is ‘important in qualitative research as you want to know the subjective meaning that people attach to their views and experiences’.</w:t>
      </w:r>
      <w:r w:rsidR="00F76B7C">
        <w:rPr>
          <w:rStyle w:val="FootnoteReference"/>
        </w:rPr>
        <w:footnoteReference w:id="33"/>
      </w:r>
      <w:r w:rsidR="00F76B7C">
        <w:t xml:space="preserve"> By not sharing enough of</w:t>
      </w:r>
      <w:r w:rsidR="00111431">
        <w:t xml:space="preserve"> their participants own words, v</w:t>
      </w:r>
      <w:r w:rsidR="00F76B7C">
        <w:t>erstehen can be seen to be quite diluted in Walter and Warehouse paper.</w:t>
      </w:r>
      <w:r w:rsidR="00F76B7C">
        <w:br/>
      </w:r>
      <w:r>
        <w:br/>
      </w:r>
      <w:r w:rsidR="00F76B7C">
        <w:t>Just as the con</w:t>
      </w:r>
      <w:r w:rsidR="00111431">
        <w:t>cept of v</w:t>
      </w:r>
      <w:r w:rsidR="00F76B7C">
        <w:t xml:space="preserve">erstehen acknowledges the importance of understanding the meaning people impose on the world, </w:t>
      </w:r>
      <w:r>
        <w:t xml:space="preserve">Hennink </w:t>
      </w:r>
      <w:r w:rsidRPr="00863209">
        <w:rPr>
          <w:i/>
        </w:rPr>
        <w:t>et al</w:t>
      </w:r>
      <w:r>
        <w:rPr>
          <w:i/>
        </w:rPr>
        <w:t xml:space="preserve"> </w:t>
      </w:r>
      <w:r>
        <w:t>postulate that ‘the interpretive approach’ that qualitative research is part of, ‘acknowledges subjectivity’: in that sense, not only do the participants ‘reflects their subjective views of the social world’, but so does the researcher.</w:t>
      </w:r>
      <w:r>
        <w:rPr>
          <w:rStyle w:val="FootnoteReference"/>
        </w:rPr>
        <w:footnoteReference w:id="34"/>
      </w:r>
      <w:r>
        <w:t xml:space="preserve">  Reflexivity is hence of utmost importance as it is, according to Hennink </w:t>
      </w:r>
      <w:r w:rsidRPr="00863209">
        <w:rPr>
          <w:i/>
        </w:rPr>
        <w:t>et al</w:t>
      </w:r>
      <w:r>
        <w:rPr>
          <w:i/>
        </w:rPr>
        <w:t xml:space="preserve">, </w:t>
      </w:r>
      <w:r>
        <w:t xml:space="preserve"> ‘ a process that involves conscious self-reflection on the part of the researcher to make explicit their potential influence on the research process’.</w:t>
      </w:r>
      <w:r>
        <w:rPr>
          <w:rStyle w:val="FootnoteReference"/>
        </w:rPr>
        <w:footnoteReference w:id="35"/>
      </w:r>
      <w:r w:rsidR="00111431">
        <w:t xml:space="preserve"> In neither of these papers is made evident the </w:t>
      </w:r>
      <w:r>
        <w:t>author’</w:t>
      </w:r>
      <w:r w:rsidR="00111431">
        <w:t xml:space="preserve">s reflexivity, </w:t>
      </w:r>
      <w:r>
        <w:t>as they do not really elaborate how their own worldviews could influence their research.</w:t>
      </w:r>
      <w:r w:rsidRPr="00111431">
        <w:rPr>
          <w:color w:val="FF0000"/>
        </w:rPr>
        <w:t xml:space="preserve"> </w:t>
      </w:r>
      <w:r w:rsidR="00B03B24" w:rsidRPr="006C74A9">
        <w:t xml:space="preserve">Not engaging in this process can lead to assumptions and presumptions being presented as truth. Such could be considered to be the case in </w:t>
      </w:r>
      <w:r w:rsidR="00D86FA4">
        <w:t xml:space="preserve">Bennet’s paper when she  shared </w:t>
      </w:r>
      <w:r w:rsidR="00B03B24" w:rsidRPr="006C74A9">
        <w:t>that ‘we can assume that they had been taught as children, and had grown up believing, that the ideal member of their sex is an intuitive, caring, unassertive person’; and then use this assumption as a m</w:t>
      </w:r>
      <w:r w:rsidR="00D86FA4">
        <w:t>ajor theme of her research</w:t>
      </w:r>
      <w:r w:rsidR="00B03B24" w:rsidRPr="006C74A9">
        <w:t>.</w:t>
      </w:r>
      <w:r w:rsidR="00B03B24" w:rsidRPr="006C74A9">
        <w:rPr>
          <w:rStyle w:val="FootnoteReference"/>
        </w:rPr>
        <w:footnoteReference w:id="36"/>
      </w:r>
      <w:r w:rsidR="00B03B24" w:rsidRPr="006C74A9">
        <w:t xml:space="preserve"> In </w:t>
      </w:r>
      <w:r w:rsidR="006C74A9">
        <w:t xml:space="preserve">Walter and Waterhouse case, some passages can be read as quite </w:t>
      </w:r>
      <w:r w:rsidR="00D86FA4">
        <w:t>biased</w:t>
      </w:r>
      <w:r w:rsidR="006C74A9">
        <w:t>, for example when they want to argument that their interviews participants did not belong to the New Age movement as ‘none of [their] respondents nor their homes exuded typical images of the New Age such as Indian Skirts, crystals, or New Age music.’</w:t>
      </w:r>
      <w:r w:rsidR="006C74A9">
        <w:rPr>
          <w:rStyle w:val="FootnoteReference"/>
        </w:rPr>
        <w:footnoteReference w:id="37"/>
      </w:r>
      <w:r w:rsidR="00640C4D">
        <w:br/>
      </w:r>
      <w:r w:rsidR="00640C4D">
        <w:br/>
        <w:t>Through reflexivity, the author takes into consider his/her own worldviews and how i</w:t>
      </w:r>
      <w:r w:rsidR="00D86FA4">
        <w:t>t influences the paper;</w:t>
      </w:r>
      <w:r w:rsidR="00640C4D">
        <w:t xml:space="preserve"> at the same time</w:t>
      </w:r>
      <w:r w:rsidR="00D86FA4">
        <w:t xml:space="preserve"> he/she situates</w:t>
      </w:r>
      <w:r w:rsidR="00640C4D">
        <w:t xml:space="preserve"> himself/herself on the in</w:t>
      </w:r>
      <w:r w:rsidR="00D86FA4">
        <w:t>sider-outsider continuum. In</w:t>
      </w:r>
      <w:r w:rsidR="00640C4D">
        <w:t xml:space="preserve"> a research, by using others’</w:t>
      </w:r>
      <w:r w:rsidR="00D86FA4">
        <w:t xml:space="preserve"> academic world</w:t>
      </w:r>
      <w:r w:rsidR="00640C4D">
        <w:t>, the author also s</w:t>
      </w:r>
      <w:r w:rsidR="00D86FA4">
        <w:t>ituates</w:t>
      </w:r>
      <w:r w:rsidR="00640C4D">
        <w:t xml:space="preserve"> himself/herself, or at least the paper </w:t>
      </w:r>
      <w:r w:rsidR="00640C4D">
        <w:lastRenderedPageBreak/>
        <w:t>he/she writes, in the wider academic context.</w:t>
      </w:r>
      <w:r w:rsidR="00D20E48">
        <w:t xml:space="preserve"> While Bennet</w:t>
      </w:r>
      <w:r w:rsidR="00D86FA4">
        <w:t>t</w:t>
      </w:r>
      <w:r w:rsidR="00D20E48">
        <w:t xml:space="preserve"> quote</w:t>
      </w:r>
      <w:r w:rsidR="00D86FA4">
        <w:t>d</w:t>
      </w:r>
      <w:r w:rsidR="00D20E48">
        <w:t xml:space="preserve"> literature when she establish</w:t>
      </w:r>
      <w:r w:rsidR="00D86FA4">
        <w:t>ed</w:t>
      </w:r>
      <w:r w:rsidR="00D20E48">
        <w:t xml:space="preserve"> her historical context, when she</w:t>
      </w:r>
      <w:r w:rsidR="00D86FA4">
        <w:t xml:space="preserve"> started</w:t>
      </w:r>
      <w:r w:rsidR="00D20E48">
        <w:t xml:space="preserve"> to </w:t>
      </w:r>
      <w:r w:rsidR="00D86FA4">
        <w:t>analyze the</w:t>
      </w:r>
      <w:r w:rsidR="00D20E48">
        <w:t xml:space="preserve"> data she</w:t>
      </w:r>
      <w:r w:rsidR="00D86FA4">
        <w:t>,</w:t>
      </w:r>
      <w:r w:rsidR="00D20E48">
        <w:t xml:space="preserve"> mostly refer</w:t>
      </w:r>
      <w:r w:rsidR="00D86FA4">
        <w:t>red</w:t>
      </w:r>
      <w:r w:rsidR="00D20E48">
        <w:t xml:space="preserve"> to her</w:t>
      </w:r>
      <w:r w:rsidR="00D86FA4">
        <w:t xml:space="preserve"> own work and didn</w:t>
      </w:r>
      <w:r w:rsidR="00D20E48">
        <w:t>’t link it to other academics</w:t>
      </w:r>
      <w:r w:rsidR="00D86FA4">
        <w:t>,</w:t>
      </w:r>
      <w:r w:rsidR="00D20E48">
        <w:t xml:space="preserve"> apart from Erich Lindeman</w:t>
      </w:r>
      <w:r w:rsidR="00680352">
        <w:t xml:space="preserve">n when she talks of the consciousness of a bereaved person. </w:t>
      </w:r>
      <w:r w:rsidR="00680352">
        <w:rPr>
          <w:rStyle w:val="FootnoteReference"/>
        </w:rPr>
        <w:footnoteReference w:id="38"/>
      </w:r>
      <w:r w:rsidR="00A5316A">
        <w:t xml:space="preserve"> On their side, Walter and Waterhouse do quote more fellow academics, hence inserting their paper in a wider dialogu</w:t>
      </w:r>
      <w:r w:rsidR="00D86FA4">
        <w:t xml:space="preserve">e, but also </w:t>
      </w:r>
      <w:r w:rsidR="00A5316A">
        <w:t>quote a lot of their own work.</w:t>
      </w:r>
      <w:r w:rsidR="00D86FA4">
        <w:rPr>
          <w:rStyle w:val="FootnoteReference"/>
        </w:rPr>
        <w:footnoteReference w:id="39"/>
      </w:r>
      <w:r w:rsidR="00A5316A">
        <w:t xml:space="preserve"> Their reference to their own work also included unpublished papers, which makes it complicated to use this content to further the academic knowledge on the topic as these sources are not accessible.</w:t>
      </w:r>
    </w:p>
    <w:p w:rsidR="000C2BE5" w:rsidRDefault="000C2BE5" w:rsidP="000C2BE5">
      <w:r w:rsidRPr="00211C28">
        <w:rPr>
          <w:b/>
        </w:rPr>
        <w:t>Conclusions:</w:t>
      </w:r>
      <w:r>
        <w:br/>
      </w:r>
      <w:r>
        <w:br/>
        <w:t>Both Walter and Waterhouse, and Bennett use qualitative research methods, here more precisely interviews, to explore worldviews, and hence share common features.</w:t>
      </w:r>
      <w:r w:rsidR="00342BD1">
        <w:t xml:space="preserve"> These commons features also include </w:t>
      </w:r>
      <w:r w:rsidR="00F56D1B">
        <w:t xml:space="preserve">how both papers </w:t>
      </w:r>
      <w:r w:rsidR="00342BD1">
        <w:t>do not share about reflexivity, informed consent of the participant</w:t>
      </w:r>
      <w:r w:rsidR="00F56D1B">
        <w:t>s</w:t>
      </w:r>
      <w:r w:rsidR="00342BD1">
        <w:t xml:space="preserve"> or questions from the actual interviews. These</w:t>
      </w:r>
      <w:r>
        <w:t xml:space="preserve"> papers also diffe</w:t>
      </w:r>
      <w:r w:rsidR="00342BD1">
        <w:t>r in a number of ways from the academic rationale that started their research, to the</w:t>
      </w:r>
      <w:r>
        <w:t xml:space="preserve"> </w:t>
      </w:r>
      <w:r w:rsidR="00F56D1B">
        <w:t>participant’s</w:t>
      </w:r>
      <w:r w:rsidR="00342BD1">
        <w:t xml:space="preserve"> recruitments methods</w:t>
      </w:r>
      <w:r>
        <w:t xml:space="preserve">, </w:t>
      </w:r>
      <w:r w:rsidR="00342BD1">
        <w:t>t</w:t>
      </w:r>
      <w:r w:rsidR="00F56D1B">
        <w:t xml:space="preserve">he authors </w:t>
      </w:r>
      <w:r w:rsidR="00342BD1">
        <w:t xml:space="preserve">handling of ethics </w:t>
      </w:r>
      <w:r w:rsidR="00F56D1B">
        <w:t>and confidentiality, the structure of their paper or how much they share from the participants own words; showcasing that even though authors can use a similar method, here interview, to study a similar topic, here worldviews, at around the same time, the resulting paper</w:t>
      </w:r>
      <w:r w:rsidR="00C446C4">
        <w:t xml:space="preserve">s might be quite different </w:t>
      </w:r>
      <w:r w:rsidR="00F56D1B">
        <w:t>still.</w:t>
      </w:r>
    </w:p>
    <w:p w:rsidR="00B736A5" w:rsidRDefault="00B736A5">
      <w:pPr>
        <w:rPr>
          <w:color w:val="FF0000"/>
        </w:rPr>
      </w:pPr>
      <w:r>
        <w:rPr>
          <w:color w:val="FF0000"/>
        </w:rPr>
        <w:br w:type="page"/>
      </w:r>
    </w:p>
    <w:p w:rsidR="00B736A5" w:rsidRPr="00231514" w:rsidRDefault="00B736A5" w:rsidP="00124170">
      <w:pPr>
        <w:rPr>
          <w:rFonts w:cstheme="minorHAnsi"/>
        </w:rPr>
      </w:pPr>
      <w:r>
        <w:rPr>
          <w:b/>
        </w:rPr>
        <w:lastRenderedPageBreak/>
        <w:t xml:space="preserve">Bibliography: </w:t>
      </w:r>
      <w:r>
        <w:rPr>
          <w:b/>
        </w:rPr>
        <w:br/>
      </w:r>
      <w:r w:rsidRPr="00231514">
        <w:rPr>
          <w:rFonts w:cstheme="minorHAnsi"/>
          <w:b/>
        </w:rPr>
        <w:br/>
        <w:t>Primary sources:</w:t>
      </w:r>
      <w:r w:rsidRPr="00231514">
        <w:rPr>
          <w:rFonts w:cstheme="minorHAnsi"/>
          <w:b/>
        </w:rPr>
        <w:br/>
      </w:r>
      <w:r w:rsidRPr="00231514">
        <w:rPr>
          <w:rFonts w:cstheme="minorHAnsi"/>
        </w:rPr>
        <w:br/>
      </w:r>
      <w:r w:rsidR="00FE3347" w:rsidRPr="00231514">
        <w:rPr>
          <w:rFonts w:cstheme="minorHAnsi"/>
        </w:rPr>
        <w:t xml:space="preserve">Bennett, </w:t>
      </w:r>
      <w:r w:rsidRPr="00231514">
        <w:rPr>
          <w:rFonts w:cstheme="minorHAnsi"/>
        </w:rPr>
        <w:t>Gillian</w:t>
      </w:r>
      <w:r w:rsidR="00FE3347">
        <w:rPr>
          <w:rFonts w:cstheme="minorHAnsi"/>
        </w:rPr>
        <w:t>,</w:t>
      </w:r>
      <w:r w:rsidRPr="00231514">
        <w:rPr>
          <w:rFonts w:cstheme="minorHAnsi"/>
        </w:rPr>
        <w:t xml:space="preserve"> ‘ ‘‘If I Knew You were Coming I’d Have Baked a Cake’’: The Folklore of Foreknowledge in a Neighborhood Group’ in </w:t>
      </w:r>
      <w:r w:rsidRPr="00231514">
        <w:rPr>
          <w:rFonts w:cstheme="minorHAnsi"/>
          <w:i/>
        </w:rPr>
        <w:t>Out of the Ordinary: Folklore and the Supernatural</w:t>
      </w:r>
      <w:r w:rsidRPr="00231514">
        <w:rPr>
          <w:rFonts w:cstheme="minorHAnsi"/>
        </w:rPr>
        <w:t xml:space="preserve"> ed. By Barbara Walker (Utah: Utah University Press, 1995),. 122-142</w:t>
      </w:r>
    </w:p>
    <w:p w:rsidR="00231514" w:rsidRPr="00231514" w:rsidRDefault="00B736A5" w:rsidP="00231514">
      <w:pPr>
        <w:pStyle w:val="FootnoteText"/>
        <w:rPr>
          <w:rFonts w:cstheme="minorHAnsi"/>
          <w:sz w:val="22"/>
          <w:szCs w:val="22"/>
        </w:rPr>
      </w:pPr>
      <w:r w:rsidRPr="00231514">
        <w:rPr>
          <w:rFonts w:cstheme="minorHAnsi"/>
          <w:sz w:val="22"/>
          <w:szCs w:val="22"/>
        </w:rPr>
        <w:br/>
        <w:t>Walter</w:t>
      </w:r>
      <w:r w:rsidR="00FE3347">
        <w:rPr>
          <w:rFonts w:cstheme="minorHAnsi"/>
          <w:sz w:val="22"/>
          <w:szCs w:val="22"/>
        </w:rPr>
        <w:t>, Tony,</w:t>
      </w:r>
      <w:r w:rsidRPr="00231514">
        <w:rPr>
          <w:rFonts w:cstheme="minorHAnsi"/>
          <w:sz w:val="22"/>
          <w:szCs w:val="22"/>
        </w:rPr>
        <w:t xml:space="preserve"> &amp; Waterhouse</w:t>
      </w:r>
      <w:r w:rsidR="00FE3347">
        <w:rPr>
          <w:rFonts w:cstheme="minorHAnsi"/>
          <w:sz w:val="22"/>
          <w:szCs w:val="22"/>
        </w:rPr>
        <w:t xml:space="preserve">, </w:t>
      </w:r>
      <w:r w:rsidR="00FE3347" w:rsidRPr="00231514">
        <w:rPr>
          <w:rFonts w:cstheme="minorHAnsi"/>
          <w:sz w:val="22"/>
          <w:szCs w:val="22"/>
        </w:rPr>
        <w:t>Helen</w:t>
      </w:r>
      <w:r w:rsidRPr="00231514">
        <w:rPr>
          <w:rFonts w:cstheme="minorHAnsi"/>
          <w:sz w:val="22"/>
          <w:szCs w:val="22"/>
        </w:rPr>
        <w:t xml:space="preserve">, ‘A Very Private Belief: Reincarnation in Contemporary England’, Sociology </w:t>
      </w:r>
      <w:r w:rsidRPr="00231514">
        <w:rPr>
          <w:rFonts w:cstheme="minorHAnsi"/>
          <w:i/>
          <w:sz w:val="22"/>
          <w:szCs w:val="22"/>
        </w:rPr>
        <w:t>of Religion</w:t>
      </w:r>
      <w:r w:rsidRPr="00231514">
        <w:rPr>
          <w:rFonts w:cstheme="minorHAnsi"/>
          <w:sz w:val="22"/>
          <w:szCs w:val="22"/>
        </w:rPr>
        <w:t>, 60 (1999), pp. 187-197.</w:t>
      </w:r>
      <w:r w:rsidRPr="00231514">
        <w:rPr>
          <w:rFonts w:cstheme="minorHAnsi"/>
          <w:sz w:val="22"/>
          <w:szCs w:val="22"/>
        </w:rPr>
        <w:br/>
      </w:r>
      <w:r w:rsidRPr="00231514">
        <w:rPr>
          <w:rFonts w:cstheme="minorHAnsi"/>
          <w:sz w:val="22"/>
          <w:szCs w:val="22"/>
        </w:rPr>
        <w:br/>
      </w:r>
      <w:r w:rsidRPr="00231514">
        <w:rPr>
          <w:rFonts w:cstheme="minorHAnsi"/>
          <w:sz w:val="22"/>
          <w:szCs w:val="22"/>
        </w:rPr>
        <w:br/>
      </w:r>
      <w:r w:rsidRPr="00231514">
        <w:rPr>
          <w:rFonts w:cstheme="minorHAnsi"/>
          <w:b/>
          <w:sz w:val="22"/>
          <w:szCs w:val="22"/>
        </w:rPr>
        <w:t>Secondary sources:</w:t>
      </w:r>
      <w:r w:rsidR="00231514" w:rsidRPr="00231514">
        <w:rPr>
          <w:rFonts w:cstheme="minorHAnsi"/>
          <w:b/>
          <w:sz w:val="22"/>
          <w:szCs w:val="22"/>
        </w:rPr>
        <w:br/>
      </w:r>
      <w:r w:rsidR="00231514" w:rsidRPr="00231514">
        <w:rPr>
          <w:rFonts w:cstheme="minorHAnsi"/>
          <w:b/>
          <w:sz w:val="22"/>
          <w:szCs w:val="22"/>
        </w:rPr>
        <w:br/>
      </w:r>
      <w:r w:rsidR="00231514" w:rsidRPr="00231514">
        <w:rPr>
          <w:rFonts w:cstheme="minorHAnsi"/>
          <w:sz w:val="22"/>
          <w:szCs w:val="22"/>
        </w:rPr>
        <w:t xml:space="preserve"> Bryman,</w:t>
      </w:r>
      <w:r w:rsidR="00896623">
        <w:rPr>
          <w:rFonts w:cstheme="minorHAnsi"/>
          <w:sz w:val="22"/>
          <w:szCs w:val="22"/>
        </w:rPr>
        <w:t xml:space="preserve"> Alan,</w:t>
      </w:r>
      <w:r w:rsidR="00231514" w:rsidRPr="00231514">
        <w:rPr>
          <w:rFonts w:cstheme="minorHAnsi"/>
          <w:sz w:val="22"/>
          <w:szCs w:val="22"/>
        </w:rPr>
        <w:t xml:space="preserve"> </w:t>
      </w:r>
      <w:r w:rsidR="00231514" w:rsidRPr="00231514">
        <w:rPr>
          <w:rFonts w:cstheme="minorHAnsi"/>
          <w:i/>
          <w:sz w:val="22"/>
          <w:szCs w:val="22"/>
        </w:rPr>
        <w:t>Quantity and Quality in Social Research</w:t>
      </w:r>
      <w:r w:rsidR="00231514" w:rsidRPr="00231514">
        <w:rPr>
          <w:rFonts w:cstheme="minorHAnsi"/>
          <w:sz w:val="22"/>
          <w:szCs w:val="22"/>
        </w:rPr>
        <w:t xml:space="preserve"> (London: Routledge, 2001), </w:t>
      </w:r>
    </w:p>
    <w:p w:rsidR="00231514" w:rsidRDefault="00231514" w:rsidP="00124170">
      <w:pPr>
        <w:rPr>
          <w:rFonts w:cstheme="minorHAnsi"/>
        </w:rPr>
      </w:pPr>
      <w:r w:rsidRPr="00231514">
        <w:rPr>
          <w:rFonts w:cstheme="minorHAnsi"/>
        </w:rPr>
        <w:t xml:space="preserve"> </w:t>
      </w:r>
      <w:r w:rsidRPr="00231514">
        <w:rPr>
          <w:rFonts w:cstheme="minorHAnsi"/>
        </w:rPr>
        <w:br/>
        <w:t>Niveau,</w:t>
      </w:r>
      <w:r w:rsidR="00896623" w:rsidRPr="00896623">
        <w:rPr>
          <w:rFonts w:cstheme="minorHAnsi"/>
        </w:rPr>
        <w:t xml:space="preserve"> </w:t>
      </w:r>
      <w:r w:rsidR="00896623" w:rsidRPr="00231514">
        <w:rPr>
          <w:rFonts w:cstheme="minorHAnsi"/>
        </w:rPr>
        <w:t>Gerard</w:t>
      </w:r>
      <w:r w:rsidR="00896623">
        <w:rPr>
          <w:rFonts w:cstheme="minorHAnsi"/>
        </w:rPr>
        <w:t xml:space="preserve">., </w:t>
      </w:r>
      <w:r w:rsidRPr="00231514">
        <w:rPr>
          <w:rFonts w:cstheme="minorHAnsi"/>
        </w:rPr>
        <w:t>Burkhardt</w:t>
      </w:r>
      <w:r w:rsidR="00896623">
        <w:rPr>
          <w:rFonts w:cstheme="minorHAnsi"/>
        </w:rPr>
        <w:t xml:space="preserve">, </w:t>
      </w:r>
      <w:r w:rsidR="00896623" w:rsidRPr="00231514">
        <w:rPr>
          <w:rFonts w:cstheme="minorHAnsi"/>
        </w:rPr>
        <w:t>Sandra</w:t>
      </w:r>
      <w:r w:rsidR="00896623">
        <w:rPr>
          <w:rFonts w:cstheme="minorHAnsi"/>
        </w:rPr>
        <w:t>.,</w:t>
      </w:r>
      <w:r w:rsidRPr="00231514">
        <w:rPr>
          <w:rFonts w:cstheme="minorHAnsi"/>
        </w:rPr>
        <w:t xml:space="preserve"> and Chiesa</w:t>
      </w:r>
      <w:r w:rsidR="00896623">
        <w:rPr>
          <w:rFonts w:cstheme="minorHAnsi"/>
        </w:rPr>
        <w:t xml:space="preserve">, </w:t>
      </w:r>
      <w:r w:rsidR="00896623" w:rsidRPr="00231514">
        <w:rPr>
          <w:rFonts w:cstheme="minorHAnsi"/>
        </w:rPr>
        <w:t>Sarah</w:t>
      </w:r>
      <w:r w:rsidR="00896623">
        <w:rPr>
          <w:rFonts w:cstheme="minorHAnsi"/>
        </w:rPr>
        <w:t>.</w:t>
      </w:r>
      <w:r w:rsidRPr="00231514">
        <w:rPr>
          <w:rFonts w:cstheme="minorHAnsi"/>
        </w:rPr>
        <w:t xml:space="preserve">, 'Medical Confidentiality and the Competent Patient', </w:t>
      </w:r>
      <w:r w:rsidRPr="00231514">
        <w:rPr>
          <w:rFonts w:cstheme="minorHAnsi"/>
          <w:i/>
          <w:iCs/>
        </w:rPr>
        <w:t xml:space="preserve">Journal of Medical Ethics, </w:t>
      </w:r>
      <w:r w:rsidRPr="00231514">
        <w:rPr>
          <w:rFonts w:cstheme="minorHAnsi"/>
        </w:rPr>
        <w:t>39 (2013), pp.686-689</w:t>
      </w:r>
    </w:p>
    <w:p w:rsidR="003D626C" w:rsidRPr="00231514" w:rsidRDefault="00231514" w:rsidP="00124170">
      <w:pPr>
        <w:rPr>
          <w:rFonts w:cstheme="minorHAnsi"/>
        </w:rPr>
      </w:pPr>
      <w:r w:rsidRPr="00231514">
        <w:rPr>
          <w:rFonts w:cstheme="minorHAnsi"/>
        </w:rPr>
        <w:br/>
        <w:t>Hennink</w:t>
      </w:r>
      <w:r w:rsidR="00896623">
        <w:rPr>
          <w:rFonts w:cstheme="minorHAnsi"/>
        </w:rPr>
        <w:t>, Monique.</w:t>
      </w:r>
      <w:r w:rsidRPr="00231514">
        <w:rPr>
          <w:rFonts w:cstheme="minorHAnsi"/>
        </w:rPr>
        <w:t>, Hutter</w:t>
      </w:r>
      <w:r w:rsidR="00896623">
        <w:rPr>
          <w:rFonts w:cstheme="minorHAnsi"/>
        </w:rPr>
        <w:t xml:space="preserve">, </w:t>
      </w:r>
      <w:r w:rsidR="00896623" w:rsidRPr="00231514">
        <w:rPr>
          <w:rFonts w:cstheme="minorHAnsi"/>
        </w:rPr>
        <w:t>Inge</w:t>
      </w:r>
      <w:r w:rsidR="00896623">
        <w:rPr>
          <w:rFonts w:cstheme="minorHAnsi"/>
        </w:rPr>
        <w:t>.,</w:t>
      </w:r>
      <w:r w:rsidRPr="00231514">
        <w:rPr>
          <w:rFonts w:cstheme="minorHAnsi"/>
        </w:rPr>
        <w:t xml:space="preserve"> and Bailey </w:t>
      </w:r>
      <w:r w:rsidR="00896623" w:rsidRPr="00231514">
        <w:rPr>
          <w:rFonts w:cstheme="minorHAnsi"/>
        </w:rPr>
        <w:t xml:space="preserve">Ajay </w:t>
      </w:r>
      <w:r w:rsidR="00896623">
        <w:rPr>
          <w:rFonts w:cstheme="minorHAnsi"/>
        </w:rPr>
        <w:t xml:space="preserve">, </w:t>
      </w:r>
      <w:r w:rsidRPr="00231514">
        <w:rPr>
          <w:rFonts w:cstheme="minorHAnsi"/>
          <w:i/>
        </w:rPr>
        <w:t>Qualitative Research Methods</w:t>
      </w:r>
      <w:r w:rsidRPr="00231514">
        <w:rPr>
          <w:rFonts w:cstheme="minorHAnsi"/>
        </w:rPr>
        <w:t xml:space="preserve"> ( London: SAGE Publications Ltd, 2020), </w:t>
      </w:r>
      <w:r w:rsidRPr="00231514">
        <w:rPr>
          <w:rFonts w:cstheme="minorHAnsi"/>
        </w:rPr>
        <w:br/>
      </w:r>
      <w:r w:rsidRPr="00231514">
        <w:rPr>
          <w:rFonts w:cstheme="minorHAnsi"/>
        </w:rPr>
        <w:br/>
      </w:r>
    </w:p>
    <w:sectPr w:rsidR="003D626C" w:rsidRPr="00231514" w:rsidSect="00B40A6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54C5" w:rsidRDefault="001D54C5" w:rsidP="00E71308">
      <w:pPr>
        <w:spacing w:after="0" w:line="240" w:lineRule="auto"/>
      </w:pPr>
      <w:r>
        <w:separator/>
      </w:r>
    </w:p>
  </w:endnote>
  <w:endnote w:type="continuationSeparator" w:id="0">
    <w:p w:rsidR="001D54C5" w:rsidRDefault="001D54C5" w:rsidP="00E713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54C5" w:rsidRDefault="001D54C5" w:rsidP="00E71308">
      <w:pPr>
        <w:spacing w:after="0" w:line="240" w:lineRule="auto"/>
      </w:pPr>
      <w:r>
        <w:separator/>
      </w:r>
    </w:p>
  </w:footnote>
  <w:footnote w:type="continuationSeparator" w:id="0">
    <w:p w:rsidR="001D54C5" w:rsidRDefault="001D54C5" w:rsidP="00E71308">
      <w:pPr>
        <w:spacing w:after="0" w:line="240" w:lineRule="auto"/>
      </w:pPr>
      <w:r>
        <w:continuationSeparator/>
      </w:r>
    </w:p>
  </w:footnote>
  <w:footnote w:id="1">
    <w:p w:rsidR="008375EE" w:rsidRDefault="008375EE">
      <w:pPr>
        <w:pStyle w:val="FootnoteText"/>
      </w:pPr>
      <w:r>
        <w:rPr>
          <w:rStyle w:val="FootnoteReference"/>
        </w:rPr>
        <w:footnoteRef/>
      </w:r>
      <w:r w:rsidR="00327926">
        <w:t xml:space="preserve"> Tony Walter &amp; Helen</w:t>
      </w:r>
      <w:r>
        <w:t xml:space="preserve"> </w:t>
      </w:r>
      <w:r w:rsidR="00327926">
        <w:t xml:space="preserve">Waterhouse, ‘A Very Private Belief: Reincarnation in Contemporary England’, Sociology </w:t>
      </w:r>
      <w:r w:rsidR="00327926" w:rsidRPr="00327926">
        <w:rPr>
          <w:i/>
        </w:rPr>
        <w:t>of Religion</w:t>
      </w:r>
      <w:r w:rsidR="00327926">
        <w:t>, 60 (1999), [hereafter Walter &amp; Waterhouse,</w:t>
      </w:r>
      <w:r w:rsidR="00327926" w:rsidRPr="00327926">
        <w:t xml:space="preserve"> </w:t>
      </w:r>
      <w:r w:rsidR="00327926">
        <w:t>‘A Very Private Belief: Reincarnation in Contemporary England’ ] pp. 187-197.</w:t>
      </w:r>
      <w:r w:rsidR="00327926">
        <w:br/>
        <w:t>Gillian Benne</w:t>
      </w:r>
      <w:r w:rsidR="00FF7848">
        <w:t>t</w:t>
      </w:r>
      <w:r w:rsidR="00327926">
        <w:t xml:space="preserve">t, ‘ ‘‘If I Knew You were Coming I’d Have Baked a Cake’’: The Folklore of Foreknowledge in a Neighborhood Group’ in </w:t>
      </w:r>
      <w:r w:rsidR="00327926" w:rsidRPr="00327926">
        <w:rPr>
          <w:i/>
        </w:rPr>
        <w:t>Out of the Ordinary: Folklore and the Supernatural</w:t>
      </w:r>
      <w:r w:rsidR="00327926">
        <w:t xml:space="preserve"> ed. By Barbara Walker (Utah: Utah University Press, 1995),</w:t>
      </w:r>
      <w:r w:rsidR="00400989">
        <w:t xml:space="preserve"> [hereafter Benne</w:t>
      </w:r>
      <w:r w:rsidR="00FF7848">
        <w:t>t</w:t>
      </w:r>
      <w:r w:rsidR="00400989">
        <w:t xml:space="preserve">t, ‘‘If I Knew You were Coming I’d Have Baked a Cake’’] </w:t>
      </w:r>
      <w:r w:rsidR="00327926">
        <w:t xml:space="preserve"> pp. 122-142</w:t>
      </w:r>
    </w:p>
    <w:p w:rsidR="00327926" w:rsidRDefault="00327926">
      <w:pPr>
        <w:pStyle w:val="FootnoteText"/>
      </w:pPr>
    </w:p>
  </w:footnote>
  <w:footnote w:id="2">
    <w:p w:rsidR="00A5226E" w:rsidRDefault="00A5226E">
      <w:pPr>
        <w:pStyle w:val="FootnoteText"/>
      </w:pPr>
      <w:r>
        <w:rPr>
          <w:rStyle w:val="FootnoteReference"/>
        </w:rPr>
        <w:footnoteRef/>
      </w:r>
      <w:r>
        <w:t xml:space="preserve"> </w:t>
      </w:r>
      <w:r w:rsidR="003E0857">
        <w:t>Walter &amp; Waterhouse,</w:t>
      </w:r>
      <w:r w:rsidR="003E0857" w:rsidRPr="00327926">
        <w:t xml:space="preserve"> </w:t>
      </w:r>
      <w:r w:rsidR="003E0857">
        <w:t>‘A Very Private Belief: Reincarnation in Contemporary England’, pp.189</w:t>
      </w:r>
    </w:p>
  </w:footnote>
  <w:footnote w:id="3">
    <w:p w:rsidR="00333F1D" w:rsidRDefault="00333F1D">
      <w:pPr>
        <w:pStyle w:val="FootnoteText"/>
      </w:pPr>
      <w:r>
        <w:rPr>
          <w:rStyle w:val="FootnoteReference"/>
        </w:rPr>
        <w:footnoteRef/>
      </w:r>
      <w:r>
        <w:t xml:space="preserve"> Walter &amp; Waterhouse,</w:t>
      </w:r>
      <w:r w:rsidRPr="00327926">
        <w:t xml:space="preserve"> </w:t>
      </w:r>
      <w:r>
        <w:t>‘A Very Private Belief: Reincarnation in Contemporary England’, pp.188</w:t>
      </w:r>
    </w:p>
  </w:footnote>
  <w:footnote w:id="4">
    <w:p w:rsidR="001E37A4" w:rsidRDefault="001E37A4">
      <w:pPr>
        <w:pStyle w:val="FootnoteText"/>
      </w:pPr>
      <w:r>
        <w:rPr>
          <w:rStyle w:val="FootnoteReference"/>
        </w:rPr>
        <w:footnoteRef/>
      </w:r>
      <w:r>
        <w:t xml:space="preserve"> Walter &amp; Waterhouse,</w:t>
      </w:r>
      <w:r w:rsidRPr="00327926">
        <w:t xml:space="preserve"> </w:t>
      </w:r>
      <w:r>
        <w:t>‘A Very Private Belief: Reincarnation in Contemporary England’, pp.188</w:t>
      </w:r>
    </w:p>
  </w:footnote>
  <w:footnote w:id="5">
    <w:p w:rsidR="00A51222" w:rsidRDefault="00A51222">
      <w:pPr>
        <w:pStyle w:val="FootnoteText"/>
      </w:pPr>
      <w:r>
        <w:rPr>
          <w:rStyle w:val="FootnoteReference"/>
        </w:rPr>
        <w:footnoteRef/>
      </w:r>
      <w:r>
        <w:t xml:space="preserve"> </w:t>
      </w:r>
      <w:r w:rsidR="007C47FE">
        <w:t>Walter &amp; Waterhouse,</w:t>
      </w:r>
      <w:r w:rsidR="007C47FE" w:rsidRPr="00327926">
        <w:t xml:space="preserve"> </w:t>
      </w:r>
      <w:r w:rsidR="007C47FE">
        <w:t>‘A Very Private Belief: Reincarnation in Contemporary England’, pp.187</w:t>
      </w:r>
    </w:p>
  </w:footnote>
  <w:footnote w:id="6">
    <w:p w:rsidR="003E0857" w:rsidRDefault="003E0857">
      <w:pPr>
        <w:pStyle w:val="FootnoteText"/>
      </w:pPr>
      <w:r>
        <w:rPr>
          <w:rStyle w:val="FootnoteReference"/>
        </w:rPr>
        <w:footnoteRef/>
      </w:r>
      <w:r>
        <w:t xml:space="preserve"> Walter &amp; Waterhouse,</w:t>
      </w:r>
      <w:r w:rsidRPr="00327926">
        <w:t xml:space="preserve"> </w:t>
      </w:r>
      <w:r>
        <w:t>‘A Very Private Belief: Reincarnation in Contemporary England’, pp.196</w:t>
      </w:r>
    </w:p>
  </w:footnote>
  <w:footnote w:id="7">
    <w:p w:rsidR="003E0857" w:rsidRDefault="003E0857">
      <w:pPr>
        <w:pStyle w:val="FootnoteText"/>
      </w:pPr>
      <w:r>
        <w:rPr>
          <w:rStyle w:val="FootnoteReference"/>
        </w:rPr>
        <w:footnoteRef/>
      </w:r>
      <w:r>
        <w:t xml:space="preserve"> Walter &amp; Waterhouse,</w:t>
      </w:r>
      <w:r w:rsidRPr="00327926">
        <w:t xml:space="preserve"> </w:t>
      </w:r>
      <w:r>
        <w:t>‘A Very Private Belief: Reincarnation in Contemporary England’, pp.196</w:t>
      </w:r>
    </w:p>
  </w:footnote>
  <w:footnote w:id="8">
    <w:p w:rsidR="005E1F12" w:rsidRDefault="005E1F12">
      <w:pPr>
        <w:pStyle w:val="FootnoteText"/>
      </w:pPr>
      <w:r>
        <w:rPr>
          <w:rStyle w:val="FootnoteReference"/>
        </w:rPr>
        <w:footnoteRef/>
      </w:r>
      <w:r>
        <w:t xml:space="preserve"> </w:t>
      </w:r>
      <w:r w:rsidR="009E4DA7">
        <w:t>Walter &amp; Waterhouse,</w:t>
      </w:r>
      <w:r w:rsidR="009E4DA7" w:rsidRPr="00327926">
        <w:t xml:space="preserve"> </w:t>
      </w:r>
      <w:r w:rsidR="009E4DA7">
        <w:t>‘A Very Private Belief: Reincarnation in Contemporary England’, pp.188</w:t>
      </w:r>
      <w:r w:rsidR="009E4DA7">
        <w:br/>
        <w:t>Benne</w:t>
      </w:r>
      <w:r w:rsidR="00FF7848">
        <w:t>t</w:t>
      </w:r>
      <w:r w:rsidR="009E4DA7">
        <w:t>t, ‘‘If I Knew You were Coming I’d Have Baked a Cake’’, pp.122-</w:t>
      </w:r>
      <w:r w:rsidR="00342353">
        <w:t>126</w:t>
      </w:r>
    </w:p>
  </w:footnote>
  <w:footnote w:id="9">
    <w:p w:rsidR="009E4DA7" w:rsidRDefault="009E4DA7">
      <w:pPr>
        <w:pStyle w:val="FootnoteText"/>
      </w:pPr>
      <w:r>
        <w:rPr>
          <w:rStyle w:val="FootnoteReference"/>
        </w:rPr>
        <w:footnoteRef/>
      </w:r>
      <w:r>
        <w:t xml:space="preserve"> </w:t>
      </w:r>
      <w:r w:rsidR="00342353">
        <w:t>Benne</w:t>
      </w:r>
      <w:r w:rsidR="00FF7848">
        <w:t>t</w:t>
      </w:r>
      <w:r w:rsidR="00342353">
        <w:t>t, ‘‘If I Knew You were Coming I’d Have Baked a Cake’’, pp.124,127</w:t>
      </w:r>
    </w:p>
  </w:footnote>
  <w:footnote w:id="10">
    <w:p w:rsidR="009E4DA7" w:rsidRDefault="009E4DA7">
      <w:pPr>
        <w:pStyle w:val="FootnoteText"/>
      </w:pPr>
      <w:r>
        <w:rPr>
          <w:rStyle w:val="FootnoteReference"/>
        </w:rPr>
        <w:footnoteRef/>
      </w:r>
      <w:r>
        <w:t xml:space="preserve"> </w:t>
      </w:r>
      <w:r w:rsidR="00342353">
        <w:t>Benne</w:t>
      </w:r>
      <w:r w:rsidR="00FF7848">
        <w:t>t</w:t>
      </w:r>
      <w:r w:rsidR="00342353">
        <w:t>t, ‘‘If I Knew You were Coming I’d Have Baked a Cake’’</w:t>
      </w:r>
      <w:r w:rsidR="002356F3">
        <w:t>, pp.127-129</w:t>
      </w:r>
    </w:p>
  </w:footnote>
  <w:footnote w:id="11">
    <w:p w:rsidR="009E4DA7" w:rsidRDefault="009E4DA7">
      <w:pPr>
        <w:pStyle w:val="FootnoteText"/>
      </w:pPr>
      <w:r>
        <w:rPr>
          <w:rStyle w:val="FootnoteReference"/>
        </w:rPr>
        <w:footnoteRef/>
      </w:r>
      <w:r>
        <w:t xml:space="preserve"> </w:t>
      </w:r>
      <w:r w:rsidR="009632DF">
        <w:t>Bennet</w:t>
      </w:r>
      <w:r w:rsidR="00FF7848">
        <w:t>t</w:t>
      </w:r>
      <w:r w:rsidR="009632DF">
        <w:t>, ‘‘If I Knew You were Coming I’d Have Baked a Cake’’, pp.133-136</w:t>
      </w:r>
    </w:p>
  </w:footnote>
  <w:footnote w:id="12">
    <w:p w:rsidR="00A802F6" w:rsidRDefault="00A802F6">
      <w:pPr>
        <w:pStyle w:val="FootnoteText"/>
      </w:pPr>
      <w:r>
        <w:rPr>
          <w:rStyle w:val="FootnoteReference"/>
        </w:rPr>
        <w:footnoteRef/>
      </w:r>
      <w:r>
        <w:t xml:space="preserve"> Walter &amp; Waterhouse,</w:t>
      </w:r>
      <w:r w:rsidRPr="00327926">
        <w:t xml:space="preserve"> </w:t>
      </w:r>
      <w:r>
        <w:t>‘A Very Private Belief: Reincarnation in Contemporary England’, pp.188;</w:t>
      </w:r>
      <w:r>
        <w:br/>
        <w:t>Bennet</w:t>
      </w:r>
      <w:r w:rsidR="00FF7848">
        <w:t>t</w:t>
      </w:r>
      <w:r>
        <w:t>, ‘‘If I Knew You were Coming I’d Have Baked a Cake’’, pp.127</w:t>
      </w:r>
    </w:p>
  </w:footnote>
  <w:footnote w:id="13">
    <w:p w:rsidR="00870783" w:rsidRDefault="00870783">
      <w:pPr>
        <w:pStyle w:val="FootnoteText"/>
      </w:pPr>
      <w:r>
        <w:rPr>
          <w:rStyle w:val="FootnoteReference"/>
        </w:rPr>
        <w:footnoteRef/>
      </w:r>
      <w:r>
        <w:t xml:space="preserve">Alan Bryman, </w:t>
      </w:r>
      <w:r w:rsidRPr="00870783">
        <w:rPr>
          <w:i/>
        </w:rPr>
        <w:t>Quantity and Quality in Social Research</w:t>
      </w:r>
      <w:r>
        <w:t xml:space="preserve"> (London: Routledge, 2001), pp.95</w:t>
      </w:r>
    </w:p>
  </w:footnote>
  <w:footnote w:id="14">
    <w:p w:rsidR="00FB051B" w:rsidRDefault="00FB051B">
      <w:pPr>
        <w:pStyle w:val="FootnoteText"/>
      </w:pPr>
      <w:r>
        <w:rPr>
          <w:rStyle w:val="FootnoteReference"/>
        </w:rPr>
        <w:footnoteRef/>
      </w:r>
      <w:r>
        <w:t xml:space="preserve"> Hennink </w:t>
      </w:r>
      <w:r w:rsidRPr="00863209">
        <w:rPr>
          <w:i/>
        </w:rPr>
        <w:t>et al</w:t>
      </w:r>
      <w:r>
        <w:t xml:space="preserve">, </w:t>
      </w:r>
      <w:r w:rsidRPr="00863209">
        <w:rPr>
          <w:i/>
        </w:rPr>
        <w:t xml:space="preserve">Qualitative Research </w:t>
      </w:r>
      <w:r>
        <w:rPr>
          <w:i/>
        </w:rPr>
        <w:t>Methods, pp. 117</w:t>
      </w:r>
    </w:p>
  </w:footnote>
  <w:footnote w:id="15">
    <w:p w:rsidR="00B63603" w:rsidRDefault="00B63603">
      <w:pPr>
        <w:pStyle w:val="FootnoteText"/>
      </w:pPr>
      <w:r>
        <w:rPr>
          <w:rStyle w:val="FootnoteReference"/>
        </w:rPr>
        <w:footnoteRef/>
      </w:r>
      <w:r>
        <w:t xml:space="preserve"> </w:t>
      </w:r>
      <w:r w:rsidR="00863209">
        <w:t>Walter &amp; Waterhouse,</w:t>
      </w:r>
      <w:r w:rsidR="00863209" w:rsidRPr="00327926">
        <w:t xml:space="preserve"> </w:t>
      </w:r>
      <w:r w:rsidR="00863209">
        <w:t>‘A Very Private Belief: Reincarnation in Contemporary England’, pp.189;</w:t>
      </w:r>
      <w:r w:rsidR="00863209">
        <w:br/>
        <w:t xml:space="preserve">Monique Hennink, Inge Hutter and Ajay Bailey </w:t>
      </w:r>
      <w:r w:rsidR="00863209" w:rsidRPr="00863209">
        <w:rPr>
          <w:i/>
        </w:rPr>
        <w:t>Qualitative Research Methods</w:t>
      </w:r>
      <w:r w:rsidR="00863209">
        <w:t xml:space="preserve"> ( London: SAGE Publications Ltd, 2020), Kindle Edition [hereafter Hennink </w:t>
      </w:r>
      <w:r w:rsidR="00863209" w:rsidRPr="00863209">
        <w:rPr>
          <w:i/>
        </w:rPr>
        <w:t>et al</w:t>
      </w:r>
      <w:r w:rsidR="00863209">
        <w:t xml:space="preserve">, </w:t>
      </w:r>
      <w:r w:rsidR="00863209" w:rsidRPr="00863209">
        <w:rPr>
          <w:i/>
        </w:rPr>
        <w:t>Qualitative Research Methods</w:t>
      </w:r>
      <w:r w:rsidR="00863209">
        <w:t>], pp.97</w:t>
      </w:r>
      <w:r w:rsidR="00863209">
        <w:br/>
        <w:t xml:space="preserve"> </w:t>
      </w:r>
    </w:p>
  </w:footnote>
  <w:footnote w:id="16">
    <w:p w:rsidR="002E7AC7" w:rsidRDefault="002E7AC7">
      <w:pPr>
        <w:pStyle w:val="FootnoteText"/>
      </w:pPr>
      <w:r>
        <w:rPr>
          <w:rStyle w:val="FootnoteReference"/>
        </w:rPr>
        <w:footnoteRef/>
      </w:r>
      <w:r>
        <w:t xml:space="preserve"> Walter &amp; Waterhouse,</w:t>
      </w:r>
      <w:r w:rsidRPr="00327926">
        <w:t xml:space="preserve"> </w:t>
      </w:r>
      <w:r>
        <w:t>‘A Very Private Belief: Reincarnation in Contemporary England’, pp.189</w:t>
      </w:r>
    </w:p>
  </w:footnote>
  <w:footnote w:id="17">
    <w:p w:rsidR="002E7AC7" w:rsidRDefault="002E7AC7" w:rsidP="002E7AC7">
      <w:pPr>
        <w:pStyle w:val="FootnoteText"/>
      </w:pPr>
      <w:r>
        <w:rPr>
          <w:rStyle w:val="FootnoteReference"/>
        </w:rPr>
        <w:footnoteRef/>
      </w:r>
      <w:r>
        <w:t xml:space="preserve"> Walter &amp; Waterhouse,</w:t>
      </w:r>
      <w:r w:rsidRPr="00327926">
        <w:t xml:space="preserve"> </w:t>
      </w:r>
      <w:r>
        <w:t>‘A Very Private Belief: Reincarnation in Contemporary England’, pp.189</w:t>
      </w:r>
    </w:p>
    <w:p w:rsidR="002E7AC7" w:rsidRDefault="002E7AC7">
      <w:pPr>
        <w:pStyle w:val="FootnoteText"/>
      </w:pPr>
    </w:p>
  </w:footnote>
  <w:footnote w:id="18">
    <w:p w:rsidR="002E7AC7" w:rsidRDefault="002E7AC7" w:rsidP="002E7AC7">
      <w:pPr>
        <w:pStyle w:val="FootnoteText"/>
      </w:pPr>
      <w:r>
        <w:rPr>
          <w:rStyle w:val="FootnoteReference"/>
        </w:rPr>
        <w:footnoteRef/>
      </w:r>
      <w:r>
        <w:t xml:space="preserve"> Walter &amp; Waterhouse,</w:t>
      </w:r>
      <w:r w:rsidRPr="00327926">
        <w:t xml:space="preserve"> </w:t>
      </w:r>
      <w:r>
        <w:t>‘A Very Private Belief: Reincarnation in Contemporary England’, pp.189</w:t>
      </w:r>
    </w:p>
    <w:p w:rsidR="002E7AC7" w:rsidRDefault="002E7AC7">
      <w:pPr>
        <w:pStyle w:val="FootnoteText"/>
      </w:pPr>
    </w:p>
  </w:footnote>
  <w:footnote w:id="19">
    <w:p w:rsidR="00BB5BD9" w:rsidRDefault="00BB5BD9">
      <w:pPr>
        <w:pStyle w:val="FootnoteText"/>
      </w:pPr>
      <w:r>
        <w:rPr>
          <w:rStyle w:val="FootnoteReference"/>
        </w:rPr>
        <w:footnoteRef/>
      </w:r>
      <w:r>
        <w:t xml:space="preserve"> Benne</w:t>
      </w:r>
      <w:r w:rsidR="00FF7848">
        <w:t>t</w:t>
      </w:r>
      <w:r>
        <w:t>t, ‘‘If I Knew You were Coming I’d Have Baked a Cake’’, pp.140</w:t>
      </w:r>
    </w:p>
  </w:footnote>
  <w:footnote w:id="20">
    <w:p w:rsidR="00D750D3" w:rsidRPr="00D750D3" w:rsidRDefault="00D750D3">
      <w:pPr>
        <w:pStyle w:val="FootnoteText"/>
        <w:rPr>
          <w:b/>
        </w:rPr>
      </w:pPr>
      <w:r>
        <w:rPr>
          <w:rStyle w:val="FootnoteReference"/>
        </w:rPr>
        <w:footnoteRef/>
      </w:r>
      <w:r>
        <w:t xml:space="preserve"> Benne</w:t>
      </w:r>
      <w:r w:rsidR="00FF7848">
        <w:t>t</w:t>
      </w:r>
      <w:r>
        <w:t>t, ‘‘If I Knew You were Coming I’d Have Baked a Cake’’, pp.127</w:t>
      </w:r>
    </w:p>
  </w:footnote>
  <w:footnote w:id="21">
    <w:p w:rsidR="0012544D" w:rsidRDefault="0012544D">
      <w:pPr>
        <w:pStyle w:val="FootnoteText"/>
      </w:pPr>
      <w:r>
        <w:rPr>
          <w:rStyle w:val="FootnoteReference"/>
        </w:rPr>
        <w:footnoteRef/>
      </w:r>
      <w:r>
        <w:t xml:space="preserve"> Bennet</w:t>
      </w:r>
      <w:r w:rsidR="00FF7848">
        <w:t>t</w:t>
      </w:r>
      <w:r>
        <w:t>, ‘‘If I Knew You were Coming I’d Have Baked a Cake’’, pp.-140-141</w:t>
      </w:r>
    </w:p>
  </w:footnote>
  <w:footnote w:id="22">
    <w:p w:rsidR="006A7E32" w:rsidRDefault="006A7E32">
      <w:pPr>
        <w:pStyle w:val="FootnoteText"/>
      </w:pPr>
      <w:r>
        <w:rPr>
          <w:rStyle w:val="FootnoteReference"/>
        </w:rPr>
        <w:footnoteRef/>
      </w:r>
      <w:r>
        <w:t xml:space="preserve"> Walter &amp; Waterhouse,</w:t>
      </w:r>
      <w:r w:rsidRPr="00327926">
        <w:t xml:space="preserve"> </w:t>
      </w:r>
      <w:r>
        <w:t>‘A Very Private Belief: Reincarnation in Contemporary England’, pp.189</w:t>
      </w:r>
    </w:p>
  </w:footnote>
  <w:footnote w:id="23">
    <w:p w:rsidR="00AC023E" w:rsidRDefault="00AC023E" w:rsidP="00AC023E">
      <w:pPr>
        <w:pStyle w:val="FootnoteText"/>
      </w:pPr>
      <w:r>
        <w:rPr>
          <w:rStyle w:val="FootnoteReference"/>
        </w:rPr>
        <w:footnoteRef/>
      </w:r>
      <w:r>
        <w:t xml:space="preserve"> Benne</w:t>
      </w:r>
      <w:r w:rsidR="009C104C">
        <w:t>t</w:t>
      </w:r>
      <w:r>
        <w:t>t, ‘‘If I Knew You were Coming I’d Have Baked a Cake’’, pp.140</w:t>
      </w:r>
      <w:r>
        <w:br/>
        <w:t>Walter &amp; Waterhouse,</w:t>
      </w:r>
      <w:r w:rsidRPr="00327926">
        <w:t xml:space="preserve"> </w:t>
      </w:r>
      <w:r>
        <w:t>‘A Very Private Belief: Reincarnation in Contemporary England’, pp.189</w:t>
      </w:r>
    </w:p>
  </w:footnote>
  <w:footnote w:id="24">
    <w:p w:rsidR="00C50B7D" w:rsidRDefault="00C50B7D">
      <w:pPr>
        <w:pStyle w:val="FootnoteText"/>
      </w:pPr>
      <w:r>
        <w:rPr>
          <w:rStyle w:val="FootnoteReference"/>
        </w:rPr>
        <w:footnoteRef/>
      </w:r>
      <w:r>
        <w:t xml:space="preserve"> Benne</w:t>
      </w:r>
      <w:r w:rsidR="009C104C">
        <w:t>t</w:t>
      </w:r>
      <w:r>
        <w:t>t, ‘‘If I Knew You were Coming I’d Have Baked a Cake’’, pp.127</w:t>
      </w:r>
    </w:p>
  </w:footnote>
  <w:footnote w:id="25">
    <w:p w:rsidR="00973092" w:rsidRDefault="00973092">
      <w:pPr>
        <w:pStyle w:val="FootnoteText"/>
      </w:pPr>
      <w:r>
        <w:rPr>
          <w:rStyle w:val="FootnoteReference"/>
        </w:rPr>
        <w:footnoteRef/>
      </w:r>
      <w:r>
        <w:t xml:space="preserve"> </w:t>
      </w:r>
      <w:r w:rsidR="00CD042D">
        <w:t xml:space="preserve">Gerard Niveau, Sandra Burkhardt and Sarah Chiesa, 'Medical Confidentiality and the Competent Patient', </w:t>
      </w:r>
      <w:r w:rsidR="00CD042D">
        <w:rPr>
          <w:i/>
          <w:iCs/>
        </w:rPr>
        <w:t xml:space="preserve">Journal of Medical Ethics, </w:t>
      </w:r>
      <w:r w:rsidR="00CD042D">
        <w:t>39 (2013), pp.686-689</w:t>
      </w:r>
    </w:p>
  </w:footnote>
  <w:footnote w:id="26">
    <w:p w:rsidR="00937C6D" w:rsidRDefault="00937C6D" w:rsidP="00937C6D">
      <w:pPr>
        <w:pStyle w:val="FootnoteText"/>
      </w:pPr>
      <w:r>
        <w:rPr>
          <w:rStyle w:val="FootnoteReference"/>
        </w:rPr>
        <w:footnoteRef/>
      </w:r>
      <w:r>
        <w:t xml:space="preserve"> Benne</w:t>
      </w:r>
      <w:r w:rsidR="009C104C">
        <w:t>t</w:t>
      </w:r>
      <w:r>
        <w:t>t, ‘‘If I Knew You were Coming I’d Have Baked a Cake’’, pp.127</w:t>
      </w:r>
    </w:p>
    <w:p w:rsidR="00937C6D" w:rsidRDefault="00937C6D">
      <w:pPr>
        <w:pStyle w:val="FootnoteText"/>
      </w:pPr>
    </w:p>
  </w:footnote>
  <w:footnote w:id="27">
    <w:p w:rsidR="00DC5C42" w:rsidRDefault="00DC5C42">
      <w:pPr>
        <w:pStyle w:val="FootnoteText"/>
      </w:pPr>
      <w:r>
        <w:rPr>
          <w:rStyle w:val="FootnoteReference"/>
        </w:rPr>
        <w:footnoteRef/>
      </w:r>
      <w:r>
        <w:t xml:space="preserve"> Benne</w:t>
      </w:r>
      <w:r w:rsidR="009C104C">
        <w:t>t</w:t>
      </w:r>
      <w:r>
        <w:t>t, ‘‘If I Knew You were Coming I’d Have Baked a Cake’’, pp.127</w:t>
      </w:r>
    </w:p>
  </w:footnote>
  <w:footnote w:id="28">
    <w:p w:rsidR="00937C6D" w:rsidRDefault="00937C6D" w:rsidP="00937C6D">
      <w:pPr>
        <w:pStyle w:val="FootnoteText"/>
      </w:pPr>
      <w:r>
        <w:rPr>
          <w:rStyle w:val="FootnoteReference"/>
        </w:rPr>
        <w:footnoteRef/>
      </w:r>
      <w:r>
        <w:t xml:space="preserve"> Bennet</w:t>
      </w:r>
      <w:r w:rsidR="009C104C">
        <w:t>t</w:t>
      </w:r>
      <w:r>
        <w:t>, ‘‘If I Knew You were Coming I’d Have Baked a Cake’’, pp.131, 137-139</w:t>
      </w:r>
    </w:p>
    <w:p w:rsidR="00937C6D" w:rsidRDefault="00937C6D">
      <w:pPr>
        <w:pStyle w:val="FootnoteText"/>
      </w:pPr>
    </w:p>
  </w:footnote>
  <w:footnote w:id="29">
    <w:p w:rsidR="00865EA4" w:rsidRDefault="00865EA4">
      <w:pPr>
        <w:pStyle w:val="FootnoteText"/>
      </w:pPr>
      <w:r>
        <w:rPr>
          <w:rStyle w:val="FootnoteReference"/>
        </w:rPr>
        <w:footnoteRef/>
      </w:r>
      <w:r>
        <w:t xml:space="preserve"> Hennink </w:t>
      </w:r>
      <w:r w:rsidRPr="00863209">
        <w:rPr>
          <w:i/>
        </w:rPr>
        <w:t>et al</w:t>
      </w:r>
      <w:r>
        <w:t xml:space="preserve">, </w:t>
      </w:r>
      <w:r w:rsidRPr="00863209">
        <w:rPr>
          <w:i/>
        </w:rPr>
        <w:t>Qualitative Research Methods</w:t>
      </w:r>
      <w:r>
        <w:rPr>
          <w:i/>
        </w:rPr>
        <w:t>, pp.71</w:t>
      </w:r>
    </w:p>
  </w:footnote>
  <w:footnote w:id="30">
    <w:p w:rsidR="00865EA4" w:rsidRDefault="00865EA4">
      <w:pPr>
        <w:pStyle w:val="FootnoteText"/>
      </w:pPr>
      <w:r>
        <w:rPr>
          <w:rStyle w:val="FootnoteReference"/>
        </w:rPr>
        <w:footnoteRef/>
      </w:r>
      <w:r>
        <w:t xml:space="preserve"> Hennink </w:t>
      </w:r>
      <w:r w:rsidRPr="00863209">
        <w:rPr>
          <w:i/>
        </w:rPr>
        <w:t>et al</w:t>
      </w:r>
      <w:r>
        <w:t xml:space="preserve">, </w:t>
      </w:r>
      <w:r w:rsidRPr="00863209">
        <w:rPr>
          <w:i/>
        </w:rPr>
        <w:t xml:space="preserve">Qualitative Research </w:t>
      </w:r>
      <w:r>
        <w:rPr>
          <w:i/>
        </w:rPr>
        <w:t>Methods, pp. 75</w:t>
      </w:r>
    </w:p>
  </w:footnote>
  <w:footnote w:id="31">
    <w:p w:rsidR="005A0A1B" w:rsidRDefault="005A0A1B">
      <w:pPr>
        <w:pStyle w:val="FootnoteText"/>
      </w:pPr>
      <w:r>
        <w:rPr>
          <w:rStyle w:val="FootnoteReference"/>
        </w:rPr>
        <w:footnoteRef/>
      </w:r>
      <w:r>
        <w:t xml:space="preserve"> Hennink </w:t>
      </w:r>
      <w:r w:rsidRPr="00863209">
        <w:rPr>
          <w:i/>
        </w:rPr>
        <w:t>et al</w:t>
      </w:r>
      <w:r>
        <w:t xml:space="preserve">, </w:t>
      </w:r>
      <w:r w:rsidRPr="00863209">
        <w:rPr>
          <w:i/>
        </w:rPr>
        <w:t xml:space="preserve">Qualitative Research </w:t>
      </w:r>
      <w:r>
        <w:rPr>
          <w:i/>
        </w:rPr>
        <w:t>Methods, pp. 83</w:t>
      </w:r>
    </w:p>
  </w:footnote>
  <w:footnote w:id="32">
    <w:p w:rsidR="00F76B7C" w:rsidRDefault="00F76B7C" w:rsidP="00F76B7C">
      <w:pPr>
        <w:pStyle w:val="FootnoteText"/>
      </w:pPr>
      <w:r>
        <w:rPr>
          <w:rStyle w:val="FootnoteReference"/>
        </w:rPr>
        <w:footnoteRef/>
      </w:r>
      <w:r>
        <w:t xml:space="preserve"> Benne</w:t>
      </w:r>
      <w:r w:rsidR="00D86FA4">
        <w:t>t</w:t>
      </w:r>
      <w:r>
        <w:t>t, ‘‘If I Knew You were Coming I’d Have Baked a Cake’’, pp.129-138</w:t>
      </w:r>
      <w:r>
        <w:br/>
        <w:t>Walter &amp; Waterhouse,</w:t>
      </w:r>
      <w:r w:rsidRPr="00327926">
        <w:t xml:space="preserve"> </w:t>
      </w:r>
      <w:r>
        <w:t>‘A Very Private Belief: Reincarnation in Contemporary England’, pp.192-194</w:t>
      </w:r>
    </w:p>
  </w:footnote>
  <w:footnote w:id="33">
    <w:p w:rsidR="00F76B7C" w:rsidRDefault="00F76B7C" w:rsidP="00F76B7C">
      <w:pPr>
        <w:pStyle w:val="FootnoteText"/>
      </w:pPr>
      <w:r>
        <w:rPr>
          <w:rStyle w:val="FootnoteReference"/>
        </w:rPr>
        <w:footnoteRef/>
      </w:r>
      <w:r>
        <w:t xml:space="preserve"> Hennink </w:t>
      </w:r>
      <w:r w:rsidRPr="00863209">
        <w:rPr>
          <w:i/>
        </w:rPr>
        <w:t>et al</w:t>
      </w:r>
      <w:r>
        <w:t xml:space="preserve">, </w:t>
      </w:r>
      <w:r w:rsidRPr="00863209">
        <w:rPr>
          <w:i/>
        </w:rPr>
        <w:t xml:space="preserve">Qualitative Research </w:t>
      </w:r>
      <w:r>
        <w:rPr>
          <w:i/>
        </w:rPr>
        <w:t>Methods, pp. 17</w:t>
      </w:r>
    </w:p>
  </w:footnote>
  <w:footnote w:id="34">
    <w:p w:rsidR="00AC491C" w:rsidRDefault="00AC491C">
      <w:pPr>
        <w:pStyle w:val="FootnoteText"/>
      </w:pPr>
      <w:r>
        <w:rPr>
          <w:rStyle w:val="FootnoteReference"/>
        </w:rPr>
        <w:footnoteRef/>
      </w:r>
      <w:r>
        <w:t xml:space="preserve"> Hennink </w:t>
      </w:r>
      <w:r w:rsidRPr="00863209">
        <w:rPr>
          <w:i/>
        </w:rPr>
        <w:t>et al</w:t>
      </w:r>
      <w:r>
        <w:t xml:space="preserve">, </w:t>
      </w:r>
      <w:r w:rsidRPr="00863209">
        <w:rPr>
          <w:i/>
        </w:rPr>
        <w:t xml:space="preserve">Qualitative Research </w:t>
      </w:r>
      <w:r>
        <w:rPr>
          <w:i/>
        </w:rPr>
        <w:t>Methods, pp. 18</w:t>
      </w:r>
    </w:p>
  </w:footnote>
  <w:footnote w:id="35">
    <w:p w:rsidR="00AC491C" w:rsidRDefault="00AC491C">
      <w:pPr>
        <w:pStyle w:val="FootnoteText"/>
      </w:pPr>
      <w:r>
        <w:rPr>
          <w:rStyle w:val="FootnoteReference"/>
        </w:rPr>
        <w:footnoteRef/>
      </w:r>
      <w:r>
        <w:t xml:space="preserve"> Hennink </w:t>
      </w:r>
      <w:r w:rsidRPr="00863209">
        <w:rPr>
          <w:i/>
        </w:rPr>
        <w:t>et al</w:t>
      </w:r>
      <w:r>
        <w:t xml:space="preserve">, </w:t>
      </w:r>
      <w:r w:rsidRPr="00863209">
        <w:rPr>
          <w:i/>
        </w:rPr>
        <w:t xml:space="preserve">Qualitative Research </w:t>
      </w:r>
      <w:r>
        <w:rPr>
          <w:i/>
        </w:rPr>
        <w:t>Methods, pp. 18</w:t>
      </w:r>
    </w:p>
  </w:footnote>
  <w:footnote w:id="36">
    <w:p w:rsidR="00B03B24" w:rsidRDefault="00B03B24">
      <w:pPr>
        <w:pStyle w:val="FootnoteText"/>
      </w:pPr>
      <w:r>
        <w:rPr>
          <w:rStyle w:val="FootnoteReference"/>
        </w:rPr>
        <w:footnoteRef/>
      </w:r>
      <w:r>
        <w:t xml:space="preserve"> Benne</w:t>
      </w:r>
      <w:r w:rsidR="00D86FA4">
        <w:t>t</w:t>
      </w:r>
      <w:r>
        <w:t>t, ‘‘If I Knew You were Coming I’d Have Baked a Cake’’, pp.133</w:t>
      </w:r>
    </w:p>
  </w:footnote>
  <w:footnote w:id="37">
    <w:p w:rsidR="006C74A9" w:rsidRDefault="006C74A9">
      <w:pPr>
        <w:pStyle w:val="FootnoteText"/>
      </w:pPr>
      <w:r>
        <w:rPr>
          <w:rStyle w:val="FootnoteReference"/>
        </w:rPr>
        <w:footnoteRef/>
      </w:r>
      <w:r>
        <w:t xml:space="preserve"> </w:t>
      </w:r>
      <w:r w:rsidR="0089766A">
        <w:t>Walter &amp; Waterhouse,</w:t>
      </w:r>
      <w:r w:rsidR="0089766A" w:rsidRPr="00327926">
        <w:t xml:space="preserve"> </w:t>
      </w:r>
      <w:r w:rsidR="0089766A">
        <w:t>‘A Very Private Belief: Reincarnation in Contemporary England’, pp.191</w:t>
      </w:r>
    </w:p>
  </w:footnote>
  <w:footnote w:id="38">
    <w:p w:rsidR="00680352" w:rsidRDefault="00680352">
      <w:pPr>
        <w:pStyle w:val="FootnoteText"/>
      </w:pPr>
      <w:r>
        <w:rPr>
          <w:rStyle w:val="FootnoteReference"/>
        </w:rPr>
        <w:footnoteRef/>
      </w:r>
      <w:r>
        <w:t xml:space="preserve"> </w:t>
      </w:r>
      <w:r w:rsidR="00725F23">
        <w:t>Bennet, ‘‘If I Knew You were Coming I’d Have Baked a Cake’’, pp.134</w:t>
      </w:r>
    </w:p>
  </w:footnote>
  <w:footnote w:id="39">
    <w:p w:rsidR="00D86FA4" w:rsidRDefault="00D86FA4">
      <w:pPr>
        <w:pStyle w:val="FootnoteText"/>
      </w:pPr>
      <w:r>
        <w:rPr>
          <w:rStyle w:val="FootnoteReference"/>
        </w:rPr>
        <w:footnoteRef/>
      </w:r>
      <w:r>
        <w:t xml:space="preserve"> Walter &amp; Waterhouse,</w:t>
      </w:r>
      <w:r w:rsidRPr="00327926">
        <w:t xml:space="preserve"> </w:t>
      </w:r>
      <w:r>
        <w:t xml:space="preserve">‘A Very Private Belief: Reincarnation </w:t>
      </w:r>
      <w:r w:rsidR="00026C9A">
        <w:t>in Contemporary England’, pp.189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14414"/>
    <w:multiLevelType w:val="hybridMultilevel"/>
    <w:tmpl w:val="02BAF92C"/>
    <w:lvl w:ilvl="0" w:tplc="C7209FC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E71308"/>
    <w:rsid w:val="0000157D"/>
    <w:rsid w:val="00026C9A"/>
    <w:rsid w:val="000548DC"/>
    <w:rsid w:val="000C2BE5"/>
    <w:rsid w:val="000D20F1"/>
    <w:rsid w:val="00111431"/>
    <w:rsid w:val="00124170"/>
    <w:rsid w:val="0012544D"/>
    <w:rsid w:val="00141811"/>
    <w:rsid w:val="00185EA8"/>
    <w:rsid w:val="001A72C2"/>
    <w:rsid w:val="001C045A"/>
    <w:rsid w:val="001D54C5"/>
    <w:rsid w:val="001E37A4"/>
    <w:rsid w:val="001E6418"/>
    <w:rsid w:val="001E675E"/>
    <w:rsid w:val="00231514"/>
    <w:rsid w:val="002356F3"/>
    <w:rsid w:val="002A2B1A"/>
    <w:rsid w:val="002A7E47"/>
    <w:rsid w:val="002E7AC7"/>
    <w:rsid w:val="003037E9"/>
    <w:rsid w:val="003064A3"/>
    <w:rsid w:val="00313DD0"/>
    <w:rsid w:val="00327926"/>
    <w:rsid w:val="00333F1D"/>
    <w:rsid w:val="00337E4C"/>
    <w:rsid w:val="00342353"/>
    <w:rsid w:val="00342BD1"/>
    <w:rsid w:val="00347C62"/>
    <w:rsid w:val="00361B94"/>
    <w:rsid w:val="003C6E54"/>
    <w:rsid w:val="003D626C"/>
    <w:rsid w:val="003D7F4D"/>
    <w:rsid w:val="003E0857"/>
    <w:rsid w:val="00400989"/>
    <w:rsid w:val="00475F0D"/>
    <w:rsid w:val="004920E5"/>
    <w:rsid w:val="004A3AD6"/>
    <w:rsid w:val="004F08EF"/>
    <w:rsid w:val="005040D2"/>
    <w:rsid w:val="0053680E"/>
    <w:rsid w:val="005A0A1B"/>
    <w:rsid w:val="005E1F12"/>
    <w:rsid w:val="005E50F7"/>
    <w:rsid w:val="00624190"/>
    <w:rsid w:val="00633D5A"/>
    <w:rsid w:val="006341BF"/>
    <w:rsid w:val="00640C4D"/>
    <w:rsid w:val="00663E74"/>
    <w:rsid w:val="00680352"/>
    <w:rsid w:val="006814BF"/>
    <w:rsid w:val="006A308E"/>
    <w:rsid w:val="006A7E32"/>
    <w:rsid w:val="006C74A9"/>
    <w:rsid w:val="0070379C"/>
    <w:rsid w:val="00725F23"/>
    <w:rsid w:val="0074062F"/>
    <w:rsid w:val="00786E53"/>
    <w:rsid w:val="007B2412"/>
    <w:rsid w:val="007C47FE"/>
    <w:rsid w:val="007C79A2"/>
    <w:rsid w:val="00817444"/>
    <w:rsid w:val="008375EE"/>
    <w:rsid w:val="00863209"/>
    <w:rsid w:val="00865EA4"/>
    <w:rsid w:val="00870783"/>
    <w:rsid w:val="00896623"/>
    <w:rsid w:val="0089766A"/>
    <w:rsid w:val="008E1FA4"/>
    <w:rsid w:val="008E5A25"/>
    <w:rsid w:val="00937C6D"/>
    <w:rsid w:val="009632DF"/>
    <w:rsid w:val="009659F5"/>
    <w:rsid w:val="00973092"/>
    <w:rsid w:val="009801E7"/>
    <w:rsid w:val="00993E39"/>
    <w:rsid w:val="009B18E5"/>
    <w:rsid w:val="009C104C"/>
    <w:rsid w:val="009E004E"/>
    <w:rsid w:val="009E4DA7"/>
    <w:rsid w:val="00A002B1"/>
    <w:rsid w:val="00A51222"/>
    <w:rsid w:val="00A5226E"/>
    <w:rsid w:val="00A5316A"/>
    <w:rsid w:val="00A62523"/>
    <w:rsid w:val="00A74508"/>
    <w:rsid w:val="00A802F6"/>
    <w:rsid w:val="00A82351"/>
    <w:rsid w:val="00A90D59"/>
    <w:rsid w:val="00AC023E"/>
    <w:rsid w:val="00AC491C"/>
    <w:rsid w:val="00AC53DE"/>
    <w:rsid w:val="00B03B24"/>
    <w:rsid w:val="00B40A60"/>
    <w:rsid w:val="00B63603"/>
    <w:rsid w:val="00B736A5"/>
    <w:rsid w:val="00B76EB3"/>
    <w:rsid w:val="00BB5BD9"/>
    <w:rsid w:val="00BC57F4"/>
    <w:rsid w:val="00C40FDA"/>
    <w:rsid w:val="00C446C4"/>
    <w:rsid w:val="00C50B7D"/>
    <w:rsid w:val="00C6746A"/>
    <w:rsid w:val="00C813A1"/>
    <w:rsid w:val="00C83067"/>
    <w:rsid w:val="00CC3FB2"/>
    <w:rsid w:val="00CD042D"/>
    <w:rsid w:val="00D20E48"/>
    <w:rsid w:val="00D750D3"/>
    <w:rsid w:val="00D86976"/>
    <w:rsid w:val="00D86FA4"/>
    <w:rsid w:val="00D927DD"/>
    <w:rsid w:val="00DC5C42"/>
    <w:rsid w:val="00E71308"/>
    <w:rsid w:val="00E94D61"/>
    <w:rsid w:val="00EA5CF6"/>
    <w:rsid w:val="00F2467E"/>
    <w:rsid w:val="00F307EC"/>
    <w:rsid w:val="00F56D1B"/>
    <w:rsid w:val="00F76B7C"/>
    <w:rsid w:val="00FA63A3"/>
    <w:rsid w:val="00FB051B"/>
    <w:rsid w:val="00FB450D"/>
    <w:rsid w:val="00FE3347"/>
    <w:rsid w:val="00FF78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A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713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1308"/>
    <w:rPr>
      <w:sz w:val="20"/>
      <w:szCs w:val="20"/>
    </w:rPr>
  </w:style>
  <w:style w:type="character" w:styleId="FootnoteReference">
    <w:name w:val="footnote reference"/>
    <w:basedOn w:val="DefaultParagraphFont"/>
    <w:uiPriority w:val="99"/>
    <w:unhideWhenUsed/>
    <w:rsid w:val="00E71308"/>
    <w:rPr>
      <w:vertAlign w:val="superscript"/>
    </w:rPr>
  </w:style>
  <w:style w:type="paragraph" w:styleId="ListParagraph">
    <w:name w:val="List Paragraph"/>
    <w:basedOn w:val="Normal"/>
    <w:uiPriority w:val="34"/>
    <w:qFormat/>
    <w:rsid w:val="00124170"/>
    <w:pPr>
      <w:ind w:left="720"/>
      <w:contextualSpacing/>
    </w:pPr>
  </w:style>
</w:styles>
</file>

<file path=word/webSettings.xml><?xml version="1.0" encoding="utf-8"?>
<w:webSettings xmlns:r="http://schemas.openxmlformats.org/officeDocument/2006/relationships" xmlns:w="http://schemas.openxmlformats.org/wordprocessingml/2006/main">
  <w:divs>
    <w:div w:id="2018340354">
      <w:bodyDiv w:val="1"/>
      <w:marLeft w:val="0"/>
      <w:marRight w:val="0"/>
      <w:marTop w:val="0"/>
      <w:marBottom w:val="0"/>
      <w:divBdr>
        <w:top w:val="none" w:sz="0" w:space="0" w:color="auto"/>
        <w:left w:val="none" w:sz="0" w:space="0" w:color="auto"/>
        <w:bottom w:val="none" w:sz="0" w:space="0" w:color="auto"/>
        <w:right w:val="none" w:sz="0" w:space="0" w:color="auto"/>
      </w:divBdr>
      <w:divsChild>
        <w:div w:id="1681199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45785-D661-420D-A084-EE0FF1F2E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7</Pages>
  <Words>2263</Words>
  <Characters>12902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91</cp:revision>
  <dcterms:created xsi:type="dcterms:W3CDTF">2021-03-29T05:48:00Z</dcterms:created>
  <dcterms:modified xsi:type="dcterms:W3CDTF">2021-03-30T20:15:00Z</dcterms:modified>
</cp:coreProperties>
</file>