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BD2509" w14:textId="77777777" w:rsidR="007F40DD" w:rsidRPr="00A85BFE" w:rsidRDefault="007F40DD" w:rsidP="007F40D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C8016EF" wp14:editId="78FC93E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64429A37" w14:textId="77777777" w:rsidR="007F40DD" w:rsidRPr="00A406E5" w:rsidRDefault="007F40DD" w:rsidP="007F40D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F40DD" w:rsidRPr="00A406E5" w14:paraId="61E5794A" w14:textId="77777777" w:rsidTr="008B1A74">
        <w:tc>
          <w:tcPr>
            <w:tcW w:w="9922" w:type="dxa"/>
            <w:shd w:val="clear" w:color="auto" w:fill="C0C0C0"/>
          </w:tcPr>
          <w:p w14:paraId="6A2328EA" w14:textId="77777777" w:rsidR="007F40DD" w:rsidRPr="00A406E5" w:rsidRDefault="007F40DD" w:rsidP="008B1A7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3B6AF562" w14:textId="77777777" w:rsidR="007F40DD" w:rsidRPr="00A406E5" w:rsidRDefault="007F40DD" w:rsidP="007F40D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F40DD" w:rsidRPr="00A406E5" w14:paraId="1843FC98" w14:textId="77777777" w:rsidTr="008B1A74">
        <w:tc>
          <w:tcPr>
            <w:tcW w:w="2093" w:type="dxa"/>
            <w:shd w:val="pct15" w:color="auto" w:fill="auto"/>
          </w:tcPr>
          <w:p w14:paraId="115480DA" w14:textId="77777777" w:rsidR="007F40DD" w:rsidRPr="00A406E5" w:rsidRDefault="007F40DD" w:rsidP="008B1A74">
            <w:pPr>
              <w:spacing w:before="120" w:after="120"/>
              <w:jc w:val="both"/>
              <w:rPr>
                <w:rFonts w:ascii="Arial" w:hAnsi="Arial" w:cs="Arial"/>
                <w:b/>
              </w:rPr>
            </w:pPr>
            <w:r w:rsidRPr="00A406E5">
              <w:rPr>
                <w:rFonts w:ascii="Arial" w:hAnsi="Arial" w:cs="Arial"/>
                <w:b/>
              </w:rPr>
              <w:t>Student name:</w:t>
            </w:r>
          </w:p>
        </w:tc>
        <w:tc>
          <w:tcPr>
            <w:tcW w:w="3293" w:type="dxa"/>
          </w:tcPr>
          <w:p w14:paraId="71DFF346" w14:textId="7F8026DC" w:rsidR="007F40DD" w:rsidRPr="00A406E5" w:rsidRDefault="007F40DD" w:rsidP="008B1A74">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 xml:space="preserve"> Hannah Williams</w:t>
            </w:r>
          </w:p>
        </w:tc>
        <w:tc>
          <w:tcPr>
            <w:tcW w:w="2268" w:type="dxa"/>
            <w:shd w:val="clear" w:color="auto" w:fill="D9D9D9"/>
          </w:tcPr>
          <w:p w14:paraId="3784BA98" w14:textId="77777777" w:rsidR="007F40DD" w:rsidRPr="00A406E5" w:rsidRDefault="007F40DD" w:rsidP="008B1A74">
            <w:pPr>
              <w:spacing w:before="120" w:after="120"/>
              <w:jc w:val="both"/>
              <w:rPr>
                <w:rFonts w:ascii="Arial" w:hAnsi="Arial" w:cs="Arial"/>
                <w:b/>
              </w:rPr>
            </w:pPr>
            <w:r w:rsidRPr="00A406E5">
              <w:rPr>
                <w:rFonts w:ascii="Arial" w:hAnsi="Arial" w:cs="Arial"/>
                <w:b/>
              </w:rPr>
              <w:t>Student ID number:</w:t>
            </w:r>
          </w:p>
        </w:tc>
        <w:tc>
          <w:tcPr>
            <w:tcW w:w="2268" w:type="dxa"/>
          </w:tcPr>
          <w:p w14:paraId="79F71DED" w14:textId="042E1ADA" w:rsidR="007F40DD" w:rsidRPr="00A406E5" w:rsidRDefault="007F40DD" w:rsidP="008B1A74">
            <w:pPr>
              <w:spacing w:before="120" w:after="120"/>
              <w:jc w:val="both"/>
              <w:rPr>
                <w:rFonts w:ascii="Arial" w:hAnsi="Arial" w:cs="Arial"/>
                <w:b/>
              </w:rPr>
            </w:pPr>
            <w:r>
              <w:rPr>
                <w:rFonts w:ascii="Arial" w:hAnsi="Arial" w:cs="Arial"/>
                <w:b/>
              </w:rPr>
              <w:t>2005470</w:t>
            </w:r>
          </w:p>
        </w:tc>
      </w:tr>
      <w:tr w:rsidR="007F40DD" w:rsidRPr="00A406E5" w14:paraId="2CE2C8E4" w14:textId="77777777" w:rsidTr="008B1A74">
        <w:tc>
          <w:tcPr>
            <w:tcW w:w="2093" w:type="dxa"/>
            <w:shd w:val="pct15" w:color="auto" w:fill="auto"/>
          </w:tcPr>
          <w:p w14:paraId="033E117D" w14:textId="77777777" w:rsidR="007F40DD" w:rsidRPr="00A406E5" w:rsidRDefault="007F40DD" w:rsidP="008B1A74">
            <w:pPr>
              <w:spacing w:before="120" w:after="120"/>
              <w:jc w:val="both"/>
              <w:rPr>
                <w:rFonts w:ascii="Arial" w:hAnsi="Arial" w:cs="Arial"/>
                <w:b/>
              </w:rPr>
            </w:pPr>
            <w:r w:rsidRPr="00A406E5">
              <w:rPr>
                <w:rFonts w:ascii="Arial" w:hAnsi="Arial" w:cs="Arial"/>
                <w:b/>
              </w:rPr>
              <w:t>Programme:</w:t>
            </w:r>
          </w:p>
        </w:tc>
        <w:tc>
          <w:tcPr>
            <w:tcW w:w="7829" w:type="dxa"/>
            <w:gridSpan w:val="3"/>
          </w:tcPr>
          <w:p w14:paraId="7F3199B6" w14:textId="77777777" w:rsidR="007F40DD" w:rsidRPr="00A406E5" w:rsidRDefault="007F40DD" w:rsidP="008B1A74">
            <w:pPr>
              <w:spacing w:before="120" w:after="120"/>
              <w:jc w:val="both"/>
              <w:rPr>
                <w:rFonts w:ascii="Arial" w:hAnsi="Arial" w:cs="Arial"/>
                <w:b/>
              </w:rPr>
            </w:pPr>
            <w:r>
              <w:rPr>
                <w:rFonts w:ascii="Arial" w:hAnsi="Arial" w:cs="Arial"/>
                <w:b/>
              </w:rPr>
              <w:t>BSc (Hons) Health, Nutrition and Lifestyle</w:t>
            </w:r>
          </w:p>
        </w:tc>
      </w:tr>
      <w:tr w:rsidR="007F40DD" w:rsidRPr="00A406E5" w14:paraId="21A57EC2" w14:textId="77777777" w:rsidTr="008B1A74">
        <w:tc>
          <w:tcPr>
            <w:tcW w:w="2093" w:type="dxa"/>
            <w:shd w:val="pct15" w:color="auto" w:fill="auto"/>
          </w:tcPr>
          <w:p w14:paraId="1341A148" w14:textId="77777777" w:rsidR="007F40DD" w:rsidRPr="00A406E5" w:rsidRDefault="007F40DD" w:rsidP="008B1A74">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7D50173" w14:textId="77777777" w:rsidR="007F40DD" w:rsidRPr="00A406E5" w:rsidRDefault="007F40DD" w:rsidP="008B1A74">
            <w:pPr>
              <w:spacing w:before="120" w:after="120"/>
              <w:jc w:val="both"/>
              <w:rPr>
                <w:rFonts w:ascii="Arial" w:hAnsi="Arial" w:cs="Arial"/>
                <w:b/>
              </w:rPr>
            </w:pPr>
            <w:r>
              <w:rPr>
                <w:rFonts w:ascii="Arial" w:hAnsi="Arial" w:cs="Arial"/>
                <w:b/>
              </w:rPr>
              <w:t>Health, Exercise and Society</w:t>
            </w:r>
          </w:p>
        </w:tc>
      </w:tr>
      <w:tr w:rsidR="007F40DD" w:rsidRPr="00A406E5" w14:paraId="59CD701F" w14:textId="77777777" w:rsidTr="008B1A74">
        <w:tc>
          <w:tcPr>
            <w:tcW w:w="2093" w:type="dxa"/>
            <w:shd w:val="pct15" w:color="auto" w:fill="auto"/>
          </w:tcPr>
          <w:p w14:paraId="64FC941E" w14:textId="77777777" w:rsidR="007F40DD" w:rsidRPr="00A406E5" w:rsidRDefault="007F40DD" w:rsidP="008B1A74">
            <w:pPr>
              <w:spacing w:before="120" w:after="120"/>
              <w:jc w:val="both"/>
              <w:rPr>
                <w:rFonts w:ascii="Arial" w:hAnsi="Arial" w:cs="Arial"/>
                <w:b/>
              </w:rPr>
            </w:pPr>
            <w:r w:rsidRPr="00A406E5">
              <w:rPr>
                <w:rFonts w:ascii="Arial" w:hAnsi="Arial" w:cs="Arial"/>
                <w:b/>
              </w:rPr>
              <w:t>Module code:</w:t>
            </w:r>
          </w:p>
        </w:tc>
        <w:tc>
          <w:tcPr>
            <w:tcW w:w="3293" w:type="dxa"/>
          </w:tcPr>
          <w:p w14:paraId="48CB3337" w14:textId="77777777" w:rsidR="007F40DD" w:rsidRPr="00A406E5" w:rsidRDefault="007F40DD" w:rsidP="008B1A74">
            <w:pPr>
              <w:spacing w:before="120" w:after="120"/>
              <w:jc w:val="both"/>
              <w:rPr>
                <w:rFonts w:ascii="Arial" w:hAnsi="Arial" w:cs="Arial"/>
                <w:b/>
              </w:rPr>
            </w:pPr>
            <w:r>
              <w:rPr>
                <w:rFonts w:ascii="Arial" w:hAnsi="Arial" w:cs="Arial"/>
                <w:b/>
              </w:rPr>
              <w:t>BMHN4001</w:t>
            </w:r>
          </w:p>
        </w:tc>
        <w:tc>
          <w:tcPr>
            <w:tcW w:w="2268" w:type="dxa"/>
            <w:shd w:val="clear" w:color="auto" w:fill="D9D9D9"/>
          </w:tcPr>
          <w:p w14:paraId="3678A989" w14:textId="77777777" w:rsidR="007F40DD" w:rsidRPr="004D5E9B" w:rsidRDefault="007F40DD" w:rsidP="008B1A7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0CBD77" w14:textId="77777777" w:rsidR="007F40DD" w:rsidRPr="00A406E5" w:rsidRDefault="007F40DD" w:rsidP="008B1A74">
            <w:pPr>
              <w:spacing w:before="120" w:after="120"/>
              <w:jc w:val="both"/>
              <w:rPr>
                <w:rFonts w:ascii="Arial" w:hAnsi="Arial" w:cs="Arial"/>
                <w:b/>
              </w:rPr>
            </w:pPr>
            <w:r>
              <w:rPr>
                <w:rFonts w:ascii="Arial" w:hAnsi="Arial" w:cs="Arial"/>
                <w:b/>
              </w:rPr>
              <w:t>50%</w:t>
            </w:r>
          </w:p>
        </w:tc>
      </w:tr>
      <w:tr w:rsidR="007F40DD" w:rsidRPr="00A406E5" w14:paraId="03999AA4" w14:textId="77777777" w:rsidTr="008B1A74">
        <w:tc>
          <w:tcPr>
            <w:tcW w:w="2093" w:type="dxa"/>
            <w:shd w:val="pct15" w:color="auto" w:fill="auto"/>
          </w:tcPr>
          <w:p w14:paraId="395332B3" w14:textId="77777777" w:rsidR="007F40DD" w:rsidRPr="00A406E5" w:rsidRDefault="007F40DD" w:rsidP="008B1A74">
            <w:pPr>
              <w:spacing w:before="120" w:after="120"/>
              <w:jc w:val="both"/>
              <w:rPr>
                <w:rFonts w:ascii="Arial" w:hAnsi="Arial" w:cs="Arial"/>
                <w:b/>
              </w:rPr>
            </w:pPr>
            <w:r w:rsidRPr="00A406E5">
              <w:rPr>
                <w:rFonts w:ascii="Arial" w:hAnsi="Arial" w:cs="Arial"/>
                <w:b/>
              </w:rPr>
              <w:t>Lecturer:</w:t>
            </w:r>
          </w:p>
        </w:tc>
        <w:tc>
          <w:tcPr>
            <w:tcW w:w="3293" w:type="dxa"/>
          </w:tcPr>
          <w:p w14:paraId="47CCC3E9" w14:textId="77777777" w:rsidR="007F40DD" w:rsidRPr="00A406E5" w:rsidRDefault="007F40DD" w:rsidP="008B1A74">
            <w:pPr>
              <w:spacing w:before="120" w:after="120"/>
              <w:jc w:val="both"/>
              <w:rPr>
                <w:rFonts w:ascii="Arial" w:hAnsi="Arial" w:cs="Arial"/>
                <w:b/>
              </w:rPr>
            </w:pPr>
            <w:r>
              <w:rPr>
                <w:rFonts w:ascii="Arial" w:hAnsi="Arial" w:cs="Arial"/>
                <w:b/>
              </w:rPr>
              <w:t>Dr Simon Williams</w:t>
            </w:r>
          </w:p>
        </w:tc>
        <w:tc>
          <w:tcPr>
            <w:tcW w:w="2268" w:type="dxa"/>
            <w:shd w:val="clear" w:color="auto" w:fill="D9D9D9"/>
          </w:tcPr>
          <w:p w14:paraId="1584950B" w14:textId="77777777" w:rsidR="007F40DD" w:rsidRPr="00A406E5" w:rsidRDefault="007F40DD" w:rsidP="008B1A74">
            <w:pPr>
              <w:spacing w:before="120" w:after="120"/>
              <w:jc w:val="both"/>
              <w:rPr>
                <w:rFonts w:ascii="Arial" w:hAnsi="Arial" w:cs="Arial"/>
                <w:b/>
              </w:rPr>
            </w:pPr>
            <w:r w:rsidRPr="00A406E5">
              <w:rPr>
                <w:rFonts w:ascii="Arial" w:hAnsi="Arial" w:cs="Arial"/>
                <w:b/>
              </w:rPr>
              <w:t>Internal Verifier:</w:t>
            </w:r>
          </w:p>
        </w:tc>
        <w:tc>
          <w:tcPr>
            <w:tcW w:w="2268" w:type="dxa"/>
          </w:tcPr>
          <w:p w14:paraId="1A5680D8" w14:textId="77777777" w:rsidR="007F40DD" w:rsidRPr="00A406E5" w:rsidRDefault="007F40DD" w:rsidP="008B1A74">
            <w:pPr>
              <w:spacing w:before="120" w:after="120"/>
              <w:jc w:val="both"/>
              <w:rPr>
                <w:rFonts w:ascii="Arial" w:hAnsi="Arial" w:cs="Arial"/>
                <w:b/>
              </w:rPr>
            </w:pPr>
            <w:r>
              <w:rPr>
                <w:rFonts w:ascii="Arial" w:hAnsi="Arial" w:cs="Arial"/>
                <w:b/>
              </w:rPr>
              <w:t>Alison Connaughton</w:t>
            </w:r>
          </w:p>
        </w:tc>
      </w:tr>
      <w:tr w:rsidR="007F40DD" w:rsidRPr="00A406E5" w14:paraId="6C881B31" w14:textId="77777777" w:rsidTr="008B1A74">
        <w:tc>
          <w:tcPr>
            <w:tcW w:w="2093" w:type="dxa"/>
            <w:shd w:val="pct15" w:color="auto" w:fill="auto"/>
          </w:tcPr>
          <w:p w14:paraId="36CE3396" w14:textId="77777777" w:rsidR="007F40DD" w:rsidRPr="00A406E5" w:rsidRDefault="007F40DD" w:rsidP="008B1A74">
            <w:pPr>
              <w:spacing w:before="120" w:after="120"/>
              <w:jc w:val="both"/>
              <w:rPr>
                <w:rFonts w:ascii="Arial" w:hAnsi="Arial" w:cs="Arial"/>
                <w:b/>
              </w:rPr>
            </w:pPr>
            <w:r w:rsidRPr="00A406E5">
              <w:rPr>
                <w:rFonts w:ascii="Arial" w:hAnsi="Arial" w:cs="Arial"/>
                <w:b/>
              </w:rPr>
              <w:t>Assignment Title:</w:t>
            </w:r>
          </w:p>
        </w:tc>
        <w:tc>
          <w:tcPr>
            <w:tcW w:w="3293" w:type="dxa"/>
          </w:tcPr>
          <w:p w14:paraId="1F9DC933" w14:textId="77777777" w:rsidR="007F40DD" w:rsidRPr="00A406E5" w:rsidRDefault="007F40DD" w:rsidP="008B1A74">
            <w:pPr>
              <w:spacing w:before="120" w:after="120"/>
              <w:jc w:val="both"/>
              <w:rPr>
                <w:rFonts w:ascii="Arial" w:hAnsi="Arial" w:cs="Arial"/>
                <w:b/>
              </w:rPr>
            </w:pPr>
            <w:r>
              <w:rPr>
                <w:rFonts w:ascii="Arial" w:hAnsi="Arial" w:cs="Arial"/>
                <w:b/>
              </w:rPr>
              <w:t>Assessment One: Essay</w:t>
            </w:r>
          </w:p>
        </w:tc>
        <w:tc>
          <w:tcPr>
            <w:tcW w:w="2268" w:type="dxa"/>
            <w:shd w:val="pct15" w:color="auto" w:fill="auto"/>
          </w:tcPr>
          <w:p w14:paraId="033C7CDA" w14:textId="77777777" w:rsidR="007F40DD" w:rsidRPr="00A406E5" w:rsidRDefault="007F40DD" w:rsidP="008B1A74">
            <w:pPr>
              <w:spacing w:before="120" w:after="120"/>
              <w:jc w:val="both"/>
              <w:rPr>
                <w:rFonts w:ascii="Arial" w:hAnsi="Arial" w:cs="Arial"/>
                <w:b/>
              </w:rPr>
            </w:pPr>
            <w:r>
              <w:rPr>
                <w:rFonts w:ascii="Arial" w:hAnsi="Arial" w:cs="Arial"/>
                <w:b/>
              </w:rPr>
              <w:t>Word count (or equivalent):</w:t>
            </w:r>
          </w:p>
        </w:tc>
        <w:tc>
          <w:tcPr>
            <w:tcW w:w="2268" w:type="dxa"/>
          </w:tcPr>
          <w:p w14:paraId="428E6A12" w14:textId="77777777" w:rsidR="007F40DD" w:rsidRPr="00A406E5" w:rsidRDefault="007F40DD" w:rsidP="008B1A74">
            <w:pPr>
              <w:spacing w:before="120" w:after="120"/>
              <w:jc w:val="both"/>
              <w:rPr>
                <w:rFonts w:ascii="Arial" w:hAnsi="Arial" w:cs="Arial"/>
                <w:b/>
              </w:rPr>
            </w:pPr>
            <w:r>
              <w:rPr>
                <w:rFonts w:ascii="Arial" w:hAnsi="Arial" w:cs="Arial"/>
                <w:b/>
              </w:rPr>
              <w:t>1500</w:t>
            </w:r>
          </w:p>
        </w:tc>
      </w:tr>
      <w:tr w:rsidR="007F40DD" w:rsidRPr="00A406E5" w14:paraId="77FF7816" w14:textId="77777777" w:rsidTr="008B1A74">
        <w:tc>
          <w:tcPr>
            <w:tcW w:w="2093" w:type="dxa"/>
            <w:shd w:val="pct15" w:color="auto" w:fill="auto"/>
          </w:tcPr>
          <w:p w14:paraId="3C8811CD" w14:textId="77777777" w:rsidR="007F40DD" w:rsidRPr="00A406E5" w:rsidRDefault="007F40DD" w:rsidP="008B1A74">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B1FA7A2" w14:textId="77777777" w:rsidR="007F40DD" w:rsidRPr="00A406E5" w:rsidRDefault="007F40DD" w:rsidP="008B1A74">
            <w:pPr>
              <w:spacing w:before="120" w:after="120"/>
              <w:jc w:val="both"/>
              <w:rPr>
                <w:rFonts w:ascii="Arial" w:hAnsi="Arial" w:cs="Arial"/>
                <w:b/>
              </w:rPr>
            </w:pPr>
            <w:r>
              <w:rPr>
                <w:rFonts w:ascii="Arial" w:hAnsi="Arial" w:cs="Arial"/>
                <w:b/>
              </w:rPr>
              <w:t>3pm on the 19</w:t>
            </w:r>
            <w:r w:rsidRPr="00F36378">
              <w:rPr>
                <w:rFonts w:ascii="Arial" w:hAnsi="Arial" w:cs="Arial"/>
                <w:b/>
                <w:vertAlign w:val="superscript"/>
              </w:rPr>
              <w:t>th</w:t>
            </w:r>
            <w:r>
              <w:rPr>
                <w:rFonts w:ascii="Arial" w:hAnsi="Arial" w:cs="Arial"/>
                <w:b/>
              </w:rPr>
              <w:t xml:space="preserve"> March 2021</w:t>
            </w:r>
          </w:p>
        </w:tc>
        <w:tc>
          <w:tcPr>
            <w:tcW w:w="2268" w:type="dxa"/>
            <w:shd w:val="pct15" w:color="auto" w:fill="auto"/>
          </w:tcPr>
          <w:p w14:paraId="186EDA9B" w14:textId="77777777" w:rsidR="007F40DD" w:rsidRPr="00A406E5" w:rsidRDefault="007F40DD" w:rsidP="008B1A74">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6FC51D3C" w14:textId="77777777" w:rsidR="007F40DD" w:rsidRPr="00A406E5" w:rsidRDefault="007F40DD" w:rsidP="008B1A74">
            <w:pPr>
              <w:spacing w:before="120" w:after="120"/>
              <w:jc w:val="both"/>
              <w:rPr>
                <w:rFonts w:ascii="Arial" w:hAnsi="Arial" w:cs="Arial"/>
                <w:b/>
              </w:rPr>
            </w:pPr>
            <w:r>
              <w:rPr>
                <w:rFonts w:ascii="Arial" w:hAnsi="Arial" w:cs="Arial"/>
                <w:b/>
              </w:rPr>
              <w:t>9</w:t>
            </w:r>
            <w:r w:rsidRPr="00F36378">
              <w:rPr>
                <w:rFonts w:ascii="Arial" w:hAnsi="Arial" w:cs="Arial"/>
                <w:b/>
                <w:vertAlign w:val="superscript"/>
              </w:rPr>
              <w:t>th</w:t>
            </w:r>
            <w:r>
              <w:rPr>
                <w:rFonts w:ascii="Arial" w:hAnsi="Arial" w:cs="Arial"/>
                <w:b/>
              </w:rPr>
              <w:t xml:space="preserve"> April 2021</w:t>
            </w:r>
          </w:p>
        </w:tc>
      </w:tr>
      <w:tr w:rsidR="007F40DD" w:rsidRPr="00A406E5" w14:paraId="19DE3DD4" w14:textId="77777777" w:rsidTr="008B1A74">
        <w:tc>
          <w:tcPr>
            <w:tcW w:w="2093" w:type="dxa"/>
            <w:shd w:val="pct15" w:color="auto" w:fill="auto"/>
          </w:tcPr>
          <w:p w14:paraId="1EAED669" w14:textId="77777777" w:rsidR="007F40DD" w:rsidRPr="00A406E5" w:rsidRDefault="007F40DD" w:rsidP="008B1A74">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4643BB5" w14:textId="77777777" w:rsidR="007F40DD" w:rsidRPr="00A406E5" w:rsidRDefault="007F40DD" w:rsidP="008B1A74">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536620" w14:textId="77777777" w:rsidR="007F40DD" w:rsidRPr="00A406E5" w:rsidRDefault="007F40DD" w:rsidP="008B1A74">
            <w:pPr>
              <w:spacing w:before="120" w:after="120"/>
              <w:jc w:val="both"/>
              <w:rPr>
                <w:rFonts w:ascii="Arial" w:hAnsi="Arial" w:cs="Arial"/>
                <w:b/>
              </w:rPr>
            </w:pPr>
            <w:r w:rsidRPr="00A406E5">
              <w:rPr>
                <w:rFonts w:ascii="Arial" w:hAnsi="Arial" w:cs="Arial"/>
                <w:b/>
              </w:rPr>
              <w:t xml:space="preserve">Alternative submission method (if applicable): </w:t>
            </w:r>
          </w:p>
          <w:p w14:paraId="0E818529" w14:textId="77777777" w:rsidR="007F40DD" w:rsidRPr="00A406E5" w:rsidRDefault="007F40DD" w:rsidP="008B1A74">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7F40DD" w:rsidRPr="00A406E5" w14:paraId="7984C9F5" w14:textId="77777777" w:rsidTr="008B1A74">
        <w:tc>
          <w:tcPr>
            <w:tcW w:w="2093" w:type="dxa"/>
            <w:shd w:val="pct15" w:color="auto" w:fill="auto"/>
          </w:tcPr>
          <w:p w14:paraId="7DF6AFE0" w14:textId="77777777" w:rsidR="007F40DD" w:rsidRPr="00A406E5" w:rsidRDefault="007F40DD" w:rsidP="008B1A74">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BC6179D" w14:textId="77777777" w:rsidR="007F40DD" w:rsidRPr="00A406E5" w:rsidRDefault="007F40DD" w:rsidP="008B1A74">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644B9CE" w14:textId="77777777" w:rsidR="007F40DD" w:rsidRPr="00A406E5" w:rsidRDefault="007F40DD" w:rsidP="007F40DD">
      <w:pPr>
        <w:rPr>
          <w:rFonts w:ascii="Arial" w:hAnsi="Arial" w:cs="Arial"/>
          <w:sz w:val="32"/>
        </w:rPr>
      </w:pPr>
    </w:p>
    <w:p w14:paraId="2023DE46" w14:textId="54CDCA07" w:rsidR="008C202B" w:rsidRDefault="008C202B" w:rsidP="008C202B">
      <w:pPr>
        <w:pStyle w:val="NormalWeb"/>
        <w:spacing w:before="0" w:beforeAutospacing="0" w:after="0" w:afterAutospacing="0"/>
        <w:rPr>
          <w:rFonts w:ascii="Calibri" w:hAnsi="Calibri" w:cs="Calibri"/>
          <w:color w:val="000000"/>
          <w:sz w:val="22"/>
          <w:szCs w:val="22"/>
        </w:rPr>
      </w:pPr>
    </w:p>
    <w:p w14:paraId="75CC4A54" w14:textId="77777777" w:rsidR="007F40DD" w:rsidRPr="008C202B" w:rsidRDefault="007F40DD" w:rsidP="008C202B">
      <w:pPr>
        <w:pStyle w:val="NormalWeb"/>
        <w:spacing w:before="0" w:beforeAutospacing="0" w:after="0" w:afterAutospacing="0"/>
        <w:rPr>
          <w:rFonts w:ascii="Calibri" w:hAnsi="Calibri" w:cs="Calibri"/>
          <w:color w:val="000000"/>
          <w:sz w:val="22"/>
          <w:szCs w:val="22"/>
        </w:rPr>
      </w:pPr>
    </w:p>
    <w:p w14:paraId="1B12D87B"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b/>
          <w:bCs/>
          <w:color w:val="000000"/>
          <w:sz w:val="22"/>
          <w:szCs w:val="22"/>
        </w:rPr>
        <w:lastRenderedPageBreak/>
        <w:t>Describe any evidence showing that the UK is a socially unequal society. Do you consider that social inequalities and differences in COVID-19 mortality and life expectancy are inevitable and, therefore, acceptable in countries like the UK; or do you consider that these inequalities are avoidable and unacceptable?</w:t>
      </w:r>
    </w:p>
    <w:p w14:paraId="3D07B13D"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6B2740BB" w14:textId="4B55724F"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The UK’s first case of COVID-19 was reportedly on the 29th of January 2020 (Hunter, 2020). The outbreak of the virus first occurred in Wuhan, China in December 2019. It was not long until COVID-19 began to spread rapidly, with The World Health Organisation declaring the outbreak of COVID-19 as a pandemic in March 2020 (Domenico &amp; Maurizio, 2020). COVID-19 has currently claimed 2.56 million lives worldwide, 124,000 of those deaths being in the UK (The Visual and Data Journalism Team, 2020). COVID-19 has not only brought a dramatic loss of so many human lives, but it has also put a massive amount of pressure on the NHS with hospitals at their capacity limit, people have missed out on important operations and appointments due to the NHS being overwhelmed. Many businesses have had to close, and thousands of people have been furloughed or lost their job. People have been told to stay at home wherever possible, COVID-19 has had a detrimental effect on people’s mental health and wellbeing, causing stress amongst the nation (Jiloha, 2020).</w:t>
      </w:r>
    </w:p>
    <w:p w14:paraId="5BEB4263"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6B5EC4ED" w14:textId="5C89A158"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'Social determinants of health are the conditions in the environments where people are born, live, work, play, worship and age that affect a wide range of health, functioning and quality of life outcomes and risks’ (U.S. Department of Health and Human Services, 2020)</w:t>
      </w:r>
      <w:r>
        <w:rPr>
          <w:rFonts w:ascii="Calibri" w:hAnsi="Calibri" w:cs="Calibri"/>
          <w:color w:val="000000"/>
          <w:sz w:val="22"/>
          <w:szCs w:val="22"/>
        </w:rPr>
        <w:t>.</w:t>
      </w:r>
      <w:r w:rsidRPr="008C202B">
        <w:rPr>
          <w:rFonts w:ascii="Calibri" w:hAnsi="Calibri" w:cs="Calibri"/>
          <w:color w:val="000000"/>
          <w:sz w:val="22"/>
          <w:szCs w:val="22"/>
        </w:rPr>
        <w:t xml:space="preserve"> In short, social determinants of health are non-medical factors which have an impact on health outcomes. Examples of social determinants of health can be racism, discrimination and violence, safe housing and transport, an education, income and job opportunities, access to physical activity and nutritious foods and polluted air and water (Marmont, 2010). More can be found regarding Health Inequalities in England here </w:t>
      </w:r>
      <w:hyperlink r:id="rId6" w:tgtFrame="_blank" w:history="1">
        <w:r w:rsidRPr="008C202B">
          <w:rPr>
            <w:rStyle w:val="Hyperlink"/>
            <w:rFonts w:ascii="Calibri" w:hAnsi="Calibri" w:cs="Calibri"/>
            <w:color w:val="1155CC"/>
            <w:sz w:val="22"/>
            <w:szCs w:val="22"/>
          </w:rPr>
          <w:t>https://www.parliament.uk/globalassets/documents/fair-society-healthy-lives-full-report.pdf</w:t>
        </w:r>
      </w:hyperlink>
      <w:r w:rsidRPr="008C202B">
        <w:rPr>
          <w:rFonts w:ascii="Calibri" w:hAnsi="Calibri" w:cs="Calibri"/>
          <w:color w:val="000000"/>
          <w:sz w:val="22"/>
          <w:szCs w:val="22"/>
        </w:rPr>
        <w:t>. </w:t>
      </w:r>
    </w:p>
    <w:p w14:paraId="2DB5A6B1"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2CC8B20A" w14:textId="4FA44B7F"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The Lancet carried out an international study of the inequalities in risk factors for shorter life expectancy in Europe (Mackenbach, et al. 2019). They found in their study that smoking, low income, and high body weight are quantitatively important entry points for policies to reduce educational inequalities in life expectancy in most European countries, but priorities differ between countries. The study carried out shows the importance social determinants of health have on people’s lives, it is clear social determinants of health have an influence on life expectancy and education. Specifically, in the UK, evidence suggests social determinants are also important with regard to health. A Government report summarising the health inequalities in England shows that life expectancy is lowest in the most deprived areas, at ‘around 9 years shorter for males and 7 years shorter for females compared to those in the least deprived areas' (Public Health England, 2017). Another part of life that is affected by social determinants is employment. Employment has an influence on an individual's physical and mental health (Walker &amp; Fincham, 2011). The Governments report states ‘the long-term unemployed have a lower life expectancy and worse health than those in work. The effect of unemployment does not just affect individuals. Children growing up in workless households are almost twice as likely to fail at all stages of education compared with children growing up in working families’ (Public Health England, 2017). Income inequality in the UK is also vast, with the Government report stating ‘poor housing conditions are associated with a number of health problems, including respiratory infections, asthma and poor mental health. In 2013, a fifth of dwellings (21%, 4.8 million homes) failed to meet the decent homes standard, which is a reduction of 2.9 million homes since 2006 when around a third of homes (35%, 7.7 million) failed to meet the standard’ (Public Health England, 2017) These statistics highlight just how unequal the UK’s society is and how big of an impact social determinants have on so many factors of people’s lives. </w:t>
      </w:r>
    </w:p>
    <w:p w14:paraId="2A62E607"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2F1F5D75"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61510CD8"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During the ongoing COVID-19 pandemic, there has been an extensive amount of evidence produced that suggests death rates, hospital admissions and severe illness is worse in ethnic groups, those in certain occupations and those living in poverty. The mortality rates in people known to have COVID-19, considering age, sex, deprivation, and region, were ‘found to be twice as high among those of a Bangladeshi background and 10-50% higher among other ethnic groups in comparison to white British people’ (Patel et al, 2020). ‘Ethnic Minorities who were hospitalised with COVID-19 were more likely to be admitted to intensive care units and receive Intermittent mandatory ventilation than white patients, regardless of similar disease severity on admission and the duration of symptoms. South Asian patients were at greater risk of dying, partly due to their higher rates of pre-existing diabetes ‘(Harrison &amp; Docherty, 2020). </w:t>
      </w:r>
    </w:p>
    <w:p w14:paraId="7D66B546"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68453377" w14:textId="7B809742"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Regarding occupation, ‘Almost three in four of the deaths involving COVID-19 in social care occupations (347 out of 469 deaths; 74.0%) were in care workers and home carers’( </w:t>
      </w:r>
      <w:hyperlink r:id="rId7" w:tgtFrame="_blank" w:history="1">
        <w:r w:rsidRPr="008C202B">
          <w:rPr>
            <w:rStyle w:val="Hyperlink"/>
            <w:rFonts w:ascii="Calibri" w:hAnsi="Calibri" w:cs="Calibri"/>
            <w:color w:val="1155CC"/>
            <w:sz w:val="22"/>
            <w:szCs w:val="22"/>
          </w:rPr>
          <w:t>www.ons.gov.uk</w:t>
        </w:r>
      </w:hyperlink>
      <w:r w:rsidRPr="008C202B">
        <w:rPr>
          <w:rFonts w:ascii="Calibri" w:hAnsi="Calibri" w:cs="Calibri"/>
          <w:color w:val="000000"/>
          <w:sz w:val="22"/>
          <w:szCs w:val="22"/>
        </w:rPr>
        <w:t>, 2020). Analysis of COVID-19 mortality in relation to occupation shows that people in jobs with regular exposure to COVID-19, such as key workers, NHS staff, care home workers and supermarket staff continue to have a higher COVID-19 death rate when compared to the rest of the working population (Crowley &amp; Doran, 2020).</w:t>
      </w:r>
    </w:p>
    <w:p w14:paraId="41D451F1"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0958721B" w14:textId="140768A8" w:rsidR="008C202B" w:rsidRPr="008C202B" w:rsidRDefault="008C202B" w:rsidP="008C202B">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With reference to</w:t>
      </w:r>
      <w:r w:rsidRPr="008C202B">
        <w:rPr>
          <w:rFonts w:ascii="Calibri" w:hAnsi="Calibri" w:cs="Calibri"/>
          <w:color w:val="000000"/>
          <w:sz w:val="22"/>
          <w:szCs w:val="22"/>
        </w:rPr>
        <w:t xml:space="preserve"> poverty and specifically housing poverty, one of the UK’s most poverty-stricken boroughs, Brent, quickly became a hotspot for COVID-19 deaths (Butler, 2020). Figures show Brent has the worst death rate of any local authority in England and Wales. The community of Brent is largely made up of Black, Asian and minority ethnic groups. High prices for rent in this area means 43% of children are living in poverty, low-income families in the area spend 40% or more of their monthly income on housing costs (Whitehead, Taylor-Robinson &amp; Barr, 2021). In this area, there are high levels of severe overcrowding, with large numbers of people living in houses of multiple occupations. Many private rented houses are in poor condition, the borough has high eviction rates and high levels of homelessness resulting in people being placed in temporary accommodation (Butler, 2020).</w:t>
      </w:r>
    </w:p>
    <w:p w14:paraId="211E2A56"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1D4AE562" w14:textId="65E34AD2"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The evidence for social determinants affecting people’s chances of contracting and passing away from COVID-19 is appalling. ‘Based on data from England and Wales, the ONS shows that differences in risk of death from COVID-19 are partly a result of socio-economic disadvantage and other unexplained factors’ (Neil &amp; Meehan, 2020). For people living in poverty, these areas are more likely to be overcrowded, people are more likely to experience housing poverty and homelessness, resulting in coming into close contact with a number of different individuals, this aids in the spread of COVID-19 (lacobucci, 2020). These groups are more likely to have key worker job roles, meaning they would be working in close contact with others, whereas people from more privileged backgrounds and working in office jobs or business owners, for example, would have been able to work from home, therefore, mixing with fewer people. Black Asian and Ethnic minority groups are more likely to face housing challenges and reports suggest these groups are more likely to use public transport, these factors cause a high risk of contracting the virus (England, 2020). Individuals may have poorer access to healthcare and may have even felt they were too scared to get tested for COVID-19, as they would not be able to afford the time off work they would have to take to self-isolate. It seems that one factor alone such as occupation, ethnicity and poverty cannot be the sole cause for mortality from COVID-19, however, it seems when there is a combination of these factors that’s when the risk is greatest (Neil &amp; Meehan, 2020).</w:t>
      </w:r>
    </w:p>
    <w:p w14:paraId="5D4EA6A8"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2D5C74DE" w14:textId="38D5DFD1"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 xml:space="preserve">It is clear from the evidence and statistics that social groups have been affected differently in the UK. However, it is important to remember that underlying health issues also increase the chance of more serious complications if COVID-19 is contracted (Ku &amp; Brantley, 2020). Personally, I believe </w:t>
      </w:r>
      <w:r w:rsidRPr="008C202B">
        <w:rPr>
          <w:rFonts w:ascii="Calibri" w:hAnsi="Calibri" w:cs="Calibri"/>
          <w:color w:val="000000"/>
          <w:sz w:val="22"/>
          <w:szCs w:val="22"/>
        </w:rPr>
        <w:lastRenderedPageBreak/>
        <w:t>social determinants have the largest influence on an individual’s risk of falling ill and passing away from COVID-19. </w:t>
      </w:r>
    </w:p>
    <w:p w14:paraId="4EFC2976"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3ACF7247"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COVID-19 has not only highlighted the social inequalities in the UK but also globally, specifically in America where ‘African American and other communities of colour have been especially affected by the COVID-19 pandemic. Across the country, deaths due to COVID-19 are disproportionately high among African Americans compared with the population overall’ (Dorn, Cooney and Sabin, 2020).</w:t>
      </w:r>
      <w:r w:rsidRPr="008C202B">
        <w:rPr>
          <w:rFonts w:ascii="Calibri" w:hAnsi="Calibri" w:cs="Calibri"/>
          <w:b/>
          <w:bCs/>
          <w:color w:val="000000"/>
          <w:sz w:val="22"/>
          <w:szCs w:val="22"/>
        </w:rPr>
        <w:t> </w:t>
      </w:r>
    </w:p>
    <w:p w14:paraId="435FE289"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50828C51" w14:textId="44B708AD"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I feel it is not acceptable that these differences in society exist so badly that they have such a big impact on people’s chances of surviving COVID-19. There is clear evidence that COVID-19 does not affect all population groups equally. Statistics and research have shown that older age, ethnicity, male sex and geographical area, for example, are associated with the risk of getting the infection, experiencing more severe symptoms and higher rates of death (Cheater,2020). COVID-19 has highlighted how unequal society in the UK is and even around the world. More needs to be done to tackle these social inequalities and improve the nation's health and quality of life. It is unfair for human life to be lost through social and health inequalities. </w:t>
      </w:r>
    </w:p>
    <w:p w14:paraId="3B4DE481"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364403FA"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6A5962DD"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02329859"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6A0B3C90"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4C1F3CED"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65712E0E"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4200C6BF"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60063D0B"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1D95393D"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1E034675"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2746DE53"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7BF41546"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1F7B08F2"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4974BE6F"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740C37D5"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4F0A6526"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4BEA4D53"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3C3BC521"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78F09C08"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07214414"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277EC580"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49BBA93D"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3B3FBB2B"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619E5D9A"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43C43C62"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49E4C40B"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3932E638"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303F9330"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65D5491B"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57F50DB2" w14:textId="77777777" w:rsidR="008C202B" w:rsidRDefault="008C202B" w:rsidP="008C202B">
      <w:pPr>
        <w:pStyle w:val="NormalWeb"/>
        <w:spacing w:before="0" w:beforeAutospacing="0" w:after="0" w:afterAutospacing="0"/>
        <w:rPr>
          <w:rFonts w:ascii="Calibri" w:hAnsi="Calibri" w:cs="Calibri"/>
          <w:color w:val="000000"/>
          <w:sz w:val="22"/>
          <w:szCs w:val="22"/>
        </w:rPr>
      </w:pPr>
    </w:p>
    <w:p w14:paraId="42EE7CFA" w14:textId="77777777" w:rsidR="007F40DD" w:rsidRDefault="007F40DD" w:rsidP="008C202B">
      <w:pPr>
        <w:pStyle w:val="NormalWeb"/>
        <w:spacing w:before="0" w:beforeAutospacing="0" w:after="0" w:afterAutospacing="0"/>
        <w:rPr>
          <w:rFonts w:ascii="Calibri" w:hAnsi="Calibri" w:cs="Calibri"/>
          <w:color w:val="000000"/>
          <w:sz w:val="22"/>
          <w:szCs w:val="22"/>
        </w:rPr>
      </w:pPr>
    </w:p>
    <w:p w14:paraId="16D0B44D" w14:textId="77777777" w:rsidR="007F40DD" w:rsidRDefault="007F40DD" w:rsidP="008C202B">
      <w:pPr>
        <w:pStyle w:val="NormalWeb"/>
        <w:spacing w:before="0" w:beforeAutospacing="0" w:after="0" w:afterAutospacing="0"/>
        <w:rPr>
          <w:rFonts w:ascii="Calibri" w:hAnsi="Calibri" w:cs="Calibri"/>
          <w:color w:val="000000"/>
          <w:sz w:val="22"/>
          <w:szCs w:val="22"/>
        </w:rPr>
      </w:pPr>
    </w:p>
    <w:p w14:paraId="5A9B3DD5" w14:textId="77777777" w:rsidR="007F40DD" w:rsidRDefault="007F40DD" w:rsidP="008C202B">
      <w:pPr>
        <w:pStyle w:val="NormalWeb"/>
        <w:spacing w:before="0" w:beforeAutospacing="0" w:after="0" w:afterAutospacing="0"/>
        <w:rPr>
          <w:rFonts w:ascii="Calibri" w:hAnsi="Calibri" w:cs="Calibri"/>
          <w:color w:val="000000"/>
          <w:sz w:val="22"/>
          <w:szCs w:val="22"/>
        </w:rPr>
      </w:pPr>
    </w:p>
    <w:p w14:paraId="32D56A4D" w14:textId="19890B32"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Word Count: 1598 </w:t>
      </w:r>
    </w:p>
    <w:p w14:paraId="405BC871"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b/>
          <w:bCs/>
          <w:color w:val="000000"/>
          <w:sz w:val="22"/>
          <w:szCs w:val="22"/>
        </w:rPr>
        <w:lastRenderedPageBreak/>
        <w:t>Reference List </w:t>
      </w:r>
    </w:p>
    <w:p w14:paraId="1C2560EF"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6104680B"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Butler, P. (2020).</w:t>
      </w:r>
      <w:r w:rsidRPr="008C202B">
        <w:rPr>
          <w:rFonts w:ascii="Calibri" w:hAnsi="Calibri" w:cs="Calibri"/>
          <w:i/>
          <w:iCs/>
          <w:color w:val="000000"/>
          <w:sz w:val="22"/>
          <w:szCs w:val="22"/>
        </w:rPr>
        <w:t> Poor housing linked to high Covid-19 death rate in London borough.</w:t>
      </w:r>
      <w:r w:rsidRPr="008C202B">
        <w:rPr>
          <w:rFonts w:ascii="Calibri" w:hAnsi="Calibri" w:cs="Calibri"/>
          <w:color w:val="000000"/>
          <w:sz w:val="22"/>
          <w:szCs w:val="22"/>
        </w:rPr>
        <w:t> The Guardian. [online] 17 Aug. Available at: </w:t>
      </w:r>
      <w:hyperlink r:id="rId8" w:tgtFrame="_blank" w:history="1">
        <w:r w:rsidRPr="008C202B">
          <w:rPr>
            <w:rStyle w:val="Hyperlink"/>
            <w:rFonts w:ascii="Calibri" w:hAnsi="Calibri" w:cs="Calibri"/>
            <w:color w:val="1155CC"/>
            <w:sz w:val="22"/>
            <w:szCs w:val="22"/>
          </w:rPr>
          <w:t>https://www.theguardian.com/world/2020/aug/17/poor-housing-linked-high-covid-19-death-rate-london-borough-brent</w:t>
        </w:r>
      </w:hyperlink>
      <w:r w:rsidRPr="008C202B">
        <w:rPr>
          <w:rFonts w:ascii="Calibri" w:hAnsi="Calibri" w:cs="Calibri"/>
          <w:color w:val="000000"/>
          <w:sz w:val="22"/>
          <w:szCs w:val="22"/>
        </w:rPr>
        <w:t> (Accessed 11 Mar. 2021).</w:t>
      </w:r>
    </w:p>
    <w:p w14:paraId="0118692F"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2087D4DE"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Cheater, S. (2020). </w:t>
      </w:r>
      <w:r w:rsidRPr="008C202B">
        <w:rPr>
          <w:rFonts w:ascii="Calibri" w:hAnsi="Calibri" w:cs="Calibri"/>
          <w:i/>
          <w:iCs/>
          <w:color w:val="000000"/>
          <w:sz w:val="22"/>
          <w:szCs w:val="22"/>
        </w:rPr>
        <w:t>Health inequalities – Covid-19 will widen the gap</w:t>
      </w:r>
      <w:r w:rsidRPr="008C202B">
        <w:rPr>
          <w:rFonts w:ascii="Calibri" w:hAnsi="Calibri" w:cs="Calibri"/>
          <w:color w:val="000000"/>
          <w:sz w:val="22"/>
          <w:szCs w:val="22"/>
        </w:rPr>
        <w:t>. International Journal of Health Promotion and Education, pp.223–225.</w:t>
      </w:r>
    </w:p>
    <w:p w14:paraId="15FE033F"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4CCF4883"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Crowley, F. and Doran, J. (2020). </w:t>
      </w:r>
      <w:r w:rsidRPr="008C202B">
        <w:rPr>
          <w:rFonts w:ascii="Calibri" w:hAnsi="Calibri" w:cs="Calibri"/>
          <w:i/>
          <w:iCs/>
          <w:color w:val="000000"/>
          <w:sz w:val="22"/>
          <w:szCs w:val="22"/>
        </w:rPr>
        <w:t>COVID‐19, occupational social distancing and remote working potential</w:t>
      </w:r>
      <w:r w:rsidRPr="008C202B">
        <w:rPr>
          <w:rFonts w:ascii="Calibri" w:hAnsi="Calibri" w:cs="Calibri"/>
          <w:color w:val="000000"/>
          <w:sz w:val="22"/>
          <w:szCs w:val="22"/>
        </w:rPr>
        <w:t>: An occupation, sector and regional perspective. Regional Science Policy &amp; Practice.</w:t>
      </w:r>
    </w:p>
    <w:p w14:paraId="471DA9C3"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580669AB"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Domenico, C. and Maurizio, V. (2020). </w:t>
      </w:r>
      <w:r w:rsidRPr="008C202B">
        <w:rPr>
          <w:rFonts w:ascii="Calibri" w:hAnsi="Calibri" w:cs="Calibri"/>
          <w:i/>
          <w:iCs/>
          <w:color w:val="000000"/>
          <w:sz w:val="22"/>
          <w:szCs w:val="22"/>
        </w:rPr>
        <w:t>WHO Declares COVID-19 a Pandemic.</w:t>
      </w:r>
      <w:r w:rsidRPr="008C202B">
        <w:rPr>
          <w:rFonts w:ascii="Calibri" w:hAnsi="Calibri" w:cs="Calibri"/>
          <w:color w:val="000000"/>
          <w:sz w:val="22"/>
          <w:szCs w:val="22"/>
        </w:rPr>
        <w:t> Acta bio-medica : Atenei Parmensis. Available at: </w:t>
      </w:r>
      <w:hyperlink r:id="rId9" w:tgtFrame="_blank" w:history="1">
        <w:r w:rsidRPr="008C202B">
          <w:rPr>
            <w:rStyle w:val="Hyperlink"/>
            <w:rFonts w:ascii="Calibri" w:hAnsi="Calibri" w:cs="Calibri"/>
            <w:color w:val="1155CC"/>
            <w:sz w:val="22"/>
            <w:szCs w:val="22"/>
          </w:rPr>
          <w:t>https://pubmed.ncbi.nlm.nih.gov/32191675/</w:t>
        </w:r>
      </w:hyperlink>
      <w:r w:rsidRPr="008C202B">
        <w:rPr>
          <w:rFonts w:ascii="Calibri" w:hAnsi="Calibri" w:cs="Calibri"/>
          <w:color w:val="000000"/>
          <w:sz w:val="22"/>
          <w:szCs w:val="22"/>
        </w:rPr>
        <w:t> (Accessed 9 Mar. 2021).</w:t>
      </w:r>
    </w:p>
    <w:p w14:paraId="09109812"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5CA6A0F0"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Dorn, A. van, Cooney, R.E. and Sabin, M.L. (2020).</w:t>
      </w:r>
      <w:r w:rsidRPr="008C202B">
        <w:rPr>
          <w:rFonts w:ascii="Calibri" w:hAnsi="Calibri" w:cs="Calibri"/>
          <w:i/>
          <w:iCs/>
          <w:color w:val="000000"/>
          <w:sz w:val="22"/>
          <w:szCs w:val="22"/>
        </w:rPr>
        <w:t> COVID-19 exacerbating inequalities in the US.</w:t>
      </w:r>
      <w:r w:rsidRPr="008C202B">
        <w:rPr>
          <w:rFonts w:ascii="Calibri" w:hAnsi="Calibri" w:cs="Calibri"/>
          <w:color w:val="000000"/>
          <w:sz w:val="22"/>
          <w:szCs w:val="22"/>
        </w:rPr>
        <w:t> The Lancet, pp.1243–1244.</w:t>
      </w:r>
    </w:p>
    <w:p w14:paraId="7F78EC14"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5D05B3C0"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England, R. (2020). </w:t>
      </w:r>
      <w:r w:rsidRPr="008C202B">
        <w:rPr>
          <w:rFonts w:ascii="Calibri" w:hAnsi="Calibri" w:cs="Calibri"/>
          <w:i/>
          <w:iCs/>
          <w:color w:val="000000"/>
          <w:sz w:val="22"/>
          <w:szCs w:val="22"/>
        </w:rPr>
        <w:t>Ethnicity and covid-19: working locally to reduce inequalities.</w:t>
      </w:r>
      <w:r w:rsidRPr="008C202B">
        <w:rPr>
          <w:rFonts w:ascii="Calibri" w:hAnsi="Calibri" w:cs="Calibri"/>
          <w:color w:val="000000"/>
          <w:sz w:val="22"/>
          <w:szCs w:val="22"/>
        </w:rPr>
        <w:t> BMJ. </w:t>
      </w:r>
    </w:p>
    <w:p w14:paraId="3ECDA996"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72EFBB5A"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Harrison, E. and Docherty, A. </w:t>
      </w:r>
      <w:r w:rsidRPr="008C202B">
        <w:rPr>
          <w:rFonts w:ascii="Calibri" w:hAnsi="Calibri" w:cs="Calibri"/>
          <w:i/>
          <w:iCs/>
          <w:color w:val="000000"/>
          <w:sz w:val="22"/>
          <w:szCs w:val="22"/>
        </w:rPr>
        <w:t>Ethnicity and outcomes from COVID-19 in UK hospital patients using the ISARIC WHO Clinical Characterisation Protocol</w:t>
      </w:r>
      <w:r w:rsidRPr="008C202B">
        <w:rPr>
          <w:rFonts w:ascii="Calibri" w:hAnsi="Calibri" w:cs="Calibri"/>
          <w:color w:val="000000"/>
          <w:sz w:val="22"/>
          <w:szCs w:val="22"/>
        </w:rPr>
        <w:t>: prospective observational cohort study. Available at: </w:t>
      </w:r>
      <w:hyperlink r:id="rId10" w:tgtFrame="_blank" w:history="1">
        <w:r w:rsidRPr="008C202B">
          <w:rPr>
            <w:rStyle w:val="Hyperlink"/>
            <w:rFonts w:ascii="Calibri" w:hAnsi="Calibri" w:cs="Calibri"/>
            <w:color w:val="1155CC"/>
            <w:sz w:val="22"/>
            <w:szCs w:val="22"/>
          </w:rPr>
          <w:t>https://assets.publishing.service.gov.uk/government/uploads/system/uploads/attachment_data/file/895695/S0452_CO-CIN_Ethnicity_and_Outcomes_from_COVID-19_in_UK_Hospital_Patients.pdf</w:t>
        </w:r>
      </w:hyperlink>
      <w:r w:rsidRPr="008C202B">
        <w:rPr>
          <w:rFonts w:ascii="Calibri" w:hAnsi="Calibri" w:cs="Calibri"/>
          <w:color w:val="000000"/>
          <w:sz w:val="22"/>
          <w:szCs w:val="22"/>
        </w:rPr>
        <w:t>.</w:t>
      </w:r>
    </w:p>
    <w:p w14:paraId="71F3600E"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20B8FCBD"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U.S. Department of Health and Human Services(2020). </w:t>
      </w:r>
      <w:r w:rsidRPr="008C202B">
        <w:rPr>
          <w:rFonts w:ascii="Calibri" w:hAnsi="Calibri" w:cs="Calibri"/>
          <w:i/>
          <w:iCs/>
          <w:color w:val="000000"/>
          <w:sz w:val="22"/>
          <w:szCs w:val="22"/>
        </w:rPr>
        <w:t>Social Determinants of Health - Healthy People 2030</w:t>
      </w:r>
      <w:r w:rsidRPr="008C202B">
        <w:rPr>
          <w:rFonts w:ascii="Calibri" w:hAnsi="Calibri" w:cs="Calibri"/>
          <w:color w:val="000000"/>
          <w:sz w:val="22"/>
          <w:szCs w:val="22"/>
        </w:rPr>
        <w:t> | </w:t>
      </w:r>
      <w:hyperlink r:id="rId11" w:tgtFrame="_blank" w:history="1">
        <w:r w:rsidRPr="008C202B">
          <w:rPr>
            <w:rStyle w:val="Hyperlink"/>
            <w:rFonts w:ascii="Calibri" w:hAnsi="Calibri" w:cs="Calibri"/>
            <w:color w:val="1155CC"/>
            <w:sz w:val="22"/>
            <w:szCs w:val="22"/>
          </w:rPr>
          <w:t>health.gov</w:t>
        </w:r>
      </w:hyperlink>
      <w:r w:rsidRPr="008C202B">
        <w:rPr>
          <w:rFonts w:ascii="Calibri" w:hAnsi="Calibri" w:cs="Calibri"/>
          <w:color w:val="000000"/>
          <w:sz w:val="22"/>
          <w:szCs w:val="22"/>
        </w:rPr>
        <w:t>. [online] </w:t>
      </w:r>
      <w:hyperlink r:id="rId12" w:tgtFrame="_blank" w:history="1">
        <w:r w:rsidRPr="008C202B">
          <w:rPr>
            <w:rStyle w:val="Hyperlink"/>
            <w:rFonts w:ascii="Calibri" w:hAnsi="Calibri" w:cs="Calibri"/>
            <w:color w:val="1155CC"/>
            <w:sz w:val="22"/>
            <w:szCs w:val="22"/>
          </w:rPr>
          <w:t>health.gov</w:t>
        </w:r>
      </w:hyperlink>
      <w:r w:rsidRPr="008C202B">
        <w:rPr>
          <w:rFonts w:ascii="Calibri" w:hAnsi="Calibri" w:cs="Calibri"/>
          <w:color w:val="000000"/>
          <w:sz w:val="22"/>
          <w:szCs w:val="22"/>
        </w:rPr>
        <w:t>. Available at: </w:t>
      </w:r>
      <w:hyperlink r:id="rId13" w:tgtFrame="_blank" w:history="1">
        <w:r w:rsidRPr="008C202B">
          <w:rPr>
            <w:rStyle w:val="Hyperlink"/>
            <w:rFonts w:ascii="Calibri" w:hAnsi="Calibri" w:cs="Calibri"/>
            <w:color w:val="1155CC"/>
            <w:sz w:val="22"/>
            <w:szCs w:val="22"/>
          </w:rPr>
          <w:t>https://health.gov/healthypeople/objectives-and-data/social-determinants-health</w:t>
        </w:r>
      </w:hyperlink>
      <w:r w:rsidRPr="008C202B">
        <w:rPr>
          <w:rFonts w:ascii="Calibri" w:hAnsi="Calibri" w:cs="Calibri"/>
          <w:color w:val="000000"/>
          <w:sz w:val="22"/>
          <w:szCs w:val="22"/>
        </w:rPr>
        <w:t> [Accessed 11 Mar. 2021].</w:t>
      </w:r>
    </w:p>
    <w:p w14:paraId="73C497AE"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57FBD0D1"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Hunter, P. (2020). </w:t>
      </w:r>
      <w:r w:rsidRPr="008C202B">
        <w:rPr>
          <w:rFonts w:ascii="Calibri" w:hAnsi="Calibri" w:cs="Calibri"/>
          <w:i/>
          <w:iCs/>
          <w:color w:val="000000"/>
          <w:sz w:val="22"/>
          <w:szCs w:val="22"/>
        </w:rPr>
        <w:t>The spread of the COVID ‐19 coronavirus</w:t>
      </w:r>
      <w:r w:rsidRPr="008C202B">
        <w:rPr>
          <w:rFonts w:ascii="Calibri" w:hAnsi="Calibri" w:cs="Calibri"/>
          <w:color w:val="000000"/>
          <w:sz w:val="22"/>
          <w:szCs w:val="22"/>
        </w:rPr>
        <w:t>. EMBO reports.</w:t>
      </w:r>
    </w:p>
    <w:p w14:paraId="7286BD43"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36179D4A"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Iacobucci, G. (2020). </w:t>
      </w:r>
      <w:r w:rsidRPr="008C202B">
        <w:rPr>
          <w:rFonts w:ascii="Calibri" w:hAnsi="Calibri" w:cs="Calibri"/>
          <w:i/>
          <w:iCs/>
          <w:color w:val="000000"/>
          <w:sz w:val="22"/>
          <w:szCs w:val="22"/>
        </w:rPr>
        <w:t>Covid-19: Increased risk among ethnic minorities is largely due to poverty and social disparities</w:t>
      </w:r>
      <w:r w:rsidRPr="008C202B">
        <w:rPr>
          <w:rFonts w:ascii="Calibri" w:hAnsi="Calibri" w:cs="Calibri"/>
          <w:color w:val="000000"/>
          <w:sz w:val="22"/>
          <w:szCs w:val="22"/>
        </w:rPr>
        <w:t>. BMJ, p.4099.</w:t>
      </w:r>
    </w:p>
    <w:p w14:paraId="42F9F3BA"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0A080A3B"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Jiloha, R. (2020).</w:t>
      </w:r>
      <w:r w:rsidRPr="008C202B">
        <w:rPr>
          <w:rFonts w:ascii="Calibri" w:hAnsi="Calibri" w:cs="Calibri"/>
          <w:i/>
          <w:iCs/>
          <w:color w:val="000000"/>
          <w:sz w:val="22"/>
          <w:szCs w:val="22"/>
        </w:rPr>
        <w:t> COVID-19 and Mental Health</w:t>
      </w:r>
      <w:r w:rsidRPr="008C202B">
        <w:rPr>
          <w:rFonts w:ascii="Calibri" w:hAnsi="Calibri" w:cs="Calibri"/>
          <w:color w:val="000000"/>
          <w:sz w:val="22"/>
          <w:szCs w:val="22"/>
        </w:rPr>
        <w:t>. Epidemiology International, pp.7–9.</w:t>
      </w:r>
    </w:p>
    <w:p w14:paraId="717D1CDF"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67C993FD"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Ku, L. and Brantley, E. (2020). </w:t>
      </w:r>
      <w:r w:rsidRPr="008C202B">
        <w:rPr>
          <w:rFonts w:ascii="Calibri" w:hAnsi="Calibri" w:cs="Calibri"/>
          <w:i/>
          <w:iCs/>
          <w:color w:val="000000"/>
          <w:sz w:val="22"/>
          <w:szCs w:val="22"/>
        </w:rPr>
        <w:t>Widening Social and Health Inequalities During the COVID-19 Pandemic.</w:t>
      </w:r>
      <w:r w:rsidRPr="008C202B">
        <w:rPr>
          <w:rFonts w:ascii="Calibri" w:hAnsi="Calibri" w:cs="Calibri"/>
          <w:color w:val="000000"/>
          <w:sz w:val="22"/>
          <w:szCs w:val="22"/>
        </w:rPr>
        <w:t> JAMA Health Forum,  Available at: </w:t>
      </w:r>
      <w:hyperlink r:id="rId14" w:tgtFrame="_blank" w:history="1">
        <w:r w:rsidRPr="008C202B">
          <w:rPr>
            <w:rStyle w:val="Hyperlink"/>
            <w:rFonts w:ascii="Calibri" w:hAnsi="Calibri" w:cs="Calibri"/>
            <w:color w:val="1155CC"/>
            <w:sz w:val="22"/>
            <w:szCs w:val="22"/>
          </w:rPr>
          <w:t>https://jamanetwork.com/channels/health-forum/fullarticle/2767253</w:t>
        </w:r>
      </w:hyperlink>
      <w:r w:rsidRPr="008C202B">
        <w:rPr>
          <w:rFonts w:ascii="Calibri" w:hAnsi="Calibri" w:cs="Calibri"/>
          <w:color w:val="000000"/>
          <w:sz w:val="22"/>
          <w:szCs w:val="22"/>
        </w:rPr>
        <w:t> (Accessed 11 Mar. 2021).</w:t>
      </w:r>
    </w:p>
    <w:p w14:paraId="3B3F5037"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06F518C3"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Mackenbach, J.P., Valverde, J.R., Bopp, M., Brønnum-Hansen, H., Deboosere, P., Kalediene, R., Kovács, K., Leinsalu, M., Martikainen, P., Menvielle, G., Regidor, E. and Nusselder, W.J. (2019). </w:t>
      </w:r>
      <w:r w:rsidRPr="008C202B">
        <w:rPr>
          <w:rFonts w:ascii="Calibri" w:hAnsi="Calibri" w:cs="Calibri"/>
          <w:i/>
          <w:iCs/>
          <w:color w:val="000000"/>
          <w:sz w:val="22"/>
          <w:szCs w:val="22"/>
        </w:rPr>
        <w:t>Determinants of inequalities in life expectancy: an international comparative study of eight risk factors.</w:t>
      </w:r>
      <w:r w:rsidRPr="008C202B">
        <w:rPr>
          <w:rFonts w:ascii="Calibri" w:hAnsi="Calibri" w:cs="Calibri"/>
          <w:color w:val="000000"/>
          <w:sz w:val="22"/>
          <w:szCs w:val="22"/>
        </w:rPr>
        <w:t> The Lancet Public Health, Available at: </w:t>
      </w:r>
      <w:hyperlink r:id="rId15" w:tgtFrame="_blank" w:history="1">
        <w:r w:rsidRPr="008C202B">
          <w:rPr>
            <w:rStyle w:val="Hyperlink"/>
            <w:rFonts w:ascii="Calibri" w:hAnsi="Calibri" w:cs="Calibri"/>
            <w:color w:val="1155CC"/>
            <w:sz w:val="22"/>
            <w:szCs w:val="22"/>
          </w:rPr>
          <w:t>https://www.thelancet.com/journals/lanpub/article/PIIS2468-2667(19)30147-1/fulltext</w:t>
        </w:r>
      </w:hyperlink>
      <w:r w:rsidRPr="008C202B">
        <w:rPr>
          <w:rFonts w:ascii="Calibri" w:hAnsi="Calibri" w:cs="Calibri"/>
          <w:color w:val="000000"/>
          <w:sz w:val="22"/>
          <w:szCs w:val="22"/>
        </w:rPr>
        <w:t> (Accessed 11 Mar. 2021).</w:t>
      </w:r>
    </w:p>
    <w:p w14:paraId="03C3AEF6"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051BB6BD"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lastRenderedPageBreak/>
        <w:t>Marmot, M. (2010).</w:t>
      </w:r>
      <w:r w:rsidRPr="008C202B">
        <w:rPr>
          <w:rFonts w:ascii="Calibri" w:hAnsi="Calibri" w:cs="Calibri"/>
          <w:i/>
          <w:iCs/>
          <w:color w:val="000000"/>
          <w:sz w:val="22"/>
          <w:szCs w:val="22"/>
        </w:rPr>
        <w:t> Fair Society, Healthy Lives The Marmot Review</w:t>
      </w:r>
      <w:r w:rsidRPr="008C202B">
        <w:rPr>
          <w:rFonts w:ascii="Calibri" w:hAnsi="Calibri" w:cs="Calibri"/>
          <w:color w:val="000000"/>
          <w:sz w:val="22"/>
          <w:szCs w:val="22"/>
        </w:rPr>
        <w:t>. Available at: </w:t>
      </w:r>
      <w:hyperlink r:id="rId16" w:tgtFrame="_blank" w:history="1">
        <w:r w:rsidRPr="008C202B">
          <w:rPr>
            <w:rStyle w:val="Hyperlink"/>
            <w:rFonts w:ascii="Calibri" w:hAnsi="Calibri" w:cs="Calibri"/>
            <w:color w:val="1155CC"/>
            <w:sz w:val="22"/>
            <w:szCs w:val="22"/>
          </w:rPr>
          <w:t>https://www.parliament.uk/globalassets/documents/fair-society-healthy-lives-full-report.pdf</w:t>
        </w:r>
      </w:hyperlink>
      <w:r w:rsidRPr="008C202B">
        <w:rPr>
          <w:rFonts w:ascii="Calibri" w:hAnsi="Calibri" w:cs="Calibri"/>
          <w:color w:val="000000"/>
          <w:sz w:val="22"/>
          <w:szCs w:val="22"/>
        </w:rPr>
        <w:t> (Accessed 11 Mar. 2021).</w:t>
      </w:r>
    </w:p>
    <w:p w14:paraId="133E19F3"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507635F9"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Neil, D.C. and Meehan, M. (2020). </w:t>
      </w:r>
      <w:r w:rsidRPr="008C202B">
        <w:rPr>
          <w:rFonts w:ascii="Calibri" w:hAnsi="Calibri" w:cs="Calibri"/>
          <w:i/>
          <w:iCs/>
          <w:color w:val="000000"/>
          <w:sz w:val="22"/>
          <w:szCs w:val="22"/>
        </w:rPr>
        <w:t>Understanding COVID-19 and ethnicity</w:t>
      </w:r>
      <w:r w:rsidRPr="008C202B">
        <w:rPr>
          <w:rFonts w:ascii="Calibri" w:hAnsi="Calibri" w:cs="Calibri"/>
          <w:color w:val="000000"/>
          <w:sz w:val="22"/>
          <w:szCs w:val="22"/>
        </w:rPr>
        <w:t> | HSC Public Health Agency. </w:t>
      </w:r>
      <w:hyperlink r:id="rId17" w:tgtFrame="_blank" w:history="1">
        <w:r w:rsidRPr="008C202B">
          <w:rPr>
            <w:rStyle w:val="Hyperlink"/>
            <w:rFonts w:ascii="Calibri" w:hAnsi="Calibri" w:cs="Calibri"/>
            <w:color w:val="1155CC"/>
            <w:sz w:val="22"/>
            <w:szCs w:val="22"/>
          </w:rPr>
          <w:t>www.publichealth.hscni.net</w:t>
        </w:r>
      </w:hyperlink>
      <w:r w:rsidRPr="008C202B">
        <w:rPr>
          <w:rFonts w:ascii="Calibri" w:hAnsi="Calibri" w:cs="Calibri"/>
          <w:color w:val="000000"/>
          <w:sz w:val="22"/>
          <w:szCs w:val="22"/>
        </w:rPr>
        <w:t>. Available at: </w:t>
      </w:r>
      <w:hyperlink r:id="rId18" w:tgtFrame="_blank" w:history="1">
        <w:r w:rsidRPr="008C202B">
          <w:rPr>
            <w:rStyle w:val="Hyperlink"/>
            <w:rFonts w:ascii="Calibri" w:hAnsi="Calibri" w:cs="Calibri"/>
            <w:color w:val="1155CC"/>
            <w:sz w:val="22"/>
            <w:szCs w:val="22"/>
          </w:rPr>
          <w:t>https://www.publichealth.hscni.net/node/5305</w:t>
        </w:r>
      </w:hyperlink>
      <w:r w:rsidRPr="008C202B">
        <w:rPr>
          <w:rFonts w:ascii="Calibri" w:hAnsi="Calibri" w:cs="Calibri"/>
          <w:color w:val="000000"/>
          <w:sz w:val="22"/>
          <w:szCs w:val="22"/>
        </w:rPr>
        <w:t> (Accessed 11 Mar. 2021).</w:t>
      </w:r>
    </w:p>
    <w:p w14:paraId="62018239"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6EEDACB4"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Patel, P., Hiam, L., Sowemimo, A., Devakumar, D. and McKee, M. (2020). </w:t>
      </w:r>
      <w:r w:rsidRPr="008C202B">
        <w:rPr>
          <w:rFonts w:ascii="Calibri" w:hAnsi="Calibri" w:cs="Calibri"/>
          <w:i/>
          <w:iCs/>
          <w:color w:val="000000"/>
          <w:sz w:val="22"/>
          <w:szCs w:val="22"/>
        </w:rPr>
        <w:t>Ethnicity and covid-19.</w:t>
      </w:r>
      <w:r w:rsidRPr="008C202B">
        <w:rPr>
          <w:rFonts w:ascii="Calibri" w:hAnsi="Calibri" w:cs="Calibri"/>
          <w:color w:val="000000"/>
          <w:sz w:val="22"/>
          <w:szCs w:val="22"/>
        </w:rPr>
        <w:t> BMJ, p.m2282.</w:t>
      </w:r>
    </w:p>
    <w:p w14:paraId="2F077A17"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4CE39235"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Public Health England (2017). </w:t>
      </w:r>
      <w:r w:rsidRPr="008C202B">
        <w:rPr>
          <w:rFonts w:ascii="Calibri" w:hAnsi="Calibri" w:cs="Calibri"/>
          <w:i/>
          <w:iCs/>
          <w:color w:val="000000"/>
          <w:sz w:val="22"/>
          <w:szCs w:val="22"/>
        </w:rPr>
        <w:t>Chapter 6: social determinants of health</w:t>
      </w:r>
      <w:r w:rsidRPr="008C202B">
        <w:rPr>
          <w:rFonts w:ascii="Calibri" w:hAnsi="Calibri" w:cs="Calibri"/>
          <w:color w:val="000000"/>
          <w:sz w:val="22"/>
          <w:szCs w:val="22"/>
        </w:rPr>
        <w:t>. </w:t>
      </w:r>
      <w:hyperlink r:id="rId19" w:tgtFrame="_blank" w:history="1">
        <w:r w:rsidRPr="008C202B">
          <w:rPr>
            <w:rStyle w:val="Hyperlink"/>
            <w:rFonts w:ascii="Calibri" w:hAnsi="Calibri" w:cs="Calibri"/>
            <w:color w:val="1155CC"/>
            <w:sz w:val="22"/>
            <w:szCs w:val="22"/>
          </w:rPr>
          <w:t>GOV.UK</w:t>
        </w:r>
      </w:hyperlink>
      <w:r w:rsidRPr="008C202B">
        <w:rPr>
          <w:rFonts w:ascii="Calibri" w:hAnsi="Calibri" w:cs="Calibri"/>
          <w:color w:val="000000"/>
          <w:sz w:val="22"/>
          <w:szCs w:val="22"/>
        </w:rPr>
        <w:t>. Available at: </w:t>
      </w:r>
      <w:hyperlink r:id="rId20" w:tgtFrame="_blank" w:history="1">
        <w:r w:rsidRPr="008C202B">
          <w:rPr>
            <w:rStyle w:val="Hyperlink"/>
            <w:rFonts w:ascii="Calibri" w:hAnsi="Calibri" w:cs="Calibri"/>
            <w:color w:val="1155CC"/>
            <w:sz w:val="22"/>
            <w:szCs w:val="22"/>
          </w:rPr>
          <w:t>https://www.gov.uk/government/publications/health-profile-for-england/chapter-6-social-determinants-of-health</w:t>
        </w:r>
      </w:hyperlink>
      <w:r w:rsidRPr="008C202B">
        <w:rPr>
          <w:rFonts w:ascii="Calibri" w:hAnsi="Calibri" w:cs="Calibri"/>
          <w:color w:val="000000"/>
          <w:sz w:val="22"/>
          <w:szCs w:val="22"/>
        </w:rPr>
        <w:t> (Accessed 11 Mar. 2021).</w:t>
      </w:r>
    </w:p>
    <w:p w14:paraId="516CCA87"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55A27DA0"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The Visual and Data Journalism Team (2020).</w:t>
      </w:r>
      <w:r w:rsidRPr="008C202B">
        <w:rPr>
          <w:rFonts w:ascii="Calibri" w:hAnsi="Calibri" w:cs="Calibri"/>
          <w:i/>
          <w:iCs/>
          <w:color w:val="000000"/>
          <w:sz w:val="22"/>
          <w:szCs w:val="22"/>
        </w:rPr>
        <w:t> Coronavirus: A visual guide to the outbreak</w:t>
      </w:r>
      <w:r w:rsidRPr="008C202B">
        <w:rPr>
          <w:rFonts w:ascii="Calibri" w:hAnsi="Calibri" w:cs="Calibri"/>
          <w:color w:val="000000"/>
          <w:sz w:val="22"/>
          <w:szCs w:val="22"/>
        </w:rPr>
        <w:t>. BBC News. Available at: </w:t>
      </w:r>
      <w:hyperlink r:id="rId21" w:tgtFrame="_blank" w:history="1">
        <w:r w:rsidRPr="008C202B">
          <w:rPr>
            <w:rStyle w:val="Hyperlink"/>
            <w:rFonts w:ascii="Calibri" w:hAnsi="Calibri" w:cs="Calibri"/>
            <w:color w:val="1155CC"/>
            <w:sz w:val="22"/>
            <w:szCs w:val="22"/>
          </w:rPr>
          <w:t>https://www.bbc.co.uk/news/world-51235105</w:t>
        </w:r>
      </w:hyperlink>
      <w:r w:rsidRPr="008C202B">
        <w:rPr>
          <w:rFonts w:ascii="Calibri" w:hAnsi="Calibri" w:cs="Calibri"/>
          <w:color w:val="000000"/>
          <w:sz w:val="22"/>
          <w:szCs w:val="22"/>
        </w:rPr>
        <w:t> (Accessed 10 Mar. 2021).</w:t>
      </w:r>
    </w:p>
    <w:p w14:paraId="55BA4222"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6587F87A"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Walker, C. and Fincham, B. (2011). </w:t>
      </w:r>
      <w:r w:rsidRPr="008C202B">
        <w:rPr>
          <w:rFonts w:ascii="Calibri" w:hAnsi="Calibri" w:cs="Calibri"/>
          <w:i/>
          <w:iCs/>
          <w:color w:val="000000"/>
          <w:sz w:val="22"/>
          <w:szCs w:val="22"/>
        </w:rPr>
        <w:t>Work and the mental health crisis in Britain</w:t>
      </w:r>
      <w:r w:rsidRPr="008C202B">
        <w:rPr>
          <w:rFonts w:ascii="Calibri" w:hAnsi="Calibri" w:cs="Calibri"/>
          <w:color w:val="000000"/>
          <w:sz w:val="22"/>
          <w:szCs w:val="22"/>
        </w:rPr>
        <w:t>. Chichester, West Sussex ; Malden, Ma: Wiley-Blackwell.</w:t>
      </w:r>
    </w:p>
    <w:p w14:paraId="2C545044"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3998026A"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r w:rsidRPr="008C202B">
        <w:rPr>
          <w:rFonts w:ascii="Calibri" w:hAnsi="Calibri" w:cs="Calibri"/>
          <w:color w:val="000000"/>
          <w:sz w:val="22"/>
          <w:szCs w:val="22"/>
        </w:rPr>
        <w:t>Whitehead, M., Taylor-Robinson, D. and Barr, B. (2021). </w:t>
      </w:r>
      <w:r w:rsidRPr="008C202B">
        <w:rPr>
          <w:rFonts w:ascii="Calibri" w:hAnsi="Calibri" w:cs="Calibri"/>
          <w:i/>
          <w:iCs/>
          <w:color w:val="000000"/>
          <w:sz w:val="22"/>
          <w:szCs w:val="22"/>
        </w:rPr>
        <w:t>Poverty, health, and covid-19</w:t>
      </w:r>
      <w:r w:rsidRPr="008C202B">
        <w:rPr>
          <w:rFonts w:ascii="Calibri" w:hAnsi="Calibri" w:cs="Calibri"/>
          <w:color w:val="000000"/>
          <w:sz w:val="22"/>
          <w:szCs w:val="22"/>
        </w:rPr>
        <w:t>. BMJ,. Available at: </w:t>
      </w:r>
      <w:hyperlink r:id="rId22" w:tgtFrame="_blank" w:history="1">
        <w:r w:rsidRPr="008C202B">
          <w:rPr>
            <w:rStyle w:val="Hyperlink"/>
            <w:rFonts w:ascii="Calibri" w:hAnsi="Calibri" w:cs="Calibri"/>
            <w:color w:val="1155CC"/>
            <w:sz w:val="22"/>
            <w:szCs w:val="22"/>
          </w:rPr>
          <w:t>https://www.bmj.com/content/372/bmj.n376</w:t>
        </w:r>
      </w:hyperlink>
      <w:r w:rsidRPr="008C202B">
        <w:rPr>
          <w:rFonts w:ascii="Calibri" w:hAnsi="Calibri" w:cs="Calibri"/>
          <w:color w:val="000000"/>
          <w:sz w:val="22"/>
          <w:szCs w:val="22"/>
        </w:rPr>
        <w:t> (Accessed 11 Mar. 2021).</w:t>
      </w:r>
    </w:p>
    <w:p w14:paraId="17A181D0" w14:textId="77777777" w:rsidR="008C202B" w:rsidRPr="008C202B" w:rsidRDefault="008C202B" w:rsidP="008C202B">
      <w:pPr>
        <w:pStyle w:val="NormalWeb"/>
        <w:spacing w:before="0" w:beforeAutospacing="0" w:after="0" w:afterAutospacing="0"/>
        <w:rPr>
          <w:rFonts w:ascii="Calibri" w:hAnsi="Calibri" w:cs="Calibri"/>
          <w:color w:val="000000"/>
          <w:sz w:val="22"/>
          <w:szCs w:val="22"/>
        </w:rPr>
      </w:pPr>
    </w:p>
    <w:p w14:paraId="29FDD238" w14:textId="77777777" w:rsidR="008C202B" w:rsidRPr="008C202B" w:rsidRDefault="007F40DD" w:rsidP="008C202B">
      <w:pPr>
        <w:pStyle w:val="NormalWeb"/>
        <w:spacing w:before="0" w:beforeAutospacing="0" w:after="0" w:afterAutospacing="0"/>
        <w:rPr>
          <w:rFonts w:ascii="Calibri" w:hAnsi="Calibri" w:cs="Calibri"/>
          <w:color w:val="000000"/>
          <w:sz w:val="22"/>
          <w:szCs w:val="22"/>
        </w:rPr>
      </w:pPr>
      <w:hyperlink r:id="rId23" w:tgtFrame="_blank" w:history="1">
        <w:r w:rsidR="008C202B" w:rsidRPr="008C202B">
          <w:rPr>
            <w:rStyle w:val="Hyperlink"/>
            <w:rFonts w:ascii="Calibri" w:hAnsi="Calibri" w:cs="Calibri"/>
            <w:color w:val="1155CC"/>
            <w:sz w:val="22"/>
            <w:szCs w:val="22"/>
          </w:rPr>
          <w:t>www.ons.gov.uk</w:t>
        </w:r>
      </w:hyperlink>
      <w:r w:rsidR="008C202B" w:rsidRPr="008C202B">
        <w:rPr>
          <w:rFonts w:ascii="Calibri" w:hAnsi="Calibri" w:cs="Calibri"/>
          <w:color w:val="000000"/>
          <w:sz w:val="22"/>
          <w:szCs w:val="22"/>
        </w:rPr>
        <w:t>. (2020). </w:t>
      </w:r>
      <w:r w:rsidR="008C202B" w:rsidRPr="008C202B">
        <w:rPr>
          <w:rFonts w:ascii="Calibri" w:hAnsi="Calibri" w:cs="Calibri"/>
          <w:i/>
          <w:iCs/>
          <w:color w:val="000000"/>
          <w:sz w:val="22"/>
          <w:szCs w:val="22"/>
        </w:rPr>
        <w:t>Coronavirus (COVID-19) related deaths by occupation, England and Wales</w:t>
      </w:r>
      <w:r w:rsidR="008C202B" w:rsidRPr="008C202B">
        <w:rPr>
          <w:rFonts w:ascii="Calibri" w:hAnsi="Calibri" w:cs="Calibri"/>
          <w:color w:val="000000"/>
          <w:sz w:val="22"/>
          <w:szCs w:val="22"/>
        </w:rPr>
        <w:t> - Office for National Statistics. [online] Available at: </w:t>
      </w:r>
      <w:hyperlink r:id="rId24" w:tgtFrame="_blank" w:history="1">
        <w:r w:rsidR="008C202B" w:rsidRPr="008C202B">
          <w:rPr>
            <w:rStyle w:val="Hyperlink"/>
            <w:rFonts w:ascii="Calibri" w:hAnsi="Calibri" w:cs="Calibri"/>
            <w:color w:val="1155CC"/>
            <w:sz w:val="22"/>
            <w:szCs w:val="22"/>
          </w:rPr>
          <w:t>https://www.ons.gov.uk/peoplepopulationandcommunity/healthandsocialcare/causesofdeath/bulletins/coronaviruscovid19relateddeathsbyoccupationenglandandwales/deathsregisteredbetween9marchand28december2020</w:t>
        </w:r>
      </w:hyperlink>
      <w:r w:rsidR="008C202B" w:rsidRPr="008C202B">
        <w:rPr>
          <w:rFonts w:ascii="Calibri" w:hAnsi="Calibri" w:cs="Calibri"/>
          <w:color w:val="000000"/>
          <w:sz w:val="22"/>
          <w:szCs w:val="22"/>
        </w:rPr>
        <w:t>.</w:t>
      </w:r>
    </w:p>
    <w:p w14:paraId="7D1656FF" w14:textId="77777777" w:rsidR="00456A4F" w:rsidRPr="008C202B" w:rsidRDefault="007F40DD" w:rsidP="008C202B">
      <w:pPr>
        <w:spacing w:line="240" w:lineRule="auto"/>
        <w:rPr>
          <w:rFonts w:ascii="Calibri" w:hAnsi="Calibri" w:cs="Calibri"/>
        </w:rPr>
      </w:pPr>
    </w:p>
    <w:sectPr w:rsidR="00456A4F" w:rsidRPr="008C20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02B"/>
    <w:rsid w:val="000C3F90"/>
    <w:rsid w:val="007F40DD"/>
    <w:rsid w:val="008C202B"/>
    <w:rsid w:val="00C56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716F5"/>
  <w15:chartTrackingRefBased/>
  <w15:docId w15:val="{3BF98F4D-AD6C-49B1-97F5-60B5B4816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7F40D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7F40D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20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C202B"/>
    <w:rPr>
      <w:color w:val="0000FF"/>
      <w:u w:val="single"/>
    </w:rPr>
  </w:style>
  <w:style w:type="character" w:customStyle="1" w:styleId="Heading2Char">
    <w:name w:val="Heading 2 Char"/>
    <w:basedOn w:val="DefaultParagraphFont"/>
    <w:link w:val="Heading2"/>
    <w:rsid w:val="007F40D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F40DD"/>
    <w:rPr>
      <w:rFonts w:ascii="Times New Roman" w:eastAsia="Times New Roman" w:hAnsi="Times New Roman" w:cs="Times New Roman"/>
      <w:sz w:val="40"/>
      <w:szCs w:val="20"/>
      <w:lang w:eastAsia="en-GB"/>
    </w:rPr>
  </w:style>
  <w:style w:type="paragraph" w:styleId="Header">
    <w:name w:val="header"/>
    <w:basedOn w:val="Normal"/>
    <w:link w:val="HeaderChar"/>
    <w:rsid w:val="007F40D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7F40DD"/>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8619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2020/aug/17/poor-housing-linked-high-covid-19-death-rate-london-borough-brent" TargetMode="External"/><Relationship Id="rId13" Type="http://schemas.openxmlformats.org/officeDocument/2006/relationships/hyperlink" Target="https://health.gov/healthypeople/objectives-and-data/social-determinants-health" TargetMode="External"/><Relationship Id="rId18" Type="http://schemas.openxmlformats.org/officeDocument/2006/relationships/hyperlink" Target="https://www.publichealth.hscni.net/node/5305"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bbc.co.uk/news/world-51235105" TargetMode="External"/><Relationship Id="rId7" Type="http://schemas.openxmlformats.org/officeDocument/2006/relationships/hyperlink" Target="http://www.ons.gov.uk/" TargetMode="External"/><Relationship Id="rId12" Type="http://schemas.openxmlformats.org/officeDocument/2006/relationships/hyperlink" Target="http://health.gov/" TargetMode="External"/><Relationship Id="rId17" Type="http://schemas.openxmlformats.org/officeDocument/2006/relationships/hyperlink" Target="http://www.publichealth.hscni.net/"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arliament.uk/globalassets/documents/fair-society-healthy-lives-full-report.pdf" TargetMode="External"/><Relationship Id="rId20" Type="http://schemas.openxmlformats.org/officeDocument/2006/relationships/hyperlink" Target="https://www.gov.uk/government/publications/health-profile-for-england/chapter-6-social-determinants-of-health" TargetMode="External"/><Relationship Id="rId1" Type="http://schemas.openxmlformats.org/officeDocument/2006/relationships/styles" Target="styles.xml"/><Relationship Id="rId6" Type="http://schemas.openxmlformats.org/officeDocument/2006/relationships/hyperlink" Target="https://www.parliament.uk/globalassets/documents/fair-society-healthy-lives-full-report.pdf" TargetMode="External"/><Relationship Id="rId11" Type="http://schemas.openxmlformats.org/officeDocument/2006/relationships/hyperlink" Target="http://health.gov/" TargetMode="External"/><Relationship Id="rId24" Type="http://schemas.openxmlformats.org/officeDocument/2006/relationships/hyperlink" Target="https://www.ons.gov.uk/peoplepopulationandcommunity/healthandsocialcare/causesofdeath/bulletins/coronaviruscovid19relateddeathsbyoccupationenglandandwales/deathsregisteredbetween9marchand28december2020" TargetMode="External"/><Relationship Id="rId5" Type="http://schemas.openxmlformats.org/officeDocument/2006/relationships/image" Target="cid:image001.png@01D0EA4A.2BD679A0" TargetMode="External"/><Relationship Id="rId15" Type="http://schemas.openxmlformats.org/officeDocument/2006/relationships/hyperlink" Target="https://www.thelancet.com/journals/lanpub/article/PIIS2468-2667(19)30147-1/fulltext" TargetMode="External"/><Relationship Id="rId23" Type="http://schemas.openxmlformats.org/officeDocument/2006/relationships/hyperlink" Target="http://www.ons.gov.uk/" TargetMode="External"/><Relationship Id="rId10" Type="http://schemas.openxmlformats.org/officeDocument/2006/relationships/hyperlink" Target="https://assets.publishing.service.gov.uk/government/uploads/system/uploads/attachment_data/file/895695/S0452_CO-CIN_Ethnicity_and_Outcomes_from_COVID-19_in_UK_Hospital_Patients.pdf" TargetMode="External"/><Relationship Id="rId19" Type="http://schemas.openxmlformats.org/officeDocument/2006/relationships/hyperlink" Target="http://gov.uk/" TargetMode="External"/><Relationship Id="rId4" Type="http://schemas.openxmlformats.org/officeDocument/2006/relationships/image" Target="media/image1.png"/><Relationship Id="rId9" Type="http://schemas.openxmlformats.org/officeDocument/2006/relationships/hyperlink" Target="https://pubmed.ncbi.nlm.nih.gov/32191675/" TargetMode="External"/><Relationship Id="rId14" Type="http://schemas.openxmlformats.org/officeDocument/2006/relationships/hyperlink" Target="https://jamanetwork.com/channels/health-forum/fullarticle/2767253" TargetMode="External"/><Relationship Id="rId22" Type="http://schemas.openxmlformats.org/officeDocument/2006/relationships/hyperlink" Target="https://www.bmj.com/content/372/bmj.n3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2600</Words>
  <Characters>14822</Characters>
  <Application>Microsoft Office Word</Application>
  <DocSecurity>0</DocSecurity>
  <Lines>123</Lines>
  <Paragraphs>34</Paragraphs>
  <ScaleCrop>false</ScaleCrop>
  <Company/>
  <LinksUpToDate>false</LinksUpToDate>
  <CharactersWithSpaces>17388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Williams (2005470)</dc:creator>
  <cp:keywords/>
  <dc:description/>
  <cp:lastModifiedBy>Hannah Williams (2005470)</cp:lastModifiedBy>
  <cp:revision>2</cp:revision>
  <dcterms:created xsi:type="dcterms:W3CDTF">2021-03-18T18:52:00Z</dcterms:created>
  <dcterms:modified xsi:type="dcterms:W3CDTF">2021-03-18T19:00:00Z</dcterms:modified>
</cp:coreProperties>
</file>