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E478B5E" w:rsidR="7908378C" w:rsidRDefault="7908378C" w:rsidP="33572C6E">
            <w:pPr>
              <w:ind w:right="237"/>
              <w:rPr>
                <w:b/>
                <w:bCs/>
                <w:color w:val="auto"/>
                <w:sz w:val="32"/>
                <w:szCs w:val="32"/>
              </w:rPr>
            </w:pPr>
            <w:r w:rsidRPr="33572C6E">
              <w:rPr>
                <w:b/>
                <w:bCs/>
                <w:color w:val="auto"/>
                <w:sz w:val="32"/>
                <w:szCs w:val="32"/>
              </w:rPr>
              <w:t xml:space="preserve">Learner name: </w:t>
            </w:r>
            <w:r w:rsidR="00F207A0">
              <w:rPr>
                <w:b/>
                <w:bCs/>
                <w:color w:val="auto"/>
                <w:sz w:val="32"/>
                <w:szCs w:val="32"/>
              </w:rPr>
              <w:t xml:space="preserve">Michal Tatar </w:t>
            </w:r>
            <w:r w:rsidRPr="33572C6E">
              <w:rPr>
                <w:b/>
                <w:bCs/>
                <w:color w:val="auto"/>
                <w:sz w:val="32"/>
                <w:szCs w:val="32"/>
              </w:rPr>
              <w:t>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D6EEC04" w:rsidR="7908378C" w:rsidRDefault="006438CB" w:rsidP="33572C6E">
            <w:pPr>
              <w:ind w:right="237"/>
              <w:rPr>
                <w:b/>
                <w:bCs/>
                <w:color w:val="auto"/>
                <w:sz w:val="32"/>
                <w:szCs w:val="32"/>
              </w:rPr>
            </w:pPr>
            <w:r>
              <w:rPr>
                <w:b/>
                <w:bCs/>
                <w:color w:val="auto"/>
                <w:sz w:val="32"/>
                <w:szCs w:val="32"/>
              </w:rPr>
              <w:t>2236343</w:t>
            </w:r>
            <w:r w:rsidR="7908378C"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705C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bookmarkStart w:id="0" w:name="_Hlk155390782"/>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9773CD" w:rsidRDefault="5B843AF0" w:rsidP="5B843AF0">
      <w:pPr>
        <w:ind w:right="237"/>
        <w:jc w:val="both"/>
        <w:rPr>
          <w:rFonts w:asciiTheme="minorHAnsi" w:eastAsia="Arial" w:hAnsiTheme="minorHAnsi" w:cstheme="minorHAnsi"/>
          <w:b/>
          <w:bCs/>
          <w:color w:val="000000" w:themeColor="text1"/>
          <w:sz w:val="24"/>
          <w:szCs w:val="24"/>
        </w:rPr>
      </w:pPr>
      <w:r w:rsidRPr="009773CD">
        <w:rPr>
          <w:rFonts w:asciiTheme="minorHAnsi" w:eastAsia="Arial" w:hAnsiTheme="minorHAnsi" w:cstheme="minorHAnsi"/>
          <w:b/>
          <w:bCs/>
          <w:color w:val="000000" w:themeColor="text1"/>
          <w:sz w:val="24"/>
          <w:szCs w:val="24"/>
        </w:rPr>
        <w:t>ANSWER:</w:t>
      </w:r>
    </w:p>
    <w:p w14:paraId="1692495F" w14:textId="77777777" w:rsidR="00E0540A" w:rsidRPr="009773CD" w:rsidRDefault="00E0540A" w:rsidP="5B843AF0">
      <w:pPr>
        <w:ind w:right="237"/>
        <w:jc w:val="both"/>
        <w:rPr>
          <w:rFonts w:asciiTheme="minorHAnsi" w:eastAsia="Arial" w:hAnsiTheme="minorHAnsi" w:cstheme="minorHAnsi"/>
          <w:b/>
          <w:bCs/>
          <w:color w:val="000000" w:themeColor="text1"/>
          <w:sz w:val="24"/>
          <w:szCs w:val="24"/>
        </w:rPr>
      </w:pPr>
    </w:p>
    <w:bookmarkEnd w:id="0"/>
    <w:p w14:paraId="6B9B3CF3"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Part of my role as a Police officer is to respond and deal with a range of incidents that vary on a daily basis. One of the main roles I carry out is to protect vulnerable persons when they have been subjected to crime and to purse offenders. In this paper I will discuss an incident that I had dealt with where I had to face many challenging circumstances such as cultural and religious differences, language barriers and understanding how to apply my knowledge to work alongside partnership agencies to support a vulnerable victim. The incident that will be discussed is a sexual assault that I was the first responder to and my actions were during my attendance. The essay will aim to critically evaluate the different approaches utilised by myself and partner agencies to support the victim utilising reflective models such as Rolfe et al.’s (2001) reflective model. Further this paper will aim to discuss the methods I had used to prevent repeat victim victimisation and repeat offending and to analyse what worked and what I could have improved. The paper will then conclude my findings, the decisions I made and the lessons I learnt from this experience to better myself as a police officer and to offer the best possible service to future victims of crime. </w:t>
      </w:r>
    </w:p>
    <w:p w14:paraId="3D7E28C5" w14:textId="77777777" w:rsidR="009773CD" w:rsidRPr="009773CD" w:rsidRDefault="009773CD" w:rsidP="009773CD">
      <w:pPr>
        <w:rPr>
          <w:rFonts w:asciiTheme="minorHAnsi" w:hAnsiTheme="minorHAnsi" w:cstheme="minorHAnsi"/>
          <w:sz w:val="24"/>
          <w:szCs w:val="24"/>
        </w:rPr>
      </w:pPr>
    </w:p>
    <w:p w14:paraId="2BEED606"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Whilst on my tour of duty I was requested to attend a call where a female had disclosed that she was sexually assaulted. The information I was provided with was that the victim was an Indian international who was sexually assaulted by a male she was residing with. My immediate thoughts were to establish the level of assault that the victim was subjected to as sexual offences can vary from rape by penetration to sexual assault by touching. The Sexual Offences Act (2003) provided me with the appropriate legislative guidance. I ensured that I made myself familiar with the legislation to ensure that upon my attendance I would </w:t>
      </w:r>
      <w:r w:rsidRPr="009773CD">
        <w:rPr>
          <w:rFonts w:asciiTheme="minorHAnsi" w:hAnsiTheme="minorHAnsi" w:cstheme="minorHAnsi"/>
          <w:sz w:val="24"/>
          <w:szCs w:val="24"/>
        </w:rPr>
        <w:lastRenderedPageBreak/>
        <w:t>be able to quickly establish the level of offence to ensure that I identified the Golden Hour principles when attending a crime of such nature. The Golden Hour principles are described as early actions that can result in securing significant evidential material that would otherwise be lost in the course of an investigation (HMICFRS 2022). In this incident the ability to gather evidence effectively was of upmost importance as the Crown Prosecution Service (2020) state a charge will be pursued for sexual offences where there is sufficient evidence to provide a realistic prospect of conviction.</w:t>
      </w:r>
    </w:p>
    <w:p w14:paraId="04957076" w14:textId="77777777" w:rsidR="009773CD" w:rsidRPr="009773CD" w:rsidRDefault="009773CD" w:rsidP="009773CD">
      <w:pPr>
        <w:rPr>
          <w:rFonts w:asciiTheme="minorHAnsi" w:hAnsiTheme="minorHAnsi" w:cstheme="minorHAnsi"/>
          <w:sz w:val="24"/>
          <w:szCs w:val="24"/>
        </w:rPr>
      </w:pPr>
    </w:p>
    <w:p w14:paraId="74080EE5"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 I had a comprehensive understanding of the importance of evidence gathering which at the time made me feel nervous as I was aware that my initial actions and ability to act in the best of interest of the victim would influence the investigation. Therefore, I knew that I had to prepare myself by ensuring I had the correct equipment, paperwork and knowledge of the investigative procedures when attending crimes of sexual nature. The ability to plan and prepare myself before my attendance worked for me and my policing style as it allowed me to understand what I needed to do which is extremely important when dealing with vulnerable victims of crime.  This shows victims that we can be trusted during the most difficult times of their lives as every victim of sexual assault can react differently however common emotional reactions can include guilt, fear, numbness, shock, and feelings of isolation (National Sexual Violence Resource Centre 2024). </w:t>
      </w:r>
    </w:p>
    <w:p w14:paraId="74305196" w14:textId="77777777" w:rsidR="009773CD" w:rsidRPr="009773CD" w:rsidRDefault="009773CD" w:rsidP="009773CD">
      <w:pPr>
        <w:rPr>
          <w:rFonts w:asciiTheme="minorHAnsi" w:hAnsiTheme="minorHAnsi" w:cstheme="minorHAnsi"/>
          <w:sz w:val="24"/>
          <w:szCs w:val="24"/>
        </w:rPr>
      </w:pPr>
    </w:p>
    <w:p w14:paraId="7CB6E4FE"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When I attended the address, I had to take into consideration the cultural issues that were identified in this matter as the victim was of Muslim origin. I immediately considered the potential for this matter to be Honour Based Abuse (HBV) which can be described as a crime which has been committed to protect the honour of a family or community for alleged or perceived breaches of family’s code of behaviour (Crown Prosecution Service, 2019). I considered this because it allowed me to ensure that the victim was in a comfortable environment without any external pressure from potential family influencing her ability to fully share her account of the incident. </w:t>
      </w:r>
    </w:p>
    <w:p w14:paraId="0F7BEE12" w14:textId="77777777" w:rsidR="009773CD" w:rsidRPr="009773CD" w:rsidRDefault="009773CD" w:rsidP="009773CD">
      <w:pPr>
        <w:rPr>
          <w:rFonts w:asciiTheme="minorHAnsi" w:hAnsiTheme="minorHAnsi" w:cstheme="minorHAnsi"/>
          <w:sz w:val="24"/>
          <w:szCs w:val="24"/>
        </w:rPr>
      </w:pPr>
    </w:p>
    <w:p w14:paraId="2068DD84"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I understood that the effects of HBV would have detrimental effects on the victim both mentally and physically.  Statistic published by Karma Nirvana 2023; a charity who support victims of HBV compared statistics published by the Home Office into HBV and reports found that South Wales Police alone received a total of 64 reports of HBV in the year ending 2022/23 which was a 31% increase compared to the previous year. The decision to take HBV into consideration was important in ensuring that I accounted for any safeguarding issues that could have risen from the incident. This decision further ensured that I followed the Victims Code of Practice namely for victims to receive support tailored to their needs (Ministry of Justice 2024). Looking back at my decision to consider HBV, taught me valuable lessons to consider uncomfortable topics and to not be afraid to ask questions of victims to address safeguarding matters. From speaking to the victim, it became clear that the offence was a sexual assault by touching which is defined under Section 3 of the Sexual Offences Act 2003. My understanding from my basic training was that when dealing with sexual offences the use of body worn video (BWV) was not permitted. To ensure that I adhered with South Wales Police force policy and spoke to my Sergeant via my personal radio and confirmed with him that BWV was not to be used. </w:t>
      </w:r>
    </w:p>
    <w:p w14:paraId="7206D489" w14:textId="77777777" w:rsidR="009773CD" w:rsidRPr="009773CD" w:rsidRDefault="009773CD" w:rsidP="009773CD">
      <w:pPr>
        <w:rPr>
          <w:rFonts w:asciiTheme="minorHAnsi" w:hAnsiTheme="minorHAnsi" w:cstheme="minorHAnsi"/>
          <w:sz w:val="24"/>
          <w:szCs w:val="24"/>
        </w:rPr>
      </w:pPr>
    </w:p>
    <w:p w14:paraId="0B1485D5"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lastRenderedPageBreak/>
        <w:t xml:space="preserve">The first major challenge that I faced was the language barrier, the victim could not speak any English and spoke Punjabi. I knew that this would be an issue for me due to the time of the night that I had attended the call and the difficulty in finding a Punjabi speaking translator who could assist us with translation. Further the issue with using interpreters over the phone rather than being physically present with victims would result in non-verbal cues and mannerisms that are such an essential part of how people communicate, such as facial expressions and body language, to be lost (VS Victim Support 2019). However, at the property was a family member who could speak English and Punjab. Fortunately, the family member assisted with the translation however, we encountered many issues as the translator struggled to fully translate some parts of the account into English. </w:t>
      </w:r>
    </w:p>
    <w:p w14:paraId="2D5EEBCF" w14:textId="77777777" w:rsidR="009773CD" w:rsidRPr="009773CD" w:rsidRDefault="009773CD" w:rsidP="009773CD">
      <w:pPr>
        <w:rPr>
          <w:rFonts w:asciiTheme="minorHAnsi" w:hAnsiTheme="minorHAnsi" w:cstheme="minorHAnsi"/>
          <w:sz w:val="24"/>
          <w:szCs w:val="24"/>
        </w:rPr>
      </w:pPr>
    </w:p>
    <w:p w14:paraId="2D893D37"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Upon reflection I believe that using the family member as an interpreter had a negative influence on the victim as it was clear that she was struggling to share the full account in detail. The victim felt ashamed to talk about the incident to her family member as survivors of sexual assault may experience stigma that includes victim-blaming messages from the broader society as well as specific stigmatizing reactions from others in response to disclosure (Kennedy, Prock, 2016). In a perfect scenario I would have utilised official interpreters however, at the time this was not possible and I acted in the best of interest of the victim. I considered the options available to me and concluded that my decision to continue with a family member was acting in the best of the victim’s interest. This is something that I would utilise in future incidents if I was to face similar circumstances as it ensured that as obtained the best possible evidence as the incident was still fresh in the mind of the victim. It is regarded that when sexual assaults are not reported victims can develop negative reactions to disclosure. Further sociocultural barriers lead to the belief that reporting would not lead to justice and societal norms impacting women’s reporting (Wieberneit, Thai, 2024) due to the stigma associated with reporting sexual assaults. </w:t>
      </w:r>
    </w:p>
    <w:p w14:paraId="04FE38BB" w14:textId="77777777" w:rsidR="009773CD" w:rsidRPr="009773CD" w:rsidRDefault="009773CD" w:rsidP="009773CD">
      <w:pPr>
        <w:rPr>
          <w:rFonts w:asciiTheme="minorHAnsi" w:hAnsiTheme="minorHAnsi" w:cstheme="minorHAnsi"/>
          <w:sz w:val="24"/>
          <w:szCs w:val="24"/>
        </w:rPr>
      </w:pPr>
    </w:p>
    <w:p w14:paraId="27D317EE"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The other major challenge that I faced was that I needed to identify all the available support that the police and partner agencies could offer to the victim to ensure that the victim continued to support our investigation. Previous cases where police had failed to support vulnerable victims had resulted in scrutiny of the police not only from the public however from governing bodies also (Bartowiak-Theron, Asquith 2012). Further comparable patterns of non-supporting victims have continued to result in unsuccessful prosecutions (Elkin, 2018). Research has also shown that majority of victims do not wish to press charges as their desired outcome is usually achieved at the time of reporting or when an arrest is made (Boivin and Leclerc, 2018). Understanding the importance of support really allowed the victim to believe in our ability to bring the offender to justice. It is regarded that victims who don’t feel well supported by police can have significant and long-lasting consequences. The emotional effects can be devastating as victims and the people around them who feel that the police didn’t take the case seriously may be less likely to report crime in future (HM Inspectorate of Constabulary 2022). </w:t>
      </w:r>
    </w:p>
    <w:p w14:paraId="6849CF90" w14:textId="77777777" w:rsidR="009773CD" w:rsidRPr="009773CD" w:rsidRDefault="009773CD" w:rsidP="009773CD">
      <w:pPr>
        <w:rPr>
          <w:rFonts w:asciiTheme="minorHAnsi" w:hAnsiTheme="minorHAnsi" w:cstheme="minorHAnsi"/>
          <w:sz w:val="24"/>
          <w:szCs w:val="24"/>
        </w:rPr>
      </w:pPr>
    </w:p>
    <w:p w14:paraId="72ACB9CD"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One of the options that I considered as a safeguarding measure was to arrest the suspect to prevent the possibility of repeat victimisation which is referred to as repeated offences against the same person, household, business or target (Grove and Farrel, 2010). I discussed the option with my colleague at the time and concluded that the offence was an indicatable offence which meant that the offence was so serious that it would be treated in Crown </w:t>
      </w:r>
      <w:r w:rsidRPr="009773CD">
        <w:rPr>
          <w:rFonts w:asciiTheme="minorHAnsi" w:hAnsiTheme="minorHAnsi" w:cstheme="minorHAnsi"/>
          <w:sz w:val="24"/>
          <w:szCs w:val="24"/>
        </w:rPr>
        <w:lastRenderedPageBreak/>
        <w:t xml:space="preserve">Court and carry a sentence of more than 6 months imprisonment (Criminal Law Act 1977). Statistics show that the level of confidence in the police among female victims is extremely low. Almost half of all victims who have experienced sexual assault from the age of 16 have been a victim more than once (Independent officer for police conduct, 2022). The arrest of the suspect gave the victim the best possible chance to not be a victim of revictimization by the same offender. </w:t>
      </w:r>
    </w:p>
    <w:p w14:paraId="6760DC4A" w14:textId="77777777" w:rsidR="009773CD" w:rsidRPr="009773CD" w:rsidRDefault="009773CD" w:rsidP="009773CD">
      <w:pPr>
        <w:rPr>
          <w:rFonts w:asciiTheme="minorHAnsi" w:hAnsiTheme="minorHAnsi" w:cstheme="minorHAnsi"/>
          <w:sz w:val="24"/>
          <w:szCs w:val="24"/>
        </w:rPr>
      </w:pPr>
    </w:p>
    <w:p w14:paraId="09EFF59A"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Further another option that was utilised to safeguard the victim was to submit a Public Protection Notification Report (PPN) which is an information sharing document that addresses safeguarding concerns (Public Protective Notice, 2023). The document is then shared with partner agencies such as social services, GP surgeries and other agencies that work alongside the police. Part of my assessment was to make suggestions as to what support the victim would benefit from within the PPN submission based the circumstances. My assessment was to consider an Independent Sexual Violence Advisor (ISVA) to be assigned to the victim. Their role is to support the victim and to closely work with the police to provided tailored support based on the victim’s needs (Barnardos, 2024). The ISVA allowed me to investigate the matter whilst knowing that the victim was being safeguarded which worked well for me as I am not able to be assigned to one particular victim as a response officer. This was due to the general demand response officers face on a day-to-day basis. Further research shows that police officers work long hours with limited access to rest and recuperation as many officers highlight a negative relationship with the nature of the job and their wellbeing (Davies, 2021). </w:t>
      </w:r>
    </w:p>
    <w:p w14:paraId="55ADCBF1" w14:textId="77777777" w:rsidR="009773CD" w:rsidRPr="009773CD" w:rsidRDefault="009773CD" w:rsidP="009773CD">
      <w:pPr>
        <w:rPr>
          <w:rFonts w:asciiTheme="minorHAnsi" w:hAnsiTheme="minorHAnsi" w:cstheme="minorHAnsi"/>
          <w:sz w:val="24"/>
          <w:szCs w:val="24"/>
        </w:rPr>
      </w:pPr>
    </w:p>
    <w:p w14:paraId="0775C2D5"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The use of Evidence Based Policing within the Criminal Justice System is become more relevant due to the fast moving and adapting world. The use of Evidence Based Policing is to simply use the best available evidence to make informative decisions and to reflect on the decisions made to learn from success and failures (Evidence Based Policing, 2024). When used in practice the way I reflected on my attendance was to discuss the matter with my supervisor to see if there was anything he would have done differently. The advice was positive and my supervisor was happy with my professionalism and conduct to safeguard the victim. I used this advice to learn from this experience and to adapt my quick decision making in future incidents. I further utilised all my skills that I was taught in training and from general experiences from previous incidents and I was able to adapt to the difficult changing circumstances. I ensured that I remained professional and kept the victims needs in mind. I would suggest that considering evidence-based policing allowed me to obtain the best possible evidence as it influenced my decision to arrest the suspect and what the best safeguarding options were for the victim. I further found that the language barrier and cultural differences posed major issues when dealing with this matter and lead me to think outside of my comfort zone to overcome such issues such as using family members to translate. Overall, I felt that my response was to a level that is expected from all victims of crime and I ensured I tailored to the victims needs to safeguard her to the best of my ability. </w:t>
      </w:r>
    </w:p>
    <w:p w14:paraId="4BC01688" w14:textId="77777777" w:rsidR="009773CD" w:rsidRPr="009773CD" w:rsidRDefault="009773CD" w:rsidP="009773CD">
      <w:pPr>
        <w:rPr>
          <w:rFonts w:asciiTheme="minorHAnsi" w:hAnsiTheme="minorHAnsi" w:cstheme="minorHAnsi"/>
          <w:sz w:val="24"/>
          <w:szCs w:val="24"/>
        </w:rPr>
      </w:pPr>
    </w:p>
    <w:p w14:paraId="232D3F3E"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Word count: 2126.</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2B0C113B" w14:textId="77777777" w:rsidR="009773CD" w:rsidRDefault="009773CD" w:rsidP="5CE196A1">
      <w:pPr>
        <w:ind w:right="237"/>
        <w:jc w:val="both"/>
        <w:rPr>
          <w:rFonts w:eastAsia="Arial"/>
          <w:b/>
          <w:bCs/>
          <w:color w:val="000000" w:themeColor="text1"/>
          <w:sz w:val="24"/>
          <w:szCs w:val="24"/>
        </w:rPr>
      </w:pPr>
      <w:bookmarkStart w:id="1" w:name="_Hlk178617936"/>
    </w:p>
    <w:p w14:paraId="0D1CE26D" w14:textId="77777777" w:rsidR="009773CD" w:rsidRDefault="009773CD" w:rsidP="5CE196A1">
      <w:pPr>
        <w:ind w:right="237"/>
        <w:jc w:val="both"/>
        <w:rPr>
          <w:rFonts w:eastAsia="Arial"/>
          <w:b/>
          <w:bCs/>
          <w:color w:val="000000" w:themeColor="text1"/>
          <w:sz w:val="24"/>
          <w:szCs w:val="24"/>
        </w:rPr>
      </w:pPr>
    </w:p>
    <w:p w14:paraId="11BAE6D8" w14:textId="77777777" w:rsidR="009773CD" w:rsidRDefault="009773CD" w:rsidP="5CE196A1">
      <w:pPr>
        <w:ind w:right="237"/>
        <w:jc w:val="both"/>
        <w:rPr>
          <w:rFonts w:eastAsia="Arial"/>
          <w:b/>
          <w:bCs/>
          <w:color w:val="000000" w:themeColor="text1"/>
          <w:sz w:val="24"/>
          <w:szCs w:val="24"/>
        </w:rPr>
      </w:pPr>
    </w:p>
    <w:p w14:paraId="193C4854" w14:textId="643CF61F"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bookmarkStart w:id="2" w:name="_Hlk178617407"/>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w:t>
            </w:r>
            <w:bookmarkStart w:id="3" w:name="_Hlk176806676"/>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bookmarkEnd w:id="3"/>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7A85C3D8" w14:textId="77777777" w:rsidR="006F4EF1" w:rsidRDefault="006F4EF1" w:rsidP="5CE196A1">
      <w:pPr>
        <w:ind w:right="237"/>
        <w:jc w:val="both"/>
        <w:rPr>
          <w:b/>
          <w:bCs/>
          <w:sz w:val="24"/>
          <w:szCs w:val="24"/>
        </w:rPr>
      </w:pPr>
    </w:p>
    <w:p w14:paraId="27EED518" w14:textId="77777777" w:rsidR="006F4EF1" w:rsidRDefault="006F4EF1" w:rsidP="5CE196A1">
      <w:pPr>
        <w:ind w:right="237"/>
        <w:jc w:val="both"/>
        <w:rPr>
          <w:b/>
          <w:bCs/>
          <w:sz w:val="24"/>
          <w:szCs w:val="24"/>
        </w:rPr>
      </w:pPr>
    </w:p>
    <w:p w14:paraId="7846F835" w14:textId="77777777" w:rsidR="006F4EF1" w:rsidRDefault="006F4EF1" w:rsidP="5CE196A1">
      <w:pPr>
        <w:ind w:right="237"/>
        <w:jc w:val="both"/>
        <w:rPr>
          <w:b/>
          <w:bCs/>
          <w:sz w:val="24"/>
          <w:szCs w:val="24"/>
        </w:rPr>
      </w:pPr>
    </w:p>
    <w:p w14:paraId="1EB5DE7F" w14:textId="77777777" w:rsidR="009773CD" w:rsidRDefault="009773CD" w:rsidP="5CE196A1">
      <w:pPr>
        <w:ind w:right="237"/>
        <w:jc w:val="both"/>
        <w:rPr>
          <w:b/>
          <w:bCs/>
          <w:sz w:val="24"/>
          <w:szCs w:val="24"/>
        </w:rPr>
      </w:pPr>
    </w:p>
    <w:p w14:paraId="34403A9B" w14:textId="77777777" w:rsidR="009773CD" w:rsidRDefault="009773CD" w:rsidP="5CE196A1">
      <w:pPr>
        <w:ind w:right="237"/>
        <w:jc w:val="both"/>
        <w:rPr>
          <w:b/>
          <w:bCs/>
          <w:sz w:val="24"/>
          <w:szCs w:val="24"/>
        </w:rPr>
      </w:pPr>
    </w:p>
    <w:p w14:paraId="08CCF856" w14:textId="77777777" w:rsidR="009773CD" w:rsidRDefault="009773CD" w:rsidP="5CE196A1">
      <w:pPr>
        <w:ind w:right="237"/>
        <w:jc w:val="both"/>
        <w:rPr>
          <w:b/>
          <w:bCs/>
          <w:sz w:val="24"/>
          <w:szCs w:val="24"/>
        </w:rPr>
      </w:pPr>
    </w:p>
    <w:p w14:paraId="01EA0F9A" w14:textId="77777777" w:rsidR="009773CD" w:rsidRDefault="009773CD" w:rsidP="5CE196A1">
      <w:pPr>
        <w:ind w:right="237"/>
        <w:jc w:val="both"/>
        <w:rPr>
          <w:b/>
          <w:bCs/>
          <w:sz w:val="24"/>
          <w:szCs w:val="24"/>
        </w:rPr>
      </w:pPr>
    </w:p>
    <w:p w14:paraId="429C5425" w14:textId="77777777" w:rsidR="009773CD" w:rsidRDefault="009773CD" w:rsidP="5CE196A1">
      <w:pPr>
        <w:ind w:right="237"/>
        <w:jc w:val="both"/>
        <w:rPr>
          <w:b/>
          <w:bCs/>
          <w:sz w:val="24"/>
          <w:szCs w:val="24"/>
        </w:rPr>
      </w:pPr>
    </w:p>
    <w:p w14:paraId="4EE76473" w14:textId="0B65272B"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3F531386"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Within this paper I will be discussing a domestic violence (DV) incident that I had responded to and where I played a significant role in terms of dealing with the victim and the offender. The incident in question was a report of a domestic assault by a female perpetrator on her male partner. This essay will aim to critically assess the challenges associated with domestic abuse and the developed strategies used by police and partner agencies to effectively police such challenging situations. Further a reflective model will be used to assess my overall performance during my attendance and to analyse the decisions I made during my attendance. Further to understand whether any lessons could be taken from positive and negative outcomes. The reflective model that will be utilised is Borton reflective model (Janse, 2022). Further this paper will discuss the challenges faced with domestic violence and the procedures that Police officers must adhere with to ensure that victims of domestic violence are safeguarded and protected from further harm. </w:t>
      </w:r>
    </w:p>
    <w:p w14:paraId="7120E03B" w14:textId="77777777" w:rsidR="009773CD" w:rsidRPr="009773CD" w:rsidRDefault="009773CD" w:rsidP="009773CD">
      <w:pPr>
        <w:rPr>
          <w:rFonts w:asciiTheme="minorHAnsi" w:hAnsiTheme="minorHAnsi" w:cstheme="minorHAnsi"/>
          <w:sz w:val="24"/>
          <w:szCs w:val="24"/>
        </w:rPr>
      </w:pPr>
    </w:p>
    <w:p w14:paraId="15472E7F"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When I was first assigned to attend this incident my first point of action was to familiarise myself with the circumstances to ensure that I had an idea of what I was going to be dealing with. Based on the information provided to me via my personal issued radio it became clear that this was a domestic violence incident where the perpetrator was female. Domestic violence is defined as an incident or pattern of incidents that consist of controlling, coercive, threatening and violent behaviour including sexual violence by a partner or ex-partner, but also by a family member or career (Women’s Aid, 2024). My initial reaction led me to be surprised by the information as from previous experiences the majority of domestic violence incidents consists of male perpetrators and female victims. The Crime Survey for England and Wales estimated that in the year ending March 2023 was that 1.4 million of DV victims were female (Jones, 2023). Upon reflection I came to understand that Police officers should police without bias to ensure that decisions are made based on available evidence with a clear and objective rationale (College of Policing 2023). </w:t>
      </w:r>
    </w:p>
    <w:p w14:paraId="66CF89BD" w14:textId="77777777" w:rsidR="009773CD" w:rsidRPr="009773CD" w:rsidRDefault="009773CD" w:rsidP="009773CD">
      <w:pPr>
        <w:rPr>
          <w:rFonts w:asciiTheme="minorHAnsi" w:hAnsiTheme="minorHAnsi" w:cstheme="minorHAnsi"/>
          <w:sz w:val="24"/>
          <w:szCs w:val="24"/>
        </w:rPr>
      </w:pPr>
    </w:p>
    <w:p w14:paraId="42E3FC10"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Upon my attendance one of the main challenges that I faced was that the couple resided in a small one-bedroom apartment.  My understanding of general policy when attending DV incidents is that Police officers should separate those involved to obtain accurate accounts that are not influenced by others in all DV cases. Therefore, I decided that I would stay in the living room with the male victim whilst my colleague was in the hallway of the property with the living room door closed. My biggest concern at this point was my colleague’s safety as I no longer had eyes on him. I was concerned of the possibility for him to be assaulted as the female was heavily intoxicated and unhappy that police had attended her property. Statistics showed that in the year ending March 2023 a total of 40,330 assaults on Police officers were recorded across England and Wale (Police Federation, 2023). At this point I had a tough time to concentrate fully on the victim as in the back of my mind I was thinking of my colleague. When I reflected on this decision, I felt like this was a major mistake that I made during my attendance as my decision as a more experienced officer placed both myself and my colleague in danger. What I learnt was that in future I would have been better to leave the door open slightly just to keep an eye on my colleague. </w:t>
      </w:r>
    </w:p>
    <w:p w14:paraId="3F49DAF0" w14:textId="77777777" w:rsidR="009773CD" w:rsidRPr="009773CD" w:rsidRDefault="009773CD" w:rsidP="009773CD">
      <w:pPr>
        <w:rPr>
          <w:rFonts w:asciiTheme="minorHAnsi" w:hAnsiTheme="minorHAnsi" w:cstheme="minorHAnsi"/>
          <w:sz w:val="24"/>
          <w:szCs w:val="24"/>
        </w:rPr>
      </w:pPr>
    </w:p>
    <w:p w14:paraId="0F60FCF6"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Whilst speaking to the victim I began to gather evidence from him, he informed me that his partner had consumed alcohol and accused him of being unfaithful which led to her assaulting him multiple times causing bruising to his face. South Wales Police policy on domestic violence states that officers should take positive action and if necessary, proportionate and lawful arrest the perpetrator to safeguard the victim and provide them with time to think (South Wales Police, 2022). I then decided to speak with my supervisor to pass over the information to him to ensure that the was satisfied with the fact that the female would have to be arrested for the offence when considering positive action. My supervisor was satisfied with my decision and advised me to arrest the perpetrator for an assault by beating. This offence is defined under the Criminal Justice Act 1988, Section 39 which states that battery is committed by the intentional or reckless application of unlawful force to another person. I then proceed to arrest the female for the offence in question and requested for another unit to attend the address to assist with prisoner transport which allowed me to concentrate on safeguarding issues with the victim. Statistics from 41 police forces across England and Wales showed that police made 36.6 arrests per 100 domestic abuse-related reported crimes in the year ending March 2023 (Office for National Statistics, 2023). At the time I believe that I had no other choice but to arrest the female and I considered no other options as I deemed the threat to the victim to be too great if the female was to not be arrested. </w:t>
      </w:r>
    </w:p>
    <w:p w14:paraId="16D51FB1" w14:textId="77777777" w:rsidR="009773CD" w:rsidRPr="009773CD" w:rsidRDefault="009773CD" w:rsidP="009773CD">
      <w:pPr>
        <w:rPr>
          <w:rFonts w:asciiTheme="minorHAnsi" w:hAnsiTheme="minorHAnsi" w:cstheme="minorHAnsi"/>
          <w:sz w:val="24"/>
          <w:szCs w:val="24"/>
        </w:rPr>
      </w:pPr>
    </w:p>
    <w:p w14:paraId="092D973B"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A challenge that arisen from the arrest was that the victim was upset and unhappy with us for arresting his partner as he informed us that she did not deserve to be arrested and that it was his fault for making her angry. This type of behaviour can be accredited to the Stockholm Syndrome to which victims of domestic violence can express love for their abusers, deny the abuse or blame themselves for the abuse. In most extents victims continue to stay with their abuser and often refuse to support police investigations after their abusers have been arrested (Criminal Justice, 2015). To tackle this issue, I explained to the victim they were not to blame for their partners actions and that every person deserved to live fear free and being assaulted by a female partner was nothing to be ashamed of. </w:t>
      </w:r>
    </w:p>
    <w:p w14:paraId="350F6250" w14:textId="77777777" w:rsidR="009773CD" w:rsidRPr="009773CD" w:rsidRDefault="009773CD" w:rsidP="009773CD">
      <w:pPr>
        <w:rPr>
          <w:rFonts w:asciiTheme="minorHAnsi" w:hAnsiTheme="minorHAnsi" w:cstheme="minorHAnsi"/>
          <w:sz w:val="24"/>
          <w:szCs w:val="24"/>
        </w:rPr>
      </w:pPr>
    </w:p>
    <w:p w14:paraId="2A3B7387"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The stigma of male victims of domestic violence does affects the victim’s ability to share their account to police as despite representing a significant proportion of victims to DV, men are often silenced by the hostility they encounter when opening up about their experience to the police and safeguarding services (Broberg, 2022). To overcome this challenge, I knew that it was important for me break this barrier with the victim to make him understand thar my role as a Police officer was to adhere to his needs and to ensure that he was comfortable to seek help. The College of Policing states that ‘if the public don’t have the confidence to trust the police to be fair, acting ethically and in their best interests, they are less likely to assist the police in upholding the law’ (College of Policing, 2024). This strategy really benefited the investigation as I was able to earn the trust of the victim who eventually consented to providing a statement and was ready to accept help as he had accepted that he should not suffer in silence. Earning the trust of domestic abuse victims is so important to address safeguarding as without the trust and confidence of the public, the police will be seriously limited in their ability to do their job (Rosenbaum et al., 2005) meaning that victims would not pursue complaints. </w:t>
      </w:r>
    </w:p>
    <w:p w14:paraId="45CBBB10" w14:textId="77777777" w:rsidR="009773CD" w:rsidRPr="009773CD" w:rsidRDefault="009773CD" w:rsidP="009773CD">
      <w:pPr>
        <w:rPr>
          <w:rFonts w:asciiTheme="minorHAnsi" w:hAnsiTheme="minorHAnsi" w:cstheme="minorHAnsi"/>
          <w:sz w:val="24"/>
          <w:szCs w:val="24"/>
        </w:rPr>
      </w:pPr>
    </w:p>
    <w:p w14:paraId="33D4376B" w14:textId="77777777" w:rsidR="009773CD" w:rsidRPr="009773CD" w:rsidRDefault="009773CD" w:rsidP="009773CD">
      <w:pPr>
        <w:rPr>
          <w:rFonts w:asciiTheme="minorHAnsi" w:hAnsiTheme="minorHAnsi" w:cstheme="minorHAnsi"/>
          <w:sz w:val="24"/>
          <w:szCs w:val="24"/>
        </w:rPr>
      </w:pPr>
    </w:p>
    <w:p w14:paraId="6F5EDF35"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A strategy that has been developed by Police Forces is the inclusion of DASH questions when attending all domestic abuse incident. The DASH tool was created within England and Wales to allow Police Officers and partner agencies working victims of domestic abuse to make structure professional judgements that requires the use of discretion to assess the level of threat posed to a victim of domestic abuse. </w:t>
      </w:r>
      <w:r w:rsidRPr="009773CD">
        <w:rPr>
          <w:rFonts w:asciiTheme="minorHAnsi" w:hAnsiTheme="minorHAnsi" w:cstheme="minorHAnsi"/>
          <w:sz w:val="24"/>
          <w:szCs w:val="24"/>
        </w:rPr>
        <w:tab/>
        <w:t>Scores from the DASH questions which are influenced by the number of risk factors present effect the grading of the risk which can be standard, medium or high (Robinson, Myhill et al. 2016). Using the DASH tool allowed me to assess the level of threat posed to the victim which was high based on the answers he was able to provide to the questions.</w:t>
      </w:r>
    </w:p>
    <w:p w14:paraId="25A5DE34" w14:textId="77777777" w:rsidR="009773CD" w:rsidRPr="009773CD" w:rsidRDefault="009773CD" w:rsidP="009773CD">
      <w:pPr>
        <w:rPr>
          <w:rFonts w:asciiTheme="minorHAnsi" w:hAnsiTheme="minorHAnsi" w:cstheme="minorHAnsi"/>
          <w:sz w:val="24"/>
          <w:szCs w:val="24"/>
        </w:rPr>
      </w:pPr>
    </w:p>
    <w:p w14:paraId="674A44BC"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Once I completed DASH, I was satisfied that the immediate safeguarding concern of the victim was addressed as the perpetrator was arrested. I, therefore headed back to the police station to consider another strategy that I was able to use which allowed me to effectively police the incident was bail. For domestic incidents that lead to arrest, under the Police and Criminal Evidence Act 1984 Police are allowed to by law hold someone in custody for up to 24 hours without being charged. Once the suspect was interviewed for the offence, she provided a defence where she had claimed that she was acting in self-defence as her partner had become verbally aggressive towards her and she was afraid that he would physically attack her.</w:t>
      </w:r>
    </w:p>
    <w:p w14:paraId="273BC3F4" w14:textId="77777777" w:rsidR="009773CD" w:rsidRPr="009773CD" w:rsidRDefault="009773CD" w:rsidP="009773CD">
      <w:pPr>
        <w:rPr>
          <w:rFonts w:asciiTheme="minorHAnsi" w:hAnsiTheme="minorHAnsi" w:cstheme="minorHAnsi"/>
          <w:sz w:val="24"/>
          <w:szCs w:val="24"/>
        </w:rPr>
      </w:pPr>
    </w:p>
    <w:p w14:paraId="3AD93172"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 Based on this information I decided that the best outcome moving forward was to set bail conditions on the female suspect after she was released from custody. This is also known as conditional bail where Police can set certain conditions which are imposed on the defendant for example for the defendant not to contact the victim or to not attend a particular location or address (HMICFRS, 2023). The conditions I imposed were for the female to not contact the victim directly or indirectly, not to attend the home address of the victim and to reside at an alternate address for a period of 3 months whilst on bail. I ensured that I contacted the victim to advise him of the conditions to which he was satisfied with. Conditional bail is known to protect victims, preserve evidence and mitigate the possibly of further criminality (Pre-charge bail statutory guidance, 2023). This strategy is an effective way of policing domestic violence as it allowed me to continue with my investigation whilst knowing that the victim was safeguarded and would come to no further harm from his partner. This is something that I have utilised in many other incidents that I have attended which have been of similar nature. I found the bail conditions to act as an effective deterrent in preventing offenders from re-offending after being arrested. </w:t>
      </w:r>
    </w:p>
    <w:p w14:paraId="394AB908" w14:textId="77777777" w:rsidR="009773CD" w:rsidRPr="009773CD" w:rsidRDefault="009773CD" w:rsidP="009773CD">
      <w:pPr>
        <w:rPr>
          <w:rFonts w:asciiTheme="minorHAnsi" w:hAnsiTheme="minorHAnsi" w:cstheme="minorHAnsi"/>
          <w:sz w:val="24"/>
          <w:szCs w:val="24"/>
        </w:rPr>
      </w:pPr>
    </w:p>
    <w:p w14:paraId="02A940DA"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Throughout my attendance my Body worn video (BWV) was activated to capture the disclosure the victim had made of the allegation against his female partner.</w:t>
      </w:r>
    </w:p>
    <w:p w14:paraId="32298F9D" w14:textId="77777777" w:rsidR="009773CD" w:rsidRPr="009773CD" w:rsidRDefault="009773CD" w:rsidP="009773CD">
      <w:pPr>
        <w:rPr>
          <w:rFonts w:asciiTheme="minorHAnsi" w:hAnsiTheme="minorHAnsi" w:cstheme="minorHAnsi"/>
          <w:sz w:val="24"/>
          <w:szCs w:val="24"/>
        </w:rPr>
      </w:pPr>
    </w:p>
    <w:p w14:paraId="7F773826"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 My body worn video was activated because it is the policy of South Wales Police for all Police officers to activate their BWV when attending domestic violence incidents (South Wales Police, 2024). The use of BWV is also an effective strategy when dealing with domestic violence incidents as it allowed me to review my BWV to assess my decision making and to evaluate my attendance to obtain invaluable lessons of what went well and what I could have improved upon. When I reviewed my BWV, I noticed that I could have asked more open questions of the victim to obtain the best possible evidence by having as </w:t>
      </w:r>
      <w:r w:rsidRPr="009773CD">
        <w:rPr>
          <w:rFonts w:asciiTheme="minorHAnsi" w:hAnsiTheme="minorHAnsi" w:cstheme="minorHAnsi"/>
          <w:sz w:val="24"/>
          <w:szCs w:val="24"/>
        </w:rPr>
        <w:lastRenderedPageBreak/>
        <w:t xml:space="preserve">much detail from his disclosure. This was something that I was later able to address in future incidents after reviewing my BWV. This influenced my ability to effectively deal with domestic violence incidents. Further BWV can act as an essential evidential tool when victims choose to withdraw their complaints as the Crown Prosecution Service can pursue a victimless prosecution with BWV being used crucial evidence to sentence offenders (Lister, Burn and Pina-Sanchez, 2018). BWV can also capture the level of injury sustained to the victim and the demeanour of the suspect and victim upon police attendance which can all be used as vital evidence when pursuing a prosecution. </w:t>
      </w:r>
    </w:p>
    <w:p w14:paraId="1BB210E7" w14:textId="77777777" w:rsidR="009773CD" w:rsidRPr="009773CD" w:rsidRDefault="009773CD" w:rsidP="009773CD">
      <w:pPr>
        <w:rPr>
          <w:rFonts w:asciiTheme="minorHAnsi" w:hAnsiTheme="minorHAnsi" w:cstheme="minorHAnsi"/>
          <w:sz w:val="24"/>
          <w:szCs w:val="24"/>
        </w:rPr>
      </w:pPr>
    </w:p>
    <w:p w14:paraId="193F3494" w14:textId="77777777" w:rsidR="009773CD" w:rsidRPr="009773CD" w:rsidRDefault="009773CD" w:rsidP="009773CD">
      <w:pPr>
        <w:rPr>
          <w:rFonts w:asciiTheme="minorHAnsi" w:hAnsiTheme="minorHAnsi" w:cstheme="minorHAnsi"/>
          <w:sz w:val="24"/>
          <w:szCs w:val="24"/>
        </w:rPr>
      </w:pPr>
    </w:p>
    <w:p w14:paraId="28D0D042"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Overall, my response to this incident consisted of using effective methods to deal with the female offender and to ensure that the victim was safeguarded to the best of my ability. I spent time reviewing my response by rewatching my BWV and the decisions which I had made which enabled me to take valuable lessons from my response. For instance, I realised that when attending domestic violence incidents where I found myself in a tight space to be always aware of where my colleague is to ensure we were both safe and were able to react to any changing circumstances which ultimately limits the possibilities of ourselves being victims of assaults during our attendance at incidents. This is an aspect that I should have considered at the time of my attendance however, I was able to address this mistake and where possible ensured that this would not happen again. </w:t>
      </w:r>
    </w:p>
    <w:p w14:paraId="6DD23A2F" w14:textId="77777777" w:rsidR="009773CD" w:rsidRDefault="009773CD" w:rsidP="009773CD">
      <w:pPr>
        <w:rPr>
          <w:rFonts w:ascii="Calibri" w:hAnsi="Calibri" w:cs="Calibri"/>
          <w:sz w:val="24"/>
          <w:szCs w:val="24"/>
        </w:rPr>
      </w:pPr>
    </w:p>
    <w:p w14:paraId="36668A7A" w14:textId="77777777" w:rsidR="007926BB" w:rsidRDefault="007926BB" w:rsidP="00BD51B6">
      <w:pPr>
        <w:spacing w:line="360" w:lineRule="auto"/>
        <w:ind w:right="237"/>
        <w:jc w:val="both"/>
        <w:rPr>
          <w:rFonts w:asciiTheme="minorHAnsi" w:hAnsiTheme="minorHAnsi" w:cstheme="minorHAnsi"/>
          <w:sz w:val="24"/>
          <w:szCs w:val="24"/>
        </w:rPr>
      </w:pPr>
    </w:p>
    <w:p w14:paraId="18A4D037" w14:textId="694E7F55" w:rsidR="009773CD" w:rsidRPr="0052054E" w:rsidRDefault="009773CD"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Word count: 2111</w:t>
      </w:r>
    </w:p>
    <w:p w14:paraId="681AD113" w14:textId="091D9747" w:rsidR="006F4EF1" w:rsidRDefault="006F4EF1" w:rsidP="00BD51B6">
      <w:pPr>
        <w:spacing w:line="360" w:lineRule="auto"/>
        <w:ind w:right="237"/>
        <w:jc w:val="both"/>
        <w:rPr>
          <w:sz w:val="24"/>
          <w:szCs w:val="24"/>
        </w:rPr>
      </w:pPr>
    </w:p>
    <w:p w14:paraId="2C689558" w14:textId="77777777" w:rsidR="000261A7" w:rsidRDefault="000261A7" w:rsidP="007926BB">
      <w:pPr>
        <w:ind w:right="237"/>
        <w:rPr>
          <w:rFonts w:eastAsia="Arial"/>
          <w:b/>
          <w:bCs/>
          <w:color w:val="000000" w:themeColor="text1"/>
          <w:sz w:val="24"/>
          <w:szCs w:val="24"/>
        </w:rPr>
      </w:pPr>
    </w:p>
    <w:p w14:paraId="0C7A6263" w14:textId="77777777" w:rsidR="000261A7" w:rsidRDefault="000261A7" w:rsidP="007926BB">
      <w:pPr>
        <w:ind w:right="237"/>
        <w:rPr>
          <w:rFonts w:eastAsia="Arial"/>
          <w:b/>
          <w:bCs/>
          <w:color w:val="000000" w:themeColor="text1"/>
          <w:sz w:val="24"/>
          <w:szCs w:val="24"/>
        </w:rPr>
      </w:pPr>
    </w:p>
    <w:p w14:paraId="519A388E" w14:textId="77777777" w:rsidR="000261A7" w:rsidRDefault="000261A7" w:rsidP="007926BB">
      <w:pPr>
        <w:ind w:right="237"/>
        <w:rPr>
          <w:rFonts w:eastAsia="Arial"/>
          <w:b/>
          <w:bCs/>
          <w:color w:val="000000" w:themeColor="text1"/>
          <w:sz w:val="24"/>
          <w:szCs w:val="24"/>
        </w:rPr>
      </w:pPr>
    </w:p>
    <w:bookmarkEnd w:id="2"/>
    <w:bookmarkEnd w:id="1"/>
    <w:p w14:paraId="266C935E" w14:textId="77777777" w:rsidR="009773CD" w:rsidRDefault="009773CD" w:rsidP="007926BB">
      <w:pPr>
        <w:ind w:right="237"/>
        <w:rPr>
          <w:rFonts w:eastAsia="Arial"/>
          <w:b/>
          <w:bCs/>
          <w:color w:val="000000" w:themeColor="text1"/>
          <w:sz w:val="24"/>
          <w:szCs w:val="24"/>
        </w:rPr>
      </w:pPr>
    </w:p>
    <w:p w14:paraId="70340802" w14:textId="77777777" w:rsidR="009773CD" w:rsidRDefault="009773CD" w:rsidP="007926BB">
      <w:pPr>
        <w:ind w:right="237"/>
        <w:rPr>
          <w:rFonts w:eastAsia="Arial"/>
          <w:b/>
          <w:bCs/>
          <w:color w:val="000000" w:themeColor="text1"/>
          <w:sz w:val="24"/>
          <w:szCs w:val="24"/>
        </w:rPr>
      </w:pPr>
    </w:p>
    <w:p w14:paraId="607D1DE6" w14:textId="77777777" w:rsidR="009773CD" w:rsidRDefault="009773CD" w:rsidP="007926BB">
      <w:pPr>
        <w:ind w:right="237"/>
        <w:rPr>
          <w:rFonts w:eastAsia="Arial"/>
          <w:b/>
          <w:bCs/>
          <w:color w:val="000000" w:themeColor="text1"/>
          <w:sz w:val="24"/>
          <w:szCs w:val="24"/>
        </w:rPr>
      </w:pPr>
    </w:p>
    <w:p w14:paraId="44AF4999" w14:textId="77777777" w:rsidR="009773CD" w:rsidRDefault="009773CD" w:rsidP="007926BB">
      <w:pPr>
        <w:ind w:right="237"/>
        <w:rPr>
          <w:rFonts w:eastAsia="Arial"/>
          <w:b/>
          <w:bCs/>
          <w:color w:val="000000" w:themeColor="text1"/>
          <w:sz w:val="24"/>
          <w:szCs w:val="24"/>
        </w:rPr>
      </w:pPr>
    </w:p>
    <w:p w14:paraId="124B9282" w14:textId="77777777" w:rsidR="009773CD" w:rsidRDefault="009773CD" w:rsidP="007926BB">
      <w:pPr>
        <w:ind w:right="237"/>
        <w:rPr>
          <w:rFonts w:eastAsia="Arial"/>
          <w:b/>
          <w:bCs/>
          <w:color w:val="000000" w:themeColor="text1"/>
          <w:sz w:val="24"/>
          <w:szCs w:val="24"/>
        </w:rPr>
      </w:pPr>
    </w:p>
    <w:p w14:paraId="5261C7D9" w14:textId="77777777" w:rsidR="009773CD" w:rsidRDefault="009773CD" w:rsidP="007926BB">
      <w:pPr>
        <w:ind w:right="237"/>
        <w:rPr>
          <w:rFonts w:eastAsia="Arial"/>
          <w:b/>
          <w:bCs/>
          <w:color w:val="000000" w:themeColor="text1"/>
          <w:sz w:val="24"/>
          <w:szCs w:val="24"/>
        </w:rPr>
      </w:pPr>
    </w:p>
    <w:p w14:paraId="0E123F7D" w14:textId="77777777" w:rsidR="009773CD" w:rsidRDefault="009773CD" w:rsidP="007926BB">
      <w:pPr>
        <w:ind w:right="237"/>
        <w:rPr>
          <w:rFonts w:eastAsia="Arial"/>
          <w:b/>
          <w:bCs/>
          <w:color w:val="000000" w:themeColor="text1"/>
          <w:sz w:val="24"/>
          <w:szCs w:val="24"/>
        </w:rPr>
      </w:pPr>
    </w:p>
    <w:p w14:paraId="25514850" w14:textId="77777777" w:rsidR="009773CD" w:rsidRDefault="009773CD" w:rsidP="007926BB">
      <w:pPr>
        <w:ind w:right="237"/>
        <w:rPr>
          <w:rFonts w:eastAsia="Arial"/>
          <w:b/>
          <w:bCs/>
          <w:color w:val="000000" w:themeColor="text1"/>
          <w:sz w:val="24"/>
          <w:szCs w:val="24"/>
        </w:rPr>
      </w:pPr>
    </w:p>
    <w:p w14:paraId="25DC64AB" w14:textId="77777777" w:rsidR="009773CD" w:rsidRDefault="009773CD" w:rsidP="007926BB">
      <w:pPr>
        <w:ind w:right="237"/>
        <w:rPr>
          <w:rFonts w:eastAsia="Arial"/>
          <w:b/>
          <w:bCs/>
          <w:color w:val="000000" w:themeColor="text1"/>
          <w:sz w:val="24"/>
          <w:szCs w:val="24"/>
        </w:rPr>
      </w:pPr>
    </w:p>
    <w:p w14:paraId="34C4A44E" w14:textId="77777777" w:rsidR="009773CD" w:rsidRDefault="009773CD" w:rsidP="007926BB">
      <w:pPr>
        <w:ind w:right="237"/>
        <w:rPr>
          <w:rFonts w:eastAsia="Arial"/>
          <w:b/>
          <w:bCs/>
          <w:color w:val="000000" w:themeColor="text1"/>
          <w:sz w:val="24"/>
          <w:szCs w:val="24"/>
        </w:rPr>
      </w:pPr>
    </w:p>
    <w:p w14:paraId="0F3772EB" w14:textId="77777777" w:rsidR="009773CD" w:rsidRDefault="009773CD" w:rsidP="007926BB">
      <w:pPr>
        <w:ind w:right="237"/>
        <w:rPr>
          <w:rFonts w:eastAsia="Arial"/>
          <w:b/>
          <w:bCs/>
          <w:color w:val="000000" w:themeColor="text1"/>
          <w:sz w:val="24"/>
          <w:szCs w:val="24"/>
        </w:rPr>
      </w:pPr>
    </w:p>
    <w:p w14:paraId="0A653F17" w14:textId="77777777" w:rsidR="009773CD" w:rsidRDefault="009773CD" w:rsidP="007926BB">
      <w:pPr>
        <w:ind w:right="237"/>
        <w:rPr>
          <w:rFonts w:eastAsia="Arial"/>
          <w:b/>
          <w:bCs/>
          <w:color w:val="000000" w:themeColor="text1"/>
          <w:sz w:val="24"/>
          <w:szCs w:val="24"/>
        </w:rPr>
      </w:pPr>
    </w:p>
    <w:p w14:paraId="40C5D6D3" w14:textId="77777777" w:rsidR="009773CD" w:rsidRDefault="009773CD" w:rsidP="007926BB">
      <w:pPr>
        <w:ind w:right="237"/>
        <w:rPr>
          <w:rFonts w:eastAsia="Arial"/>
          <w:b/>
          <w:bCs/>
          <w:color w:val="000000" w:themeColor="text1"/>
          <w:sz w:val="24"/>
          <w:szCs w:val="24"/>
        </w:rPr>
      </w:pPr>
    </w:p>
    <w:p w14:paraId="29674611" w14:textId="77777777" w:rsidR="009773CD" w:rsidRDefault="009773CD" w:rsidP="007926BB">
      <w:pPr>
        <w:ind w:right="237"/>
        <w:rPr>
          <w:rFonts w:eastAsia="Arial"/>
          <w:b/>
          <w:bCs/>
          <w:color w:val="000000" w:themeColor="text1"/>
          <w:sz w:val="24"/>
          <w:szCs w:val="24"/>
        </w:rPr>
      </w:pPr>
    </w:p>
    <w:p w14:paraId="30E15968" w14:textId="77777777" w:rsidR="009773CD" w:rsidRDefault="009773CD" w:rsidP="007926BB">
      <w:pPr>
        <w:ind w:right="237"/>
        <w:rPr>
          <w:rFonts w:eastAsia="Arial"/>
          <w:b/>
          <w:bCs/>
          <w:color w:val="000000" w:themeColor="text1"/>
          <w:sz w:val="24"/>
          <w:szCs w:val="24"/>
        </w:rPr>
      </w:pPr>
    </w:p>
    <w:p w14:paraId="533ADD92" w14:textId="77777777" w:rsidR="009773CD" w:rsidRDefault="009773CD" w:rsidP="007926BB">
      <w:pPr>
        <w:ind w:right="237"/>
        <w:rPr>
          <w:rFonts w:eastAsia="Arial"/>
          <w:b/>
          <w:bCs/>
          <w:color w:val="000000" w:themeColor="text1"/>
          <w:sz w:val="24"/>
          <w:szCs w:val="24"/>
        </w:rPr>
      </w:pPr>
    </w:p>
    <w:p w14:paraId="523B4437" w14:textId="77777777" w:rsidR="009773CD" w:rsidRDefault="009773CD" w:rsidP="007926BB">
      <w:pPr>
        <w:ind w:right="237"/>
        <w:rPr>
          <w:rFonts w:eastAsia="Arial"/>
          <w:b/>
          <w:bCs/>
          <w:color w:val="000000" w:themeColor="text1"/>
          <w:sz w:val="24"/>
          <w:szCs w:val="24"/>
        </w:rPr>
      </w:pPr>
    </w:p>
    <w:p w14:paraId="24436333" w14:textId="77777777" w:rsidR="009773CD" w:rsidRDefault="009773CD" w:rsidP="007926BB">
      <w:pPr>
        <w:ind w:right="237"/>
        <w:rPr>
          <w:rFonts w:eastAsia="Arial"/>
          <w:b/>
          <w:bCs/>
          <w:color w:val="000000" w:themeColor="text1"/>
          <w:sz w:val="24"/>
          <w:szCs w:val="24"/>
        </w:rPr>
      </w:pPr>
    </w:p>
    <w:p w14:paraId="1012C1EA" w14:textId="77777777" w:rsidR="009773CD" w:rsidRDefault="009773CD" w:rsidP="007926BB">
      <w:pPr>
        <w:ind w:right="237"/>
        <w:rPr>
          <w:rFonts w:eastAsia="Arial"/>
          <w:b/>
          <w:bCs/>
          <w:color w:val="000000" w:themeColor="text1"/>
          <w:sz w:val="24"/>
          <w:szCs w:val="24"/>
        </w:rPr>
      </w:pPr>
    </w:p>
    <w:p w14:paraId="07CB2F1A" w14:textId="77777777" w:rsidR="009773CD" w:rsidRDefault="009773CD" w:rsidP="007926BB">
      <w:pPr>
        <w:ind w:right="237"/>
        <w:rPr>
          <w:rFonts w:eastAsia="Arial"/>
          <w:b/>
          <w:bCs/>
          <w:color w:val="000000" w:themeColor="text1"/>
          <w:sz w:val="24"/>
          <w:szCs w:val="24"/>
        </w:rPr>
      </w:pPr>
    </w:p>
    <w:p w14:paraId="1A8BF12E" w14:textId="77777777" w:rsidR="009773CD" w:rsidRDefault="009773CD" w:rsidP="007926BB">
      <w:pPr>
        <w:ind w:right="237"/>
        <w:rPr>
          <w:rFonts w:eastAsia="Arial"/>
          <w:b/>
          <w:bCs/>
          <w:color w:val="000000" w:themeColor="text1"/>
          <w:sz w:val="24"/>
          <w:szCs w:val="24"/>
        </w:rPr>
      </w:pPr>
    </w:p>
    <w:p w14:paraId="55A5C509" w14:textId="77777777" w:rsidR="009773CD" w:rsidRDefault="009773CD" w:rsidP="007926BB">
      <w:pPr>
        <w:ind w:right="237"/>
        <w:rPr>
          <w:rFonts w:eastAsia="Arial"/>
          <w:b/>
          <w:bCs/>
          <w:color w:val="000000" w:themeColor="text1"/>
          <w:sz w:val="24"/>
          <w:szCs w:val="24"/>
        </w:rPr>
      </w:pPr>
    </w:p>
    <w:p w14:paraId="1ADEFAE5" w14:textId="06B1A9C4" w:rsidR="0FF883D4" w:rsidRDefault="5CE196A1" w:rsidP="007926BB">
      <w:pPr>
        <w:ind w:right="237"/>
      </w:pPr>
      <w:r w:rsidRPr="5CE196A1">
        <w:rPr>
          <w:rFonts w:eastAsia="Arial"/>
          <w:b/>
          <w:bCs/>
          <w:color w:val="000000" w:themeColor="text1"/>
          <w:sz w:val="24"/>
          <w:szCs w:val="24"/>
        </w:rPr>
        <w:t xml:space="preserve">Authentication signature: </w:t>
      </w:r>
      <w:r w:rsidR="0007339F" w:rsidRPr="0007339F">
        <w:rPr>
          <w:rFonts w:eastAsia="Arial"/>
          <w:b/>
          <w:bCs/>
          <w:i/>
          <w:iCs/>
          <w:color w:val="000000" w:themeColor="text1"/>
          <w:sz w:val="24"/>
          <w:szCs w:val="24"/>
        </w:rPr>
        <w:t>M. Tatar</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DB998C4" w:rsidR="0FF883D4" w:rsidRPr="0007339F" w:rsidRDefault="5CE196A1" w:rsidP="5CE196A1">
      <w:pPr>
        <w:rPr>
          <w:i/>
          <w:iCs/>
        </w:rPr>
      </w:pPr>
      <w:r w:rsidRPr="5CE196A1">
        <w:rPr>
          <w:rFonts w:eastAsia="Arial"/>
          <w:b/>
          <w:bCs/>
          <w:color w:val="000000" w:themeColor="text1"/>
          <w:sz w:val="24"/>
          <w:szCs w:val="24"/>
        </w:rPr>
        <w:t>Signed</w:t>
      </w:r>
      <w:r w:rsidRPr="0007339F">
        <w:rPr>
          <w:rFonts w:eastAsia="Arial"/>
          <w:b/>
          <w:bCs/>
          <w:i/>
          <w:iCs/>
          <w:color w:val="000000" w:themeColor="text1"/>
          <w:sz w:val="24"/>
          <w:szCs w:val="24"/>
        </w:rPr>
        <w:t xml:space="preserve">: </w:t>
      </w:r>
      <w:r w:rsidR="0007339F" w:rsidRPr="0007339F">
        <w:rPr>
          <w:rFonts w:eastAsia="Arial"/>
          <w:b/>
          <w:bCs/>
          <w:i/>
          <w:iCs/>
          <w:color w:val="000000" w:themeColor="text1"/>
          <w:sz w:val="24"/>
          <w:szCs w:val="24"/>
        </w:rPr>
        <w:t>M. Tatar</w:t>
      </w:r>
    </w:p>
    <w:p w14:paraId="563192E7" w14:textId="7A83C86F" w:rsidR="0FF883D4" w:rsidRPr="0007339F" w:rsidRDefault="5CE196A1" w:rsidP="5CE196A1">
      <w:pPr>
        <w:rPr>
          <w:i/>
          <w:iCs/>
        </w:rPr>
      </w:pPr>
      <w:r w:rsidRPr="0007339F">
        <w:rPr>
          <w:rFonts w:eastAsia="Arial"/>
          <w:b/>
          <w:bCs/>
          <w:i/>
          <w:i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622CAFA1" w:rsidR="0FF883D4" w:rsidRDefault="005705C6" w:rsidP="0007339F">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30/09/2024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49EB5EE8" w14:textId="52BE8F92" w:rsidR="00F44C1D" w:rsidRPr="00F44C1D" w:rsidRDefault="000F7ECD" w:rsidP="009773CD">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9A87707"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Barnardo’s, (2024). What is an ISVA? Available at: https://www.barnadosbeacon.org.uk/what-is-an-isva. (Accessed: 27/09/2024). </w:t>
      </w:r>
    </w:p>
    <w:p w14:paraId="4EEB407A" w14:textId="77777777" w:rsidR="009773CD" w:rsidRPr="009773CD" w:rsidRDefault="009773CD" w:rsidP="009773CD">
      <w:pPr>
        <w:rPr>
          <w:rFonts w:asciiTheme="minorHAnsi" w:hAnsiTheme="minorHAnsi" w:cstheme="minorHAnsi"/>
          <w:sz w:val="24"/>
          <w:szCs w:val="24"/>
        </w:rPr>
      </w:pPr>
    </w:p>
    <w:p w14:paraId="0CB339D6" w14:textId="77777777" w:rsidR="009773CD" w:rsidRDefault="009773CD" w:rsidP="009773CD">
      <w:pPr>
        <w:rPr>
          <w:rFonts w:asciiTheme="minorHAnsi" w:hAnsiTheme="minorHAnsi" w:cstheme="minorHAnsi"/>
          <w:sz w:val="24"/>
          <w:szCs w:val="24"/>
        </w:rPr>
      </w:pPr>
    </w:p>
    <w:p w14:paraId="321568C1" w14:textId="3BE2F3E4"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Bartowiak, Asquith (2012) Understanding the outcome of police safeguarding notifications to social services in South Wales. The Police Journal. Available at: https://doi.org/10.1177/0032258X19836144. (Accessed: 27/09/2024). </w:t>
      </w:r>
    </w:p>
    <w:p w14:paraId="7A60852F" w14:textId="77777777" w:rsidR="009773CD" w:rsidRPr="009773CD" w:rsidRDefault="009773CD" w:rsidP="009773CD">
      <w:pPr>
        <w:rPr>
          <w:rFonts w:asciiTheme="minorHAnsi" w:hAnsiTheme="minorHAnsi" w:cstheme="minorHAnsi"/>
          <w:sz w:val="24"/>
          <w:szCs w:val="24"/>
        </w:rPr>
      </w:pPr>
    </w:p>
    <w:p w14:paraId="70EFD59E" w14:textId="77777777" w:rsidR="009773CD" w:rsidRDefault="009773CD" w:rsidP="009773CD">
      <w:pPr>
        <w:rPr>
          <w:rFonts w:asciiTheme="minorHAnsi" w:hAnsiTheme="minorHAnsi" w:cstheme="minorHAnsi"/>
          <w:sz w:val="24"/>
          <w:szCs w:val="24"/>
        </w:rPr>
      </w:pPr>
    </w:p>
    <w:p w14:paraId="63E24A71" w14:textId="33AC3812"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Boivin, R. and Leclerc, C. (2016). Domestic violence reported to the police: correlates of victim’s reporting behaviour and support to legal proceedings.  </w:t>
      </w:r>
      <w:r w:rsidRPr="009773CD">
        <w:rPr>
          <w:rFonts w:asciiTheme="minorHAnsi" w:hAnsiTheme="minorHAnsi" w:cstheme="minorHAnsi"/>
          <w:i/>
          <w:iCs/>
          <w:sz w:val="24"/>
          <w:szCs w:val="24"/>
        </w:rPr>
        <w:t>Violence and Victims</w:t>
      </w:r>
      <w:r w:rsidRPr="009773CD">
        <w:rPr>
          <w:rFonts w:asciiTheme="minorHAnsi" w:hAnsiTheme="minorHAnsi" w:cstheme="minorHAnsi"/>
          <w:sz w:val="24"/>
          <w:szCs w:val="24"/>
        </w:rPr>
        <w:t xml:space="preserve">, 31(3), pp.402–415. Available at: https://doi.org/10.1891/0886-6708.vv-d-14-00076. (Accessed: 27/09/2024). </w:t>
      </w:r>
    </w:p>
    <w:p w14:paraId="014E4B52" w14:textId="77777777" w:rsidR="009773CD" w:rsidRDefault="009773CD" w:rsidP="009773CD">
      <w:pPr>
        <w:spacing w:before="240"/>
        <w:rPr>
          <w:rFonts w:asciiTheme="minorHAnsi" w:hAnsiTheme="minorHAnsi" w:cstheme="minorHAnsi"/>
          <w:sz w:val="24"/>
          <w:szCs w:val="24"/>
        </w:rPr>
      </w:pPr>
    </w:p>
    <w:p w14:paraId="1734D984" w14:textId="6D80CD3B"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Broberg, R. (2022). Why are men often overlooked as victims of domestic abuse? Available at: https://www.centreforsocialjustice.org.uk/newsroom/why-are-men-often-overlooked-as-victims-of-domestic-abuse. (Accessed: 28/09/2024). </w:t>
      </w:r>
    </w:p>
    <w:p w14:paraId="61895A9E" w14:textId="77777777" w:rsidR="009773CD" w:rsidRPr="009773CD" w:rsidRDefault="009773CD" w:rsidP="009773CD">
      <w:pPr>
        <w:rPr>
          <w:rFonts w:asciiTheme="minorHAnsi" w:hAnsiTheme="minorHAnsi" w:cstheme="minorHAnsi"/>
          <w:sz w:val="24"/>
          <w:szCs w:val="24"/>
        </w:rPr>
      </w:pPr>
    </w:p>
    <w:p w14:paraId="6514E422" w14:textId="77777777" w:rsidR="009773CD" w:rsidRDefault="009773CD" w:rsidP="009773CD">
      <w:pPr>
        <w:rPr>
          <w:rFonts w:asciiTheme="minorHAnsi" w:hAnsiTheme="minorHAnsi" w:cstheme="minorHAnsi"/>
          <w:sz w:val="24"/>
          <w:szCs w:val="24"/>
        </w:rPr>
      </w:pPr>
    </w:p>
    <w:p w14:paraId="6D664C0B" w14:textId="09C1A649"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College of Policing (2023). Making Good Decisions. Available at: httsp://www.college.police.uk/guidance/conducting-effective-investigaitons/making-good-decisions. (Accessed: 28/09/2024). </w:t>
      </w:r>
    </w:p>
    <w:p w14:paraId="6962AE32" w14:textId="77777777" w:rsidR="009773CD" w:rsidRDefault="009773CD" w:rsidP="009773CD">
      <w:pPr>
        <w:spacing w:before="240"/>
        <w:rPr>
          <w:rFonts w:asciiTheme="minorHAnsi" w:hAnsiTheme="minorHAnsi" w:cstheme="minorHAnsi"/>
          <w:sz w:val="24"/>
          <w:szCs w:val="24"/>
        </w:rPr>
      </w:pPr>
    </w:p>
    <w:p w14:paraId="37E65967" w14:textId="2F624E4D"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College of Policing (2024). Code of Ethics. Available at: https://www.college.police.uk/ethics/code-of-ethics. (Accessed: 28/09/2024).</w:t>
      </w:r>
    </w:p>
    <w:p w14:paraId="077F07FE" w14:textId="77777777" w:rsidR="009773CD" w:rsidRDefault="009773CD" w:rsidP="009773CD">
      <w:pPr>
        <w:spacing w:before="240"/>
        <w:rPr>
          <w:rFonts w:asciiTheme="minorHAnsi" w:hAnsiTheme="minorHAnsi" w:cstheme="minorHAnsi"/>
          <w:sz w:val="24"/>
          <w:szCs w:val="24"/>
        </w:rPr>
      </w:pPr>
    </w:p>
    <w:p w14:paraId="7DEA2801" w14:textId="6262E884"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Criminal Justice Act 1988, Section 39. Available at: https://www.cps.gov.uk/legal-guidance/offences-against-person-incorporating-charging-standard. (Accessed: 28/09/2024). </w:t>
      </w:r>
    </w:p>
    <w:p w14:paraId="1B0DA833" w14:textId="77777777" w:rsidR="009773CD" w:rsidRPr="009773CD" w:rsidRDefault="009773CD" w:rsidP="009773CD">
      <w:pPr>
        <w:spacing w:before="240"/>
        <w:rPr>
          <w:rFonts w:asciiTheme="minorHAnsi" w:hAnsiTheme="minorHAnsi" w:cstheme="minorHAnsi"/>
          <w:sz w:val="24"/>
          <w:szCs w:val="24"/>
        </w:rPr>
      </w:pPr>
    </w:p>
    <w:p w14:paraId="75FA6D7D"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lastRenderedPageBreak/>
        <w:t>Criminal Justice, (2015). Stockholm Syndrome in Battered Women. Available at: https://criminal-justice.iresearchnet.com/type-of-crime/domestic-viokence/stockholm- syndrome-in-battered-women/. (Accessed: 28/09/2024).</w:t>
      </w:r>
    </w:p>
    <w:p w14:paraId="234740C2" w14:textId="77777777" w:rsidR="009773CD" w:rsidRPr="009773CD" w:rsidRDefault="009773CD" w:rsidP="009773CD">
      <w:pPr>
        <w:rPr>
          <w:rFonts w:asciiTheme="minorHAnsi" w:hAnsiTheme="minorHAnsi" w:cstheme="minorHAnsi"/>
          <w:sz w:val="24"/>
          <w:szCs w:val="24"/>
        </w:rPr>
      </w:pPr>
    </w:p>
    <w:p w14:paraId="79C9BDAE" w14:textId="77777777" w:rsidR="009773CD" w:rsidRDefault="009773CD" w:rsidP="009773CD">
      <w:pPr>
        <w:rPr>
          <w:rFonts w:asciiTheme="minorHAnsi" w:hAnsiTheme="minorHAnsi" w:cstheme="minorHAnsi"/>
          <w:sz w:val="24"/>
          <w:szCs w:val="24"/>
        </w:rPr>
      </w:pPr>
    </w:p>
    <w:p w14:paraId="7F8C1F20" w14:textId="7396C328"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Criminal Law Act 1977. Available at: https://www.legilation.gov.uk/ukpga/1977/45/section/64. (Accessed: 27/09/2024).</w:t>
      </w:r>
    </w:p>
    <w:p w14:paraId="3D9307DC" w14:textId="77777777" w:rsidR="009773CD" w:rsidRDefault="009773CD" w:rsidP="009773CD">
      <w:pPr>
        <w:rPr>
          <w:rFonts w:asciiTheme="minorHAnsi" w:hAnsiTheme="minorHAnsi" w:cstheme="minorHAnsi"/>
          <w:sz w:val="24"/>
          <w:szCs w:val="24"/>
        </w:rPr>
      </w:pPr>
    </w:p>
    <w:p w14:paraId="55182265" w14:textId="77777777" w:rsidR="009773CD" w:rsidRPr="009773CD" w:rsidRDefault="009773CD" w:rsidP="009773CD">
      <w:pPr>
        <w:rPr>
          <w:rFonts w:asciiTheme="minorHAnsi" w:hAnsiTheme="minorHAnsi" w:cstheme="minorHAnsi"/>
          <w:sz w:val="24"/>
          <w:szCs w:val="24"/>
        </w:rPr>
      </w:pPr>
    </w:p>
    <w:p w14:paraId="4CA158DD"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Crown Prosecution Service (2019). So called Honour-Based Abuse and Forced Marriage: Guidance on identifying and flagging cases. Available at: https://wwwc.cps.gov.uk/legal-guidance/so-called-honour-based-abuse. (Accessed: 27/09/2024).</w:t>
      </w:r>
    </w:p>
    <w:p w14:paraId="64DAFD3C" w14:textId="77777777" w:rsidR="009773CD" w:rsidRPr="009773CD" w:rsidRDefault="009773CD" w:rsidP="009773CD">
      <w:pPr>
        <w:rPr>
          <w:rFonts w:asciiTheme="minorHAnsi" w:hAnsiTheme="minorHAnsi" w:cstheme="minorHAnsi"/>
          <w:sz w:val="24"/>
          <w:szCs w:val="24"/>
        </w:rPr>
      </w:pPr>
    </w:p>
    <w:p w14:paraId="1DCB6E08" w14:textId="77777777" w:rsidR="009773CD" w:rsidRDefault="009773CD" w:rsidP="009773CD">
      <w:pPr>
        <w:rPr>
          <w:rFonts w:asciiTheme="minorHAnsi" w:hAnsiTheme="minorHAnsi" w:cstheme="minorHAnsi"/>
          <w:sz w:val="24"/>
          <w:szCs w:val="24"/>
        </w:rPr>
      </w:pPr>
    </w:p>
    <w:p w14:paraId="4031D6AA" w14:textId="19EC6AD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Davies, M. (2020). Police Federation. Demand Capacity &amp; welfare survey 2020. Available at: https://www.polfed.org./media/16557. (Accessed: 27/09/2024).</w:t>
      </w:r>
    </w:p>
    <w:p w14:paraId="530518DD" w14:textId="77777777" w:rsidR="009773CD" w:rsidRPr="009773CD" w:rsidRDefault="009773CD" w:rsidP="009773CD">
      <w:pPr>
        <w:rPr>
          <w:rFonts w:asciiTheme="minorHAnsi" w:hAnsiTheme="minorHAnsi" w:cstheme="minorHAnsi"/>
          <w:sz w:val="24"/>
          <w:szCs w:val="24"/>
        </w:rPr>
      </w:pPr>
    </w:p>
    <w:p w14:paraId="2B461335" w14:textId="77777777" w:rsidR="009773CD" w:rsidRDefault="009773CD" w:rsidP="009773CD">
      <w:pPr>
        <w:rPr>
          <w:rFonts w:asciiTheme="minorHAnsi" w:hAnsiTheme="minorHAnsi" w:cstheme="minorHAnsi"/>
          <w:sz w:val="24"/>
          <w:szCs w:val="24"/>
        </w:rPr>
      </w:pPr>
    </w:p>
    <w:p w14:paraId="0597BFB7" w14:textId="2048FE0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Elkin, M. (2018). Domestic Abuse in England and Wales: Year Ending March 2018. Available at: https://www.ons.gov.uk/peoplepopulationandcommunity/crimeandjustice/bulletins/domestica-buseinenglandandwales/latest#crown-prosecution-service-prosecutions-and-convictions. (Accessed: 27/09/2024). </w:t>
      </w:r>
    </w:p>
    <w:p w14:paraId="29A27266" w14:textId="77777777" w:rsidR="009773CD" w:rsidRPr="009773CD" w:rsidRDefault="009773CD" w:rsidP="009773CD">
      <w:pPr>
        <w:rPr>
          <w:rFonts w:asciiTheme="minorHAnsi" w:hAnsiTheme="minorHAnsi" w:cstheme="minorHAnsi"/>
          <w:sz w:val="24"/>
          <w:szCs w:val="24"/>
        </w:rPr>
      </w:pPr>
    </w:p>
    <w:p w14:paraId="6964C48E" w14:textId="77777777" w:rsidR="009773CD" w:rsidRDefault="009773CD" w:rsidP="009773CD">
      <w:pPr>
        <w:rPr>
          <w:rFonts w:asciiTheme="minorHAnsi" w:hAnsiTheme="minorHAnsi" w:cstheme="minorHAnsi"/>
          <w:sz w:val="24"/>
          <w:szCs w:val="24"/>
        </w:rPr>
      </w:pPr>
    </w:p>
    <w:p w14:paraId="580B7F41" w14:textId="3A5BA8BA"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Evidence Based Policing 2024. Research to support EBP. Available at: https://www.college.policd.uk/research/evidence-based-policing-EBP. (Accessed: 27/09/2024). </w:t>
      </w:r>
    </w:p>
    <w:p w14:paraId="4C1DD666" w14:textId="77777777" w:rsidR="009773CD" w:rsidRPr="009773CD" w:rsidRDefault="009773CD" w:rsidP="009773CD">
      <w:pPr>
        <w:rPr>
          <w:rFonts w:asciiTheme="minorHAnsi" w:hAnsiTheme="minorHAnsi" w:cstheme="minorHAnsi"/>
          <w:sz w:val="24"/>
          <w:szCs w:val="24"/>
        </w:rPr>
      </w:pPr>
    </w:p>
    <w:p w14:paraId="6A9F4CB9" w14:textId="77777777" w:rsidR="009773CD" w:rsidRDefault="009773CD" w:rsidP="009773CD">
      <w:pPr>
        <w:rPr>
          <w:rFonts w:asciiTheme="minorHAnsi" w:hAnsiTheme="minorHAnsi" w:cstheme="minorHAnsi"/>
          <w:sz w:val="24"/>
          <w:szCs w:val="24"/>
        </w:rPr>
      </w:pPr>
    </w:p>
    <w:p w14:paraId="2FB6F593" w14:textId="59D56562"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Grove, L. and Farrell, G. (2010). Repeat victimization. Available at: https://doi.org/10.4135/9781412979993.n258. (Accessed: 27/09/2024). </w:t>
      </w:r>
    </w:p>
    <w:p w14:paraId="18F7DF2C" w14:textId="77777777" w:rsidR="009773CD" w:rsidRPr="009773CD" w:rsidRDefault="009773CD" w:rsidP="009773CD">
      <w:pPr>
        <w:rPr>
          <w:rFonts w:asciiTheme="minorHAnsi" w:hAnsiTheme="minorHAnsi" w:cstheme="minorHAnsi"/>
          <w:sz w:val="24"/>
          <w:szCs w:val="24"/>
        </w:rPr>
      </w:pPr>
    </w:p>
    <w:p w14:paraId="056AC9EC" w14:textId="77777777" w:rsidR="009773CD" w:rsidRDefault="009773CD" w:rsidP="009773CD">
      <w:pPr>
        <w:rPr>
          <w:rFonts w:asciiTheme="minorHAnsi" w:hAnsiTheme="minorHAnsi" w:cstheme="minorHAnsi"/>
          <w:sz w:val="24"/>
          <w:szCs w:val="24"/>
        </w:rPr>
      </w:pPr>
    </w:p>
    <w:p w14:paraId="78395B7F" w14:textId="7C4F332A"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HMICFRS (2022). Golden Hour Principles. Available at: hhtps://hmicfrs:justiceinspectorates.gov.uk/glossary/golden-hour-princples. (Accessed: 27/09/2024).</w:t>
      </w:r>
    </w:p>
    <w:p w14:paraId="4B780009" w14:textId="77777777" w:rsidR="009773CD" w:rsidRPr="009773CD" w:rsidRDefault="009773CD" w:rsidP="009773CD">
      <w:pPr>
        <w:spacing w:before="240"/>
        <w:rPr>
          <w:rFonts w:asciiTheme="minorHAnsi" w:hAnsiTheme="minorHAnsi" w:cstheme="minorHAnsi"/>
          <w:sz w:val="24"/>
          <w:szCs w:val="24"/>
        </w:rPr>
      </w:pPr>
    </w:p>
    <w:p w14:paraId="55A63E7F"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HMICFRS 2023. Bail. Available at: https://hmicfrs.justiceinspectorates.gov.uk/glossary/bail/. (Accessed: 28/09/2024)</w:t>
      </w:r>
    </w:p>
    <w:p w14:paraId="65B8772F" w14:textId="77777777" w:rsidR="009773CD" w:rsidRPr="009773CD" w:rsidRDefault="009773CD" w:rsidP="009773CD">
      <w:pPr>
        <w:rPr>
          <w:rFonts w:asciiTheme="minorHAnsi" w:hAnsiTheme="minorHAnsi" w:cstheme="minorHAnsi"/>
          <w:sz w:val="24"/>
          <w:szCs w:val="24"/>
        </w:rPr>
      </w:pPr>
    </w:p>
    <w:p w14:paraId="2CC6A1DC" w14:textId="77777777" w:rsidR="009773CD" w:rsidRDefault="009773CD" w:rsidP="009773CD">
      <w:pPr>
        <w:rPr>
          <w:rFonts w:asciiTheme="minorHAnsi" w:hAnsiTheme="minorHAnsi" w:cstheme="minorHAnsi"/>
          <w:sz w:val="24"/>
          <w:szCs w:val="24"/>
        </w:rPr>
      </w:pPr>
    </w:p>
    <w:p w14:paraId="70C1393D" w14:textId="5B3C3AAE"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Independent Office for Police Conduct (2022). A duty to protect: Police use of protective of protective measures in cases involving against women and girls. Available at: https://www.gov.uk/government/publications/police-use-of-protective-measures-in-cases-violence-against-women-and-girls. (Accessed: 27/09/2024).</w:t>
      </w:r>
    </w:p>
    <w:p w14:paraId="3FBDB9F8" w14:textId="77777777" w:rsidR="009773CD" w:rsidRPr="009773CD" w:rsidRDefault="009773CD" w:rsidP="009773CD">
      <w:pPr>
        <w:rPr>
          <w:rFonts w:asciiTheme="minorHAnsi" w:hAnsiTheme="minorHAnsi" w:cstheme="minorHAnsi"/>
          <w:sz w:val="24"/>
          <w:szCs w:val="24"/>
        </w:rPr>
      </w:pPr>
    </w:p>
    <w:p w14:paraId="6C942CA4" w14:textId="7777777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Janse, B. (2022). Borton’s Model of Reflection. Available at: https://www.toolshero.com/personal-development/borton-model-of-reflection/. (Accessed: 28/09/2024).</w:t>
      </w:r>
    </w:p>
    <w:p w14:paraId="0B818FB6" w14:textId="77777777" w:rsidR="009773CD" w:rsidRPr="009773CD" w:rsidRDefault="009773CD" w:rsidP="009773CD">
      <w:pPr>
        <w:rPr>
          <w:rFonts w:asciiTheme="minorHAnsi" w:hAnsiTheme="minorHAnsi" w:cstheme="minorHAnsi"/>
          <w:sz w:val="24"/>
          <w:szCs w:val="24"/>
        </w:rPr>
      </w:pPr>
    </w:p>
    <w:p w14:paraId="1F1A8049" w14:textId="77777777" w:rsidR="009773CD" w:rsidRDefault="009773CD" w:rsidP="009773CD">
      <w:pPr>
        <w:rPr>
          <w:rFonts w:asciiTheme="minorHAnsi" w:hAnsiTheme="minorHAnsi" w:cstheme="minorHAnsi"/>
          <w:sz w:val="24"/>
          <w:szCs w:val="24"/>
        </w:rPr>
      </w:pPr>
    </w:p>
    <w:p w14:paraId="0472DD9C" w14:textId="30A4032C"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Jones, P. (2023). Domestic abuse victim characteristics, England and Wales: year ending March 2023. Office for National Statistics. Available at: https://www.ons.gov.uk/peoplepopulationandcommunity/crimeandjustice/articles/domesticabusevictimcharacteristicsengl. (Accessed: 28/09/2024).</w:t>
      </w:r>
    </w:p>
    <w:p w14:paraId="45AC6EC1" w14:textId="77777777" w:rsidR="009773CD" w:rsidRPr="009773CD" w:rsidRDefault="009773CD" w:rsidP="009773CD">
      <w:pPr>
        <w:rPr>
          <w:rFonts w:asciiTheme="minorHAnsi" w:hAnsiTheme="minorHAnsi" w:cstheme="minorHAnsi"/>
          <w:sz w:val="24"/>
          <w:szCs w:val="24"/>
        </w:rPr>
      </w:pPr>
    </w:p>
    <w:p w14:paraId="71BF9A01" w14:textId="77777777" w:rsidR="009773CD" w:rsidRDefault="009773CD" w:rsidP="009773CD">
      <w:pPr>
        <w:rPr>
          <w:rFonts w:asciiTheme="minorHAnsi" w:hAnsiTheme="minorHAnsi" w:cstheme="minorHAnsi"/>
          <w:sz w:val="24"/>
          <w:szCs w:val="24"/>
        </w:rPr>
      </w:pPr>
    </w:p>
    <w:p w14:paraId="0321CE17" w14:textId="56B82711"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Karma Nirvana (2023). Honour Based offences rise by 1%. Available at: https://karmanirvana.org.uk. (Accessed: 27/09/2024). </w:t>
      </w:r>
    </w:p>
    <w:p w14:paraId="42EBF204" w14:textId="77777777" w:rsidR="009773CD" w:rsidRPr="009773CD" w:rsidRDefault="009773CD" w:rsidP="009773CD">
      <w:pPr>
        <w:rPr>
          <w:rFonts w:asciiTheme="minorHAnsi" w:hAnsiTheme="minorHAnsi" w:cstheme="minorHAnsi"/>
          <w:sz w:val="24"/>
          <w:szCs w:val="24"/>
        </w:rPr>
      </w:pPr>
    </w:p>
    <w:p w14:paraId="0A4B000C" w14:textId="77777777" w:rsidR="009773CD" w:rsidRDefault="009773CD" w:rsidP="009773CD">
      <w:pPr>
        <w:rPr>
          <w:rFonts w:asciiTheme="minorHAnsi" w:hAnsiTheme="minorHAnsi" w:cstheme="minorHAnsi"/>
          <w:sz w:val="24"/>
          <w:szCs w:val="24"/>
        </w:rPr>
      </w:pPr>
    </w:p>
    <w:p w14:paraId="70B05CFE" w14:textId="5E84089B"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Kennedy, A. and Prock, K. (2016) “I Still feel like I am not normal”: A review of the role of stigma and stigmatization among female survivors of child sexual abuse, sexual assault and intimate partner violence. Available at: https://doi.org/10.1177/1524838016673601. (Accessed: 27/09/2024).</w:t>
      </w:r>
    </w:p>
    <w:p w14:paraId="38EC6F70" w14:textId="77777777" w:rsidR="009773CD" w:rsidRPr="009773CD" w:rsidRDefault="009773CD" w:rsidP="009773CD">
      <w:pPr>
        <w:spacing w:before="240"/>
        <w:rPr>
          <w:rFonts w:asciiTheme="minorHAnsi" w:hAnsiTheme="minorHAnsi" w:cstheme="minorHAnsi"/>
          <w:sz w:val="24"/>
          <w:szCs w:val="24"/>
        </w:rPr>
      </w:pPr>
    </w:p>
    <w:p w14:paraId="617BFC91"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Lister, S., Burn, D. and Pina-Sanchez, J. (2018). Exploring the impacts of police use of body-worn video cameras at incidents of domestic abuse. Available at: https://documents.manchester.ac.uk/display.aspx?DocID=56481. (Accessed: 28/09/2024). </w:t>
      </w:r>
    </w:p>
    <w:p w14:paraId="6C95418E" w14:textId="77777777" w:rsidR="009773CD" w:rsidRPr="009773CD" w:rsidRDefault="009773CD" w:rsidP="009773CD">
      <w:pPr>
        <w:rPr>
          <w:rFonts w:asciiTheme="minorHAnsi" w:hAnsiTheme="minorHAnsi" w:cstheme="minorHAnsi"/>
          <w:sz w:val="24"/>
          <w:szCs w:val="24"/>
        </w:rPr>
      </w:pPr>
    </w:p>
    <w:p w14:paraId="0B841707" w14:textId="77777777" w:rsidR="009773CD" w:rsidRDefault="009773CD" w:rsidP="009773CD">
      <w:pPr>
        <w:rPr>
          <w:rFonts w:asciiTheme="minorHAnsi" w:hAnsiTheme="minorHAnsi" w:cstheme="minorHAnsi"/>
          <w:sz w:val="24"/>
          <w:szCs w:val="24"/>
        </w:rPr>
      </w:pPr>
    </w:p>
    <w:p w14:paraId="3500E098" w14:textId="7A4D88C0"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National Sexual Violence Resource Centre (2024). About Sexual Assault. Available at: </w:t>
      </w:r>
      <w:hyperlink r:id="rId16" w:history="1">
        <w:r w:rsidRPr="009773CD">
          <w:rPr>
            <w:rStyle w:val="Hyperlink"/>
            <w:rFonts w:asciiTheme="minorHAnsi" w:hAnsiTheme="minorHAnsi" w:cstheme="minorHAnsi"/>
            <w:sz w:val="24"/>
            <w:szCs w:val="24"/>
          </w:rPr>
          <w:t>https://www.nsvrc.org/about-sexual-assault</w:t>
        </w:r>
      </w:hyperlink>
      <w:r w:rsidRPr="009773CD">
        <w:rPr>
          <w:rFonts w:asciiTheme="minorHAnsi" w:hAnsiTheme="minorHAnsi" w:cstheme="minorHAnsi"/>
          <w:sz w:val="24"/>
          <w:szCs w:val="24"/>
        </w:rPr>
        <w:t>. (Accessed: 27/09/2024).</w:t>
      </w:r>
    </w:p>
    <w:p w14:paraId="7DB4F25E" w14:textId="77777777" w:rsidR="009773CD" w:rsidRPr="009773CD" w:rsidRDefault="009773CD" w:rsidP="009773CD">
      <w:pPr>
        <w:spacing w:before="240"/>
        <w:rPr>
          <w:rFonts w:asciiTheme="minorHAnsi" w:hAnsiTheme="minorHAnsi" w:cstheme="minorHAnsi"/>
          <w:sz w:val="24"/>
          <w:szCs w:val="24"/>
        </w:rPr>
      </w:pPr>
    </w:p>
    <w:p w14:paraId="21C30779"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Officer for National Statistics (2023). Domestic Abuse and the Criminal Justice system, England and Wales. Available at: https://www.ons.gov.uk/peoplepopulationandcommunity/crimeandjustice/articles/domesticabuseandthecriminaljusticesysteme. (Accessed: 28/09/2024). </w:t>
      </w:r>
    </w:p>
    <w:p w14:paraId="5202623B" w14:textId="77777777" w:rsidR="009773CD" w:rsidRPr="009773CD" w:rsidRDefault="009773CD" w:rsidP="009773CD">
      <w:pPr>
        <w:spacing w:before="240"/>
        <w:rPr>
          <w:rFonts w:asciiTheme="minorHAnsi" w:hAnsiTheme="minorHAnsi" w:cstheme="minorHAnsi"/>
          <w:sz w:val="24"/>
          <w:szCs w:val="24"/>
        </w:rPr>
      </w:pPr>
    </w:p>
    <w:p w14:paraId="407F50E4"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Police and Criminal Evidence Act 1984. Available at: https://www.legislation.gov.uk/ukpga/1984/60/section/41. (Accessed: 28/09/2024)</w:t>
      </w:r>
    </w:p>
    <w:p w14:paraId="6F4F2466" w14:textId="77777777" w:rsidR="009773CD" w:rsidRPr="009773CD" w:rsidRDefault="009773CD" w:rsidP="009773CD">
      <w:pPr>
        <w:rPr>
          <w:rFonts w:asciiTheme="minorHAnsi" w:hAnsiTheme="minorHAnsi" w:cstheme="minorHAnsi"/>
          <w:sz w:val="24"/>
          <w:szCs w:val="24"/>
        </w:rPr>
      </w:pPr>
    </w:p>
    <w:p w14:paraId="336E12C8" w14:textId="77777777" w:rsidR="009773CD" w:rsidRDefault="009773CD" w:rsidP="009773CD">
      <w:pPr>
        <w:rPr>
          <w:rFonts w:asciiTheme="minorHAnsi" w:hAnsiTheme="minorHAnsi" w:cstheme="minorHAnsi"/>
          <w:sz w:val="24"/>
          <w:szCs w:val="24"/>
        </w:rPr>
      </w:pPr>
    </w:p>
    <w:p w14:paraId="4A345AA2" w14:textId="657422F6"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Police Federation (2023). The unacceptable reality of Police Officer assaults cries for urgent change. Available at: </w:t>
      </w:r>
      <w:hyperlink r:id="rId17" w:history="1">
        <w:r w:rsidRPr="009773CD">
          <w:rPr>
            <w:rStyle w:val="Hyperlink"/>
            <w:rFonts w:asciiTheme="minorHAnsi" w:hAnsiTheme="minorHAnsi" w:cstheme="minorHAnsi"/>
            <w:sz w:val="24"/>
            <w:szCs w:val="24"/>
          </w:rPr>
          <w:t>https://www.polfed.org/news/blogs/2023/the-unacceptable-reality-of-police-officer-assaults-cries-for-urgent-change/</w:t>
        </w:r>
      </w:hyperlink>
      <w:r w:rsidRPr="009773CD">
        <w:rPr>
          <w:rFonts w:asciiTheme="minorHAnsi" w:hAnsiTheme="minorHAnsi" w:cstheme="minorHAnsi"/>
          <w:sz w:val="24"/>
          <w:szCs w:val="24"/>
        </w:rPr>
        <w:t>. (Accessed: 28/09/2024).</w:t>
      </w:r>
    </w:p>
    <w:p w14:paraId="5585E32C" w14:textId="77777777" w:rsidR="009773CD" w:rsidRPr="009773CD" w:rsidRDefault="009773CD" w:rsidP="009773CD">
      <w:pPr>
        <w:spacing w:before="240"/>
        <w:rPr>
          <w:rFonts w:asciiTheme="minorHAnsi" w:hAnsiTheme="minorHAnsi" w:cstheme="minorHAnsi"/>
          <w:sz w:val="24"/>
          <w:szCs w:val="24"/>
        </w:rPr>
      </w:pPr>
    </w:p>
    <w:p w14:paraId="0C690586"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Pre-charge bail Statutory guidance. (2023). Available at: https://assets.publishing.service.gov.uk/government/uploads/system/uploads/attachment_data/file/1139539/Pre-charge-bail-statutory-guidance-web.pdf. (Accessed: 28/09/2024). </w:t>
      </w:r>
    </w:p>
    <w:p w14:paraId="3405A6CB" w14:textId="77777777" w:rsidR="009773CD" w:rsidRPr="009773CD" w:rsidRDefault="009773CD" w:rsidP="009773CD">
      <w:pPr>
        <w:spacing w:before="240"/>
        <w:rPr>
          <w:rFonts w:asciiTheme="minorHAnsi" w:hAnsiTheme="minorHAnsi" w:cstheme="minorHAnsi"/>
          <w:sz w:val="24"/>
          <w:szCs w:val="24"/>
        </w:rPr>
      </w:pPr>
    </w:p>
    <w:p w14:paraId="57DC8DAA"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Robinson, A., Myhill, A., Wire, J., Roberts, J. and Tilley, N. (2016). Risk-led policing of domestic abuse and the DASH risk model. Available at: https://library.college.police.uk/docs/college-of-policing/risk-led-policing-2-2016.pdf. (Accessed: 28/09/2024). </w:t>
      </w:r>
    </w:p>
    <w:p w14:paraId="43339D62" w14:textId="77777777" w:rsidR="009773CD" w:rsidRPr="009773CD" w:rsidRDefault="009773CD" w:rsidP="009773CD">
      <w:pPr>
        <w:spacing w:before="240"/>
        <w:rPr>
          <w:rFonts w:asciiTheme="minorHAnsi" w:hAnsiTheme="minorHAnsi" w:cstheme="minorHAnsi"/>
          <w:sz w:val="24"/>
          <w:szCs w:val="24"/>
        </w:rPr>
      </w:pPr>
    </w:p>
    <w:p w14:paraId="2E297E49"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Rosenbaum, D.P., Schuck, A.M., Costello, S.K., Hawkins, D.F. and Ring, M.K. (2005) ‘Attitudes toward the police: The effects of direct and vicarious experience’. Available at: https://doi.org/10.1177/1098611104271085. (Accessed: 28/09/2024). </w:t>
      </w:r>
    </w:p>
    <w:p w14:paraId="08DE8D84" w14:textId="77777777" w:rsidR="009773CD" w:rsidRPr="009773CD" w:rsidRDefault="009773CD" w:rsidP="009773CD">
      <w:pPr>
        <w:rPr>
          <w:rFonts w:asciiTheme="minorHAnsi" w:hAnsiTheme="minorHAnsi" w:cstheme="minorHAnsi"/>
          <w:sz w:val="24"/>
          <w:szCs w:val="24"/>
        </w:rPr>
      </w:pPr>
    </w:p>
    <w:p w14:paraId="6545E030" w14:textId="77777777" w:rsidR="009773CD" w:rsidRDefault="009773CD" w:rsidP="009773CD">
      <w:pPr>
        <w:rPr>
          <w:rFonts w:asciiTheme="minorHAnsi" w:hAnsiTheme="minorHAnsi" w:cstheme="minorHAnsi"/>
          <w:sz w:val="24"/>
          <w:szCs w:val="24"/>
        </w:rPr>
      </w:pPr>
    </w:p>
    <w:p w14:paraId="5CE7B002" w14:textId="20D34D36"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Sexual Offences Act 2003. Available at: hhtps://legislation.gov.uk/ukpga/2003/42/contents.  (Accessed: 27/09/2024).</w:t>
      </w:r>
    </w:p>
    <w:p w14:paraId="3F581943" w14:textId="77777777" w:rsidR="009773CD" w:rsidRPr="009773CD" w:rsidRDefault="009773CD" w:rsidP="009773CD">
      <w:pPr>
        <w:spacing w:before="240"/>
        <w:rPr>
          <w:rFonts w:asciiTheme="minorHAnsi" w:hAnsiTheme="minorHAnsi" w:cstheme="minorHAnsi"/>
          <w:sz w:val="24"/>
          <w:szCs w:val="24"/>
        </w:rPr>
      </w:pPr>
    </w:p>
    <w:p w14:paraId="31CE05B1"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South Wales Police 2024. Body Worn Video Cameras. Available at: https://www.south-wales.police.uk/police-forces/south-wales-police/areas/about-us/about-us/body-worn-video/camera/. (Accessed: 28/09/2024). </w:t>
      </w:r>
    </w:p>
    <w:p w14:paraId="47BD35C9" w14:textId="77777777" w:rsidR="009773CD" w:rsidRPr="009773CD" w:rsidRDefault="009773CD" w:rsidP="009773CD">
      <w:pPr>
        <w:spacing w:before="240"/>
        <w:rPr>
          <w:rFonts w:asciiTheme="minorHAnsi" w:hAnsiTheme="minorHAnsi" w:cstheme="minorHAnsi"/>
          <w:sz w:val="24"/>
          <w:szCs w:val="24"/>
        </w:rPr>
      </w:pPr>
    </w:p>
    <w:p w14:paraId="40C53BBB" w14:textId="77777777" w:rsidR="009773CD" w:rsidRPr="009773CD" w:rsidRDefault="009773CD" w:rsidP="009773CD">
      <w:pPr>
        <w:spacing w:before="240"/>
        <w:rPr>
          <w:rFonts w:asciiTheme="minorHAnsi" w:hAnsiTheme="minorHAnsi" w:cstheme="minorHAnsi"/>
          <w:sz w:val="24"/>
          <w:szCs w:val="24"/>
        </w:rPr>
      </w:pPr>
      <w:r w:rsidRPr="009773CD">
        <w:rPr>
          <w:rFonts w:asciiTheme="minorHAnsi" w:hAnsiTheme="minorHAnsi" w:cstheme="minorHAnsi"/>
          <w:sz w:val="24"/>
          <w:szCs w:val="24"/>
        </w:rPr>
        <w:t xml:space="preserve">South Wales Police, (2022). South Wales Police encourage reports of domestic violence concerns over New Year after increase over last five years. Available at: https://www.south-wales.police.uk/news/south-wales/news/2022/rha-dec/south-wales-police-encourage-reports-of-domestic-violence-concerns-over-new-year-after-increase-over-last-five-years. (Accessed: 28/09/2024). </w:t>
      </w:r>
    </w:p>
    <w:p w14:paraId="69915B5C" w14:textId="77777777" w:rsidR="009773CD" w:rsidRPr="009773CD" w:rsidRDefault="009773CD" w:rsidP="009773CD">
      <w:pPr>
        <w:rPr>
          <w:rFonts w:asciiTheme="minorHAnsi" w:hAnsiTheme="minorHAnsi" w:cstheme="minorHAnsi"/>
          <w:sz w:val="24"/>
          <w:szCs w:val="24"/>
        </w:rPr>
      </w:pPr>
    </w:p>
    <w:p w14:paraId="0C3ED297" w14:textId="77777777" w:rsidR="009773CD" w:rsidRPr="009773CD" w:rsidRDefault="009773CD" w:rsidP="009773CD">
      <w:pPr>
        <w:rPr>
          <w:rFonts w:asciiTheme="minorHAnsi" w:hAnsiTheme="minorHAnsi" w:cstheme="minorHAnsi"/>
          <w:sz w:val="24"/>
          <w:szCs w:val="24"/>
        </w:rPr>
      </w:pPr>
    </w:p>
    <w:p w14:paraId="086ABDE1" w14:textId="18F50EA0"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 xml:space="preserve">Wieberneit, M. and Thai, S. (2024). Silenced survivors: A systematic review of the barriers to reporting, investigating, prosecuting, and sentencing of adult female rape and sexual assault. Available at: https://doi.org/10.117/15248380241261404. (Accessed: 27/09/2024). </w:t>
      </w:r>
    </w:p>
    <w:p w14:paraId="020311F8" w14:textId="77777777" w:rsidR="009773CD" w:rsidRPr="009773CD" w:rsidRDefault="009773CD" w:rsidP="009773CD">
      <w:pPr>
        <w:rPr>
          <w:rFonts w:asciiTheme="minorHAnsi" w:hAnsiTheme="minorHAnsi" w:cstheme="minorHAnsi"/>
          <w:sz w:val="24"/>
          <w:szCs w:val="24"/>
        </w:rPr>
      </w:pPr>
    </w:p>
    <w:p w14:paraId="7F090AEC" w14:textId="77777777" w:rsidR="009773CD" w:rsidRPr="009773CD" w:rsidRDefault="009773CD" w:rsidP="009773CD">
      <w:pPr>
        <w:rPr>
          <w:rFonts w:asciiTheme="minorHAnsi" w:hAnsiTheme="minorHAnsi" w:cstheme="minorHAnsi"/>
          <w:sz w:val="24"/>
          <w:szCs w:val="24"/>
        </w:rPr>
      </w:pPr>
    </w:p>
    <w:p w14:paraId="4AD51788" w14:textId="6EDF13D7" w:rsidR="009773CD" w:rsidRPr="009773CD" w:rsidRDefault="009773CD" w:rsidP="009773CD">
      <w:pPr>
        <w:rPr>
          <w:rFonts w:asciiTheme="minorHAnsi" w:hAnsiTheme="minorHAnsi" w:cstheme="minorHAnsi"/>
          <w:sz w:val="24"/>
          <w:szCs w:val="24"/>
        </w:rPr>
      </w:pPr>
      <w:r w:rsidRPr="009773CD">
        <w:rPr>
          <w:rFonts w:asciiTheme="minorHAnsi" w:hAnsiTheme="minorHAnsi" w:cstheme="minorHAnsi"/>
          <w:sz w:val="24"/>
          <w:szCs w:val="24"/>
        </w:rPr>
        <w:t>Women’s Aid (2024). What is Domestic Abuse? Available at: https://www.womensaid.org.uk/information-support/what-is-domestic-abuse/. (Accessed: 28/09/2024).</w:t>
      </w:r>
    </w:p>
    <w:p w14:paraId="33F434E2" w14:textId="77777777" w:rsidR="002531A3" w:rsidRPr="006438CB" w:rsidRDefault="002531A3" w:rsidP="002531A3">
      <w:pPr>
        <w:spacing w:before="240"/>
        <w:rPr>
          <w:sz w:val="24"/>
          <w:szCs w:val="24"/>
        </w:rPr>
      </w:pPr>
    </w:p>
    <w:p w14:paraId="3A9D9160" w14:textId="77777777" w:rsidR="002531A3" w:rsidRPr="006438CB" w:rsidRDefault="002531A3" w:rsidP="002531A3">
      <w:pPr>
        <w:spacing w:before="240"/>
        <w:rPr>
          <w:sz w:val="24"/>
          <w:szCs w:val="24"/>
        </w:rPr>
      </w:pPr>
    </w:p>
    <w:p w14:paraId="49DEF075" w14:textId="77777777" w:rsidR="002531A3" w:rsidRPr="006438CB" w:rsidRDefault="002531A3" w:rsidP="002531A3">
      <w:pPr>
        <w:spacing w:before="240"/>
        <w:rPr>
          <w:sz w:val="24"/>
          <w:szCs w:val="24"/>
        </w:rPr>
      </w:pPr>
    </w:p>
    <w:p w14:paraId="36F3DCC5" w14:textId="249A1EB8" w:rsidR="000261A7" w:rsidRPr="000261A7" w:rsidRDefault="000261A7" w:rsidP="00EA28F1">
      <w:pPr>
        <w:keepNext/>
        <w:spacing w:before="240" w:after="60"/>
        <w:ind w:right="237"/>
        <w:jc w:val="both"/>
        <w:rPr>
          <w:sz w:val="24"/>
          <w:szCs w:val="24"/>
        </w:rPr>
      </w:pPr>
      <w:r>
        <w:rPr>
          <w:sz w:val="24"/>
          <w:szCs w:val="24"/>
        </w:rPr>
        <w:t xml:space="preserve"> </w:t>
      </w:r>
    </w:p>
    <w:sectPr w:rsidR="000261A7" w:rsidRPr="000261A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E83"/>
    <w:rsid w:val="00020EEC"/>
    <w:rsid w:val="000218D5"/>
    <w:rsid w:val="00025650"/>
    <w:rsid w:val="000261A7"/>
    <w:rsid w:val="00026FAB"/>
    <w:rsid w:val="00027B1F"/>
    <w:rsid w:val="0003088B"/>
    <w:rsid w:val="000325D9"/>
    <w:rsid w:val="000372B2"/>
    <w:rsid w:val="0004079F"/>
    <w:rsid w:val="00045B87"/>
    <w:rsid w:val="00045C07"/>
    <w:rsid w:val="00055D43"/>
    <w:rsid w:val="00056FAC"/>
    <w:rsid w:val="00057751"/>
    <w:rsid w:val="00062E39"/>
    <w:rsid w:val="0006580E"/>
    <w:rsid w:val="000660FD"/>
    <w:rsid w:val="0007339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099"/>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48D6"/>
    <w:rsid w:val="00147DE3"/>
    <w:rsid w:val="00150794"/>
    <w:rsid w:val="001562C6"/>
    <w:rsid w:val="001608C4"/>
    <w:rsid w:val="00167018"/>
    <w:rsid w:val="00171418"/>
    <w:rsid w:val="00190913"/>
    <w:rsid w:val="001961CF"/>
    <w:rsid w:val="001A59BB"/>
    <w:rsid w:val="001A6A51"/>
    <w:rsid w:val="001A79C4"/>
    <w:rsid w:val="001B331A"/>
    <w:rsid w:val="001C0E74"/>
    <w:rsid w:val="001C6CEC"/>
    <w:rsid w:val="001D229F"/>
    <w:rsid w:val="001D6162"/>
    <w:rsid w:val="001D6697"/>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31A3"/>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57C3"/>
    <w:rsid w:val="002E7017"/>
    <w:rsid w:val="002F4F6E"/>
    <w:rsid w:val="003015C3"/>
    <w:rsid w:val="0030698D"/>
    <w:rsid w:val="0031350A"/>
    <w:rsid w:val="00316815"/>
    <w:rsid w:val="003168CA"/>
    <w:rsid w:val="00321255"/>
    <w:rsid w:val="0032230D"/>
    <w:rsid w:val="00322A0B"/>
    <w:rsid w:val="00332F54"/>
    <w:rsid w:val="00335FC5"/>
    <w:rsid w:val="00340E9A"/>
    <w:rsid w:val="00342101"/>
    <w:rsid w:val="003516C0"/>
    <w:rsid w:val="00352E59"/>
    <w:rsid w:val="00354DBE"/>
    <w:rsid w:val="00355210"/>
    <w:rsid w:val="003555D5"/>
    <w:rsid w:val="00365DF9"/>
    <w:rsid w:val="0036668D"/>
    <w:rsid w:val="00372DB4"/>
    <w:rsid w:val="0037490C"/>
    <w:rsid w:val="00375AF5"/>
    <w:rsid w:val="003761BD"/>
    <w:rsid w:val="003769F6"/>
    <w:rsid w:val="00382E8B"/>
    <w:rsid w:val="00385414"/>
    <w:rsid w:val="00390074"/>
    <w:rsid w:val="00394243"/>
    <w:rsid w:val="00394EC2"/>
    <w:rsid w:val="0039762B"/>
    <w:rsid w:val="003A0C37"/>
    <w:rsid w:val="003A1B6B"/>
    <w:rsid w:val="003A2F82"/>
    <w:rsid w:val="003A46C0"/>
    <w:rsid w:val="003A600E"/>
    <w:rsid w:val="003A6513"/>
    <w:rsid w:val="003B02EB"/>
    <w:rsid w:val="003B16C7"/>
    <w:rsid w:val="003C19F1"/>
    <w:rsid w:val="003C4186"/>
    <w:rsid w:val="003C458C"/>
    <w:rsid w:val="003C6185"/>
    <w:rsid w:val="003D0D2D"/>
    <w:rsid w:val="003D4710"/>
    <w:rsid w:val="003E16D7"/>
    <w:rsid w:val="003E197E"/>
    <w:rsid w:val="003F24FD"/>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831C6"/>
    <w:rsid w:val="004911B4"/>
    <w:rsid w:val="0049196A"/>
    <w:rsid w:val="004923DA"/>
    <w:rsid w:val="00493434"/>
    <w:rsid w:val="004962F9"/>
    <w:rsid w:val="004968E2"/>
    <w:rsid w:val="004A07F1"/>
    <w:rsid w:val="004A14C4"/>
    <w:rsid w:val="004A2A49"/>
    <w:rsid w:val="004B1278"/>
    <w:rsid w:val="004B580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65D"/>
    <w:rsid w:val="00513C7D"/>
    <w:rsid w:val="005169D1"/>
    <w:rsid w:val="0052054E"/>
    <w:rsid w:val="00521123"/>
    <w:rsid w:val="00521221"/>
    <w:rsid w:val="00536FA9"/>
    <w:rsid w:val="005414F4"/>
    <w:rsid w:val="00546187"/>
    <w:rsid w:val="005463F1"/>
    <w:rsid w:val="00557D77"/>
    <w:rsid w:val="00562EAA"/>
    <w:rsid w:val="00563B58"/>
    <w:rsid w:val="005640C4"/>
    <w:rsid w:val="00564C53"/>
    <w:rsid w:val="0056684C"/>
    <w:rsid w:val="005705C6"/>
    <w:rsid w:val="00574A0C"/>
    <w:rsid w:val="00576E4C"/>
    <w:rsid w:val="0057780F"/>
    <w:rsid w:val="00581E0A"/>
    <w:rsid w:val="00582870"/>
    <w:rsid w:val="00586D89"/>
    <w:rsid w:val="005916B8"/>
    <w:rsid w:val="00593D00"/>
    <w:rsid w:val="005946E1"/>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38CB"/>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42E7"/>
    <w:rsid w:val="006D5970"/>
    <w:rsid w:val="006E481E"/>
    <w:rsid w:val="006E795F"/>
    <w:rsid w:val="006F3B7B"/>
    <w:rsid w:val="006F4EF1"/>
    <w:rsid w:val="00700249"/>
    <w:rsid w:val="007009C2"/>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26BB"/>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5CE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1C95"/>
    <w:rsid w:val="009079BD"/>
    <w:rsid w:val="00912BD9"/>
    <w:rsid w:val="00916CFB"/>
    <w:rsid w:val="00920E5B"/>
    <w:rsid w:val="009249F8"/>
    <w:rsid w:val="00926436"/>
    <w:rsid w:val="0093018C"/>
    <w:rsid w:val="00932CCA"/>
    <w:rsid w:val="00933A7D"/>
    <w:rsid w:val="009544C0"/>
    <w:rsid w:val="00954FA4"/>
    <w:rsid w:val="00956AE9"/>
    <w:rsid w:val="00964CC6"/>
    <w:rsid w:val="00974FF9"/>
    <w:rsid w:val="009773CD"/>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678D"/>
    <w:rsid w:val="00AE2564"/>
    <w:rsid w:val="00AE301F"/>
    <w:rsid w:val="00AE3302"/>
    <w:rsid w:val="00AE7077"/>
    <w:rsid w:val="00AF61C2"/>
    <w:rsid w:val="00AF6CC6"/>
    <w:rsid w:val="00B011CD"/>
    <w:rsid w:val="00B0296A"/>
    <w:rsid w:val="00B12295"/>
    <w:rsid w:val="00B137BE"/>
    <w:rsid w:val="00B17FA0"/>
    <w:rsid w:val="00B24344"/>
    <w:rsid w:val="00B26769"/>
    <w:rsid w:val="00B31B0C"/>
    <w:rsid w:val="00B31C91"/>
    <w:rsid w:val="00B3747F"/>
    <w:rsid w:val="00B43194"/>
    <w:rsid w:val="00B47734"/>
    <w:rsid w:val="00B50FBA"/>
    <w:rsid w:val="00B558EB"/>
    <w:rsid w:val="00B577D3"/>
    <w:rsid w:val="00B60466"/>
    <w:rsid w:val="00B6548F"/>
    <w:rsid w:val="00B7502A"/>
    <w:rsid w:val="00B76902"/>
    <w:rsid w:val="00B77305"/>
    <w:rsid w:val="00B82CC2"/>
    <w:rsid w:val="00B84A89"/>
    <w:rsid w:val="00B91B04"/>
    <w:rsid w:val="00B929B1"/>
    <w:rsid w:val="00B92BEF"/>
    <w:rsid w:val="00B9689A"/>
    <w:rsid w:val="00BA074B"/>
    <w:rsid w:val="00BA1FFA"/>
    <w:rsid w:val="00BA2666"/>
    <w:rsid w:val="00BA6369"/>
    <w:rsid w:val="00BA7FF1"/>
    <w:rsid w:val="00BB06CB"/>
    <w:rsid w:val="00BB261F"/>
    <w:rsid w:val="00BB2887"/>
    <w:rsid w:val="00BB4606"/>
    <w:rsid w:val="00BB5EAA"/>
    <w:rsid w:val="00BB5F11"/>
    <w:rsid w:val="00BC0401"/>
    <w:rsid w:val="00BC04FA"/>
    <w:rsid w:val="00BC1C22"/>
    <w:rsid w:val="00BC460B"/>
    <w:rsid w:val="00BC5725"/>
    <w:rsid w:val="00BD30B1"/>
    <w:rsid w:val="00BD51B6"/>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6808"/>
    <w:rsid w:val="00CA2745"/>
    <w:rsid w:val="00CA3593"/>
    <w:rsid w:val="00CA7F4F"/>
    <w:rsid w:val="00CB258E"/>
    <w:rsid w:val="00CB3C8F"/>
    <w:rsid w:val="00CB70AF"/>
    <w:rsid w:val="00CB75CE"/>
    <w:rsid w:val="00CC02F1"/>
    <w:rsid w:val="00CC11A6"/>
    <w:rsid w:val="00CC135E"/>
    <w:rsid w:val="00CD5D3F"/>
    <w:rsid w:val="00CF1E90"/>
    <w:rsid w:val="00CF3DB3"/>
    <w:rsid w:val="00D052BC"/>
    <w:rsid w:val="00D07026"/>
    <w:rsid w:val="00D07BAB"/>
    <w:rsid w:val="00D11C62"/>
    <w:rsid w:val="00D11F61"/>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2DA5"/>
    <w:rsid w:val="00DA1025"/>
    <w:rsid w:val="00DA22EC"/>
    <w:rsid w:val="00DA5860"/>
    <w:rsid w:val="00DB2767"/>
    <w:rsid w:val="00DC4729"/>
    <w:rsid w:val="00DE556F"/>
    <w:rsid w:val="00E03B6D"/>
    <w:rsid w:val="00E0540A"/>
    <w:rsid w:val="00E0649E"/>
    <w:rsid w:val="00E17160"/>
    <w:rsid w:val="00E35BEC"/>
    <w:rsid w:val="00E4000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07A0"/>
    <w:rsid w:val="00F22AC5"/>
    <w:rsid w:val="00F254D1"/>
    <w:rsid w:val="00F32B82"/>
    <w:rsid w:val="00F4043E"/>
    <w:rsid w:val="00F40CB5"/>
    <w:rsid w:val="00F41BBC"/>
    <w:rsid w:val="00F43B9D"/>
    <w:rsid w:val="00F444F0"/>
    <w:rsid w:val="00F44C1D"/>
    <w:rsid w:val="00F50847"/>
    <w:rsid w:val="00F53F27"/>
    <w:rsid w:val="00F546D1"/>
    <w:rsid w:val="00F6513F"/>
    <w:rsid w:val="00F66272"/>
    <w:rsid w:val="00F6ACA0"/>
    <w:rsid w:val="00F709C0"/>
    <w:rsid w:val="00F8610A"/>
    <w:rsid w:val="00F9260C"/>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5709"/>
    <w:rsid w:val="00FE0C16"/>
    <w:rsid w:val="00FE14AD"/>
    <w:rsid w:val="00FE14B1"/>
    <w:rsid w:val="00FE1F6A"/>
    <w:rsid w:val="00FF0070"/>
    <w:rsid w:val="00FF31EC"/>
    <w:rsid w:val="00FF5F6A"/>
    <w:rsid w:val="00FF6BE0"/>
    <w:rsid w:val="00FF7402"/>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6F4EF1"/>
    <w:pPr>
      <w:overflowPunct/>
      <w:autoSpaceDE/>
      <w:adjustRightInd/>
      <w:spacing w:before="100" w:after="100"/>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438CB"/>
    <w:rPr>
      <w:color w:val="954F72" w:themeColor="followedHyperlink"/>
      <w:u w:val="single"/>
    </w:rPr>
  </w:style>
  <w:style w:type="character" w:styleId="UnresolvedMention">
    <w:name w:val="Unresolved Mention"/>
    <w:basedOn w:val="DefaultParagraphFont"/>
    <w:uiPriority w:val="99"/>
    <w:semiHidden/>
    <w:unhideWhenUsed/>
    <w:rsid w:val="006D42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fed.org/news/blogs/2023/the-unacceptable-reality-of-police-officer-assaults-cries-for-urgent-change/" TargetMode="External"/><Relationship Id="rId2" Type="http://schemas.openxmlformats.org/officeDocument/2006/relationships/customXml" Target="../customXml/item2.xml"/><Relationship Id="rId16" Type="http://schemas.openxmlformats.org/officeDocument/2006/relationships/hyperlink" Target="https://www.nsvrc.org/about-sexual-assault"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2227</TotalTime>
  <Pages>21</Pages>
  <Words>6066</Words>
  <Characters>35388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Tatar,Michal swp8585</cp:lastModifiedBy>
  <cp:revision>14</cp:revision>
  <cp:lastPrinted>2014-08-26T08:55:00Z</cp:lastPrinted>
  <dcterms:created xsi:type="dcterms:W3CDTF">2024-01-05T23:40:00Z</dcterms:created>
  <dcterms:modified xsi:type="dcterms:W3CDTF">2024-09-30T22:38:00Z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2024-01-05T23:40:19Z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ec20ecdb-4e58-4f72-b83b-c96b2e120175</vt:lpwstr>
  </property>
  <property fmtid="{D5CDD505-2E9C-101B-9397-08002B2CF9AE}" pid="9" name="MSIP_Label_66cf8fe5-b7b7-4df7-b38d-1c61ac2f6639_ContentBits">
    <vt:lpwstr>0</vt:lpwstr>
  </property>
</Properties>
</file>