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4269C0" w14:textId="63BF9741" w:rsidR="00324EAD" w:rsidRPr="00747A00" w:rsidRDefault="00324EAD"/>
    <w:tbl>
      <w:tblPr>
        <w:tblW w:w="9209" w:type="dxa"/>
        <w:tblCellMar>
          <w:top w:w="15" w:type="dxa"/>
          <w:left w:w="15" w:type="dxa"/>
          <w:bottom w:w="15" w:type="dxa"/>
          <w:right w:w="15" w:type="dxa"/>
        </w:tblCellMar>
        <w:tblLook w:val="04A0" w:firstRow="1" w:lastRow="0" w:firstColumn="1" w:lastColumn="0" w:noHBand="0" w:noVBand="1"/>
      </w:tblPr>
      <w:tblGrid>
        <w:gridCol w:w="2022"/>
        <w:gridCol w:w="2043"/>
        <w:gridCol w:w="2376"/>
        <w:gridCol w:w="2768"/>
      </w:tblGrid>
      <w:tr w:rsidR="00305DD8" w:rsidRPr="00747A00" w14:paraId="63BFDC7E" w14:textId="77777777" w:rsidTr="00DA30EB">
        <w:trPr>
          <w:trHeight w:val="503"/>
        </w:trPr>
        <w:tc>
          <w:tcPr>
            <w:tcW w:w="0" w:type="auto"/>
            <w:tcBorders>
              <w:top w:val="single" w:sz="4" w:space="0" w:color="000000"/>
              <w:left w:val="single" w:sz="4" w:space="0" w:color="000000"/>
              <w:bottom w:val="single" w:sz="4" w:space="0" w:color="000000"/>
              <w:right w:val="single" w:sz="4" w:space="0" w:color="000000"/>
            </w:tcBorders>
            <w:shd w:val="clear" w:color="auto" w:fill="D9D9D9"/>
            <w:tcMar>
              <w:top w:w="11" w:type="dxa"/>
              <w:left w:w="106" w:type="dxa"/>
              <w:bottom w:w="0" w:type="dxa"/>
              <w:right w:w="47" w:type="dxa"/>
            </w:tcMar>
            <w:vAlign w:val="center"/>
            <w:hideMark/>
          </w:tcPr>
          <w:p w14:paraId="2CDFCA96" w14:textId="77777777" w:rsidR="00EE23C2" w:rsidRPr="00747A00" w:rsidRDefault="00D96B1E" w:rsidP="00DA30EB">
            <w:pPr>
              <w:rPr>
                <w:b/>
                <w:bCs/>
              </w:rPr>
            </w:pPr>
            <w:r w:rsidRPr="00747A00">
              <w:rPr>
                <w:b/>
                <w:bCs/>
              </w:rPr>
              <w:t>Student name: </w:t>
            </w:r>
          </w:p>
        </w:tc>
        <w:tc>
          <w:tcPr>
            <w:tcW w:w="0" w:type="auto"/>
            <w:tcBorders>
              <w:top w:val="single" w:sz="4" w:space="0" w:color="000000"/>
              <w:left w:val="single" w:sz="4" w:space="0" w:color="000000"/>
              <w:bottom w:val="single" w:sz="4" w:space="0" w:color="000000"/>
              <w:right w:val="single" w:sz="4" w:space="0" w:color="000000"/>
            </w:tcBorders>
            <w:tcMar>
              <w:top w:w="11" w:type="dxa"/>
              <w:left w:w="106" w:type="dxa"/>
              <w:bottom w:w="0" w:type="dxa"/>
              <w:right w:w="47" w:type="dxa"/>
            </w:tcMar>
            <w:vAlign w:val="center"/>
            <w:hideMark/>
          </w:tcPr>
          <w:p w14:paraId="206B9C2F" w14:textId="44EBBE2C" w:rsidR="00EE23C2" w:rsidRPr="00747A00" w:rsidRDefault="00D96B1E" w:rsidP="00DA30EB">
            <w:r w:rsidRPr="00747A00">
              <w:t>     </w:t>
            </w:r>
            <w:r w:rsidR="00C30D59">
              <w:t>Eridan Saliasi</w:t>
            </w:r>
            <w:r w:rsidRPr="00747A00">
              <w:t> </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11" w:type="dxa"/>
              <w:left w:w="106" w:type="dxa"/>
              <w:bottom w:w="0" w:type="dxa"/>
              <w:right w:w="47" w:type="dxa"/>
            </w:tcMar>
            <w:vAlign w:val="center"/>
            <w:hideMark/>
          </w:tcPr>
          <w:p w14:paraId="5B5379AF" w14:textId="77777777" w:rsidR="00EE23C2" w:rsidRPr="00747A00" w:rsidRDefault="00D96B1E" w:rsidP="00DA30EB">
            <w:pPr>
              <w:rPr>
                <w:b/>
                <w:bCs/>
              </w:rPr>
            </w:pPr>
            <w:r w:rsidRPr="00747A00">
              <w:rPr>
                <w:b/>
                <w:bCs/>
              </w:rPr>
              <w:t>Student ID number: </w:t>
            </w:r>
          </w:p>
        </w:tc>
        <w:tc>
          <w:tcPr>
            <w:tcW w:w="2537" w:type="dxa"/>
            <w:tcBorders>
              <w:top w:val="single" w:sz="4" w:space="0" w:color="000000"/>
              <w:left w:val="single" w:sz="4" w:space="0" w:color="000000"/>
              <w:bottom w:val="single" w:sz="4" w:space="0" w:color="000000"/>
              <w:right w:val="single" w:sz="4" w:space="0" w:color="000000"/>
            </w:tcBorders>
            <w:tcMar>
              <w:top w:w="11" w:type="dxa"/>
              <w:left w:w="106" w:type="dxa"/>
              <w:bottom w:w="0" w:type="dxa"/>
              <w:right w:w="47" w:type="dxa"/>
            </w:tcMar>
            <w:vAlign w:val="center"/>
            <w:hideMark/>
          </w:tcPr>
          <w:p w14:paraId="2C701AC6" w14:textId="1783D456" w:rsidR="00EE23C2" w:rsidRPr="00747A00" w:rsidRDefault="00D96B1E" w:rsidP="00DA30EB">
            <w:r w:rsidRPr="00747A00">
              <w:t> </w:t>
            </w:r>
            <w:r w:rsidR="00C30D59">
              <w:t>2324158</w:t>
            </w:r>
          </w:p>
        </w:tc>
      </w:tr>
      <w:tr w:rsidR="00305DD8" w:rsidRPr="00747A00" w14:paraId="055BF0A5" w14:textId="77777777" w:rsidTr="00DA30EB">
        <w:trPr>
          <w:trHeight w:val="525"/>
        </w:trPr>
        <w:tc>
          <w:tcPr>
            <w:tcW w:w="0" w:type="auto"/>
            <w:tcBorders>
              <w:top w:val="single" w:sz="4" w:space="0" w:color="000000"/>
              <w:left w:val="single" w:sz="4" w:space="0" w:color="000000"/>
              <w:bottom w:val="single" w:sz="4" w:space="0" w:color="000000"/>
              <w:right w:val="single" w:sz="4" w:space="0" w:color="000000"/>
            </w:tcBorders>
            <w:shd w:val="clear" w:color="auto" w:fill="D9D9D9"/>
            <w:tcMar>
              <w:top w:w="11" w:type="dxa"/>
              <w:left w:w="106" w:type="dxa"/>
              <w:bottom w:w="0" w:type="dxa"/>
              <w:right w:w="47" w:type="dxa"/>
            </w:tcMar>
            <w:vAlign w:val="center"/>
            <w:hideMark/>
          </w:tcPr>
          <w:p w14:paraId="527AC150" w14:textId="77777777" w:rsidR="00EE23C2" w:rsidRPr="00747A00" w:rsidRDefault="00D96B1E" w:rsidP="00DA30EB">
            <w:pPr>
              <w:rPr>
                <w:b/>
                <w:bCs/>
              </w:rPr>
            </w:pPr>
            <w:r w:rsidRPr="00747A00">
              <w:rPr>
                <w:b/>
                <w:bCs/>
              </w:rPr>
              <w:t>Programme: </w:t>
            </w:r>
          </w:p>
        </w:tc>
        <w:tc>
          <w:tcPr>
            <w:tcW w:w="7319" w:type="dxa"/>
            <w:gridSpan w:val="3"/>
            <w:tcBorders>
              <w:top w:val="single" w:sz="4" w:space="0" w:color="000000"/>
              <w:left w:val="single" w:sz="4" w:space="0" w:color="000000"/>
              <w:bottom w:val="single" w:sz="4" w:space="0" w:color="000000"/>
              <w:right w:val="single" w:sz="4" w:space="0" w:color="000000"/>
            </w:tcBorders>
            <w:tcMar>
              <w:top w:w="11" w:type="dxa"/>
              <w:left w:w="106" w:type="dxa"/>
              <w:bottom w:w="0" w:type="dxa"/>
              <w:right w:w="47" w:type="dxa"/>
            </w:tcMar>
            <w:vAlign w:val="center"/>
            <w:hideMark/>
          </w:tcPr>
          <w:p w14:paraId="4A56F759" w14:textId="77777777" w:rsidR="00EE23C2" w:rsidRPr="00747A00" w:rsidRDefault="00D96B1E" w:rsidP="00DA30EB">
            <w:r w:rsidRPr="00747A00">
              <w:t>BA (Hons) Leadership and Management Skills for the Workplace  </w:t>
            </w:r>
          </w:p>
        </w:tc>
      </w:tr>
      <w:tr w:rsidR="00305DD8" w:rsidRPr="00747A00" w14:paraId="16BA1244" w14:textId="77777777" w:rsidTr="00DA30EB">
        <w:trPr>
          <w:trHeight w:val="503"/>
        </w:trPr>
        <w:tc>
          <w:tcPr>
            <w:tcW w:w="0" w:type="auto"/>
            <w:tcBorders>
              <w:top w:val="single" w:sz="4" w:space="0" w:color="000000"/>
              <w:left w:val="single" w:sz="4" w:space="0" w:color="000000"/>
              <w:bottom w:val="single" w:sz="4" w:space="0" w:color="000000"/>
              <w:right w:val="single" w:sz="4" w:space="0" w:color="000000"/>
            </w:tcBorders>
            <w:shd w:val="clear" w:color="auto" w:fill="D9D9D9"/>
            <w:tcMar>
              <w:top w:w="11" w:type="dxa"/>
              <w:left w:w="106" w:type="dxa"/>
              <w:bottom w:w="0" w:type="dxa"/>
              <w:right w:w="47" w:type="dxa"/>
            </w:tcMar>
            <w:vAlign w:val="center"/>
            <w:hideMark/>
          </w:tcPr>
          <w:p w14:paraId="332B9F37" w14:textId="77777777" w:rsidR="00EE23C2" w:rsidRPr="00747A00" w:rsidRDefault="00D96B1E" w:rsidP="00DA30EB">
            <w:pPr>
              <w:rPr>
                <w:b/>
                <w:bCs/>
              </w:rPr>
            </w:pPr>
            <w:r w:rsidRPr="00747A00">
              <w:rPr>
                <w:b/>
                <w:bCs/>
              </w:rPr>
              <w:t>Module: </w:t>
            </w:r>
          </w:p>
        </w:tc>
        <w:tc>
          <w:tcPr>
            <w:tcW w:w="7319" w:type="dxa"/>
            <w:gridSpan w:val="3"/>
            <w:tcBorders>
              <w:top w:val="single" w:sz="4" w:space="0" w:color="000000"/>
              <w:left w:val="single" w:sz="4" w:space="0" w:color="000000"/>
              <w:bottom w:val="single" w:sz="4" w:space="0" w:color="000000"/>
              <w:right w:val="single" w:sz="4" w:space="0" w:color="000000"/>
            </w:tcBorders>
            <w:tcMar>
              <w:top w:w="11" w:type="dxa"/>
              <w:left w:w="106" w:type="dxa"/>
              <w:bottom w:w="0" w:type="dxa"/>
              <w:right w:w="47" w:type="dxa"/>
            </w:tcMar>
            <w:hideMark/>
          </w:tcPr>
          <w:p w14:paraId="2B87E071" w14:textId="77777777" w:rsidR="00EE23C2" w:rsidRPr="00747A00" w:rsidRDefault="00D96B1E" w:rsidP="00DA30EB">
            <w:pPr>
              <w:rPr>
                <w:b/>
                <w:bCs/>
              </w:rPr>
            </w:pPr>
            <w:r w:rsidRPr="00747A00">
              <w:rPr>
                <w:b/>
                <w:bCs/>
              </w:rPr>
              <w:t>Developing Emotional Intelligence Skills  </w:t>
            </w:r>
          </w:p>
        </w:tc>
      </w:tr>
      <w:tr w:rsidR="00305DD8" w:rsidRPr="00747A00" w14:paraId="37A78AE5" w14:textId="77777777" w:rsidTr="00DA30EB">
        <w:trPr>
          <w:trHeight w:val="770"/>
        </w:trPr>
        <w:tc>
          <w:tcPr>
            <w:tcW w:w="0" w:type="auto"/>
            <w:tcBorders>
              <w:top w:val="single" w:sz="4" w:space="0" w:color="000000"/>
              <w:left w:val="single" w:sz="4" w:space="0" w:color="000000"/>
              <w:bottom w:val="single" w:sz="4" w:space="0" w:color="000000"/>
              <w:right w:val="single" w:sz="4" w:space="0" w:color="000000"/>
            </w:tcBorders>
            <w:shd w:val="clear" w:color="auto" w:fill="D9D9D9"/>
            <w:tcMar>
              <w:top w:w="11" w:type="dxa"/>
              <w:left w:w="106" w:type="dxa"/>
              <w:bottom w:w="0" w:type="dxa"/>
              <w:right w:w="47" w:type="dxa"/>
            </w:tcMar>
            <w:hideMark/>
          </w:tcPr>
          <w:p w14:paraId="7B5B6B8E" w14:textId="77777777" w:rsidR="00EE23C2" w:rsidRPr="00747A00" w:rsidRDefault="00D96B1E" w:rsidP="00DA30EB">
            <w:pPr>
              <w:rPr>
                <w:b/>
                <w:bCs/>
              </w:rPr>
            </w:pPr>
            <w:r w:rsidRPr="00747A00">
              <w:rPr>
                <w:b/>
                <w:bCs/>
              </w:rPr>
              <w:t>Module code: </w:t>
            </w:r>
          </w:p>
        </w:tc>
        <w:tc>
          <w:tcPr>
            <w:tcW w:w="7319" w:type="dxa"/>
            <w:gridSpan w:val="3"/>
            <w:tcBorders>
              <w:top w:val="single" w:sz="4" w:space="0" w:color="000000"/>
              <w:left w:val="single" w:sz="4" w:space="0" w:color="000000"/>
              <w:bottom w:val="single" w:sz="4" w:space="0" w:color="000000"/>
              <w:right w:val="single" w:sz="4" w:space="0" w:color="000000"/>
            </w:tcBorders>
            <w:tcMar>
              <w:top w:w="11" w:type="dxa"/>
              <w:left w:w="106" w:type="dxa"/>
              <w:bottom w:w="0" w:type="dxa"/>
              <w:right w:w="47" w:type="dxa"/>
            </w:tcMar>
            <w:hideMark/>
          </w:tcPr>
          <w:p w14:paraId="7D3A10E8" w14:textId="77777777" w:rsidR="00EE23C2" w:rsidRPr="00747A00" w:rsidRDefault="00D96B1E" w:rsidP="00DA30EB">
            <w:r w:rsidRPr="00747A00">
              <w:t>LCLM5006 </w:t>
            </w:r>
          </w:p>
        </w:tc>
      </w:tr>
      <w:tr w:rsidR="00305DD8" w:rsidRPr="00747A00" w14:paraId="2EBFE994" w14:textId="77777777" w:rsidTr="00DA30EB">
        <w:trPr>
          <w:trHeight w:val="876"/>
        </w:trPr>
        <w:tc>
          <w:tcPr>
            <w:tcW w:w="0" w:type="auto"/>
            <w:tcBorders>
              <w:top w:val="single" w:sz="4" w:space="0" w:color="000000"/>
              <w:left w:val="single" w:sz="4" w:space="0" w:color="000000"/>
              <w:bottom w:val="single" w:sz="4" w:space="0" w:color="000000"/>
              <w:right w:val="single" w:sz="4" w:space="0" w:color="000000"/>
            </w:tcBorders>
            <w:shd w:val="clear" w:color="auto" w:fill="D9D9D9"/>
            <w:tcMar>
              <w:top w:w="11" w:type="dxa"/>
              <w:left w:w="106" w:type="dxa"/>
              <w:bottom w:w="0" w:type="dxa"/>
              <w:right w:w="47" w:type="dxa"/>
            </w:tcMar>
            <w:hideMark/>
          </w:tcPr>
          <w:p w14:paraId="31883B59" w14:textId="77777777" w:rsidR="00EE23C2" w:rsidRPr="00747A00" w:rsidRDefault="00D96B1E" w:rsidP="00DA30EB">
            <w:pPr>
              <w:rPr>
                <w:b/>
                <w:bCs/>
              </w:rPr>
            </w:pPr>
            <w:r w:rsidRPr="00747A00">
              <w:rPr>
                <w:b/>
                <w:bCs/>
              </w:rPr>
              <w:t>Lecturer: </w:t>
            </w:r>
          </w:p>
        </w:tc>
        <w:tc>
          <w:tcPr>
            <w:tcW w:w="0" w:type="auto"/>
            <w:tcBorders>
              <w:top w:val="single" w:sz="4" w:space="0" w:color="000000"/>
              <w:left w:val="single" w:sz="4" w:space="0" w:color="000000"/>
              <w:bottom w:val="single" w:sz="4" w:space="0" w:color="000000"/>
              <w:right w:val="single" w:sz="4" w:space="0" w:color="000000"/>
            </w:tcBorders>
            <w:tcMar>
              <w:top w:w="11" w:type="dxa"/>
              <w:left w:w="106" w:type="dxa"/>
              <w:bottom w:w="0" w:type="dxa"/>
              <w:right w:w="47" w:type="dxa"/>
            </w:tcMar>
            <w:vAlign w:val="center"/>
            <w:hideMark/>
          </w:tcPr>
          <w:p w14:paraId="52599C19" w14:textId="77777777" w:rsidR="00EE23C2" w:rsidRPr="00747A00" w:rsidRDefault="00D96B1E" w:rsidP="00DA30EB">
            <w:r w:rsidRPr="00747A00">
              <w:t>Nishi Ramsurrun  </w:t>
            </w:r>
          </w:p>
          <w:p w14:paraId="52C651F5" w14:textId="77777777" w:rsidR="00EE23C2" w:rsidRPr="00747A00" w:rsidRDefault="00D96B1E" w:rsidP="00DA30EB">
            <w:r w:rsidRPr="00747A00">
              <w:t>Abdallah Naser</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11" w:type="dxa"/>
              <w:left w:w="106" w:type="dxa"/>
              <w:bottom w:w="0" w:type="dxa"/>
              <w:right w:w="47" w:type="dxa"/>
            </w:tcMar>
            <w:hideMark/>
          </w:tcPr>
          <w:p w14:paraId="1D430CE8" w14:textId="77777777" w:rsidR="00EE23C2" w:rsidRPr="00747A00" w:rsidRDefault="00D96B1E" w:rsidP="00DA30EB">
            <w:pPr>
              <w:rPr>
                <w:b/>
                <w:bCs/>
              </w:rPr>
            </w:pPr>
            <w:r w:rsidRPr="00747A00">
              <w:rPr>
                <w:b/>
                <w:bCs/>
              </w:rPr>
              <w:t>Internal Verifier: </w:t>
            </w:r>
          </w:p>
        </w:tc>
        <w:tc>
          <w:tcPr>
            <w:tcW w:w="2537" w:type="dxa"/>
            <w:tcBorders>
              <w:top w:val="single" w:sz="4" w:space="0" w:color="000000"/>
              <w:left w:val="single" w:sz="4" w:space="0" w:color="000000"/>
              <w:bottom w:val="single" w:sz="4" w:space="0" w:color="000000"/>
              <w:right w:val="single" w:sz="4" w:space="0" w:color="000000"/>
            </w:tcBorders>
            <w:tcMar>
              <w:top w:w="11" w:type="dxa"/>
              <w:left w:w="106" w:type="dxa"/>
              <w:bottom w:w="0" w:type="dxa"/>
              <w:right w:w="47" w:type="dxa"/>
            </w:tcMar>
            <w:vAlign w:val="center"/>
            <w:hideMark/>
          </w:tcPr>
          <w:p w14:paraId="3052DF26" w14:textId="77777777" w:rsidR="00EE23C2" w:rsidRPr="00747A00" w:rsidRDefault="00D96B1E" w:rsidP="00DA30EB">
            <w:r w:rsidRPr="00747A00">
              <w:t>Md Kalam </w:t>
            </w:r>
          </w:p>
          <w:p w14:paraId="7647777D" w14:textId="77777777" w:rsidR="00EE23C2" w:rsidRPr="00747A00" w:rsidRDefault="00D96B1E" w:rsidP="00DA30EB">
            <w:r w:rsidRPr="00747A00">
              <w:t>Samuel Ofori </w:t>
            </w:r>
          </w:p>
        </w:tc>
      </w:tr>
      <w:tr w:rsidR="00305DD8" w:rsidRPr="00747A00" w14:paraId="635FBDDF" w14:textId="77777777" w:rsidTr="00DA30EB">
        <w:trPr>
          <w:trHeight w:val="756"/>
        </w:trPr>
        <w:tc>
          <w:tcPr>
            <w:tcW w:w="0" w:type="auto"/>
            <w:tcBorders>
              <w:top w:val="single" w:sz="4" w:space="0" w:color="000000"/>
              <w:left w:val="single" w:sz="4" w:space="0" w:color="000000"/>
              <w:bottom w:val="single" w:sz="4" w:space="0" w:color="000000"/>
              <w:right w:val="single" w:sz="4" w:space="0" w:color="000000"/>
            </w:tcBorders>
            <w:shd w:val="clear" w:color="auto" w:fill="D9D9D9"/>
            <w:tcMar>
              <w:top w:w="11" w:type="dxa"/>
              <w:left w:w="106" w:type="dxa"/>
              <w:bottom w:w="0" w:type="dxa"/>
              <w:right w:w="47" w:type="dxa"/>
            </w:tcMar>
            <w:hideMark/>
          </w:tcPr>
          <w:p w14:paraId="13708D4A" w14:textId="77777777" w:rsidR="00EE23C2" w:rsidRPr="00747A00" w:rsidRDefault="00D96B1E" w:rsidP="00DA30EB">
            <w:pPr>
              <w:rPr>
                <w:b/>
                <w:bCs/>
              </w:rPr>
            </w:pPr>
            <w:r w:rsidRPr="00747A00">
              <w:rPr>
                <w:b/>
                <w:bCs/>
              </w:rPr>
              <w:t>Assignment Title: </w:t>
            </w:r>
          </w:p>
        </w:tc>
        <w:tc>
          <w:tcPr>
            <w:tcW w:w="7319" w:type="dxa"/>
            <w:gridSpan w:val="3"/>
            <w:tcBorders>
              <w:top w:val="single" w:sz="4" w:space="0" w:color="000000"/>
              <w:left w:val="single" w:sz="4" w:space="0" w:color="000000"/>
              <w:bottom w:val="single" w:sz="4" w:space="0" w:color="000000"/>
              <w:right w:val="single" w:sz="4" w:space="0" w:color="000000"/>
            </w:tcBorders>
            <w:tcMar>
              <w:top w:w="11" w:type="dxa"/>
              <w:left w:w="106" w:type="dxa"/>
              <w:bottom w:w="0" w:type="dxa"/>
              <w:right w:w="47" w:type="dxa"/>
            </w:tcMar>
            <w:vAlign w:val="center"/>
            <w:hideMark/>
          </w:tcPr>
          <w:p w14:paraId="5FE8FE09" w14:textId="77777777" w:rsidR="00EE23C2" w:rsidRPr="00747A00" w:rsidRDefault="00D96B1E" w:rsidP="00DA30EB">
            <w:r w:rsidRPr="00747A00">
              <w:t>Component 2 - Individual </w:t>
            </w:r>
          </w:p>
          <w:p w14:paraId="08669B48" w14:textId="77777777" w:rsidR="00EE23C2" w:rsidRPr="00747A00" w:rsidRDefault="00D96B1E" w:rsidP="00DA30EB">
            <w:r w:rsidRPr="00747A00">
              <w:t>written report </w:t>
            </w:r>
          </w:p>
        </w:tc>
      </w:tr>
    </w:tbl>
    <w:p w14:paraId="6B03EE00" w14:textId="77777777" w:rsidR="00BC231A" w:rsidRPr="00747A00" w:rsidRDefault="00BC231A"/>
    <w:p w14:paraId="10CE559D" w14:textId="77777777" w:rsidR="00BC231A" w:rsidRPr="00747A00" w:rsidRDefault="00D96B1E">
      <w:pPr>
        <w:spacing w:line="278" w:lineRule="auto"/>
        <w:jc w:val="left"/>
      </w:pPr>
      <w:r w:rsidRPr="00747A00">
        <w:br w:type="page"/>
      </w:r>
    </w:p>
    <w:sdt>
      <w:sdtPr>
        <w:rPr>
          <w:b/>
          <w:bCs/>
        </w:rPr>
        <w:id w:val="-129480550"/>
        <w:docPartObj>
          <w:docPartGallery w:val="Table of Contents"/>
          <w:docPartUnique/>
        </w:docPartObj>
      </w:sdtPr>
      <w:sdtEndPr>
        <w:rPr>
          <w:noProof/>
        </w:rPr>
      </w:sdtEndPr>
      <w:sdtContent>
        <w:p w14:paraId="56B712D1" w14:textId="77777777" w:rsidR="005D2551" w:rsidRPr="00747A00" w:rsidRDefault="00D96B1E" w:rsidP="005D2551">
          <w:pPr>
            <w:jc w:val="center"/>
            <w:rPr>
              <w:b/>
              <w:bCs/>
            </w:rPr>
          </w:pPr>
          <w:r w:rsidRPr="00747A00">
            <w:rPr>
              <w:b/>
              <w:bCs/>
            </w:rPr>
            <w:t>Table of Contents</w:t>
          </w:r>
        </w:p>
        <w:p w14:paraId="73C6F18E" w14:textId="7463BF03" w:rsidR="00706E54" w:rsidRPr="00747A00" w:rsidRDefault="00D96B1E">
          <w:pPr>
            <w:pStyle w:val="TOC1"/>
            <w:tabs>
              <w:tab w:val="right" w:leader="dot" w:pos="9016"/>
            </w:tabs>
            <w:rPr>
              <w:rFonts w:asciiTheme="minorHAnsi" w:eastAsiaTheme="minorEastAsia" w:hAnsiTheme="minorHAnsi"/>
              <w:noProof/>
              <w:color w:val="auto"/>
              <w:sz w:val="24"/>
              <w:lang w:eastAsia="en-GB"/>
            </w:rPr>
          </w:pPr>
          <w:r w:rsidRPr="00747A00">
            <w:fldChar w:fldCharType="begin"/>
          </w:r>
          <w:r w:rsidRPr="00747A00">
            <w:instrText xml:space="preserve"> TOC \o "1-3" \h \z \u </w:instrText>
          </w:r>
          <w:r w:rsidRPr="00747A00">
            <w:fldChar w:fldCharType="separate"/>
          </w:r>
          <w:hyperlink w:anchor="_Toc209457336" w:history="1">
            <w:r w:rsidR="00706E54" w:rsidRPr="00747A00">
              <w:rPr>
                <w:rStyle w:val="Hyperlink"/>
                <w:noProof/>
              </w:rPr>
              <w:t>Introduction</w:t>
            </w:r>
            <w:r w:rsidR="00706E54" w:rsidRPr="00747A00">
              <w:rPr>
                <w:noProof/>
                <w:webHidden/>
              </w:rPr>
              <w:tab/>
            </w:r>
            <w:r w:rsidR="00706E54" w:rsidRPr="00747A00">
              <w:rPr>
                <w:noProof/>
                <w:webHidden/>
              </w:rPr>
              <w:fldChar w:fldCharType="begin"/>
            </w:r>
            <w:r w:rsidR="00706E54" w:rsidRPr="00747A00">
              <w:rPr>
                <w:noProof/>
                <w:webHidden/>
              </w:rPr>
              <w:instrText xml:space="preserve"> PAGEREF _Toc209457336 \h </w:instrText>
            </w:r>
            <w:r w:rsidR="00706E54" w:rsidRPr="00747A00">
              <w:rPr>
                <w:noProof/>
                <w:webHidden/>
              </w:rPr>
            </w:r>
            <w:r w:rsidR="00706E54" w:rsidRPr="00747A00">
              <w:rPr>
                <w:noProof/>
                <w:webHidden/>
              </w:rPr>
              <w:fldChar w:fldCharType="separate"/>
            </w:r>
            <w:r w:rsidR="00706E54" w:rsidRPr="00747A00">
              <w:rPr>
                <w:noProof/>
                <w:webHidden/>
              </w:rPr>
              <w:t>3</w:t>
            </w:r>
            <w:r w:rsidR="00706E54" w:rsidRPr="00747A00">
              <w:rPr>
                <w:noProof/>
                <w:webHidden/>
              </w:rPr>
              <w:fldChar w:fldCharType="end"/>
            </w:r>
          </w:hyperlink>
        </w:p>
        <w:p w14:paraId="322DCBCC" w14:textId="718F78F6" w:rsidR="00706E54" w:rsidRPr="00747A00" w:rsidRDefault="00706E54">
          <w:pPr>
            <w:pStyle w:val="TOC1"/>
            <w:tabs>
              <w:tab w:val="right" w:leader="dot" w:pos="9016"/>
            </w:tabs>
            <w:rPr>
              <w:rFonts w:asciiTheme="minorHAnsi" w:eastAsiaTheme="minorEastAsia" w:hAnsiTheme="minorHAnsi"/>
              <w:noProof/>
              <w:color w:val="auto"/>
              <w:sz w:val="24"/>
              <w:lang w:eastAsia="en-GB"/>
            </w:rPr>
          </w:pPr>
          <w:hyperlink w:anchor="_Toc209457337" w:history="1">
            <w:r w:rsidRPr="00747A00">
              <w:rPr>
                <w:rStyle w:val="Hyperlink"/>
                <w:noProof/>
              </w:rPr>
              <w:t>Part A: Ways employees use EI components in the workplace</w:t>
            </w:r>
            <w:r w:rsidRPr="00747A00">
              <w:rPr>
                <w:noProof/>
                <w:webHidden/>
              </w:rPr>
              <w:tab/>
            </w:r>
            <w:r w:rsidRPr="00747A00">
              <w:rPr>
                <w:noProof/>
                <w:webHidden/>
              </w:rPr>
              <w:fldChar w:fldCharType="begin"/>
            </w:r>
            <w:r w:rsidRPr="00747A00">
              <w:rPr>
                <w:noProof/>
                <w:webHidden/>
              </w:rPr>
              <w:instrText xml:space="preserve"> PAGEREF _Toc209457337 \h </w:instrText>
            </w:r>
            <w:r w:rsidRPr="00747A00">
              <w:rPr>
                <w:noProof/>
                <w:webHidden/>
              </w:rPr>
            </w:r>
            <w:r w:rsidRPr="00747A00">
              <w:rPr>
                <w:noProof/>
                <w:webHidden/>
              </w:rPr>
              <w:fldChar w:fldCharType="separate"/>
            </w:r>
            <w:r w:rsidRPr="00747A00">
              <w:rPr>
                <w:noProof/>
                <w:webHidden/>
              </w:rPr>
              <w:t>3</w:t>
            </w:r>
            <w:r w:rsidRPr="00747A00">
              <w:rPr>
                <w:noProof/>
                <w:webHidden/>
              </w:rPr>
              <w:fldChar w:fldCharType="end"/>
            </w:r>
          </w:hyperlink>
        </w:p>
        <w:p w14:paraId="21F02AA7" w14:textId="7E87E829" w:rsidR="00706E54" w:rsidRPr="00747A00" w:rsidRDefault="00706E54">
          <w:pPr>
            <w:pStyle w:val="TOC2"/>
            <w:tabs>
              <w:tab w:val="right" w:leader="dot" w:pos="9016"/>
            </w:tabs>
            <w:rPr>
              <w:rFonts w:asciiTheme="minorHAnsi" w:eastAsiaTheme="minorEastAsia" w:hAnsiTheme="minorHAnsi"/>
              <w:noProof/>
              <w:color w:val="auto"/>
              <w:sz w:val="24"/>
              <w:lang w:eastAsia="en-GB"/>
            </w:rPr>
          </w:pPr>
          <w:hyperlink w:anchor="_Toc209457338" w:history="1">
            <w:r w:rsidRPr="00747A00">
              <w:rPr>
                <w:rStyle w:val="Hyperlink"/>
                <w:noProof/>
              </w:rPr>
              <w:t>A.1 Critical appraisal of the main EI models</w:t>
            </w:r>
            <w:r w:rsidRPr="00747A00">
              <w:rPr>
                <w:noProof/>
                <w:webHidden/>
              </w:rPr>
              <w:tab/>
            </w:r>
            <w:r w:rsidRPr="00747A00">
              <w:rPr>
                <w:noProof/>
                <w:webHidden/>
              </w:rPr>
              <w:fldChar w:fldCharType="begin"/>
            </w:r>
            <w:r w:rsidRPr="00747A00">
              <w:rPr>
                <w:noProof/>
                <w:webHidden/>
              </w:rPr>
              <w:instrText xml:space="preserve"> PAGEREF _Toc209457338 \h </w:instrText>
            </w:r>
            <w:r w:rsidRPr="00747A00">
              <w:rPr>
                <w:noProof/>
                <w:webHidden/>
              </w:rPr>
            </w:r>
            <w:r w:rsidRPr="00747A00">
              <w:rPr>
                <w:noProof/>
                <w:webHidden/>
              </w:rPr>
              <w:fldChar w:fldCharType="separate"/>
            </w:r>
            <w:r w:rsidRPr="00747A00">
              <w:rPr>
                <w:noProof/>
                <w:webHidden/>
              </w:rPr>
              <w:t>3</w:t>
            </w:r>
            <w:r w:rsidRPr="00747A00">
              <w:rPr>
                <w:noProof/>
                <w:webHidden/>
              </w:rPr>
              <w:fldChar w:fldCharType="end"/>
            </w:r>
          </w:hyperlink>
        </w:p>
        <w:p w14:paraId="15A0FE78" w14:textId="10BF3B8D" w:rsidR="00706E54" w:rsidRPr="00747A00" w:rsidRDefault="00706E54">
          <w:pPr>
            <w:pStyle w:val="TOC2"/>
            <w:tabs>
              <w:tab w:val="right" w:leader="dot" w:pos="9016"/>
            </w:tabs>
            <w:rPr>
              <w:rFonts w:asciiTheme="minorHAnsi" w:eastAsiaTheme="minorEastAsia" w:hAnsiTheme="minorHAnsi"/>
              <w:noProof/>
              <w:color w:val="auto"/>
              <w:sz w:val="24"/>
              <w:lang w:eastAsia="en-GB"/>
            </w:rPr>
          </w:pPr>
          <w:hyperlink w:anchor="_Toc209457339" w:history="1">
            <w:r w:rsidRPr="00747A00">
              <w:rPr>
                <w:rStyle w:val="Hyperlink"/>
                <w:noProof/>
              </w:rPr>
              <w:t>A.2. Mapping EI components to workplace functions</w:t>
            </w:r>
            <w:r w:rsidRPr="00747A00">
              <w:rPr>
                <w:noProof/>
                <w:webHidden/>
              </w:rPr>
              <w:tab/>
            </w:r>
            <w:r w:rsidRPr="00747A00">
              <w:rPr>
                <w:noProof/>
                <w:webHidden/>
              </w:rPr>
              <w:fldChar w:fldCharType="begin"/>
            </w:r>
            <w:r w:rsidRPr="00747A00">
              <w:rPr>
                <w:noProof/>
                <w:webHidden/>
              </w:rPr>
              <w:instrText xml:space="preserve"> PAGEREF _Toc209457339 \h </w:instrText>
            </w:r>
            <w:r w:rsidRPr="00747A00">
              <w:rPr>
                <w:noProof/>
                <w:webHidden/>
              </w:rPr>
            </w:r>
            <w:r w:rsidRPr="00747A00">
              <w:rPr>
                <w:noProof/>
                <w:webHidden/>
              </w:rPr>
              <w:fldChar w:fldCharType="separate"/>
            </w:r>
            <w:r w:rsidRPr="00747A00">
              <w:rPr>
                <w:noProof/>
                <w:webHidden/>
              </w:rPr>
              <w:t>4</w:t>
            </w:r>
            <w:r w:rsidRPr="00747A00">
              <w:rPr>
                <w:noProof/>
                <w:webHidden/>
              </w:rPr>
              <w:fldChar w:fldCharType="end"/>
            </w:r>
          </w:hyperlink>
        </w:p>
        <w:p w14:paraId="5C4F051A" w14:textId="58137F60" w:rsidR="00706E54" w:rsidRPr="00747A00" w:rsidRDefault="00706E54">
          <w:pPr>
            <w:pStyle w:val="TOC2"/>
            <w:tabs>
              <w:tab w:val="right" w:leader="dot" w:pos="9016"/>
            </w:tabs>
            <w:rPr>
              <w:rFonts w:asciiTheme="minorHAnsi" w:eastAsiaTheme="minorEastAsia" w:hAnsiTheme="minorHAnsi"/>
              <w:noProof/>
              <w:color w:val="auto"/>
              <w:sz w:val="24"/>
              <w:lang w:eastAsia="en-GB"/>
            </w:rPr>
          </w:pPr>
          <w:hyperlink w:anchor="_Toc209457340" w:history="1">
            <w:r w:rsidRPr="00747A00">
              <w:rPr>
                <w:rStyle w:val="Hyperlink"/>
                <w:noProof/>
              </w:rPr>
              <w:t>A.3. Mindfulness as an enabler of EI</w:t>
            </w:r>
            <w:r w:rsidRPr="00747A00">
              <w:rPr>
                <w:noProof/>
                <w:webHidden/>
              </w:rPr>
              <w:tab/>
            </w:r>
            <w:r w:rsidRPr="00747A00">
              <w:rPr>
                <w:noProof/>
                <w:webHidden/>
              </w:rPr>
              <w:fldChar w:fldCharType="begin"/>
            </w:r>
            <w:r w:rsidRPr="00747A00">
              <w:rPr>
                <w:noProof/>
                <w:webHidden/>
              </w:rPr>
              <w:instrText xml:space="preserve"> PAGEREF _Toc209457340 \h </w:instrText>
            </w:r>
            <w:r w:rsidRPr="00747A00">
              <w:rPr>
                <w:noProof/>
                <w:webHidden/>
              </w:rPr>
            </w:r>
            <w:r w:rsidRPr="00747A00">
              <w:rPr>
                <w:noProof/>
                <w:webHidden/>
              </w:rPr>
              <w:fldChar w:fldCharType="separate"/>
            </w:r>
            <w:r w:rsidRPr="00747A00">
              <w:rPr>
                <w:noProof/>
                <w:webHidden/>
              </w:rPr>
              <w:t>5</w:t>
            </w:r>
            <w:r w:rsidRPr="00747A00">
              <w:rPr>
                <w:noProof/>
                <w:webHidden/>
              </w:rPr>
              <w:fldChar w:fldCharType="end"/>
            </w:r>
          </w:hyperlink>
        </w:p>
        <w:p w14:paraId="5E83A989" w14:textId="4EB00280" w:rsidR="00706E54" w:rsidRPr="00747A00" w:rsidRDefault="00706E54">
          <w:pPr>
            <w:pStyle w:val="TOC2"/>
            <w:tabs>
              <w:tab w:val="right" w:leader="dot" w:pos="9016"/>
            </w:tabs>
            <w:rPr>
              <w:rFonts w:asciiTheme="minorHAnsi" w:eastAsiaTheme="minorEastAsia" w:hAnsiTheme="minorHAnsi"/>
              <w:noProof/>
              <w:color w:val="auto"/>
              <w:sz w:val="24"/>
              <w:lang w:eastAsia="en-GB"/>
            </w:rPr>
          </w:pPr>
          <w:hyperlink w:anchor="_Toc209457341" w:history="1">
            <w:r w:rsidRPr="00747A00">
              <w:rPr>
                <w:rStyle w:val="Hyperlink"/>
                <w:noProof/>
              </w:rPr>
              <w:t>A.4. Measuring, developing, and embedding EI in HR processes</w:t>
            </w:r>
            <w:r w:rsidRPr="00747A00">
              <w:rPr>
                <w:noProof/>
                <w:webHidden/>
              </w:rPr>
              <w:tab/>
            </w:r>
            <w:r w:rsidRPr="00747A00">
              <w:rPr>
                <w:noProof/>
                <w:webHidden/>
              </w:rPr>
              <w:fldChar w:fldCharType="begin"/>
            </w:r>
            <w:r w:rsidRPr="00747A00">
              <w:rPr>
                <w:noProof/>
                <w:webHidden/>
              </w:rPr>
              <w:instrText xml:space="preserve"> PAGEREF _Toc209457341 \h </w:instrText>
            </w:r>
            <w:r w:rsidRPr="00747A00">
              <w:rPr>
                <w:noProof/>
                <w:webHidden/>
              </w:rPr>
            </w:r>
            <w:r w:rsidRPr="00747A00">
              <w:rPr>
                <w:noProof/>
                <w:webHidden/>
              </w:rPr>
              <w:fldChar w:fldCharType="separate"/>
            </w:r>
            <w:r w:rsidRPr="00747A00">
              <w:rPr>
                <w:noProof/>
                <w:webHidden/>
              </w:rPr>
              <w:t>6</w:t>
            </w:r>
            <w:r w:rsidRPr="00747A00">
              <w:rPr>
                <w:noProof/>
                <w:webHidden/>
              </w:rPr>
              <w:fldChar w:fldCharType="end"/>
            </w:r>
          </w:hyperlink>
        </w:p>
        <w:p w14:paraId="7C0BC69B" w14:textId="71A63219" w:rsidR="00706E54" w:rsidRPr="00747A00" w:rsidRDefault="00706E54">
          <w:pPr>
            <w:pStyle w:val="TOC1"/>
            <w:tabs>
              <w:tab w:val="right" w:leader="dot" w:pos="9016"/>
            </w:tabs>
            <w:rPr>
              <w:rFonts w:asciiTheme="minorHAnsi" w:eastAsiaTheme="minorEastAsia" w:hAnsiTheme="minorHAnsi"/>
              <w:noProof/>
              <w:color w:val="auto"/>
              <w:sz w:val="24"/>
              <w:lang w:eastAsia="en-GB"/>
            </w:rPr>
          </w:pPr>
          <w:hyperlink w:anchor="_Toc209457342" w:history="1">
            <w:r w:rsidRPr="00747A00">
              <w:rPr>
                <w:rStyle w:val="Hyperlink"/>
                <w:noProof/>
              </w:rPr>
              <w:t>Part B: Generational characteristics and recruiting for EI</w:t>
            </w:r>
            <w:r w:rsidRPr="00747A00">
              <w:rPr>
                <w:noProof/>
                <w:webHidden/>
              </w:rPr>
              <w:tab/>
            </w:r>
            <w:r w:rsidRPr="00747A00">
              <w:rPr>
                <w:noProof/>
                <w:webHidden/>
              </w:rPr>
              <w:fldChar w:fldCharType="begin"/>
            </w:r>
            <w:r w:rsidRPr="00747A00">
              <w:rPr>
                <w:noProof/>
                <w:webHidden/>
              </w:rPr>
              <w:instrText xml:space="preserve"> PAGEREF _Toc209457342 \h </w:instrText>
            </w:r>
            <w:r w:rsidRPr="00747A00">
              <w:rPr>
                <w:noProof/>
                <w:webHidden/>
              </w:rPr>
            </w:r>
            <w:r w:rsidRPr="00747A00">
              <w:rPr>
                <w:noProof/>
                <w:webHidden/>
              </w:rPr>
              <w:fldChar w:fldCharType="separate"/>
            </w:r>
            <w:r w:rsidRPr="00747A00">
              <w:rPr>
                <w:noProof/>
                <w:webHidden/>
              </w:rPr>
              <w:t>7</w:t>
            </w:r>
            <w:r w:rsidRPr="00747A00">
              <w:rPr>
                <w:noProof/>
                <w:webHidden/>
              </w:rPr>
              <w:fldChar w:fldCharType="end"/>
            </w:r>
          </w:hyperlink>
        </w:p>
        <w:p w14:paraId="6ACF2057" w14:textId="279B3687" w:rsidR="00706E54" w:rsidRPr="00747A00" w:rsidRDefault="00706E54">
          <w:pPr>
            <w:pStyle w:val="TOC2"/>
            <w:tabs>
              <w:tab w:val="right" w:leader="dot" w:pos="9016"/>
            </w:tabs>
            <w:rPr>
              <w:rFonts w:asciiTheme="minorHAnsi" w:eastAsiaTheme="minorEastAsia" w:hAnsiTheme="minorHAnsi"/>
              <w:noProof/>
              <w:color w:val="auto"/>
              <w:sz w:val="24"/>
              <w:lang w:eastAsia="en-GB"/>
            </w:rPr>
          </w:pPr>
          <w:hyperlink w:anchor="_Toc209457343" w:history="1">
            <w:r w:rsidRPr="00747A00">
              <w:rPr>
                <w:rStyle w:val="Hyperlink"/>
                <w:noProof/>
              </w:rPr>
              <w:t>B.1. Short framing and caveats</w:t>
            </w:r>
            <w:r w:rsidRPr="00747A00">
              <w:rPr>
                <w:noProof/>
                <w:webHidden/>
              </w:rPr>
              <w:tab/>
            </w:r>
            <w:r w:rsidRPr="00747A00">
              <w:rPr>
                <w:noProof/>
                <w:webHidden/>
              </w:rPr>
              <w:fldChar w:fldCharType="begin"/>
            </w:r>
            <w:r w:rsidRPr="00747A00">
              <w:rPr>
                <w:noProof/>
                <w:webHidden/>
              </w:rPr>
              <w:instrText xml:space="preserve"> PAGEREF _Toc209457343 \h </w:instrText>
            </w:r>
            <w:r w:rsidRPr="00747A00">
              <w:rPr>
                <w:noProof/>
                <w:webHidden/>
              </w:rPr>
            </w:r>
            <w:r w:rsidRPr="00747A00">
              <w:rPr>
                <w:noProof/>
                <w:webHidden/>
              </w:rPr>
              <w:fldChar w:fldCharType="separate"/>
            </w:r>
            <w:r w:rsidRPr="00747A00">
              <w:rPr>
                <w:noProof/>
                <w:webHidden/>
              </w:rPr>
              <w:t>7</w:t>
            </w:r>
            <w:r w:rsidRPr="00747A00">
              <w:rPr>
                <w:noProof/>
                <w:webHidden/>
              </w:rPr>
              <w:fldChar w:fldCharType="end"/>
            </w:r>
          </w:hyperlink>
        </w:p>
        <w:p w14:paraId="2718A983" w14:textId="580343FD" w:rsidR="00706E54" w:rsidRPr="00747A00" w:rsidRDefault="00706E54">
          <w:pPr>
            <w:pStyle w:val="TOC2"/>
            <w:tabs>
              <w:tab w:val="right" w:leader="dot" w:pos="9016"/>
            </w:tabs>
            <w:rPr>
              <w:rFonts w:asciiTheme="minorHAnsi" w:eastAsiaTheme="minorEastAsia" w:hAnsiTheme="minorHAnsi"/>
              <w:noProof/>
              <w:color w:val="auto"/>
              <w:sz w:val="24"/>
              <w:lang w:eastAsia="en-GB"/>
            </w:rPr>
          </w:pPr>
          <w:hyperlink w:anchor="_Toc209457344" w:history="1">
            <w:r w:rsidRPr="00747A00">
              <w:rPr>
                <w:rStyle w:val="Hyperlink"/>
                <w:noProof/>
              </w:rPr>
              <w:t>B.2. Characteristic summaries</w:t>
            </w:r>
            <w:r w:rsidRPr="00747A00">
              <w:rPr>
                <w:noProof/>
                <w:webHidden/>
              </w:rPr>
              <w:tab/>
            </w:r>
            <w:r w:rsidRPr="00747A00">
              <w:rPr>
                <w:noProof/>
                <w:webHidden/>
              </w:rPr>
              <w:fldChar w:fldCharType="begin"/>
            </w:r>
            <w:r w:rsidRPr="00747A00">
              <w:rPr>
                <w:noProof/>
                <w:webHidden/>
              </w:rPr>
              <w:instrText xml:space="preserve"> PAGEREF _Toc209457344 \h </w:instrText>
            </w:r>
            <w:r w:rsidRPr="00747A00">
              <w:rPr>
                <w:noProof/>
                <w:webHidden/>
              </w:rPr>
            </w:r>
            <w:r w:rsidRPr="00747A00">
              <w:rPr>
                <w:noProof/>
                <w:webHidden/>
              </w:rPr>
              <w:fldChar w:fldCharType="separate"/>
            </w:r>
            <w:r w:rsidRPr="00747A00">
              <w:rPr>
                <w:noProof/>
                <w:webHidden/>
              </w:rPr>
              <w:t>7</w:t>
            </w:r>
            <w:r w:rsidRPr="00747A00">
              <w:rPr>
                <w:noProof/>
                <w:webHidden/>
              </w:rPr>
              <w:fldChar w:fldCharType="end"/>
            </w:r>
          </w:hyperlink>
        </w:p>
        <w:p w14:paraId="782BBC76" w14:textId="084D8A00" w:rsidR="00706E54" w:rsidRPr="00747A00" w:rsidRDefault="00706E54">
          <w:pPr>
            <w:pStyle w:val="TOC2"/>
            <w:tabs>
              <w:tab w:val="right" w:leader="dot" w:pos="9016"/>
            </w:tabs>
            <w:rPr>
              <w:rFonts w:asciiTheme="minorHAnsi" w:eastAsiaTheme="minorEastAsia" w:hAnsiTheme="minorHAnsi"/>
              <w:noProof/>
              <w:color w:val="auto"/>
              <w:sz w:val="24"/>
              <w:lang w:eastAsia="en-GB"/>
            </w:rPr>
          </w:pPr>
          <w:hyperlink w:anchor="_Toc209457345" w:history="1">
            <w:r w:rsidRPr="00747A00">
              <w:rPr>
                <w:rStyle w:val="Hyperlink"/>
                <w:noProof/>
              </w:rPr>
              <w:t>B.3 Recruitment implications</w:t>
            </w:r>
            <w:r w:rsidRPr="00747A00">
              <w:rPr>
                <w:noProof/>
                <w:webHidden/>
              </w:rPr>
              <w:tab/>
            </w:r>
            <w:r w:rsidRPr="00747A00">
              <w:rPr>
                <w:noProof/>
                <w:webHidden/>
              </w:rPr>
              <w:fldChar w:fldCharType="begin"/>
            </w:r>
            <w:r w:rsidRPr="00747A00">
              <w:rPr>
                <w:noProof/>
                <w:webHidden/>
              </w:rPr>
              <w:instrText xml:space="preserve"> PAGEREF _Toc209457345 \h </w:instrText>
            </w:r>
            <w:r w:rsidRPr="00747A00">
              <w:rPr>
                <w:noProof/>
                <w:webHidden/>
              </w:rPr>
            </w:r>
            <w:r w:rsidRPr="00747A00">
              <w:rPr>
                <w:noProof/>
                <w:webHidden/>
              </w:rPr>
              <w:fldChar w:fldCharType="separate"/>
            </w:r>
            <w:r w:rsidRPr="00747A00">
              <w:rPr>
                <w:noProof/>
                <w:webHidden/>
              </w:rPr>
              <w:t>8</w:t>
            </w:r>
            <w:r w:rsidRPr="00747A00">
              <w:rPr>
                <w:noProof/>
                <w:webHidden/>
              </w:rPr>
              <w:fldChar w:fldCharType="end"/>
            </w:r>
          </w:hyperlink>
        </w:p>
        <w:p w14:paraId="40E9EBB6" w14:textId="0A67E2A0" w:rsidR="00706E54" w:rsidRPr="00747A00" w:rsidRDefault="00706E54">
          <w:pPr>
            <w:pStyle w:val="TOC2"/>
            <w:tabs>
              <w:tab w:val="right" w:leader="dot" w:pos="9016"/>
            </w:tabs>
            <w:rPr>
              <w:rFonts w:asciiTheme="minorHAnsi" w:eastAsiaTheme="minorEastAsia" w:hAnsiTheme="minorHAnsi"/>
              <w:noProof/>
              <w:color w:val="auto"/>
              <w:sz w:val="24"/>
              <w:lang w:eastAsia="en-GB"/>
            </w:rPr>
          </w:pPr>
          <w:hyperlink w:anchor="_Toc209457346" w:history="1">
            <w:r w:rsidRPr="00747A00">
              <w:rPr>
                <w:rStyle w:val="Hyperlink"/>
                <w:noProof/>
              </w:rPr>
              <w:t>B.4. Critical evaluation of generational approach</w:t>
            </w:r>
            <w:r w:rsidRPr="00747A00">
              <w:rPr>
                <w:noProof/>
                <w:webHidden/>
              </w:rPr>
              <w:tab/>
            </w:r>
            <w:r w:rsidRPr="00747A00">
              <w:rPr>
                <w:noProof/>
                <w:webHidden/>
              </w:rPr>
              <w:fldChar w:fldCharType="begin"/>
            </w:r>
            <w:r w:rsidRPr="00747A00">
              <w:rPr>
                <w:noProof/>
                <w:webHidden/>
              </w:rPr>
              <w:instrText xml:space="preserve"> PAGEREF _Toc209457346 \h </w:instrText>
            </w:r>
            <w:r w:rsidRPr="00747A00">
              <w:rPr>
                <w:noProof/>
                <w:webHidden/>
              </w:rPr>
            </w:r>
            <w:r w:rsidRPr="00747A00">
              <w:rPr>
                <w:noProof/>
                <w:webHidden/>
              </w:rPr>
              <w:fldChar w:fldCharType="separate"/>
            </w:r>
            <w:r w:rsidRPr="00747A00">
              <w:rPr>
                <w:noProof/>
                <w:webHidden/>
              </w:rPr>
              <w:t>9</w:t>
            </w:r>
            <w:r w:rsidRPr="00747A00">
              <w:rPr>
                <w:noProof/>
                <w:webHidden/>
              </w:rPr>
              <w:fldChar w:fldCharType="end"/>
            </w:r>
          </w:hyperlink>
        </w:p>
        <w:p w14:paraId="69046DDF" w14:textId="666F3B05" w:rsidR="00706E54" w:rsidRPr="00747A00" w:rsidRDefault="00706E54">
          <w:pPr>
            <w:pStyle w:val="TOC1"/>
            <w:tabs>
              <w:tab w:val="right" w:leader="dot" w:pos="9016"/>
            </w:tabs>
            <w:rPr>
              <w:rFonts w:asciiTheme="minorHAnsi" w:eastAsiaTheme="minorEastAsia" w:hAnsiTheme="minorHAnsi"/>
              <w:noProof/>
              <w:color w:val="auto"/>
              <w:sz w:val="24"/>
              <w:lang w:eastAsia="en-GB"/>
            </w:rPr>
          </w:pPr>
          <w:hyperlink w:anchor="_Toc209457347" w:history="1">
            <w:r w:rsidRPr="00747A00">
              <w:rPr>
                <w:rStyle w:val="Hyperlink"/>
                <w:noProof/>
              </w:rPr>
              <w:t>Recommendations</w:t>
            </w:r>
            <w:r w:rsidRPr="00747A00">
              <w:rPr>
                <w:noProof/>
                <w:webHidden/>
              </w:rPr>
              <w:tab/>
            </w:r>
            <w:r w:rsidRPr="00747A00">
              <w:rPr>
                <w:noProof/>
                <w:webHidden/>
              </w:rPr>
              <w:fldChar w:fldCharType="begin"/>
            </w:r>
            <w:r w:rsidRPr="00747A00">
              <w:rPr>
                <w:noProof/>
                <w:webHidden/>
              </w:rPr>
              <w:instrText xml:space="preserve"> PAGEREF _Toc209457347 \h </w:instrText>
            </w:r>
            <w:r w:rsidRPr="00747A00">
              <w:rPr>
                <w:noProof/>
                <w:webHidden/>
              </w:rPr>
            </w:r>
            <w:r w:rsidRPr="00747A00">
              <w:rPr>
                <w:noProof/>
                <w:webHidden/>
              </w:rPr>
              <w:fldChar w:fldCharType="separate"/>
            </w:r>
            <w:r w:rsidRPr="00747A00">
              <w:rPr>
                <w:noProof/>
                <w:webHidden/>
              </w:rPr>
              <w:t>10</w:t>
            </w:r>
            <w:r w:rsidRPr="00747A00">
              <w:rPr>
                <w:noProof/>
                <w:webHidden/>
              </w:rPr>
              <w:fldChar w:fldCharType="end"/>
            </w:r>
          </w:hyperlink>
        </w:p>
        <w:p w14:paraId="69F7EC29" w14:textId="04F8C379" w:rsidR="00706E54" w:rsidRPr="00747A00" w:rsidRDefault="00706E54">
          <w:pPr>
            <w:pStyle w:val="TOC1"/>
            <w:tabs>
              <w:tab w:val="right" w:leader="dot" w:pos="9016"/>
            </w:tabs>
            <w:rPr>
              <w:rFonts w:asciiTheme="minorHAnsi" w:eastAsiaTheme="minorEastAsia" w:hAnsiTheme="minorHAnsi"/>
              <w:noProof/>
              <w:color w:val="auto"/>
              <w:sz w:val="24"/>
              <w:lang w:eastAsia="en-GB"/>
            </w:rPr>
          </w:pPr>
          <w:hyperlink w:anchor="_Toc209457348" w:history="1">
            <w:r w:rsidRPr="00747A00">
              <w:rPr>
                <w:rStyle w:val="Hyperlink"/>
                <w:noProof/>
              </w:rPr>
              <w:t>Conclusion</w:t>
            </w:r>
            <w:r w:rsidRPr="00747A00">
              <w:rPr>
                <w:noProof/>
                <w:webHidden/>
              </w:rPr>
              <w:tab/>
            </w:r>
            <w:r w:rsidRPr="00747A00">
              <w:rPr>
                <w:noProof/>
                <w:webHidden/>
              </w:rPr>
              <w:fldChar w:fldCharType="begin"/>
            </w:r>
            <w:r w:rsidRPr="00747A00">
              <w:rPr>
                <w:noProof/>
                <w:webHidden/>
              </w:rPr>
              <w:instrText xml:space="preserve"> PAGEREF _Toc209457348 \h </w:instrText>
            </w:r>
            <w:r w:rsidRPr="00747A00">
              <w:rPr>
                <w:noProof/>
                <w:webHidden/>
              </w:rPr>
            </w:r>
            <w:r w:rsidRPr="00747A00">
              <w:rPr>
                <w:noProof/>
                <w:webHidden/>
              </w:rPr>
              <w:fldChar w:fldCharType="separate"/>
            </w:r>
            <w:r w:rsidRPr="00747A00">
              <w:rPr>
                <w:noProof/>
                <w:webHidden/>
              </w:rPr>
              <w:t>10</w:t>
            </w:r>
            <w:r w:rsidRPr="00747A00">
              <w:rPr>
                <w:noProof/>
                <w:webHidden/>
              </w:rPr>
              <w:fldChar w:fldCharType="end"/>
            </w:r>
          </w:hyperlink>
        </w:p>
        <w:p w14:paraId="672BCD2A" w14:textId="16F47BF4" w:rsidR="00706E54" w:rsidRPr="00747A00" w:rsidRDefault="00706E54">
          <w:pPr>
            <w:pStyle w:val="TOC1"/>
            <w:tabs>
              <w:tab w:val="right" w:leader="dot" w:pos="9016"/>
            </w:tabs>
            <w:rPr>
              <w:rFonts w:asciiTheme="minorHAnsi" w:eastAsiaTheme="minorEastAsia" w:hAnsiTheme="minorHAnsi"/>
              <w:noProof/>
              <w:color w:val="auto"/>
              <w:sz w:val="24"/>
              <w:lang w:eastAsia="en-GB"/>
            </w:rPr>
          </w:pPr>
          <w:hyperlink w:anchor="_Toc209457349" w:history="1">
            <w:r w:rsidRPr="00747A00">
              <w:rPr>
                <w:rStyle w:val="Hyperlink"/>
                <w:noProof/>
              </w:rPr>
              <w:t>Reference list</w:t>
            </w:r>
            <w:r w:rsidRPr="00747A00">
              <w:rPr>
                <w:noProof/>
                <w:webHidden/>
              </w:rPr>
              <w:tab/>
            </w:r>
            <w:r w:rsidRPr="00747A00">
              <w:rPr>
                <w:noProof/>
                <w:webHidden/>
              </w:rPr>
              <w:fldChar w:fldCharType="begin"/>
            </w:r>
            <w:r w:rsidRPr="00747A00">
              <w:rPr>
                <w:noProof/>
                <w:webHidden/>
              </w:rPr>
              <w:instrText xml:space="preserve"> PAGEREF _Toc209457349 \h </w:instrText>
            </w:r>
            <w:r w:rsidRPr="00747A00">
              <w:rPr>
                <w:noProof/>
                <w:webHidden/>
              </w:rPr>
            </w:r>
            <w:r w:rsidRPr="00747A00">
              <w:rPr>
                <w:noProof/>
                <w:webHidden/>
              </w:rPr>
              <w:fldChar w:fldCharType="separate"/>
            </w:r>
            <w:r w:rsidRPr="00747A00">
              <w:rPr>
                <w:noProof/>
                <w:webHidden/>
              </w:rPr>
              <w:t>12</w:t>
            </w:r>
            <w:r w:rsidRPr="00747A00">
              <w:rPr>
                <w:noProof/>
                <w:webHidden/>
              </w:rPr>
              <w:fldChar w:fldCharType="end"/>
            </w:r>
          </w:hyperlink>
        </w:p>
        <w:p w14:paraId="18388687" w14:textId="48496E37" w:rsidR="005D2551" w:rsidRPr="00747A00" w:rsidRDefault="00D96B1E">
          <w:r w:rsidRPr="00747A00">
            <w:rPr>
              <w:b/>
              <w:bCs/>
              <w:noProof/>
            </w:rPr>
            <w:fldChar w:fldCharType="end"/>
          </w:r>
        </w:p>
      </w:sdtContent>
    </w:sdt>
    <w:p w14:paraId="4B8D9A1F" w14:textId="77777777" w:rsidR="00BC231A" w:rsidRPr="00747A00" w:rsidRDefault="00D96B1E">
      <w:pPr>
        <w:spacing w:line="278" w:lineRule="auto"/>
        <w:jc w:val="left"/>
      </w:pPr>
      <w:r w:rsidRPr="00747A00">
        <w:br w:type="page"/>
      </w:r>
    </w:p>
    <w:p w14:paraId="125E7021" w14:textId="6A487CFC" w:rsidR="0035237D" w:rsidRPr="00747A00" w:rsidRDefault="00D96B1E" w:rsidP="006C3B58">
      <w:pPr>
        <w:pStyle w:val="Heading1"/>
        <w:rPr>
          <w:lang w:val="en-GB"/>
        </w:rPr>
      </w:pPr>
      <w:bookmarkStart w:id="0" w:name="_Toc209457336"/>
      <w:r w:rsidRPr="00747A00">
        <w:rPr>
          <w:lang w:val="en-GB"/>
        </w:rPr>
        <w:lastRenderedPageBreak/>
        <w:t>Introduction</w:t>
      </w:r>
      <w:bookmarkEnd w:id="0"/>
    </w:p>
    <w:p w14:paraId="4C0065CC" w14:textId="3D524928" w:rsidR="00AF13D2" w:rsidRPr="00747A00" w:rsidRDefault="00D96B1E" w:rsidP="00AF13D2">
      <w:r w:rsidRPr="00747A00">
        <w:t>Emotional intelligence (EI) and mindfulness are increasingly recognised as strategic levers for improving employee wellbeing, effective leadership</w:t>
      </w:r>
      <w:r w:rsidR="00385172" w:rsidRPr="00747A00">
        <w:t>,</w:t>
      </w:r>
      <w:r w:rsidRPr="00747A00">
        <w:t xml:space="preserve"> and thus organisational performance (Ravikumar and Muralidharan, 2025). Globalisation, changing workforce demographics</w:t>
      </w:r>
      <w:r w:rsidR="006D5E9B" w:rsidRPr="00747A00">
        <w:t>,</w:t>
      </w:r>
      <w:r w:rsidRPr="00747A00">
        <w:t xml:space="preserve"> and technological disruption provide a volatile environment where EI can present a framework for navigating complexity through regulation</w:t>
      </w:r>
      <w:r w:rsidR="00236B39" w:rsidRPr="00747A00">
        <w:t xml:space="preserve">, </w:t>
      </w:r>
      <w:r w:rsidR="00287503" w:rsidRPr="00747A00">
        <w:t>self-awareness</w:t>
      </w:r>
      <w:r w:rsidR="00236B39" w:rsidRPr="00747A00">
        <w:t>,</w:t>
      </w:r>
      <w:r w:rsidRPr="00747A00">
        <w:t xml:space="preserve"> and social skills. Mindfulness complements EI by improving attentional control and resi</w:t>
      </w:r>
      <w:r w:rsidR="00236B39" w:rsidRPr="00747A00">
        <w:t>li</w:t>
      </w:r>
      <w:r w:rsidRPr="00747A00">
        <w:t xml:space="preserve">ence, which makes it </w:t>
      </w:r>
      <w:r w:rsidR="00236B39" w:rsidRPr="00747A00">
        <w:t>a valuable</w:t>
      </w:r>
      <w:r w:rsidRPr="00747A00">
        <w:t xml:space="preserve"> capability for both employees and leaders (</w:t>
      </w:r>
      <w:r w:rsidR="00287503" w:rsidRPr="00747A00">
        <w:t>Kaoun, 2019</w:t>
      </w:r>
      <w:r w:rsidRPr="00747A00">
        <w:t xml:space="preserve">). This report aims to critically evaluate the ways EI can be developed, </w:t>
      </w:r>
      <w:r w:rsidR="009909EE" w:rsidRPr="00747A00">
        <w:t>measured,</w:t>
      </w:r>
      <w:r w:rsidRPr="00747A00">
        <w:t xml:space="preserve"> and embedded in workplace practices while considering generation</w:t>
      </w:r>
      <w:r w:rsidR="002E2628" w:rsidRPr="00747A00">
        <w:t>al</w:t>
      </w:r>
      <w:r w:rsidRPr="00747A00">
        <w:t xml:space="preserve"> differences across cohorts X, Y, and Z. It will further analyse how </w:t>
      </w:r>
      <w:r w:rsidR="00093357" w:rsidRPr="00747A00">
        <w:t>mindfulness-based</w:t>
      </w:r>
      <w:r w:rsidRPr="00747A00">
        <w:t xml:space="preserve"> interventions can work as enable</w:t>
      </w:r>
      <w:r w:rsidR="00463404" w:rsidRPr="00747A00">
        <w:t>r</w:t>
      </w:r>
      <w:r w:rsidRPr="00747A00">
        <w:t xml:space="preserve">s of </w:t>
      </w:r>
      <w:r w:rsidR="00193FAC" w:rsidRPr="00747A00">
        <w:t>EI</w:t>
      </w:r>
      <w:r w:rsidRPr="00747A00">
        <w:t xml:space="preserve"> in management and leadership. </w:t>
      </w:r>
    </w:p>
    <w:p w14:paraId="464E2BB6" w14:textId="155BD6DA" w:rsidR="006C3B58" w:rsidRPr="00747A00" w:rsidRDefault="00D96B1E" w:rsidP="006C3B58">
      <w:pPr>
        <w:pStyle w:val="Heading1"/>
        <w:rPr>
          <w:lang w:val="en-GB"/>
        </w:rPr>
      </w:pPr>
      <w:bookmarkStart w:id="1" w:name="_Toc209457337"/>
      <w:r w:rsidRPr="00747A00">
        <w:rPr>
          <w:lang w:val="en-GB"/>
        </w:rPr>
        <w:t>Part A</w:t>
      </w:r>
      <w:r w:rsidR="00F4201B" w:rsidRPr="00747A00">
        <w:rPr>
          <w:lang w:val="en-GB"/>
        </w:rPr>
        <w:t>:</w:t>
      </w:r>
      <w:r w:rsidRPr="00747A00">
        <w:rPr>
          <w:lang w:val="en-GB"/>
        </w:rPr>
        <w:t xml:space="preserve"> </w:t>
      </w:r>
      <w:r w:rsidR="00B9176E" w:rsidRPr="00747A00">
        <w:rPr>
          <w:lang w:val="en-GB"/>
        </w:rPr>
        <w:t>Ways</w:t>
      </w:r>
      <w:r w:rsidRPr="00747A00">
        <w:rPr>
          <w:lang w:val="en-GB"/>
        </w:rPr>
        <w:t xml:space="preserve"> employees use EI components in the workplace</w:t>
      </w:r>
      <w:bookmarkEnd w:id="1"/>
    </w:p>
    <w:p w14:paraId="3FEFAE79" w14:textId="4EB7F6AF" w:rsidR="003A3436" w:rsidRPr="00747A00" w:rsidRDefault="00D96B1E" w:rsidP="003A3436">
      <w:pPr>
        <w:pStyle w:val="Heading2"/>
        <w:rPr>
          <w:lang w:val="en-GB"/>
        </w:rPr>
      </w:pPr>
      <w:bookmarkStart w:id="2" w:name="_Toc209457338"/>
      <w:r w:rsidRPr="00747A00">
        <w:rPr>
          <w:lang w:val="en-GB"/>
        </w:rPr>
        <w:t xml:space="preserve">A.1 </w:t>
      </w:r>
      <w:r w:rsidR="006C3B58" w:rsidRPr="00747A00">
        <w:rPr>
          <w:lang w:val="en-GB"/>
        </w:rPr>
        <w:t>Critical appraisal of the main EI models</w:t>
      </w:r>
      <w:bookmarkEnd w:id="2"/>
    </w:p>
    <w:p w14:paraId="69052B20" w14:textId="7701D121" w:rsidR="003A3436" w:rsidRPr="00747A00" w:rsidRDefault="00D96B1E" w:rsidP="003A3436">
      <w:r w:rsidRPr="00747A00">
        <w:t xml:space="preserve">The </w:t>
      </w:r>
      <w:r w:rsidR="00D87A59" w:rsidRPr="00747A00">
        <w:rPr>
          <w:b/>
          <w:bCs/>
          <w:i/>
          <w:iCs/>
        </w:rPr>
        <w:t>Ability Model</w:t>
      </w:r>
      <w:r w:rsidR="00D87A59" w:rsidRPr="00747A00">
        <w:t xml:space="preserve"> </w:t>
      </w:r>
      <w:r w:rsidRPr="00747A00">
        <w:t xml:space="preserve">developed by Salovey and Mayer conceptualises </w:t>
      </w:r>
      <w:r w:rsidR="00D87A59" w:rsidRPr="00747A00">
        <w:t xml:space="preserve">EI </w:t>
      </w:r>
      <w:r w:rsidRPr="00747A00">
        <w:t>as a set of cooperative skills</w:t>
      </w:r>
      <w:r w:rsidR="00D87A59" w:rsidRPr="00747A00">
        <w:t>,</w:t>
      </w:r>
      <w:r w:rsidRPr="00747A00">
        <w:t xml:space="preserve"> namely using</w:t>
      </w:r>
      <w:r w:rsidR="00BF2FC3" w:rsidRPr="00747A00">
        <w:t>,</w:t>
      </w:r>
      <w:r w:rsidRPr="00747A00">
        <w:t xml:space="preserve"> perceiving</w:t>
      </w:r>
      <w:r w:rsidR="00D87A59" w:rsidRPr="00747A00">
        <w:t>,</w:t>
      </w:r>
      <w:r w:rsidRPr="00747A00">
        <w:t xml:space="preserve"> understanding</w:t>
      </w:r>
      <w:r w:rsidR="00D87A59" w:rsidRPr="00747A00">
        <w:t>,</w:t>
      </w:r>
      <w:r w:rsidRPr="00747A00">
        <w:t xml:space="preserve"> and managing emotions (</w:t>
      </w:r>
      <w:r w:rsidR="009D5F7B" w:rsidRPr="00747A00">
        <w:t>Kanesan and Fauzan, 2019</w:t>
      </w:r>
      <w:r w:rsidRPr="00747A00">
        <w:t>). The MSCEIT test operationalises the ability model</w:t>
      </w:r>
      <w:r w:rsidR="00D87A59" w:rsidRPr="00747A00">
        <w:t>,</w:t>
      </w:r>
      <w:r w:rsidRPr="00747A00">
        <w:t xml:space="preserve"> yet critics argue that it reflects consensus scoring rather than objectively correct answers</w:t>
      </w:r>
      <w:r w:rsidR="00D87A59" w:rsidRPr="00747A00">
        <w:t>,</w:t>
      </w:r>
      <w:r w:rsidRPr="00747A00">
        <w:t xml:space="preserve"> which raises concerns of cultural bias</w:t>
      </w:r>
      <w:r w:rsidR="00D46E15" w:rsidRPr="00747A00">
        <w:t xml:space="preserve"> (Nelson, 2021)</w:t>
      </w:r>
      <w:r w:rsidRPr="00747A00">
        <w:t xml:space="preserve">. The model offers precision in training and analytical </w:t>
      </w:r>
      <w:r w:rsidR="004F7230" w:rsidRPr="00747A00">
        <w:t xml:space="preserve">skills related to emotional </w:t>
      </w:r>
      <w:r w:rsidRPr="00747A00">
        <w:t>interactions</w:t>
      </w:r>
      <w:r w:rsidR="00D87A59" w:rsidRPr="00747A00">
        <w:t>;</w:t>
      </w:r>
      <w:r w:rsidRPr="00747A00">
        <w:t xml:space="preserve"> however</w:t>
      </w:r>
      <w:r w:rsidR="00D87A59" w:rsidRPr="00747A00">
        <w:t>, it</w:t>
      </w:r>
      <w:r w:rsidRPr="00747A00">
        <w:t xml:space="preserve"> is less intuitive for managers requiring behavioural indicators in appraisal or recruitment. </w:t>
      </w:r>
    </w:p>
    <w:p w14:paraId="06545C4C" w14:textId="77777777" w:rsidR="003A3436" w:rsidRPr="00747A00" w:rsidRDefault="00D96B1E" w:rsidP="003A3436">
      <w:r w:rsidRPr="00747A00">
        <w:t xml:space="preserve">On the other hand, </w:t>
      </w:r>
      <w:r w:rsidRPr="00747A00">
        <w:rPr>
          <w:b/>
          <w:bCs/>
          <w:i/>
          <w:iCs/>
        </w:rPr>
        <w:t>Goleman’s competency model</w:t>
      </w:r>
      <w:r w:rsidRPr="00747A00">
        <w:t xml:space="preserve"> reestablished the concept of </w:t>
      </w:r>
      <w:r w:rsidR="00D2746F" w:rsidRPr="00747A00">
        <w:t>EI</w:t>
      </w:r>
      <w:r w:rsidRPr="00747A00">
        <w:t xml:space="preserve"> into clusters of workplace competencies such as self-awareness, empathy, and relationship management. The practical appeal of this model is high as organisations can integrate competence into leadership frameworks and HR systems (</w:t>
      </w:r>
      <w:r w:rsidR="00D46E15" w:rsidRPr="00747A00">
        <w:t xml:space="preserve">Schiuma </w:t>
      </w:r>
      <w:r w:rsidR="00D46E15" w:rsidRPr="00747A00">
        <w:rPr>
          <w:i/>
          <w:iCs/>
        </w:rPr>
        <w:t>et al</w:t>
      </w:r>
      <w:r w:rsidR="00D46E15" w:rsidRPr="00747A00">
        <w:t>., 2022</w:t>
      </w:r>
      <w:r w:rsidRPr="00747A00">
        <w:t>). For instance, a manager who is demonstrating self-regulation during restructuring can sustain team morale. Nevertheless, the broad scope of the model overlaps with established personality traits such as extraversion and conscientiousness, which undermine construct validity (</w:t>
      </w:r>
      <w:r w:rsidR="00395453" w:rsidRPr="00747A00">
        <w:t>Singh, Prabhakar, and Kiran, 2022</w:t>
      </w:r>
      <w:r w:rsidRPr="00747A00">
        <w:t>). However, the competency model holds significant predictive power for job performance</w:t>
      </w:r>
      <w:r w:rsidR="00395453" w:rsidRPr="00747A00">
        <w:t>,</w:t>
      </w:r>
      <w:r w:rsidRPr="00747A00">
        <w:t xml:space="preserve"> yet effect sizes become constricted when controlling for Big 5 traits or IQ.</w:t>
      </w:r>
    </w:p>
    <w:p w14:paraId="6D6571C6" w14:textId="32C30889" w:rsidR="003A3436" w:rsidRPr="00747A00" w:rsidRDefault="00D96B1E" w:rsidP="003A3436">
      <w:r w:rsidRPr="00747A00">
        <w:rPr>
          <w:b/>
          <w:bCs/>
          <w:i/>
          <w:iCs/>
        </w:rPr>
        <w:t>Gardner’s multiple intelligences</w:t>
      </w:r>
      <w:r w:rsidRPr="00747A00">
        <w:t xml:space="preserve"> is not a formal EI model</w:t>
      </w:r>
      <w:r w:rsidR="00F07DED" w:rsidRPr="00747A00">
        <w:t>,</w:t>
      </w:r>
      <w:r w:rsidRPr="00747A00">
        <w:t xml:space="preserve"> but </w:t>
      </w:r>
      <w:r w:rsidR="0053767C" w:rsidRPr="00747A00">
        <w:t xml:space="preserve">it </w:t>
      </w:r>
      <w:r w:rsidRPr="00747A00">
        <w:t>provided a precursor by emphasising interpersonal and intrapersonal intelligences (</w:t>
      </w:r>
      <w:r w:rsidR="00F62511" w:rsidRPr="00747A00">
        <w:t>Sfetcu, 2020</w:t>
      </w:r>
      <w:r w:rsidRPr="00747A00">
        <w:t xml:space="preserve">). It </w:t>
      </w:r>
      <w:r w:rsidR="00FB315E" w:rsidRPr="00747A00">
        <w:t>highlights the educational value of recognising emotional capacities alongside</w:t>
      </w:r>
      <w:r w:rsidRPr="00747A00">
        <w:t xml:space="preserve"> logical skills. However, the </w:t>
      </w:r>
      <w:r w:rsidR="00E96CE8" w:rsidRPr="00747A00">
        <w:t>f</w:t>
      </w:r>
      <w:r w:rsidRPr="00747A00">
        <w:t>ramework does not have rigorous psychometric support and is rarely applied in workforce assessment beyond developmental coaching. </w:t>
      </w:r>
    </w:p>
    <w:p w14:paraId="67CAB289" w14:textId="5792FF6F" w:rsidR="003A3436" w:rsidRPr="00747A00" w:rsidRDefault="00D96B1E" w:rsidP="003A3436">
      <w:r w:rsidRPr="00747A00">
        <w:rPr>
          <w:b/>
          <w:bCs/>
          <w:i/>
          <w:iCs/>
        </w:rPr>
        <w:lastRenderedPageBreak/>
        <w:t>Aristotle’s principle of appropriate emotional expression</w:t>
      </w:r>
      <w:r w:rsidRPr="00747A00">
        <w:t xml:space="preserve"> offers an ethical concept where emotional competence is not instrumental, as it is connected to proportionality and virtue</w:t>
      </w:r>
      <w:r w:rsidR="00F07DED" w:rsidRPr="00747A00">
        <w:t xml:space="preserve"> (Darnell </w:t>
      </w:r>
      <w:r w:rsidR="00F07DED" w:rsidRPr="00747A00">
        <w:rPr>
          <w:i/>
          <w:iCs/>
        </w:rPr>
        <w:t>et al</w:t>
      </w:r>
      <w:r w:rsidR="00F07DED" w:rsidRPr="00747A00">
        <w:t>., 2019)</w:t>
      </w:r>
      <w:r w:rsidRPr="00747A00">
        <w:t>. At the philosophical level, this identifies that the implementation of EI in organisations must be value-driven and not manipulative. </w:t>
      </w:r>
      <w:r w:rsidR="00F57737" w:rsidRPr="00747A00">
        <w:t>However, EI correlates with well-being and leadership effectiveness, yet dependence on self-reports often overlaps with existing constructs</w:t>
      </w:r>
      <w:r w:rsidR="00EC2622" w:rsidRPr="00747A00">
        <w:t>, which must be noted</w:t>
      </w:r>
      <w:r w:rsidR="00F57737" w:rsidRPr="00747A00">
        <w:t xml:space="preserve"> (Miao, Humphrey, and Qian, 2021). </w:t>
      </w:r>
    </w:p>
    <w:p w14:paraId="60DA7C0F" w14:textId="429C5755" w:rsidR="006C3B58" w:rsidRPr="00747A00" w:rsidRDefault="00D96B1E" w:rsidP="006C3B58">
      <w:pPr>
        <w:pStyle w:val="Heading2"/>
        <w:rPr>
          <w:lang w:val="en-GB"/>
        </w:rPr>
      </w:pPr>
      <w:bookmarkStart w:id="3" w:name="_Toc209457339"/>
      <w:r w:rsidRPr="00747A00">
        <w:rPr>
          <w:lang w:val="en-GB"/>
        </w:rPr>
        <w:t>A.2. Mapping EI components to workplace functions</w:t>
      </w:r>
      <w:bookmarkEnd w:id="3"/>
    </w:p>
    <w:p w14:paraId="38D64150" w14:textId="77777777" w:rsidR="003E7EE3" w:rsidRPr="00747A00" w:rsidRDefault="00D96B1E" w:rsidP="003E7EE3">
      <w:r w:rsidRPr="00747A00">
        <w:t>Goleman’s competency framework is employed widely in management practice as it converts emotional intelligence into observable behaviours. However</w:t>
      </w:r>
      <w:r w:rsidR="00486F6B" w:rsidRPr="00747A00">
        <w:t>,</w:t>
      </w:r>
      <w:r w:rsidRPr="00747A00">
        <w:t xml:space="preserve"> its application in the workplace requires strong surveillance as benefits are often conditional</w:t>
      </w:r>
      <w:r w:rsidR="00486F6B" w:rsidRPr="00747A00">
        <w:t>,</w:t>
      </w:r>
      <w:r w:rsidRPr="00747A00">
        <w:t xml:space="preserve"> which can give rise to </w:t>
      </w:r>
      <w:r w:rsidR="00486F6B" w:rsidRPr="00747A00">
        <w:t>trade-offs</w:t>
      </w:r>
      <w:r w:rsidRPr="00747A00">
        <w:t>. </w:t>
      </w:r>
    </w:p>
    <w:p w14:paraId="0E946931" w14:textId="5E0FEBCB" w:rsidR="003E7EE3" w:rsidRPr="00747A00" w:rsidRDefault="00D96B1E" w:rsidP="003E7EE3">
      <w:r w:rsidRPr="00747A00">
        <w:rPr>
          <w:b/>
          <w:bCs/>
          <w:i/>
          <w:iCs/>
        </w:rPr>
        <w:t>Self-awareness</w:t>
      </w:r>
      <w:r w:rsidRPr="00747A00">
        <w:t xml:space="preserve"> is essential for accurate self-appraisal and constructive performance conversation, which leads to informed career planning (</w:t>
      </w:r>
      <w:r w:rsidR="00C83C04" w:rsidRPr="00747A00">
        <w:t>Chon and Sitkin, 2021</w:t>
      </w:r>
      <w:r w:rsidRPr="00747A00">
        <w:t xml:space="preserve">). For instance, a manager who journals and uses 360-degree feedback can identify any blind spots in delegation. </w:t>
      </w:r>
      <w:r w:rsidR="00813D4C" w:rsidRPr="00747A00">
        <w:t xml:space="preserve">In organisations like Deloitte, structured reflection exercises are used to help </w:t>
      </w:r>
      <w:r w:rsidR="00813D4C" w:rsidRPr="00747A00">
        <w:rPr>
          <w:b/>
          <w:bCs/>
        </w:rPr>
        <w:t>consultants</w:t>
      </w:r>
      <w:r w:rsidR="00813D4C" w:rsidRPr="00747A00">
        <w:t xml:space="preserve"> align career goals with realistic capabilities, which demonstrates ways EI can support developmental planning (Deloitte, 2025a). </w:t>
      </w:r>
      <w:r w:rsidRPr="00747A00">
        <w:t>Self-awareness is often connected to leadership effectiveness, yet there are concerns related to analysis paralysis, where employees with high self-awareness can overthink decisions (</w:t>
      </w:r>
      <w:r w:rsidR="00D7384A" w:rsidRPr="00747A00">
        <w:t>Kohn, 2024</w:t>
      </w:r>
      <w:r w:rsidRPr="00747A00">
        <w:t>). Tools like reflective journals can encourage strong growth; however, self-report methods are vulnerable to social desirability biases. </w:t>
      </w:r>
    </w:p>
    <w:p w14:paraId="6E942915" w14:textId="03EA303B" w:rsidR="003E7EE3" w:rsidRPr="00747A00" w:rsidRDefault="00D96B1E" w:rsidP="003E7EE3">
      <w:r w:rsidRPr="00747A00">
        <w:rPr>
          <w:b/>
          <w:bCs/>
          <w:i/>
          <w:iCs/>
        </w:rPr>
        <w:t>Self-regulation</w:t>
      </w:r>
      <w:r w:rsidRPr="00747A00">
        <w:t xml:space="preserve"> is essential for adaptability, impulse control, and maintenance of professional conduct in times of uncertainty (</w:t>
      </w:r>
      <w:r w:rsidR="00F37C9A" w:rsidRPr="00747A00">
        <w:t xml:space="preserve">Yadav </w:t>
      </w:r>
      <w:r w:rsidR="00F37C9A" w:rsidRPr="00747A00">
        <w:rPr>
          <w:i/>
          <w:iCs/>
        </w:rPr>
        <w:t>et al</w:t>
      </w:r>
      <w:r w:rsidR="00F37C9A" w:rsidRPr="00747A00">
        <w:t>., 2023</w:t>
      </w:r>
      <w:r w:rsidRPr="00747A00">
        <w:t>). During the COVID-19 crisis, leaders who waited before announcing restructuring options promoted greater trust than those who reacted defensively. Mindfulness practices and coaching have strong support in reducing reactive behaviour (</w:t>
      </w:r>
      <w:r w:rsidR="00FE0ABD" w:rsidRPr="00747A00">
        <w:t xml:space="preserve">Singh </w:t>
      </w:r>
      <w:r w:rsidR="00FE0ABD" w:rsidRPr="00747A00">
        <w:rPr>
          <w:i/>
          <w:iCs/>
        </w:rPr>
        <w:t>et al</w:t>
      </w:r>
      <w:r w:rsidR="00FE0ABD" w:rsidRPr="00747A00">
        <w:t>., 2019</w:t>
      </w:r>
      <w:r w:rsidRPr="00747A00">
        <w:t xml:space="preserve">). </w:t>
      </w:r>
      <w:r w:rsidR="006B6318" w:rsidRPr="00747A00">
        <w:t xml:space="preserve">For example, </w:t>
      </w:r>
      <w:r w:rsidR="006B6318" w:rsidRPr="00747A00">
        <w:rPr>
          <w:b/>
          <w:bCs/>
        </w:rPr>
        <w:t>managers</w:t>
      </w:r>
      <w:r w:rsidR="006B6318" w:rsidRPr="00747A00">
        <w:t xml:space="preserve"> at HSBC maintain regular communication with the workforce while </w:t>
      </w:r>
      <w:r w:rsidR="00C6180B" w:rsidRPr="00747A00">
        <w:t>integrating</w:t>
      </w:r>
      <w:r w:rsidR="006B6318" w:rsidRPr="00747A00">
        <w:t xml:space="preserve"> new systems like </w:t>
      </w:r>
      <w:r w:rsidR="00C6180B" w:rsidRPr="00747A00">
        <w:t xml:space="preserve">an </w:t>
      </w:r>
      <w:r w:rsidR="006B6318" w:rsidRPr="00747A00">
        <w:t>AI-based talent marketplace to avoid panic</w:t>
      </w:r>
      <w:r w:rsidR="00C6180B" w:rsidRPr="00747A00">
        <w:t>,</w:t>
      </w:r>
      <w:r w:rsidR="006B6318" w:rsidRPr="00747A00">
        <w:t xml:space="preserve"> </w:t>
      </w:r>
      <w:r w:rsidR="00C6180B" w:rsidRPr="00747A00">
        <w:t>demonstrating</w:t>
      </w:r>
      <w:r w:rsidR="006B6318" w:rsidRPr="00747A00">
        <w:t xml:space="preserve"> applied impulse control (WEF, 2023). </w:t>
      </w:r>
      <w:r w:rsidRPr="00747A00">
        <w:t>However, there are risks as excessive self-regulation can be interpreted as a lack of facility or passion, especially in fast-paced industries such as advertising. This requires the implementation of intentions through a different set of plans that can balance control with responsiveness. </w:t>
      </w:r>
    </w:p>
    <w:p w14:paraId="44F8F1E1" w14:textId="3341F8CD" w:rsidR="003E7EE3" w:rsidRPr="00747A00" w:rsidRDefault="00D96B1E" w:rsidP="003E7EE3">
      <w:r w:rsidRPr="00747A00">
        <w:rPr>
          <w:b/>
          <w:bCs/>
          <w:i/>
          <w:iCs/>
        </w:rPr>
        <w:t>Motivation</w:t>
      </w:r>
      <w:r w:rsidRPr="00747A00">
        <w:t xml:space="preserve"> identifies </w:t>
      </w:r>
      <w:r w:rsidR="003A3004" w:rsidRPr="00747A00">
        <w:t xml:space="preserve">the </w:t>
      </w:r>
      <w:r w:rsidRPr="00747A00">
        <w:t>proactive pursuit of goals and strong resilience. Sales teams often use incremental targets and recognition systems to maintain the drive for work (</w:t>
      </w:r>
      <w:r w:rsidR="003A3004" w:rsidRPr="00747A00">
        <w:t>Johnston and Marshall, 2020</w:t>
      </w:r>
      <w:r w:rsidRPr="00747A00">
        <w:t>). Evidence suggests that intrinsically motivated employees show a higher level of creativity (</w:t>
      </w:r>
      <w:r w:rsidR="004271C1" w:rsidRPr="00747A00">
        <w:t>Fischer, Malycha, and Schafmann, 2019</w:t>
      </w:r>
      <w:r w:rsidRPr="00747A00">
        <w:t xml:space="preserve">). </w:t>
      </w:r>
      <w:r w:rsidR="00895E79" w:rsidRPr="00747A00">
        <w:rPr>
          <w:b/>
          <w:bCs/>
        </w:rPr>
        <w:t>Team leads</w:t>
      </w:r>
      <w:r w:rsidR="00895E79" w:rsidRPr="00747A00">
        <w:t xml:space="preserve"> at Salesforce maintain </w:t>
      </w:r>
      <w:r w:rsidR="00895E79" w:rsidRPr="00747A00">
        <w:lastRenderedPageBreak/>
        <w:t>flexible systems and develop communities to ensure strong communication while maintaining an employee experience team to assist during high-pressure situations (Salesforce, 2022). This demonstrates the connection between commercial performance and motivation.  </w:t>
      </w:r>
      <w:r w:rsidRPr="00747A00">
        <w:t>However</w:t>
      </w:r>
      <w:r w:rsidR="00486F6B" w:rsidRPr="00747A00">
        <w:t>,</w:t>
      </w:r>
      <w:r w:rsidRPr="00747A00">
        <w:t xml:space="preserve"> overemphasis of organisations on motivational resilience can normalise burnout and overwork, which masks structural problems such as unrealistic targets (</w:t>
      </w:r>
      <w:r w:rsidR="00AC3ECE" w:rsidRPr="00747A00">
        <w:t>Maslach and Leiter, 2022</w:t>
      </w:r>
      <w:r w:rsidRPr="00747A00">
        <w:t>). Goal scaffolding is useful, yet a critical evaluation of the organisational reward system is necessary to prevent exploitation of motivated employees. </w:t>
      </w:r>
    </w:p>
    <w:p w14:paraId="1D642A45" w14:textId="41F4E7CA" w:rsidR="003E7EE3" w:rsidRPr="00747A00" w:rsidRDefault="00D96B1E" w:rsidP="003E7EE3">
      <w:r w:rsidRPr="00747A00">
        <w:rPr>
          <w:b/>
          <w:bCs/>
          <w:i/>
          <w:iCs/>
        </w:rPr>
        <w:t>Social awareness</w:t>
      </w:r>
      <w:r w:rsidRPr="00747A00">
        <w:t xml:space="preserve"> or </w:t>
      </w:r>
      <w:r w:rsidRPr="00747A00">
        <w:rPr>
          <w:b/>
          <w:bCs/>
          <w:i/>
          <w:iCs/>
        </w:rPr>
        <w:t>empathy</w:t>
      </w:r>
      <w:r w:rsidRPr="00747A00">
        <w:t xml:space="preserve"> encompasses diversity management, customer service</w:t>
      </w:r>
      <w:r w:rsidR="00C3452B" w:rsidRPr="00747A00">
        <w:t>,</w:t>
      </w:r>
      <w:r w:rsidRPr="00747A00">
        <w:t xml:space="preserve"> and culturally intelligent leadership (</w:t>
      </w:r>
      <w:r w:rsidR="00EB225F" w:rsidRPr="00747A00">
        <w:t xml:space="preserve">Arghode </w:t>
      </w:r>
      <w:r w:rsidR="00EB225F" w:rsidRPr="00747A00">
        <w:rPr>
          <w:i/>
          <w:iCs/>
        </w:rPr>
        <w:t>et al</w:t>
      </w:r>
      <w:r w:rsidR="00EB225F" w:rsidRPr="00747A00">
        <w:t>., 2022</w:t>
      </w:r>
      <w:r w:rsidRPr="00747A00">
        <w:t>). For instance, the leadership program</w:t>
      </w:r>
      <w:r w:rsidR="00356620" w:rsidRPr="00747A00">
        <w:t>me</w:t>
      </w:r>
      <w:r w:rsidRPr="00747A00">
        <w:t>s at Unilever train managers in active listening to navigate multicultural teams (</w:t>
      </w:r>
      <w:r w:rsidR="00100C06" w:rsidRPr="00747A00">
        <w:t>Unilever, 2025</w:t>
      </w:r>
      <w:r w:rsidRPr="00747A00">
        <w:t xml:space="preserve">). High levels of empathy can increase the service quality, yet can delay decision-making in contexts that require firmness, such as redundancy processes. </w:t>
      </w:r>
      <w:r w:rsidR="001607F7" w:rsidRPr="00747A00">
        <w:t xml:space="preserve">Marriott works in a customer-facing sector where </w:t>
      </w:r>
      <w:r w:rsidR="0087399C" w:rsidRPr="00747A00">
        <w:rPr>
          <w:b/>
          <w:bCs/>
        </w:rPr>
        <w:t>managers</w:t>
      </w:r>
      <w:r w:rsidR="0087399C" w:rsidRPr="00747A00">
        <w:t xml:space="preserve"> </w:t>
      </w:r>
      <w:r w:rsidR="0016304F" w:rsidRPr="00747A00">
        <w:t>train</w:t>
      </w:r>
      <w:r w:rsidR="001607F7" w:rsidRPr="00747A00">
        <w:t xml:space="preserve"> employees to recognise emotional cues while taking care of people through interactions, which enhances service quality while maintaining boundaries (Hyken, 2022). </w:t>
      </w:r>
      <w:r w:rsidRPr="00747A00">
        <w:t xml:space="preserve">Exercises that require perspectives are effective tools, yet they must </w:t>
      </w:r>
      <w:r w:rsidR="004B2AE0" w:rsidRPr="00747A00">
        <w:t>relate to</w:t>
      </w:r>
      <w:r w:rsidRPr="00747A00">
        <w:t xml:space="preserve"> boundaries to prevent compassion fatigue. Compared to the cognitive model, the empathy competency is more behaviourally grounded yet harder to measure objectively. </w:t>
      </w:r>
    </w:p>
    <w:p w14:paraId="26B65144" w14:textId="78DF4A4C" w:rsidR="003E7EE3" w:rsidRPr="00747A00" w:rsidRDefault="00D96B1E" w:rsidP="003E7EE3">
      <w:r w:rsidRPr="00747A00">
        <w:rPr>
          <w:b/>
          <w:bCs/>
          <w:i/>
          <w:iCs/>
        </w:rPr>
        <w:t>Social skills</w:t>
      </w:r>
      <w:r w:rsidRPr="00747A00">
        <w:t xml:space="preserve"> are represented in teamwork, negotiation</w:t>
      </w:r>
      <w:r w:rsidR="00A52A33" w:rsidRPr="00747A00">
        <w:t>,</w:t>
      </w:r>
      <w:r w:rsidRPr="00747A00">
        <w:t xml:space="preserve"> and influence in teams (</w:t>
      </w:r>
      <w:r w:rsidR="006413C9" w:rsidRPr="00747A00">
        <w:t>Weidmann and Deming, 2021</w:t>
      </w:r>
      <w:r w:rsidRPr="00747A00">
        <w:t xml:space="preserve">). A project leader who </w:t>
      </w:r>
      <w:r w:rsidR="00AA0FEC" w:rsidRPr="00747A00">
        <w:t>facilitates</w:t>
      </w:r>
      <w:r w:rsidRPr="00747A00">
        <w:t xml:space="preserve"> constructive communication during conflict resolution enhances this competency. Team coaching improves collaboration while reducing turnover for companies (</w:t>
      </w:r>
      <w:r w:rsidR="003A3B18" w:rsidRPr="00747A00">
        <w:t>Hawkins, 2021</w:t>
      </w:r>
      <w:r w:rsidRPr="00747A00">
        <w:t xml:space="preserve">). </w:t>
      </w:r>
      <w:r w:rsidR="004B2AE0" w:rsidRPr="00747A00">
        <w:t xml:space="preserve">For instance, in Microsoft, there are cross-functional teams who work together through dedicated systems to resolve issues which connect EI-driven social skills to innovation outcomes (Boyd, 2025). </w:t>
      </w:r>
      <w:r w:rsidRPr="00747A00">
        <w:t>However, highly skilled influencers can also manipulate employees, which raises ethical concerns. Behavioural interviews and roleplays can enhance awareness of ethical boundaries, yet their application depends on managerial integrity. Mapping the five competencies to workplace practice illustrates practical utility while exposing several limitations. Every competency has organisational benefits as the issues demand contextual judgement. </w:t>
      </w:r>
    </w:p>
    <w:p w14:paraId="3B585A05" w14:textId="334DF7CE" w:rsidR="006C3B58" w:rsidRPr="00747A00" w:rsidRDefault="00D96B1E" w:rsidP="006C3B58">
      <w:pPr>
        <w:pStyle w:val="Heading2"/>
        <w:rPr>
          <w:lang w:val="en-GB"/>
        </w:rPr>
      </w:pPr>
      <w:bookmarkStart w:id="4" w:name="_Toc209457340"/>
      <w:r w:rsidRPr="00747A00">
        <w:rPr>
          <w:lang w:val="en-GB"/>
        </w:rPr>
        <w:t>A.3. Mindfulness as an enabler of EI</w:t>
      </w:r>
      <w:bookmarkEnd w:id="4"/>
    </w:p>
    <w:p w14:paraId="4782541F" w14:textId="77777777" w:rsidR="00BA5C3A" w:rsidRPr="00747A00" w:rsidRDefault="00D96B1E" w:rsidP="00BA5C3A">
      <w:r w:rsidRPr="00747A00">
        <w:t xml:space="preserve">Mindfulness refers to a </w:t>
      </w:r>
      <w:r w:rsidR="00AA0FEC" w:rsidRPr="00747A00">
        <w:t>moment-to-moment</w:t>
      </w:r>
      <w:r w:rsidRPr="00747A00">
        <w:t xml:space="preserve"> or </w:t>
      </w:r>
      <w:r w:rsidR="00AA0FEC" w:rsidRPr="00747A00">
        <w:t>non-judgmental</w:t>
      </w:r>
      <w:r w:rsidRPr="00747A00">
        <w:t xml:space="preserve"> awareness</w:t>
      </w:r>
      <w:r w:rsidR="00AA0FEC" w:rsidRPr="00747A00">
        <w:t>,</w:t>
      </w:r>
      <w:r w:rsidRPr="00747A00">
        <w:t xml:space="preserve"> which is a prominent </w:t>
      </w:r>
      <w:r w:rsidR="00AA0FEC" w:rsidRPr="00747A00">
        <w:t>workplace</w:t>
      </w:r>
      <w:r w:rsidRPr="00747A00">
        <w:t xml:space="preserve"> intervention (</w:t>
      </w:r>
      <w:r w:rsidR="00A06E21" w:rsidRPr="00747A00">
        <w:t>Gunasekara and Zheng, 2019</w:t>
      </w:r>
      <w:r w:rsidRPr="00747A00">
        <w:t>). It can enhance focus</w:t>
      </w:r>
      <w:r w:rsidR="00AA0FEC" w:rsidRPr="00747A00">
        <w:t>,</w:t>
      </w:r>
      <w:r w:rsidRPr="00747A00">
        <w:t xml:space="preserve"> </w:t>
      </w:r>
      <w:r w:rsidR="00925511" w:rsidRPr="00747A00">
        <w:t>well-being,</w:t>
      </w:r>
      <w:r w:rsidRPr="00747A00">
        <w:t xml:space="preserve"> and resilience</w:t>
      </w:r>
      <w:r w:rsidR="00AA0FEC" w:rsidRPr="00747A00">
        <w:t>,</w:t>
      </w:r>
      <w:r w:rsidRPr="00747A00">
        <w:t xml:space="preserve"> yet the connection with EI requires critical appraisal.</w:t>
      </w:r>
    </w:p>
    <w:p w14:paraId="6DE20F16" w14:textId="77777777" w:rsidR="00BA5C3A" w:rsidRPr="00747A00" w:rsidRDefault="00D96B1E" w:rsidP="00BA5C3A">
      <w:r w:rsidRPr="00747A00">
        <w:t>Critically</w:t>
      </w:r>
      <w:r w:rsidR="0095575B" w:rsidRPr="00747A00">
        <w:t>,</w:t>
      </w:r>
      <w:r w:rsidRPr="00747A00">
        <w:t xml:space="preserve"> mindfulness improves attention control, emotional </w:t>
      </w:r>
      <w:r w:rsidR="00EB665F" w:rsidRPr="00747A00">
        <w:t>regulation,</w:t>
      </w:r>
      <w:r w:rsidRPr="00747A00">
        <w:t xml:space="preserve"> and cognitive awareness</w:t>
      </w:r>
      <w:r w:rsidR="0095575B" w:rsidRPr="00747A00">
        <w:t>,</w:t>
      </w:r>
      <w:r w:rsidRPr="00747A00">
        <w:t xml:space="preserve"> which aligns closely with the competencies of </w:t>
      </w:r>
      <w:r w:rsidR="0095575B" w:rsidRPr="00747A00">
        <w:t>self-regulation</w:t>
      </w:r>
      <w:r w:rsidRPr="00747A00">
        <w:t xml:space="preserve"> and </w:t>
      </w:r>
      <w:r w:rsidR="0095575B" w:rsidRPr="00747A00">
        <w:t>self-awareness</w:t>
      </w:r>
      <w:r w:rsidRPr="00747A00">
        <w:t xml:space="preserve"> </w:t>
      </w:r>
      <w:r w:rsidRPr="00747A00">
        <w:lastRenderedPageBreak/>
        <w:t>(</w:t>
      </w:r>
      <w:r w:rsidR="00A51F0D" w:rsidRPr="00747A00">
        <w:t xml:space="preserve">Fuchs </w:t>
      </w:r>
      <w:r w:rsidR="00A51F0D" w:rsidRPr="00747A00">
        <w:rPr>
          <w:i/>
          <w:iCs/>
        </w:rPr>
        <w:t>et al</w:t>
      </w:r>
      <w:r w:rsidR="00A51F0D" w:rsidRPr="00747A00">
        <w:t>., 2023</w:t>
      </w:r>
      <w:r w:rsidRPr="00747A00">
        <w:t>). For instance</w:t>
      </w:r>
      <w:r w:rsidR="0095575B" w:rsidRPr="00747A00">
        <w:t>,</w:t>
      </w:r>
      <w:r w:rsidRPr="00747A00">
        <w:t xml:space="preserve"> managers at the Search Inside Yourself programme at Google reported improved impulse control during negotiation</w:t>
      </w:r>
      <w:r w:rsidR="0095575B" w:rsidRPr="00747A00">
        <w:t>,</w:t>
      </w:r>
      <w:r w:rsidRPr="00747A00">
        <w:t xml:space="preserve"> which suggests mindfulness can be useful (</w:t>
      </w:r>
      <w:r w:rsidR="009A0E2D" w:rsidRPr="00747A00">
        <w:t>SIY, 202</w:t>
      </w:r>
      <w:r w:rsidR="00CD34E8" w:rsidRPr="00747A00">
        <w:t>4</w:t>
      </w:r>
      <w:r w:rsidRPr="00747A00">
        <w:t>). Similarly</w:t>
      </w:r>
      <w:r w:rsidR="009A0E2D" w:rsidRPr="00747A00">
        <w:t>,</w:t>
      </w:r>
      <w:r w:rsidRPr="00747A00">
        <w:t xml:space="preserve"> those </w:t>
      </w:r>
      <w:r w:rsidR="00347C5D" w:rsidRPr="00747A00">
        <w:t xml:space="preserve">who </w:t>
      </w:r>
      <w:r w:rsidRPr="00747A00">
        <w:t xml:space="preserve">were trained in mindfulness demonstrate greater empathy and resonance with the argument that emotionally intelligent leadership depends on </w:t>
      </w:r>
      <w:r w:rsidR="00347C5D" w:rsidRPr="00747A00">
        <w:t>achieving</w:t>
      </w:r>
      <w:r w:rsidRPr="00747A00">
        <w:t xml:space="preserve"> </w:t>
      </w:r>
      <w:r w:rsidR="00347C5D" w:rsidRPr="00747A00">
        <w:t>others'</w:t>
      </w:r>
      <w:r w:rsidRPr="00747A00">
        <w:t xml:space="preserve"> emotional state. </w:t>
      </w:r>
    </w:p>
    <w:p w14:paraId="1469B96E" w14:textId="3242F824" w:rsidR="00BA5C3A" w:rsidRPr="00747A00" w:rsidRDefault="00D96B1E" w:rsidP="00BA5C3A">
      <w:r w:rsidRPr="00747A00">
        <w:t>Mindfulness interventions, including workplace coaching structures or informal approaches such as Management by Wandering About (MBWA)</w:t>
      </w:r>
      <w:r w:rsidR="00323169" w:rsidRPr="00747A00">
        <w:t xml:space="preserve">, </w:t>
      </w:r>
      <w:r w:rsidRPr="00747A00">
        <w:t>promote authentic connection and presence. However, there are different outcomes where heterogeneity and selection bias can occur. This undermines the robustness of claims while challenging transferability across industries. </w:t>
      </w:r>
    </w:p>
    <w:p w14:paraId="64297B4A" w14:textId="5E4BF2F6" w:rsidR="00BA5C3A" w:rsidRPr="00747A00" w:rsidRDefault="00D96B1E" w:rsidP="00BA5C3A">
      <w:r w:rsidRPr="00747A00">
        <w:t>Risk of console mindfulness is a critical issue where companies deploy programmes as quick fixes to mask systemic stressors. For instance, employees at Amazon have criticised wellness booths that promote reading exercises during excessive workloads, thereby illustrating that managerial coercion can delegitimise mindfulness practices (</w:t>
      </w:r>
      <w:r w:rsidR="004D6306" w:rsidRPr="00747A00">
        <w:t>Carvalho and Grácio, 2022</w:t>
      </w:r>
      <w:r w:rsidRPr="00747A00">
        <w:t>). Furthermore, there are operational dilemmas as well</w:t>
      </w:r>
      <w:r w:rsidR="00DA6CCC" w:rsidRPr="00747A00">
        <w:t>, as</w:t>
      </w:r>
      <w:r w:rsidRPr="00747A00">
        <w:t xml:space="preserve"> mindfulness can enhance empathy. Cultural variations are also critical, as what is embraced as a mindful pause can be misinterpreted as disengagement in other contexts. Mindfulness is valuable as a developmental enabler of EI</w:t>
      </w:r>
      <w:r w:rsidR="00AC7B7B" w:rsidRPr="00747A00">
        <w:t>,</w:t>
      </w:r>
      <w:r w:rsidRPr="00747A00">
        <w:t xml:space="preserve"> yet its integration should avoid coercion and acknowledge m</w:t>
      </w:r>
      <w:r w:rsidR="001749E8" w:rsidRPr="00747A00">
        <w:t>e</w:t>
      </w:r>
      <w:r w:rsidRPr="00747A00">
        <w:t>tho</w:t>
      </w:r>
      <w:r w:rsidR="001749E8" w:rsidRPr="00747A00">
        <w:t>do</w:t>
      </w:r>
      <w:r w:rsidRPr="00747A00">
        <w:t>logical limitations while complementing systemic organisational reforms. </w:t>
      </w:r>
    </w:p>
    <w:p w14:paraId="266BBBBF" w14:textId="77777777" w:rsidR="006C3B58" w:rsidRPr="00747A00" w:rsidRDefault="00D96B1E" w:rsidP="006C3B58">
      <w:pPr>
        <w:pStyle w:val="Heading2"/>
        <w:rPr>
          <w:lang w:val="en-GB"/>
        </w:rPr>
      </w:pPr>
      <w:bookmarkStart w:id="5" w:name="_Toc209457341"/>
      <w:r w:rsidRPr="00747A00">
        <w:rPr>
          <w:lang w:val="en-GB"/>
        </w:rPr>
        <w:t>A.4. Measuring, developing, and embedding EI in HR processes</w:t>
      </w:r>
      <w:bookmarkEnd w:id="5"/>
      <w:r w:rsidRPr="00747A00">
        <w:rPr>
          <w:lang w:val="en-GB"/>
        </w:rPr>
        <w:t xml:space="preserve"> </w:t>
      </w:r>
    </w:p>
    <w:p w14:paraId="0E0E5D84" w14:textId="2A8C0E1D" w:rsidR="00CF045C" w:rsidRPr="00747A00" w:rsidRDefault="00D96B1E" w:rsidP="00CF045C">
      <w:r w:rsidRPr="00747A00">
        <w:t>Selection tools provide an entry point</w:t>
      </w:r>
      <w:r w:rsidR="00103D7E" w:rsidRPr="00747A00">
        <w:t>,</w:t>
      </w:r>
      <w:r w:rsidRPr="00747A00">
        <w:t xml:space="preserve"> yet structured behavioural interviews such as STAR techniques can be mapped into </w:t>
      </w:r>
      <w:r w:rsidR="00103D7E" w:rsidRPr="00747A00">
        <w:t>Goleman’s</w:t>
      </w:r>
      <w:r w:rsidRPr="00747A00">
        <w:t xml:space="preserve"> competencies</w:t>
      </w:r>
      <w:r w:rsidR="00103D7E" w:rsidRPr="00747A00">
        <w:t>,</w:t>
      </w:r>
      <w:r w:rsidRPr="00747A00">
        <w:t xml:space="preserve"> which allows managers to provide evidence of empathy or </w:t>
      </w:r>
      <w:r w:rsidR="00103D7E" w:rsidRPr="00747A00">
        <w:t>self-regulation</w:t>
      </w:r>
      <w:r w:rsidRPr="00747A00">
        <w:t xml:space="preserve"> (</w:t>
      </w:r>
      <w:r w:rsidR="0007764E" w:rsidRPr="00747A00">
        <w:t>Pankade and Mohture, N.D.</w:t>
      </w:r>
      <w:r w:rsidRPr="00747A00">
        <w:t xml:space="preserve">). Situational judgment tests can offer </w:t>
      </w:r>
      <w:r w:rsidR="00103D7E" w:rsidRPr="00747A00">
        <w:t>job-relevant</w:t>
      </w:r>
      <w:r w:rsidRPr="00747A00">
        <w:t xml:space="preserve"> scenarios, </w:t>
      </w:r>
      <w:r w:rsidR="00103D7E" w:rsidRPr="00747A00">
        <w:t>y</w:t>
      </w:r>
      <w:r w:rsidRPr="00747A00">
        <w:t xml:space="preserve">et the validity is not even across </w:t>
      </w:r>
      <w:r w:rsidR="00103D7E" w:rsidRPr="00747A00">
        <w:t>cohorts,</w:t>
      </w:r>
      <w:r w:rsidRPr="00747A00">
        <w:t xml:space="preserve"> where items can reward </w:t>
      </w:r>
      <w:r w:rsidR="00103D7E" w:rsidRPr="00747A00">
        <w:t>test-taking</w:t>
      </w:r>
      <w:r w:rsidRPr="00747A00">
        <w:t xml:space="preserve"> familiarity in place of authentic EI. </w:t>
      </w:r>
      <w:r w:rsidR="00103D7E" w:rsidRPr="00747A00">
        <w:t>Ability-based</w:t>
      </w:r>
      <w:r w:rsidRPr="00747A00">
        <w:t xml:space="preserve"> </w:t>
      </w:r>
      <w:r w:rsidR="00103D7E" w:rsidRPr="00747A00">
        <w:t>tests,</w:t>
      </w:r>
      <w:r w:rsidRPr="00747A00">
        <w:t xml:space="preserve"> such as MSCEIT</w:t>
      </w:r>
      <w:r w:rsidR="00103D7E" w:rsidRPr="00747A00">
        <w:t>,</w:t>
      </w:r>
      <w:r w:rsidRPr="00747A00">
        <w:t xml:space="preserve"> can provide objectivity yet </w:t>
      </w:r>
      <w:r w:rsidR="00103D7E" w:rsidRPr="00747A00">
        <w:t>depend</w:t>
      </w:r>
      <w:r w:rsidRPr="00747A00">
        <w:t xml:space="preserve"> on consensus scoring</w:t>
      </w:r>
      <w:r w:rsidR="00103D7E" w:rsidRPr="00747A00">
        <w:t>,</w:t>
      </w:r>
      <w:r w:rsidRPr="00747A00">
        <w:t xml:space="preserve"> which conflicts </w:t>
      </w:r>
      <w:r w:rsidR="00103D7E" w:rsidRPr="00747A00">
        <w:t>with EI</w:t>
      </w:r>
      <w:r w:rsidRPr="00747A00">
        <w:t xml:space="preserve"> cultural norms in place of universal accuracy (</w:t>
      </w:r>
      <w:r w:rsidR="0007764E" w:rsidRPr="00747A00">
        <w:t xml:space="preserve">MacCann </w:t>
      </w:r>
      <w:r w:rsidR="0007764E" w:rsidRPr="00747A00">
        <w:rPr>
          <w:i/>
          <w:iCs/>
        </w:rPr>
        <w:t>et al</w:t>
      </w:r>
      <w:r w:rsidR="0007764E" w:rsidRPr="00747A00">
        <w:t>., 2020</w:t>
      </w:r>
      <w:r w:rsidRPr="00747A00">
        <w:t xml:space="preserve">). </w:t>
      </w:r>
      <w:r w:rsidR="00103D7E" w:rsidRPr="00747A00">
        <w:t>Self-report</w:t>
      </w:r>
      <w:r w:rsidRPr="00747A00">
        <w:t xml:space="preserve"> or </w:t>
      </w:r>
      <w:r w:rsidR="00103D7E" w:rsidRPr="00747A00">
        <w:t>360-degree</w:t>
      </w:r>
      <w:r w:rsidRPr="00747A00">
        <w:t xml:space="preserve"> instruments are pragmatic yet can risk impression management. This demands triangulation</w:t>
      </w:r>
      <w:r w:rsidR="00103D7E" w:rsidRPr="00747A00">
        <w:t>, which</w:t>
      </w:r>
      <w:r w:rsidRPr="00747A00">
        <w:t xml:space="preserve"> </w:t>
      </w:r>
      <w:r w:rsidR="00103D7E" w:rsidRPr="00747A00">
        <w:t>is</w:t>
      </w:r>
      <w:r w:rsidRPr="00747A00">
        <w:t xml:space="preserve"> the best practice </w:t>
      </w:r>
      <w:r w:rsidR="0049267B" w:rsidRPr="00747A00">
        <w:t>involving</w:t>
      </w:r>
      <w:r w:rsidRPr="00747A00">
        <w:t xml:space="preserve"> combining different methods to mitigate the limitations of each process. </w:t>
      </w:r>
    </w:p>
    <w:p w14:paraId="58263D3C" w14:textId="77777777" w:rsidR="00CF045C" w:rsidRPr="00747A00" w:rsidRDefault="00D96B1E" w:rsidP="00CF045C">
      <w:r w:rsidRPr="00747A00">
        <w:t>Development</w:t>
      </w:r>
      <w:r w:rsidR="00E17F78" w:rsidRPr="00747A00">
        <w:t>al</w:t>
      </w:r>
      <w:r w:rsidRPr="00747A00">
        <w:t xml:space="preserve"> interventions should be </w:t>
      </w:r>
      <w:r w:rsidR="0049267B" w:rsidRPr="00747A00">
        <w:t>scrutinised</w:t>
      </w:r>
      <w:r w:rsidRPr="00747A00">
        <w:t xml:space="preserve"> for better results. Coaching and action</w:t>
      </w:r>
      <w:r w:rsidR="002B1D94" w:rsidRPr="00747A00">
        <w:t>-based</w:t>
      </w:r>
      <w:r w:rsidRPr="00747A00">
        <w:t xml:space="preserve"> learning can promote reflection and </w:t>
      </w:r>
      <w:r w:rsidR="00C52CD2" w:rsidRPr="00747A00">
        <w:t>accountability</w:t>
      </w:r>
      <w:r w:rsidR="0049267B" w:rsidRPr="00747A00">
        <w:t>,</w:t>
      </w:r>
      <w:r w:rsidRPr="00747A00">
        <w:t xml:space="preserve"> while mindfulness training can enhance attention and impulse regulation</w:t>
      </w:r>
      <w:r w:rsidR="00C54A78" w:rsidRPr="00747A00">
        <w:t xml:space="preserve"> (Corti and Gelati, 2020)</w:t>
      </w:r>
      <w:r w:rsidRPr="00747A00">
        <w:t xml:space="preserve">. </w:t>
      </w:r>
      <w:r w:rsidR="002935A8" w:rsidRPr="00747A00">
        <w:t>However,</w:t>
      </w:r>
      <w:r w:rsidRPr="00747A00">
        <w:t xml:space="preserve"> </w:t>
      </w:r>
      <w:r w:rsidR="002935A8" w:rsidRPr="00747A00">
        <w:t>programmes</w:t>
      </w:r>
      <w:r w:rsidRPr="00747A00">
        <w:t xml:space="preserve"> can become cosmetic fixes if they are not supported by workload design or organisational culture. For instance</w:t>
      </w:r>
      <w:r w:rsidR="002935A8" w:rsidRPr="00747A00">
        <w:t>,</w:t>
      </w:r>
      <w:r w:rsidRPr="00747A00">
        <w:t xml:space="preserve"> the Zen Booths at Amazon demonstrate how mindfulness can </w:t>
      </w:r>
      <w:r w:rsidR="00593985" w:rsidRPr="00747A00">
        <w:t xml:space="preserve">be </w:t>
      </w:r>
      <w:r w:rsidRPr="00747A00">
        <w:t>instrumental</w:t>
      </w:r>
      <w:r w:rsidR="00593985" w:rsidRPr="00747A00">
        <w:t>ised</w:t>
      </w:r>
      <w:r w:rsidRPr="00747A00">
        <w:t xml:space="preserve"> to deflect attention from any systemic stressor (Carvalho and Grácio, 2022). </w:t>
      </w:r>
      <w:r w:rsidRPr="00747A00">
        <w:lastRenderedPageBreak/>
        <w:t>Thus</w:t>
      </w:r>
      <w:r w:rsidR="00C52CD2" w:rsidRPr="00747A00">
        <w:t>,</w:t>
      </w:r>
      <w:r w:rsidRPr="00747A00">
        <w:t xml:space="preserve"> these interventions must be incorporated into broader leadership pipelines and evaluated against systemic and behavioural metrics. </w:t>
      </w:r>
    </w:p>
    <w:p w14:paraId="4E080E0C" w14:textId="5A06368A" w:rsidR="00CF045C" w:rsidRPr="00747A00" w:rsidRDefault="00D96B1E" w:rsidP="00CF045C">
      <w:r w:rsidRPr="00747A00">
        <w:t xml:space="preserve">Performance management offers a strong mechanism for </w:t>
      </w:r>
      <w:r w:rsidR="003F44AA" w:rsidRPr="00747A00">
        <w:t>institutionalising</w:t>
      </w:r>
      <w:r w:rsidRPr="00747A00">
        <w:t xml:space="preserve"> EI. Incorporating EI indicators into appraisal </w:t>
      </w:r>
      <w:r w:rsidR="00B44B10" w:rsidRPr="00747A00">
        <w:t>methods,</w:t>
      </w:r>
      <w:r w:rsidRPr="00747A00">
        <w:t xml:space="preserve"> such as constructive conflict management or evidence</w:t>
      </w:r>
      <w:r w:rsidR="00834086" w:rsidRPr="00747A00">
        <w:t>,</w:t>
      </w:r>
      <w:r w:rsidRPr="00747A00">
        <w:t xml:space="preserve"> can incorporate cultural norms (</w:t>
      </w:r>
      <w:r w:rsidR="00460A26" w:rsidRPr="00747A00">
        <w:t>Winardi, Prentice, and Weaven, 2022</w:t>
      </w:r>
      <w:r w:rsidRPr="00747A00">
        <w:t>). However</w:t>
      </w:r>
      <w:r w:rsidR="00AB4F79" w:rsidRPr="00747A00">
        <w:t>,</w:t>
      </w:r>
      <w:r w:rsidRPr="00747A00">
        <w:t xml:space="preserve"> these outcomes are </w:t>
      </w:r>
      <w:r w:rsidR="00563BD0" w:rsidRPr="00747A00">
        <w:t>probabilistic</w:t>
      </w:r>
      <w:r w:rsidRPr="00747A00">
        <w:t xml:space="preserve"> as </w:t>
      </w:r>
      <w:r w:rsidR="00563BD0" w:rsidRPr="00747A00">
        <w:t xml:space="preserve">a </w:t>
      </w:r>
      <w:r w:rsidRPr="00747A00">
        <w:t>reduction in turnover can reflect labour market conditions such as EI competence. Ethical considerations are crucial as EI appraisals can privilege extroverted or culturally normative expressions of emotion</w:t>
      </w:r>
      <w:r w:rsidR="00563BD0" w:rsidRPr="00747A00">
        <w:t>,</w:t>
      </w:r>
      <w:r w:rsidRPr="00747A00">
        <w:t xml:space="preserve"> which can disadvantage minority group</w:t>
      </w:r>
      <w:r w:rsidR="005220D1" w:rsidRPr="00747A00">
        <w:t>s</w:t>
      </w:r>
      <w:r w:rsidRPr="00747A00">
        <w:t>.  </w:t>
      </w:r>
    </w:p>
    <w:p w14:paraId="260FC7BD" w14:textId="77777777" w:rsidR="0095575B" w:rsidRPr="00747A00" w:rsidRDefault="00D96B1E" w:rsidP="0095575B">
      <w:r w:rsidRPr="00747A00">
        <w:t>Thus</w:t>
      </w:r>
      <w:r w:rsidR="004021FC" w:rsidRPr="00747A00">
        <w:t>,</w:t>
      </w:r>
      <w:r w:rsidRPr="00747A00">
        <w:t xml:space="preserve"> organisations should clarify </w:t>
      </w:r>
      <w:r w:rsidR="004021FC" w:rsidRPr="00747A00">
        <w:t>their</w:t>
      </w:r>
      <w:r w:rsidRPr="00747A00">
        <w:t xml:space="preserve"> EI model while triangulating measurement to integrate development and systemic support by evaluating outcomes critically. </w:t>
      </w:r>
    </w:p>
    <w:p w14:paraId="466E6E48" w14:textId="77777777" w:rsidR="006601DA" w:rsidRPr="00747A00" w:rsidRDefault="00D96B1E" w:rsidP="006601DA">
      <w:pPr>
        <w:pStyle w:val="Heading1"/>
      </w:pPr>
      <w:bookmarkStart w:id="6" w:name="_Toc209457342"/>
      <w:r w:rsidRPr="00747A00">
        <w:t>Part B</w:t>
      </w:r>
      <w:r w:rsidR="00801A51" w:rsidRPr="00747A00">
        <w:t>:</w:t>
      </w:r>
      <w:r w:rsidRPr="00747A00">
        <w:t xml:space="preserve"> Generational characteristics and recruiting for EI</w:t>
      </w:r>
      <w:bookmarkEnd w:id="6"/>
      <w:r w:rsidRPr="00747A00">
        <w:t xml:space="preserve"> </w:t>
      </w:r>
    </w:p>
    <w:p w14:paraId="1589AB15" w14:textId="49FB9B5A" w:rsidR="006601DA" w:rsidRPr="00747A00" w:rsidRDefault="00D96B1E" w:rsidP="00805037">
      <w:pPr>
        <w:pStyle w:val="Heading2"/>
      </w:pPr>
      <w:bookmarkStart w:id="7" w:name="_Toc209457343"/>
      <w:r w:rsidRPr="00747A00">
        <w:t>B.1. Short framing and caveats</w:t>
      </w:r>
      <w:bookmarkEnd w:id="7"/>
    </w:p>
    <w:p w14:paraId="5D74FFD2" w14:textId="77777777" w:rsidR="00805037" w:rsidRPr="00747A00" w:rsidRDefault="00D96B1E" w:rsidP="00805037">
      <w:r w:rsidRPr="00747A00">
        <w:t>Knowledge about the concept of emotional intelligence across generations is necessary because leadership development and recruitment processes now involve multi-generational workforces. However, analysing EI through a generation</w:t>
      </w:r>
      <w:r w:rsidR="00B27492" w:rsidRPr="00747A00">
        <w:t>al</w:t>
      </w:r>
      <w:r w:rsidRPr="00747A00">
        <w:t xml:space="preserve"> concept requires strong caution as these classifications can oversimplify complex interactions between life stage, age, and culture. Generational ranges, namely X (Baby boomers), Y (Millennials) and Z (new age), provide useful ideas yet must not be treated as fixed categories. For instance, resilience attributed to Generation X may reflect career stage rather than inherent cohort traits (</w:t>
      </w:r>
      <w:r w:rsidR="00773BC8" w:rsidRPr="00747A00">
        <w:t>Mishra, Sharma, and Garg, 2024</w:t>
      </w:r>
      <w:r w:rsidRPr="00747A00">
        <w:t>). This may not be like the other generations, hence generational tendencies should inform reflection and not deterministic judgment, which will ensure fairer and sensitive recruitment practices. </w:t>
      </w:r>
    </w:p>
    <w:p w14:paraId="6C870828" w14:textId="6441A2E3" w:rsidR="009552D1" w:rsidRPr="00747A00" w:rsidRDefault="00D96B1E" w:rsidP="00805037">
      <w:pPr>
        <w:pStyle w:val="Heading2"/>
      </w:pPr>
      <w:bookmarkStart w:id="8" w:name="_Toc209457344"/>
      <w:r w:rsidRPr="00747A00">
        <w:t>B.2. Characteristic summaries</w:t>
      </w:r>
      <w:bookmarkEnd w:id="8"/>
    </w:p>
    <w:p w14:paraId="1350E3D0" w14:textId="77777777" w:rsidR="006022F9" w:rsidRPr="00747A00" w:rsidRDefault="00D96B1E" w:rsidP="006022F9">
      <w:r w:rsidRPr="00747A00">
        <w:t xml:space="preserve">Recruiters have the practical challenge of aligning EI competencies with </w:t>
      </w:r>
      <w:r w:rsidR="00D3081F" w:rsidRPr="00747A00">
        <w:t xml:space="preserve">generationally </w:t>
      </w:r>
      <w:r w:rsidRPr="00747A00">
        <w:t xml:space="preserve">diverse applicants. These profiles provide </w:t>
      </w:r>
      <w:r w:rsidR="006819FE" w:rsidRPr="00747A00">
        <w:t xml:space="preserve">a </w:t>
      </w:r>
      <w:r w:rsidRPr="00747A00">
        <w:t xml:space="preserve">useful </w:t>
      </w:r>
      <w:r w:rsidR="00A61A0F" w:rsidRPr="00747A00">
        <w:t>f</w:t>
      </w:r>
      <w:r w:rsidRPr="00747A00">
        <w:t>ramework</w:t>
      </w:r>
      <w:r w:rsidR="006819FE" w:rsidRPr="00747A00">
        <w:t>,</w:t>
      </w:r>
      <w:r w:rsidRPr="00747A00">
        <w:t xml:space="preserve"> yet must be studied carefully</w:t>
      </w:r>
      <w:r w:rsidR="006819FE" w:rsidRPr="00747A00">
        <w:t>,</w:t>
      </w:r>
      <w:r w:rsidRPr="00747A00">
        <w:t xml:space="preserve"> acknowledging overlap and variation among them. </w:t>
      </w:r>
    </w:p>
    <w:p w14:paraId="21407104" w14:textId="4E434A2F" w:rsidR="006022F9" w:rsidRPr="00747A00" w:rsidRDefault="00D96B1E" w:rsidP="006022F9">
      <w:r w:rsidRPr="00747A00">
        <w:rPr>
          <w:b/>
          <w:bCs/>
          <w:i/>
          <w:iCs/>
        </w:rPr>
        <w:t xml:space="preserve">Generation X </w:t>
      </w:r>
      <w:r w:rsidRPr="00747A00">
        <w:t xml:space="preserve">(1965–1980) are portrayed as pragmatic and independent, and influenced </w:t>
      </w:r>
      <w:r w:rsidR="004F7230" w:rsidRPr="00747A00">
        <w:t>by</w:t>
      </w:r>
      <w:r w:rsidRPr="00747A00">
        <w:t xml:space="preserve"> economic uncertainty and organisational downsizing (</w:t>
      </w:r>
      <w:r w:rsidR="00580560" w:rsidRPr="00747A00">
        <w:t xml:space="preserve">Viterouli </w:t>
      </w:r>
      <w:r w:rsidR="00580560" w:rsidRPr="00747A00">
        <w:rPr>
          <w:i/>
          <w:iCs/>
        </w:rPr>
        <w:t>et al</w:t>
      </w:r>
      <w:r w:rsidR="00580560" w:rsidRPr="00747A00">
        <w:t>., 2024</w:t>
      </w:r>
      <w:r w:rsidRPr="00747A00">
        <w:t xml:space="preserve">). These experiences promote </w:t>
      </w:r>
      <w:r w:rsidR="007A694B" w:rsidRPr="00747A00">
        <w:t>self-regulation</w:t>
      </w:r>
      <w:r w:rsidRPr="00747A00">
        <w:t xml:space="preserve"> and resilience</w:t>
      </w:r>
      <w:r w:rsidR="007A694B" w:rsidRPr="00747A00">
        <w:t>,</w:t>
      </w:r>
      <w:r w:rsidRPr="00747A00">
        <w:t xml:space="preserve"> which are major dimensions that support role stability and stress management (</w:t>
      </w:r>
      <w:r w:rsidR="006B64C7" w:rsidRPr="00747A00">
        <w:t xml:space="preserve">Crane </w:t>
      </w:r>
      <w:r w:rsidR="006B64C7" w:rsidRPr="00747A00">
        <w:rPr>
          <w:i/>
          <w:iCs/>
        </w:rPr>
        <w:t>et al</w:t>
      </w:r>
      <w:r w:rsidR="006B64C7" w:rsidRPr="00747A00">
        <w:t>., 2019</w:t>
      </w:r>
      <w:r w:rsidRPr="00747A00">
        <w:t>). This may convert into valuing the capacity of candidates in recruitment for direct feedback and setting boundaries. However, assuming uniform levels of resilience can risk overlooking diversity among cohorts</w:t>
      </w:r>
      <w:r w:rsidR="00201A4D" w:rsidRPr="00747A00">
        <w:t>.</w:t>
      </w:r>
      <w:r w:rsidRPr="00747A00">
        <w:t xml:space="preserve"> </w:t>
      </w:r>
      <w:r w:rsidR="00201A4D" w:rsidRPr="00747A00">
        <w:t>F</w:t>
      </w:r>
      <w:r w:rsidRPr="00747A00">
        <w:t xml:space="preserve">or </w:t>
      </w:r>
      <w:r w:rsidRPr="00747A00">
        <w:lastRenderedPageBreak/>
        <w:t>instance</w:t>
      </w:r>
      <w:r w:rsidR="007A694B" w:rsidRPr="00747A00">
        <w:t>,</w:t>
      </w:r>
      <w:r w:rsidRPr="00747A00">
        <w:t xml:space="preserve"> a Gen X professional in a volatile gig economy may exhibit different coping strategies than a person in a stable corporate role.</w:t>
      </w:r>
    </w:p>
    <w:p w14:paraId="403C60BF" w14:textId="77777777" w:rsidR="006022F9" w:rsidRPr="00747A00" w:rsidRDefault="00D96B1E" w:rsidP="006022F9">
      <w:r w:rsidRPr="00747A00">
        <w:rPr>
          <w:b/>
          <w:bCs/>
          <w:i/>
          <w:iCs/>
        </w:rPr>
        <w:t>Generation Y or Millennials</w:t>
      </w:r>
      <w:r w:rsidRPr="00747A00">
        <w:t xml:space="preserve"> (1981–1996) usually prioritise purpose and collaboration, which aligns with higher levels of motivation and social awareness (</w:t>
      </w:r>
      <w:r w:rsidR="006B64C7" w:rsidRPr="00747A00">
        <w:t>DeIuliis and Saylor, 2021</w:t>
      </w:r>
      <w:r w:rsidRPr="00747A00">
        <w:t xml:space="preserve">). This resonates with </w:t>
      </w:r>
      <w:r w:rsidR="007A694B" w:rsidRPr="00747A00">
        <w:t>G</w:t>
      </w:r>
      <w:r w:rsidRPr="00747A00">
        <w:t>ardner</w:t>
      </w:r>
      <w:r w:rsidR="007A694B" w:rsidRPr="00747A00">
        <w:t>’</w:t>
      </w:r>
      <w:r w:rsidRPr="00747A00">
        <w:t>s interpersonal intelligence, which suggests a predisposition towards a rich environment and coaching cultures. In this case</w:t>
      </w:r>
      <w:r w:rsidR="007A7291" w:rsidRPr="00747A00">
        <w:t>,</w:t>
      </w:r>
      <w:r w:rsidRPr="00747A00">
        <w:t xml:space="preserve"> recruiters might evaluate these traits through situational judgement tests while emphasi</w:t>
      </w:r>
      <w:r w:rsidR="00243A44" w:rsidRPr="00747A00">
        <w:t>s</w:t>
      </w:r>
      <w:r w:rsidRPr="00747A00">
        <w:t>ing ethical reasoning and teamwork. However</w:t>
      </w:r>
      <w:r w:rsidR="003E0F25" w:rsidRPr="00747A00">
        <w:t>,</w:t>
      </w:r>
      <w:r w:rsidRPr="00747A00">
        <w:t xml:space="preserve"> the collaborative ethos of millennials </w:t>
      </w:r>
      <w:r w:rsidR="00765444" w:rsidRPr="00747A00">
        <w:t>is</w:t>
      </w:r>
      <w:r w:rsidRPr="00747A00">
        <w:t xml:space="preserve"> sometimes overexpressed, where individual ambition influenced by precarious employment contexts can give rise to </w:t>
      </w:r>
      <w:r w:rsidR="00765444" w:rsidRPr="00747A00">
        <w:t xml:space="preserve">an </w:t>
      </w:r>
      <w:r w:rsidRPr="00747A00">
        <w:t>idealistic orientation. Hence</w:t>
      </w:r>
      <w:r w:rsidR="007A694B" w:rsidRPr="00747A00">
        <w:t>,</w:t>
      </w:r>
      <w:r w:rsidRPr="00747A00">
        <w:t xml:space="preserve"> recruiters should assess EI assessments without assuming generational altruism. </w:t>
      </w:r>
    </w:p>
    <w:p w14:paraId="6758655D" w14:textId="77777777" w:rsidR="006022F9" w:rsidRPr="00747A00" w:rsidRDefault="00D96B1E" w:rsidP="006022F9">
      <w:r w:rsidRPr="00747A00">
        <w:rPr>
          <w:b/>
          <w:bCs/>
          <w:i/>
          <w:iCs/>
        </w:rPr>
        <w:t>Generation Z</w:t>
      </w:r>
      <w:r w:rsidRPr="00747A00">
        <w:t xml:space="preserve"> (1997–2012) offers distinctive opportunities and challenges. Individuals from these generations are digital natives who display comfort with </w:t>
      </w:r>
      <w:r w:rsidR="007A694B" w:rsidRPr="00747A00">
        <w:t xml:space="preserve">the </w:t>
      </w:r>
      <w:r w:rsidRPr="00747A00">
        <w:t>rapid exchange of information and can enhance openness about psychological safety and well-being (</w:t>
      </w:r>
      <w:r w:rsidR="00AD5BF2" w:rsidRPr="00747A00">
        <w:t>Pichler, Kohli, and Granitz, 2021</w:t>
      </w:r>
      <w:r w:rsidRPr="00747A00">
        <w:t xml:space="preserve">). This is connected to Goleman's </w:t>
      </w:r>
      <w:r w:rsidR="007A694B" w:rsidRPr="00747A00">
        <w:t>self-awareness</w:t>
      </w:r>
      <w:r w:rsidRPr="00747A00">
        <w:t xml:space="preserve"> and empathy domains. However</w:t>
      </w:r>
      <w:r w:rsidR="007A694B" w:rsidRPr="00747A00">
        <w:t>,</w:t>
      </w:r>
      <w:r w:rsidRPr="00747A00">
        <w:t xml:space="preserve"> </w:t>
      </w:r>
      <w:r w:rsidR="007A694B" w:rsidRPr="00747A00">
        <w:t>overdependence</w:t>
      </w:r>
      <w:r w:rsidRPr="00747A00">
        <w:t xml:space="preserve"> on digital communication can reduce </w:t>
      </w:r>
      <w:r w:rsidR="007A694B" w:rsidRPr="00747A00">
        <w:t>face-to-face</w:t>
      </w:r>
      <w:r w:rsidRPr="00747A00">
        <w:t xml:space="preserve"> influencing skills and </w:t>
      </w:r>
      <w:r w:rsidR="007A694B" w:rsidRPr="00747A00">
        <w:t xml:space="preserve">a </w:t>
      </w:r>
      <w:r w:rsidRPr="00747A00">
        <w:t>strong focus (</w:t>
      </w:r>
      <w:r w:rsidR="003A69A7" w:rsidRPr="00747A00">
        <w:t>Cabus and Paglinawan, 2024</w:t>
      </w:r>
      <w:r w:rsidRPr="00747A00">
        <w:t>). Hence</w:t>
      </w:r>
      <w:r w:rsidR="007A694B" w:rsidRPr="00747A00">
        <w:t>,</w:t>
      </w:r>
      <w:r w:rsidRPr="00747A00">
        <w:t xml:space="preserve"> recruiters need to balance recognition of </w:t>
      </w:r>
      <w:r w:rsidR="007A694B" w:rsidRPr="00747A00">
        <w:t xml:space="preserve">the </w:t>
      </w:r>
      <w:r w:rsidRPr="00747A00">
        <w:t>openness of this generation with support for developing attentional and relational capacities through coaching interventions and behavioural interviews. </w:t>
      </w:r>
    </w:p>
    <w:p w14:paraId="453582CB" w14:textId="77777777" w:rsidR="006022F9" w:rsidRPr="00747A00" w:rsidRDefault="00D96B1E" w:rsidP="006022F9">
      <w:r w:rsidRPr="00747A00">
        <w:t xml:space="preserve">These generational profiles provide a strong framework for interpreting emotional intelligence tendencies. Knowledge on this aspect can help managers avoid bias while </w:t>
      </w:r>
      <w:r w:rsidR="00327027" w:rsidRPr="00747A00">
        <w:t>operationalising</w:t>
      </w:r>
      <w:r w:rsidRPr="00747A00">
        <w:t xml:space="preserve"> EI in recruitment. </w:t>
      </w:r>
    </w:p>
    <w:p w14:paraId="30E76FB4" w14:textId="11BF777D" w:rsidR="00A9659A" w:rsidRPr="00747A00" w:rsidRDefault="00D96B1E" w:rsidP="00805037">
      <w:pPr>
        <w:pStyle w:val="Heading2"/>
      </w:pPr>
      <w:bookmarkStart w:id="9" w:name="_Toc209457345"/>
      <w:r w:rsidRPr="00747A00">
        <w:t>B.3 Recruitment implications</w:t>
      </w:r>
      <w:bookmarkEnd w:id="9"/>
    </w:p>
    <w:p w14:paraId="39B50A95" w14:textId="77777777" w:rsidR="00B7096A" w:rsidRPr="00747A00" w:rsidRDefault="00D96B1E" w:rsidP="00B7096A">
      <w:r w:rsidRPr="00747A00">
        <w:t xml:space="preserve">Recruitment processes require integrating targeted EI considerations into a </w:t>
      </w:r>
      <w:r w:rsidR="00327027" w:rsidRPr="00747A00">
        <w:t>multi-generational</w:t>
      </w:r>
      <w:r w:rsidRPr="00747A00">
        <w:t xml:space="preserve"> workforce</w:t>
      </w:r>
      <w:r w:rsidR="00327027" w:rsidRPr="00747A00">
        <w:t>,</w:t>
      </w:r>
      <w:r w:rsidRPr="00747A00">
        <w:t xml:space="preserve"> which can offer both risks and opportunities. Job </w:t>
      </w:r>
      <w:r w:rsidR="00327027" w:rsidRPr="00747A00">
        <w:t>advertisements</w:t>
      </w:r>
      <w:r w:rsidRPr="00747A00">
        <w:t xml:space="preserve"> and Employee Value Propositions (EVP) increasingly illustrate this tension. Language </w:t>
      </w:r>
      <w:r w:rsidR="00327027" w:rsidRPr="00747A00">
        <w:t>emphasising</w:t>
      </w:r>
      <w:r w:rsidRPr="00747A00">
        <w:t xml:space="preserve"> stability and autonomy appeals to </w:t>
      </w:r>
      <w:r w:rsidR="00327027" w:rsidRPr="00747A00">
        <w:t>Generation X</w:t>
      </w:r>
      <w:r w:rsidRPr="00747A00">
        <w:t>, while signalling value alignment and development opportunities are treasured by millennials</w:t>
      </w:r>
      <w:r w:rsidR="00CF3E82" w:rsidRPr="00747A00">
        <w:t xml:space="preserve">. </w:t>
      </w:r>
      <w:r w:rsidRPr="00747A00">
        <w:t>In the case of Gen Z, references to flexible work</w:t>
      </w:r>
      <w:r w:rsidR="00327027" w:rsidRPr="00747A00">
        <w:t>,</w:t>
      </w:r>
      <w:r w:rsidRPr="00747A00">
        <w:t xml:space="preserve"> learning agility, and psychological safety can be decisive (</w:t>
      </w:r>
      <w:r w:rsidR="00CF3E82" w:rsidRPr="00747A00">
        <w:t>Revutska, 2021</w:t>
      </w:r>
      <w:r w:rsidRPr="00747A00">
        <w:t>). However</w:t>
      </w:r>
      <w:r w:rsidR="00327027" w:rsidRPr="00747A00">
        <w:t>,</w:t>
      </w:r>
      <w:r w:rsidRPr="00747A00">
        <w:t xml:space="preserve"> </w:t>
      </w:r>
      <w:r w:rsidR="00327027" w:rsidRPr="00747A00">
        <w:t>rearranging</w:t>
      </w:r>
      <w:r w:rsidRPr="00747A00">
        <w:t xml:space="preserve"> </w:t>
      </w:r>
      <w:r w:rsidR="00327027" w:rsidRPr="00747A00">
        <w:t>strategies</w:t>
      </w:r>
      <w:r w:rsidRPr="00747A00">
        <w:t xml:space="preserve"> can risk fragmenting organisational identity</w:t>
      </w:r>
      <w:r w:rsidR="00327027" w:rsidRPr="00747A00">
        <w:t>,</w:t>
      </w:r>
      <w:r w:rsidRPr="00747A00">
        <w:t xml:space="preserve"> which suggests that EVP design should balance inclusivity with targeted attraction strategies. </w:t>
      </w:r>
    </w:p>
    <w:p w14:paraId="7163C6D3" w14:textId="77777777" w:rsidR="00B7096A" w:rsidRPr="00747A00" w:rsidRDefault="00D96B1E" w:rsidP="00B7096A">
      <w:r w:rsidRPr="00747A00">
        <w:t xml:space="preserve">Methods for assessment should also reflect generational preferences without compromising company strategies. In the case of Gen X, tasks based on autonomy and practical work </w:t>
      </w:r>
      <w:r w:rsidRPr="00747A00">
        <w:lastRenderedPageBreak/>
        <w:t>samples align with their pragmatic orientation (</w:t>
      </w:r>
      <w:r w:rsidR="00CF3E82" w:rsidRPr="00747A00">
        <w:t>Dick, 2019</w:t>
      </w:r>
      <w:r w:rsidRPr="00747A00">
        <w:t xml:space="preserve">). This identifies the validity of </w:t>
      </w:r>
      <w:r w:rsidR="00327027" w:rsidRPr="00747A00">
        <w:t>ability-based</w:t>
      </w:r>
      <w:r w:rsidRPr="00747A00">
        <w:t xml:space="preserve"> EI assessments such as MSCEIT. On the other hand</w:t>
      </w:r>
      <w:r w:rsidR="00327027" w:rsidRPr="00747A00">
        <w:t>,</w:t>
      </w:r>
      <w:r w:rsidRPr="00747A00">
        <w:t xml:space="preserve"> millennials value continuous feedback and engage more positively with structured behavioural interviews (</w:t>
      </w:r>
      <w:r w:rsidR="00CF3E82" w:rsidRPr="00747A00">
        <w:t>Omilion-</w:t>
      </w:r>
      <w:r w:rsidR="00956AD2" w:rsidRPr="00747A00">
        <w:t>Hodges and</w:t>
      </w:r>
      <w:r w:rsidR="00CF3E82" w:rsidRPr="00747A00">
        <w:t xml:space="preserve"> Sugg, 2019</w:t>
      </w:r>
      <w:r w:rsidRPr="00747A00">
        <w:t xml:space="preserve">). This can be done through </w:t>
      </w:r>
      <w:r w:rsidR="00327027" w:rsidRPr="00747A00">
        <w:t xml:space="preserve">Situational Judgment Tests </w:t>
      </w:r>
      <w:r w:rsidRPr="00747A00">
        <w:t xml:space="preserve">that are designed around collaboration and empathy. Finally, Gen Z is accustomed to digital </w:t>
      </w:r>
      <w:r w:rsidR="005A496D" w:rsidRPr="00747A00">
        <w:t>systems</w:t>
      </w:r>
      <w:r w:rsidRPr="00747A00">
        <w:t xml:space="preserve"> and prefers transparent timelines and gamified micro assessments. </w:t>
      </w:r>
      <w:r w:rsidR="00705897" w:rsidRPr="00747A00">
        <w:t xml:space="preserve">For instance, </w:t>
      </w:r>
      <w:r w:rsidR="00CF7133" w:rsidRPr="00747A00">
        <w:t>o</w:t>
      </w:r>
      <w:r w:rsidRPr="00747A00">
        <w:t>rganisations like PwC have applied gamified assessments to increase engagement from employees (PwC, 2025). However</w:t>
      </w:r>
      <w:r w:rsidR="00327027" w:rsidRPr="00747A00">
        <w:t>,</w:t>
      </w:r>
      <w:r w:rsidRPr="00747A00">
        <w:t xml:space="preserve"> this can prioritise entertainment over psychometric validity</w:t>
      </w:r>
      <w:r w:rsidR="00327027" w:rsidRPr="00747A00">
        <w:t>,</w:t>
      </w:r>
      <w:r w:rsidRPr="00747A00">
        <w:t xml:space="preserve"> which requires triangulation across multiple tools for better results.</w:t>
      </w:r>
    </w:p>
    <w:p w14:paraId="1BCF7E8C" w14:textId="77777777" w:rsidR="00B7096A" w:rsidRPr="00747A00" w:rsidRDefault="00D96B1E" w:rsidP="00B7096A">
      <w:r w:rsidRPr="00747A00">
        <w:t xml:space="preserve">Strategies for development and onboarding require recalibration </w:t>
      </w:r>
      <w:r w:rsidR="00327027" w:rsidRPr="00747A00">
        <w:t>to accommodate</w:t>
      </w:r>
      <w:r w:rsidRPr="00747A00">
        <w:t xml:space="preserve"> a multi-generational workforce. Self-predict</w:t>
      </w:r>
      <w:r w:rsidR="00E5779C" w:rsidRPr="00747A00">
        <w:t>ive</w:t>
      </w:r>
      <w:r w:rsidRPr="00747A00">
        <w:t xml:space="preserve"> learning platforms can suit the autonomy of Gen X, while coaching and mentoring align with the preference of millennials for collaborative growth. In the case of Gen Z, small and technology-enabled learning modules enhance focus and retention. However</w:t>
      </w:r>
      <w:r w:rsidR="00327027" w:rsidRPr="00747A00">
        <w:t>,</w:t>
      </w:r>
      <w:r w:rsidRPr="00747A00">
        <w:t xml:space="preserve"> the issue lies in stereotyping learning preferences, where millennials with </w:t>
      </w:r>
      <w:r w:rsidR="009A71A1" w:rsidRPr="00747A00">
        <w:t>l</w:t>
      </w:r>
      <w:r w:rsidRPr="00747A00">
        <w:t>imited digital access may not follow the assumed patterns, which require flexible and individualised pathways depending on teams.</w:t>
      </w:r>
    </w:p>
    <w:p w14:paraId="023677F0" w14:textId="77777777" w:rsidR="00B7096A" w:rsidRPr="00747A00" w:rsidRDefault="00D96B1E" w:rsidP="00B7096A">
      <w:r w:rsidRPr="00747A00">
        <w:t xml:space="preserve">Incorporating EI into interviews offers a practical idea as </w:t>
      </w:r>
      <w:r w:rsidR="00AA3031" w:rsidRPr="00747A00">
        <w:t>STAR-based</w:t>
      </w:r>
      <w:r w:rsidRPr="00747A00">
        <w:t xml:space="preserve"> prompts can target specific competencies like self-awareness and giving constructive feedback or empathy by stating how they navigated a conflict. However, there are issues related to validity as trait-based EI measures can conflict with personality, while structured prompts can disadvantage neurodiverse candidates who are less comfortable with abstract reflection</w:t>
      </w:r>
      <w:r w:rsidR="00F84AA3" w:rsidRPr="00747A00">
        <w:t xml:space="preserve"> (Howes, 2023)</w:t>
      </w:r>
      <w:r w:rsidRPr="00747A00">
        <w:t>. This requires reasonable adjustments like providing questions in advance or allowing written responses, which are crucial for ensuring legal defensibility and fairness. Thus, recruitment strategies informed by EI and generations can provide value yet must follow ethical safeguards and critical reflection. </w:t>
      </w:r>
    </w:p>
    <w:p w14:paraId="7EA3D2B4" w14:textId="2E2C99FA" w:rsidR="00A9659A" w:rsidRPr="00747A00" w:rsidRDefault="00D96B1E" w:rsidP="00805037">
      <w:pPr>
        <w:pStyle w:val="Heading2"/>
      </w:pPr>
      <w:bookmarkStart w:id="10" w:name="_Toc209457346"/>
      <w:r w:rsidRPr="00747A00">
        <w:t>B.4. Critical evaluation of generational approach</w:t>
      </w:r>
      <w:bookmarkEnd w:id="10"/>
    </w:p>
    <w:p w14:paraId="6DD73D26" w14:textId="77777777" w:rsidR="005D5B90" w:rsidRPr="00747A00" w:rsidRDefault="00D96B1E" w:rsidP="005D5B90">
      <w:r w:rsidRPr="00747A00">
        <w:t>Generational framing in recruitment is crucial for its pragmatic utility through changing job advertisements</w:t>
      </w:r>
      <w:r w:rsidR="00084BBF" w:rsidRPr="00747A00">
        <w:t>,</w:t>
      </w:r>
      <w:r w:rsidRPr="00747A00">
        <w:t xml:space="preserve"> </w:t>
      </w:r>
      <w:r w:rsidR="009749B6" w:rsidRPr="00747A00">
        <w:t>onboarding,</w:t>
      </w:r>
      <w:r w:rsidRPr="00747A00">
        <w:t xml:space="preserve"> and EI assessments to perceive cohort traits, which can enhance candidate retention and experience. Social exchange theory suggests that if employees perceive </w:t>
      </w:r>
      <w:r w:rsidR="002242D2" w:rsidRPr="00747A00">
        <w:t xml:space="preserve">that </w:t>
      </w:r>
      <w:r w:rsidRPr="00747A00">
        <w:t>recruitment practices align with their values, they reciprocate with commitment (</w:t>
      </w:r>
      <w:r w:rsidR="00084BBF" w:rsidRPr="00747A00">
        <w:t>Kilroy, Dundon, and Townsend, 2023</w:t>
      </w:r>
      <w:r w:rsidRPr="00747A00">
        <w:t>). The theory supports the idea, yet there are significant risks involved. Overdependence can result in stereotyping, where managers can substitute t</w:t>
      </w:r>
      <w:r w:rsidR="00FC2C78" w:rsidRPr="00747A00">
        <w:t>y</w:t>
      </w:r>
      <w:r w:rsidRPr="00747A00">
        <w:t xml:space="preserve">pology for genuine engagement, resulting in complacency while ignoring systemic cultural issues. Furthermore, differential treatment by age can expose organisations to ethical and legal challenges. Generational categories can mask more salient factors such as </w:t>
      </w:r>
      <w:r w:rsidRPr="00747A00">
        <w:lastRenderedPageBreak/>
        <w:t>socioeconomic background or career stage as well (</w:t>
      </w:r>
      <w:r w:rsidR="000363F0" w:rsidRPr="00747A00">
        <w:t xml:space="preserve">Rudolph </w:t>
      </w:r>
      <w:r w:rsidR="000363F0" w:rsidRPr="00747A00">
        <w:rPr>
          <w:i/>
          <w:iCs/>
        </w:rPr>
        <w:t>et al</w:t>
      </w:r>
      <w:r w:rsidR="000363F0" w:rsidRPr="00747A00">
        <w:t>., 2021</w:t>
      </w:r>
      <w:r w:rsidRPr="00747A00">
        <w:t>). Hence, this requires a balanced strategy which synthesises generation</w:t>
      </w:r>
      <w:r w:rsidR="005622C9" w:rsidRPr="00747A00">
        <w:t>al</w:t>
      </w:r>
      <w:r w:rsidRPr="00747A00">
        <w:t xml:space="preserve"> insights with individual EI assessments and strength-based approaches which ensure inclusion, fairness, and predictive validity. </w:t>
      </w:r>
    </w:p>
    <w:p w14:paraId="7551D203" w14:textId="44FC5E66" w:rsidR="00AB4FB7" w:rsidRPr="00747A00" w:rsidRDefault="00D96B1E" w:rsidP="00805037">
      <w:pPr>
        <w:pStyle w:val="Heading1"/>
      </w:pPr>
      <w:bookmarkStart w:id="11" w:name="_Toc209457347"/>
      <w:r w:rsidRPr="00747A00">
        <w:t>Recommendations</w:t>
      </w:r>
      <w:bookmarkEnd w:id="11"/>
    </w:p>
    <w:p w14:paraId="5EF2BCFE" w14:textId="25B1AA6E" w:rsidR="00D440EA" w:rsidRPr="00747A00" w:rsidRDefault="00D96B1E" w:rsidP="00D440EA">
      <w:r w:rsidRPr="00747A00">
        <w:t>Organisations should integrate generation</w:t>
      </w:r>
      <w:r w:rsidR="00DE4D62" w:rsidRPr="00747A00">
        <w:t>al</w:t>
      </w:r>
      <w:r w:rsidRPr="00747A00">
        <w:t xml:space="preserve"> </w:t>
      </w:r>
      <w:r w:rsidR="00DE4D62" w:rsidRPr="00747A00">
        <w:t xml:space="preserve">insights </w:t>
      </w:r>
      <w:r w:rsidRPr="00747A00">
        <w:t>with individualised EI assessment. This will help recruiters to avoid relying only on generation</w:t>
      </w:r>
      <w:r w:rsidR="0000055B" w:rsidRPr="00747A00">
        <w:t>al</w:t>
      </w:r>
      <w:r w:rsidRPr="00747A00">
        <w:t xml:space="preserve"> context and combine </w:t>
      </w:r>
      <w:r w:rsidR="00A00869" w:rsidRPr="00747A00">
        <w:t>it</w:t>
      </w:r>
      <w:r w:rsidRPr="00747A00">
        <w:t xml:space="preserve"> instead with validity tools such as </w:t>
      </w:r>
      <w:r w:rsidR="007974FE" w:rsidRPr="00747A00">
        <w:t>360-degree</w:t>
      </w:r>
      <w:r w:rsidRPr="00747A00">
        <w:t xml:space="preserve"> feedback. </w:t>
      </w:r>
      <w:r w:rsidR="00C764F1" w:rsidRPr="00747A00">
        <w:t xml:space="preserve">For instance, organisations can introduce 360-degree EI feedback tools during probation to track the adaptability and collaboration of new employees, which can enable early developmental interventions. </w:t>
      </w:r>
      <w:r w:rsidRPr="00747A00">
        <w:t>Triangulating EI measures improves predictive validity when compared to single-method assessments (</w:t>
      </w:r>
      <w:r w:rsidR="0002412F" w:rsidRPr="00747A00">
        <w:t>Chirica, Piccirillo, and King, 2024</w:t>
      </w:r>
      <w:r w:rsidRPr="00747A00">
        <w:t>). This ensures that individual strengths are not masked by assumptions connected to age cohorts.</w:t>
      </w:r>
    </w:p>
    <w:p w14:paraId="21493883" w14:textId="13ED7229" w:rsidR="00D440EA" w:rsidRPr="00747A00" w:rsidRDefault="00D96B1E" w:rsidP="00D440EA">
      <w:r w:rsidRPr="00747A00">
        <w:t xml:space="preserve">Companies must ensure inclusivity and fairness </w:t>
      </w:r>
      <w:r w:rsidR="00A00869" w:rsidRPr="00747A00">
        <w:t>in</w:t>
      </w:r>
      <w:r w:rsidRPr="00747A00">
        <w:t xml:space="preserve"> EI recruitment processes. They must recognise that </w:t>
      </w:r>
      <w:r w:rsidR="00A00869" w:rsidRPr="00747A00">
        <w:t xml:space="preserve">EI </w:t>
      </w:r>
      <w:r w:rsidRPr="00747A00">
        <w:t>assessments can risk disadvantaging neurodiverse candidates or individuals from minority cultural backgrounds. Equity theory states that perceived fairness directly impacts employee retention and motivation (</w:t>
      </w:r>
      <w:r w:rsidR="00EF2906" w:rsidRPr="00747A00">
        <w:t>Watters, 2021</w:t>
      </w:r>
      <w:r w:rsidRPr="00747A00">
        <w:t xml:space="preserve">). </w:t>
      </w:r>
      <w:r w:rsidR="00C764F1" w:rsidRPr="00747A00">
        <w:t>It</w:t>
      </w:r>
      <w:r w:rsidRPr="00747A00">
        <w:t xml:space="preserve"> requires reasonable adjustments</w:t>
      </w:r>
      <w:r w:rsidR="00A00869" w:rsidRPr="00747A00">
        <w:t>,</w:t>
      </w:r>
      <w:r w:rsidRPr="00747A00">
        <w:t xml:space="preserve"> such as flexible response for</w:t>
      </w:r>
      <w:r w:rsidR="00A00869" w:rsidRPr="00747A00">
        <w:t>mats</w:t>
      </w:r>
      <w:r w:rsidRPr="00747A00">
        <w:t>, which are essential for sustaining the employer brand and legal defensibility as well. </w:t>
      </w:r>
      <w:r w:rsidR="00C764F1" w:rsidRPr="00747A00">
        <w:t>There can be reasonable adjustments like offering alternative test formats or extended time as standardised policy, which will make it inclusive, operational, and not merely aspirational. </w:t>
      </w:r>
    </w:p>
    <w:p w14:paraId="082961BF" w14:textId="2039773E" w:rsidR="00C764F1" w:rsidRPr="00747A00" w:rsidRDefault="00D96B1E" w:rsidP="00C764F1">
      <w:r w:rsidRPr="00747A00">
        <w:t>Recruiters should align recruitment and EVP with values across all age groups. This helps firms to focus on shared motivators such as flexibility, purpose, and development rather than over-segmentation by generation. According to reports 44% of Gen Z and 46% of millennials report poor mental well-being (Deloitte,2025). This identifies the strategic role of EI in maintaining authenticity and empathy. </w:t>
      </w:r>
      <w:r w:rsidR="00C764F1" w:rsidRPr="00747A00">
        <w:t>Incorporating EI-informed well-being initiatives into career development and onboarding programmes can operationalise the alignment, which will make EVPs authentic. </w:t>
      </w:r>
    </w:p>
    <w:p w14:paraId="3EB3AF25" w14:textId="77777777" w:rsidR="00D440EA" w:rsidRPr="00747A00" w:rsidRDefault="00D96B1E" w:rsidP="00D440EA">
      <w:r w:rsidRPr="00747A00">
        <w:t>These recommendations will present EI recruitment as an ethically robust and evidence-based strategy which will mitigate stereotyping risk while promoting genuine generational diversity. </w:t>
      </w:r>
    </w:p>
    <w:p w14:paraId="0E52F8A9" w14:textId="56B32ED1" w:rsidR="002A3F5D" w:rsidRPr="00747A00" w:rsidRDefault="00D96B1E" w:rsidP="00805037">
      <w:pPr>
        <w:pStyle w:val="Heading1"/>
      </w:pPr>
      <w:bookmarkStart w:id="12" w:name="_Toc209457348"/>
      <w:r w:rsidRPr="00747A00">
        <w:t>Conclusion</w:t>
      </w:r>
      <w:bookmarkEnd w:id="12"/>
    </w:p>
    <w:p w14:paraId="201A132F" w14:textId="5E4CBC7F" w:rsidR="00834086" w:rsidRPr="00747A00" w:rsidRDefault="00D96B1E" w:rsidP="00834086">
      <w:pPr>
        <w:rPr>
          <w:lang w:val="en-US"/>
        </w:rPr>
      </w:pPr>
      <w:r w:rsidRPr="00747A00">
        <w:t xml:space="preserve">In summary, the critical analysis presented that emotional intelligence is a strong construct where different models offer unique limitations and strengths. Mindfulness is a crucial enabler which can strengthen the core </w:t>
      </w:r>
      <w:r w:rsidR="0098157B" w:rsidRPr="00747A00">
        <w:t xml:space="preserve">EI </w:t>
      </w:r>
      <w:r w:rsidRPr="00747A00">
        <w:t xml:space="preserve">competencies, such as regulation and self-awareness, yet must be implemented genuinely to support well-being. Furthermore, incorporating EI into HR </w:t>
      </w:r>
      <w:r w:rsidRPr="00747A00">
        <w:lastRenderedPageBreak/>
        <w:t>processes requires a strong and comprehensive approach. Generation</w:t>
      </w:r>
      <w:r w:rsidR="00EB60AF" w:rsidRPr="00747A00">
        <w:t>al</w:t>
      </w:r>
      <w:r w:rsidRPr="00747A00">
        <w:t xml:space="preserve"> insights can inform customised recruitment strategies; however</w:t>
      </w:r>
      <w:r w:rsidR="00010D62" w:rsidRPr="00747A00">
        <w:t>,</w:t>
      </w:r>
      <w:r w:rsidRPr="00747A00">
        <w:t xml:space="preserve"> over-dependence on these profiles can cause stereotyping. Finally, incorporating </w:t>
      </w:r>
      <w:r w:rsidR="00010D62" w:rsidRPr="00747A00">
        <w:t>EI</w:t>
      </w:r>
      <w:r w:rsidRPr="00747A00">
        <w:t xml:space="preserve"> in the workplace is most effective when companies align their chosen model with triangulated measurement and </w:t>
      </w:r>
      <w:r w:rsidR="0020344E" w:rsidRPr="00747A00">
        <w:t>a</w:t>
      </w:r>
      <w:r w:rsidRPr="00747A00">
        <w:t xml:space="preserve"> culture that prioritises both systemic support and individual development. The future of HR depends on balancing the</w:t>
      </w:r>
      <w:r w:rsidR="00373A48" w:rsidRPr="00747A00">
        <w:t>se</w:t>
      </w:r>
      <w:r w:rsidRPr="00747A00">
        <w:t xml:space="preserve"> complexities to build adaptable and emotionally intelligent workforces.</w:t>
      </w:r>
    </w:p>
    <w:p w14:paraId="235EB6DC" w14:textId="77777777" w:rsidR="0053767C" w:rsidRPr="00747A00" w:rsidRDefault="0053767C" w:rsidP="0095575B"/>
    <w:p w14:paraId="0399E606" w14:textId="77777777" w:rsidR="00F94D92" w:rsidRPr="00747A00" w:rsidRDefault="00D96B1E">
      <w:pPr>
        <w:spacing w:line="278" w:lineRule="auto"/>
        <w:jc w:val="left"/>
      </w:pPr>
      <w:r w:rsidRPr="00747A00">
        <w:br w:type="page"/>
      </w:r>
    </w:p>
    <w:p w14:paraId="421A2E53" w14:textId="4B800BCD" w:rsidR="00F94D92" w:rsidRPr="00747A00" w:rsidRDefault="00D96B1E" w:rsidP="00F94D92">
      <w:pPr>
        <w:pStyle w:val="Heading1"/>
      </w:pPr>
      <w:bookmarkStart w:id="13" w:name="_Toc209457349"/>
      <w:r w:rsidRPr="00747A00">
        <w:lastRenderedPageBreak/>
        <w:t>Reference list</w:t>
      </w:r>
      <w:bookmarkEnd w:id="13"/>
    </w:p>
    <w:p w14:paraId="539DF894" w14:textId="77777777" w:rsidR="00826A69" w:rsidRPr="00747A00" w:rsidRDefault="00826A69" w:rsidP="00F94D92">
      <w:r w:rsidRPr="00747A00">
        <w:t>Arghode, V., Lathan, A., Alagaraja, M., Rajaram, K. and McLean, G.N. (2022) Empathic organizational culture and leadership: conceptualizing the framework. </w:t>
      </w:r>
      <w:r w:rsidRPr="00747A00">
        <w:rPr>
          <w:i/>
          <w:iCs/>
        </w:rPr>
        <w:t>European Journal of Training and Development</w:t>
      </w:r>
      <w:r w:rsidRPr="00747A00">
        <w:t>, </w:t>
      </w:r>
      <w:r w:rsidRPr="00747A00">
        <w:rPr>
          <w:i/>
          <w:iCs/>
        </w:rPr>
        <w:t>46</w:t>
      </w:r>
      <w:r w:rsidRPr="00747A00">
        <w:t>(1/2), pp.239-256.</w:t>
      </w:r>
    </w:p>
    <w:p w14:paraId="6E561B7B" w14:textId="77777777" w:rsidR="00826A69" w:rsidRPr="00747A00" w:rsidRDefault="00826A69" w:rsidP="003725A6">
      <w:pPr>
        <w:rPr>
          <w:i/>
          <w:iCs/>
          <w:lang w:val="en-US"/>
        </w:rPr>
      </w:pPr>
      <w:r w:rsidRPr="00747A00">
        <w:rPr>
          <w:lang w:val="en-US"/>
        </w:rPr>
        <w:t xml:space="preserve">Boyd. K. (2025) </w:t>
      </w:r>
      <w:r w:rsidRPr="00747A00">
        <w:rPr>
          <w:i/>
          <w:iCs/>
          <w:lang w:val="en-US"/>
        </w:rPr>
        <w:t>Reimagining how we collaborate with Microsoft Teams and AI agents</w:t>
      </w:r>
      <w:r w:rsidRPr="00747A00">
        <w:rPr>
          <w:lang w:val="en-US"/>
        </w:rPr>
        <w:t>. Available at: https://www.microsoft.com/insidetrack/blog/reimagining-how-we-collaborate-with-microsoft-teams-and-ai-agents/ (Accessed: 22 September 2025).</w:t>
      </w:r>
    </w:p>
    <w:p w14:paraId="78693617" w14:textId="77777777" w:rsidR="00826A69" w:rsidRPr="00747A00" w:rsidRDefault="00826A69" w:rsidP="00EF2906">
      <w:r w:rsidRPr="00747A00">
        <w:t>Cabus, A.C.B. and Paglinawan, J.L. (2024) Digital Dependency and Coping Strategies on Oral Communication Proficiency of the Marginalized Learners. </w:t>
      </w:r>
      <w:r w:rsidRPr="00747A00">
        <w:rPr>
          <w:i/>
          <w:iCs/>
        </w:rPr>
        <w:t>International Journal of Research and Innovation in Social Science</w:t>
      </w:r>
      <w:r w:rsidRPr="00747A00">
        <w:t>, </w:t>
      </w:r>
      <w:r w:rsidRPr="00747A00">
        <w:rPr>
          <w:i/>
          <w:iCs/>
        </w:rPr>
        <w:t>8</w:t>
      </w:r>
      <w:r w:rsidRPr="00747A00">
        <w:t>(14), pp.443-454.</w:t>
      </w:r>
    </w:p>
    <w:p w14:paraId="774D0CA9" w14:textId="77777777" w:rsidR="00826A69" w:rsidRPr="00747A00" w:rsidRDefault="00826A69" w:rsidP="00F94D92">
      <w:r w:rsidRPr="00747A00">
        <w:t>Carvalho, A. and Grácio, R. (2022) The dark side of mindfulness: Workplace socialization, neoliberalism and the self. </w:t>
      </w:r>
      <w:r w:rsidRPr="00747A00">
        <w:rPr>
          <w:i/>
          <w:iCs/>
        </w:rPr>
        <w:t>Communication &amp; Language at Work</w:t>
      </w:r>
      <w:r w:rsidRPr="00747A00">
        <w:t>, </w:t>
      </w:r>
      <w:r w:rsidRPr="00747A00">
        <w:rPr>
          <w:i/>
          <w:iCs/>
        </w:rPr>
        <w:t>8</w:t>
      </w:r>
      <w:r w:rsidRPr="00747A00">
        <w:t>(2), pp.63-77.</w:t>
      </w:r>
    </w:p>
    <w:p w14:paraId="61EB966B" w14:textId="77777777" w:rsidR="00826A69" w:rsidRPr="00747A00" w:rsidRDefault="00826A69" w:rsidP="00EF2906">
      <w:r w:rsidRPr="00747A00">
        <w:t>Chirica, M.G., Piccirillo, M. and King, K.M. (2024) Methodological innovations in the measurement of psychological constructs. </w:t>
      </w:r>
      <w:r w:rsidRPr="00747A00">
        <w:rPr>
          <w:i/>
          <w:iCs/>
        </w:rPr>
        <w:t>Translational Issues in Psychological Science</w:t>
      </w:r>
      <w:r w:rsidRPr="00747A00">
        <w:t>, </w:t>
      </w:r>
      <w:r w:rsidRPr="00747A00">
        <w:rPr>
          <w:i/>
          <w:iCs/>
        </w:rPr>
        <w:t>10</w:t>
      </w:r>
      <w:r w:rsidRPr="00747A00">
        <w:t>(3), p.245.</w:t>
      </w:r>
    </w:p>
    <w:p w14:paraId="25F67DC9" w14:textId="77777777" w:rsidR="00826A69" w:rsidRPr="00747A00" w:rsidRDefault="00826A69" w:rsidP="00F94D92">
      <w:r w:rsidRPr="00747A00">
        <w:t>Chon, D. and Sitkin, S.B. (2021) Disentangling the process and content of self-awareness: A review, critical assessment, and synthesis. </w:t>
      </w:r>
      <w:r w:rsidRPr="00747A00">
        <w:rPr>
          <w:i/>
          <w:iCs/>
        </w:rPr>
        <w:t>Academy of Management Annals</w:t>
      </w:r>
      <w:r w:rsidRPr="00747A00">
        <w:t>, </w:t>
      </w:r>
      <w:r w:rsidRPr="00747A00">
        <w:rPr>
          <w:i/>
          <w:iCs/>
        </w:rPr>
        <w:t>15</w:t>
      </w:r>
      <w:r w:rsidRPr="00747A00">
        <w:t>(2), pp.607-651.</w:t>
      </w:r>
    </w:p>
    <w:p w14:paraId="7C44459B" w14:textId="77777777" w:rsidR="00826A69" w:rsidRPr="00747A00" w:rsidRDefault="00826A69" w:rsidP="00EF2906">
      <w:r w:rsidRPr="00747A00">
        <w:t>Corti, L. and Gelati, C. (2020) Mindfulness and coaching to improve learning abilities in university students: A pilot study. </w:t>
      </w:r>
      <w:r w:rsidRPr="00747A00">
        <w:rPr>
          <w:i/>
          <w:iCs/>
        </w:rPr>
        <w:t>International journal of environmental research and public health</w:t>
      </w:r>
      <w:r w:rsidRPr="00747A00">
        <w:t>, </w:t>
      </w:r>
      <w:r w:rsidRPr="00747A00">
        <w:rPr>
          <w:i/>
          <w:iCs/>
        </w:rPr>
        <w:t>17</w:t>
      </w:r>
      <w:r w:rsidRPr="00747A00">
        <w:t>(6), p.1935.</w:t>
      </w:r>
    </w:p>
    <w:p w14:paraId="622F5759" w14:textId="77777777" w:rsidR="00826A69" w:rsidRPr="00747A00" w:rsidRDefault="00826A69" w:rsidP="00EF2906">
      <w:r w:rsidRPr="00747A00">
        <w:t>Crane, M.F., Searle, B.J., Kangas, M. and Nwiran, Y. (2019) How resilience is strengthened by exposure to stressors: The systematic self-reflection model of resilience strengthening. </w:t>
      </w:r>
      <w:r w:rsidRPr="00747A00">
        <w:rPr>
          <w:i/>
          <w:iCs/>
        </w:rPr>
        <w:t>Anxiety, Stress, &amp; Coping</w:t>
      </w:r>
      <w:r w:rsidRPr="00747A00">
        <w:t>, </w:t>
      </w:r>
      <w:r w:rsidRPr="00747A00">
        <w:rPr>
          <w:i/>
          <w:iCs/>
        </w:rPr>
        <w:t>32</w:t>
      </w:r>
      <w:r w:rsidRPr="00747A00">
        <w:t>(1), pp.1-17.</w:t>
      </w:r>
    </w:p>
    <w:p w14:paraId="4D36DDE7" w14:textId="77777777" w:rsidR="00826A69" w:rsidRPr="00747A00" w:rsidRDefault="00826A69" w:rsidP="00F94D92">
      <w:r w:rsidRPr="00747A00">
        <w:t>Darnell, C., Gulliford, L., Kristjánsson, K. and Paris, P. (2019) Phronesis and the knowledge-action gap in moral psychology and moral education: A new synthesis?. </w:t>
      </w:r>
      <w:r w:rsidRPr="00747A00">
        <w:rPr>
          <w:i/>
          <w:iCs/>
        </w:rPr>
        <w:t>Human Development</w:t>
      </w:r>
      <w:r w:rsidRPr="00747A00">
        <w:t>, </w:t>
      </w:r>
      <w:r w:rsidRPr="00747A00">
        <w:rPr>
          <w:i/>
          <w:iCs/>
        </w:rPr>
        <w:t>62</w:t>
      </w:r>
      <w:r w:rsidRPr="00747A00">
        <w:t>(3), pp.101-129.</w:t>
      </w:r>
    </w:p>
    <w:p w14:paraId="4CEBC853" w14:textId="77777777" w:rsidR="00826A69" w:rsidRPr="00747A00" w:rsidRDefault="00826A69" w:rsidP="00EF2906">
      <w:r w:rsidRPr="00747A00">
        <w:t>DeIuliis, E.D. and Saylor, E. (2021) Bridging the gap: Three strategies to optimize professional relationships with Generation Y and Z. The Open Journal of Occupational Therapy, 9(1), pp.1-13.</w:t>
      </w:r>
    </w:p>
    <w:p w14:paraId="0C70F717" w14:textId="77777777" w:rsidR="00826A69" w:rsidRPr="00747A00" w:rsidRDefault="00826A69" w:rsidP="006A56A4">
      <w:pPr>
        <w:rPr>
          <w:lang w:val="en-US"/>
        </w:rPr>
      </w:pPr>
      <w:r w:rsidRPr="00747A00">
        <w:rPr>
          <w:lang w:val="en-US"/>
        </w:rPr>
        <w:lastRenderedPageBreak/>
        <w:t xml:space="preserve">Deloitte (2025) </w:t>
      </w:r>
      <w:r w:rsidRPr="00747A00">
        <w:rPr>
          <w:i/>
          <w:iCs/>
          <w:lang w:val="en-US"/>
        </w:rPr>
        <w:t>2025 Gen Z and Millennial Survey</w:t>
      </w:r>
      <w:r w:rsidRPr="00747A00">
        <w:rPr>
          <w:lang w:val="en-US"/>
        </w:rPr>
        <w:t>. Available at: https://www.deloitte.com/global/en/issues/work/genz-millennial-survey.html (Accessed: 22 September 2025).</w:t>
      </w:r>
    </w:p>
    <w:p w14:paraId="64C3E626" w14:textId="77777777" w:rsidR="00826A69" w:rsidRPr="00747A00" w:rsidRDefault="00826A69" w:rsidP="00E55A7E">
      <w:pPr>
        <w:rPr>
          <w:lang w:val="en-US"/>
        </w:rPr>
      </w:pPr>
      <w:r w:rsidRPr="00747A00">
        <w:rPr>
          <w:lang w:val="en-US"/>
        </w:rPr>
        <w:t xml:space="preserve">Deloitte (2025a) </w:t>
      </w:r>
      <w:r w:rsidRPr="00747A00">
        <w:rPr>
          <w:i/>
          <w:iCs/>
          <w:lang w:val="en-US"/>
        </w:rPr>
        <w:t>Reinventing performance management processes won’t unlock human performance. Here’s what will</w:t>
      </w:r>
      <w:r w:rsidRPr="00747A00">
        <w:rPr>
          <w:lang w:val="en-US"/>
        </w:rPr>
        <w:t>. Available at: https://www.deloitte.com/us/en/insights/topics/talent/human-capital-trends/2025/employee-performance-management-optimization-effective-strategy.html (Accessed: 22 September 2025).</w:t>
      </w:r>
    </w:p>
    <w:p w14:paraId="4A6133DE" w14:textId="77777777" w:rsidR="00826A69" w:rsidRPr="00747A00" w:rsidRDefault="00826A69" w:rsidP="00EF2906">
      <w:r w:rsidRPr="00747A00">
        <w:t>Dick, S.D. (2019) Generational similarities in work values of generations X, Y and Z. </w:t>
      </w:r>
      <w:r w:rsidRPr="00747A00">
        <w:rPr>
          <w:i/>
          <w:iCs/>
        </w:rPr>
        <w:t>Journal of Human Resource Management</w:t>
      </w:r>
      <w:r w:rsidRPr="00747A00">
        <w:t>, </w:t>
      </w:r>
      <w:r w:rsidRPr="00747A00">
        <w:rPr>
          <w:i/>
          <w:iCs/>
        </w:rPr>
        <w:t>22</w:t>
      </w:r>
      <w:r w:rsidRPr="00747A00">
        <w:t>(2), pp.10-27.</w:t>
      </w:r>
    </w:p>
    <w:p w14:paraId="0E0FB35A" w14:textId="77777777" w:rsidR="00826A69" w:rsidRPr="00747A00" w:rsidRDefault="00826A69" w:rsidP="00F94D92">
      <w:r w:rsidRPr="00747A00">
        <w:t>Fischer, C., Malycha, C.P. and Schafmann, E. (2019) The influence of intrinsic motivation and synergistic extrinsic motivators on creativity and innovation. </w:t>
      </w:r>
      <w:r w:rsidRPr="00747A00">
        <w:rPr>
          <w:i/>
          <w:iCs/>
        </w:rPr>
        <w:t>Frontiers in psychology</w:t>
      </w:r>
      <w:r w:rsidRPr="00747A00">
        <w:t>, </w:t>
      </w:r>
      <w:r w:rsidRPr="00747A00">
        <w:rPr>
          <w:i/>
          <w:iCs/>
        </w:rPr>
        <w:t>10</w:t>
      </w:r>
      <w:r w:rsidRPr="00747A00">
        <w:t>, p.137.</w:t>
      </w:r>
    </w:p>
    <w:p w14:paraId="0B604629" w14:textId="77777777" w:rsidR="00826A69" w:rsidRPr="00747A00" w:rsidRDefault="00826A69" w:rsidP="00F94D92">
      <w:r w:rsidRPr="00747A00">
        <w:t>Fuchs, H., Benkova, E., Fishbein, A. and Fuchs, A. (2023) November. The importance of psychological and cognitive flexibility in educational processes to prepare and acquire the skills required in the twenty-first century. In </w:t>
      </w:r>
      <w:r w:rsidRPr="00747A00">
        <w:rPr>
          <w:i/>
          <w:iCs/>
        </w:rPr>
        <w:t>The global conference on entrepreneurship and the economy in an era of uncertainty</w:t>
      </w:r>
      <w:r w:rsidRPr="00747A00">
        <w:t> (pp. 91-114). Singapore: Springer Nature Singapore.</w:t>
      </w:r>
    </w:p>
    <w:p w14:paraId="07704ACB" w14:textId="77777777" w:rsidR="00826A69" w:rsidRPr="00747A00" w:rsidRDefault="00826A69" w:rsidP="00F94D92">
      <w:r w:rsidRPr="00747A00">
        <w:t>Gunasekara, A. and Zheng, C.S.M. (2019) Examining the effect of different facets of mindfulness on work engagement. </w:t>
      </w:r>
      <w:r w:rsidRPr="00747A00">
        <w:rPr>
          <w:i/>
          <w:iCs/>
        </w:rPr>
        <w:t>Employee Relations</w:t>
      </w:r>
      <w:r w:rsidRPr="00747A00">
        <w:t>, </w:t>
      </w:r>
      <w:r w:rsidRPr="00747A00">
        <w:rPr>
          <w:i/>
          <w:iCs/>
        </w:rPr>
        <w:t>41</w:t>
      </w:r>
      <w:r w:rsidRPr="00747A00">
        <w:t>(1), pp.193-208.</w:t>
      </w:r>
    </w:p>
    <w:p w14:paraId="79F2148D" w14:textId="77777777" w:rsidR="00826A69" w:rsidRPr="00747A00" w:rsidRDefault="00826A69" w:rsidP="00F94D92">
      <w:r w:rsidRPr="00747A00">
        <w:t>Hawkins, P. (2021) </w:t>
      </w:r>
      <w:r w:rsidRPr="00747A00">
        <w:rPr>
          <w:i/>
          <w:iCs/>
        </w:rPr>
        <w:t>Leadership team coaching: Developing collective transformational leadership</w:t>
      </w:r>
      <w:r w:rsidRPr="00747A00">
        <w:t>. Kogan Page Publishers.</w:t>
      </w:r>
    </w:p>
    <w:p w14:paraId="570B5803" w14:textId="77777777" w:rsidR="00826A69" w:rsidRPr="00747A00" w:rsidRDefault="00826A69" w:rsidP="00EF2906">
      <w:r w:rsidRPr="00747A00">
        <w:t>Howes, S.S. (2023) Emotional intelligence in autistic adults: A review with considerations for employers. </w:t>
      </w:r>
      <w:r w:rsidRPr="00747A00">
        <w:rPr>
          <w:i/>
          <w:iCs/>
        </w:rPr>
        <w:t>Sustainability</w:t>
      </w:r>
      <w:r w:rsidRPr="00747A00">
        <w:t>, </w:t>
      </w:r>
      <w:r w:rsidRPr="00747A00">
        <w:rPr>
          <w:i/>
          <w:iCs/>
        </w:rPr>
        <w:t>15</w:t>
      </w:r>
      <w:r w:rsidRPr="00747A00">
        <w:t>(9), p.7252.</w:t>
      </w:r>
    </w:p>
    <w:p w14:paraId="49BF9E07" w14:textId="77777777" w:rsidR="00826A69" w:rsidRPr="00747A00" w:rsidRDefault="00826A69" w:rsidP="006A56A4">
      <w:pPr>
        <w:rPr>
          <w:i/>
          <w:iCs/>
          <w:lang w:val="en-US"/>
        </w:rPr>
      </w:pPr>
      <w:r w:rsidRPr="00747A00">
        <w:rPr>
          <w:lang w:val="en-US"/>
        </w:rPr>
        <w:t xml:space="preserve">Hyken. S. (2022) </w:t>
      </w:r>
      <w:r w:rsidRPr="00747A00">
        <w:rPr>
          <w:i/>
          <w:iCs/>
          <w:lang w:val="en-US"/>
        </w:rPr>
        <w:t>Customer Service The Marriott Way</w:t>
      </w:r>
      <w:r w:rsidRPr="00747A00">
        <w:rPr>
          <w:lang w:val="en-US"/>
        </w:rPr>
        <w:t>. Available at: https://www.forbes.com/sites/shephyken/2022/07/17/customer-service-the-marriott-way/ (Accessed: 22 September 2025).</w:t>
      </w:r>
    </w:p>
    <w:p w14:paraId="571E4A6F" w14:textId="77777777" w:rsidR="00826A69" w:rsidRPr="00747A00" w:rsidRDefault="00826A69" w:rsidP="00F94D92">
      <w:r w:rsidRPr="00747A00">
        <w:t>Johnston, M.W. and Marshall, G.W. (2020) </w:t>
      </w:r>
      <w:r w:rsidRPr="00747A00">
        <w:rPr>
          <w:i/>
          <w:iCs/>
        </w:rPr>
        <w:t>Sales force management: Leadership, innovation, technology</w:t>
      </w:r>
      <w:r w:rsidRPr="00747A00">
        <w:t>. Routledge.</w:t>
      </w:r>
    </w:p>
    <w:p w14:paraId="401A60A3" w14:textId="77777777" w:rsidR="00826A69" w:rsidRPr="00747A00" w:rsidRDefault="00826A69" w:rsidP="00F94D92">
      <w:r w:rsidRPr="00747A00">
        <w:t>Kanesan, P. and Fauzan, N. (2019) Models of emotional intelligence: A review. </w:t>
      </w:r>
      <w:r w:rsidRPr="00747A00">
        <w:rPr>
          <w:i/>
          <w:iCs/>
        </w:rPr>
        <w:t>e-BANGI Journal</w:t>
      </w:r>
      <w:r w:rsidRPr="00747A00">
        <w:t>, </w:t>
      </w:r>
      <w:r w:rsidRPr="00747A00">
        <w:rPr>
          <w:i/>
          <w:iCs/>
        </w:rPr>
        <w:t>16</w:t>
      </w:r>
      <w:r w:rsidRPr="00747A00">
        <w:t>(7).</w:t>
      </w:r>
    </w:p>
    <w:p w14:paraId="4EFA1EA9" w14:textId="77777777" w:rsidR="00826A69" w:rsidRPr="00747A00" w:rsidRDefault="00826A69" w:rsidP="00193FAC">
      <w:r w:rsidRPr="00747A00">
        <w:t>Kaoun, T.M. (2019) Enhancing Leaders’ Emotional Intelligence: Why Mindfulness?. </w:t>
      </w:r>
      <w:r w:rsidRPr="00747A00">
        <w:rPr>
          <w:i/>
          <w:iCs/>
        </w:rPr>
        <w:t>Journal of Leadership Education</w:t>
      </w:r>
      <w:r w:rsidRPr="00747A00">
        <w:t>, </w:t>
      </w:r>
      <w:r w:rsidRPr="00747A00">
        <w:rPr>
          <w:i/>
          <w:iCs/>
        </w:rPr>
        <w:t>18</w:t>
      </w:r>
      <w:r w:rsidRPr="00747A00">
        <w:t>(1), pp.200-212.</w:t>
      </w:r>
    </w:p>
    <w:p w14:paraId="6C77243D" w14:textId="77777777" w:rsidR="00826A69" w:rsidRPr="00747A00" w:rsidRDefault="00826A69" w:rsidP="00EF2906">
      <w:r w:rsidRPr="00747A00">
        <w:lastRenderedPageBreak/>
        <w:t>Kilroy, J., Dundon, T. and Townsend, K. (2023) Embedding reciprocity in human resource management: A social exchange theory of the role of frontline managers. </w:t>
      </w:r>
      <w:r w:rsidRPr="00747A00">
        <w:rPr>
          <w:i/>
          <w:iCs/>
        </w:rPr>
        <w:t>Human Resource Management Journal</w:t>
      </w:r>
      <w:r w:rsidRPr="00747A00">
        <w:t>, </w:t>
      </w:r>
      <w:r w:rsidRPr="00747A00">
        <w:rPr>
          <w:i/>
          <w:iCs/>
        </w:rPr>
        <w:t>33</w:t>
      </w:r>
      <w:r w:rsidRPr="00747A00">
        <w:t>(2), pp.511-531.</w:t>
      </w:r>
    </w:p>
    <w:p w14:paraId="31B6391D" w14:textId="77777777" w:rsidR="00826A69" w:rsidRPr="00747A00" w:rsidRDefault="00826A69" w:rsidP="00F94D92">
      <w:r w:rsidRPr="00747A00">
        <w:t>Kohn, P. (2024) Reflection and self-awareness: Cultivating effective leadership mindset. In </w:t>
      </w:r>
      <w:r w:rsidRPr="00747A00">
        <w:rPr>
          <w:i/>
          <w:iCs/>
        </w:rPr>
        <w:t>Elevating Leadership: Innovative Teaching Methods for Developing Future Leaders</w:t>
      </w:r>
      <w:r w:rsidRPr="00747A00">
        <w:t> (pp. 91-118). Emerald Publishing Limited.</w:t>
      </w:r>
    </w:p>
    <w:p w14:paraId="36B9D83D" w14:textId="77777777" w:rsidR="00826A69" w:rsidRPr="00747A00" w:rsidRDefault="00826A69" w:rsidP="00EF2906">
      <w:r w:rsidRPr="00747A00">
        <w:t>MacCann, C., Jiang, Y., Brown, L.E., Double, K.S., Bucich, M. and Minbashian, A. (2020) Emotional intelligence predicts academic performance: A meta-analysis. </w:t>
      </w:r>
      <w:r w:rsidRPr="00747A00">
        <w:rPr>
          <w:i/>
          <w:iCs/>
        </w:rPr>
        <w:t>Psychological Bulletin</w:t>
      </w:r>
      <w:r w:rsidRPr="00747A00">
        <w:t>, </w:t>
      </w:r>
      <w:r w:rsidRPr="00747A00">
        <w:rPr>
          <w:i/>
          <w:iCs/>
        </w:rPr>
        <w:t>146</w:t>
      </w:r>
      <w:r w:rsidRPr="00747A00">
        <w:t>(2), p.150.</w:t>
      </w:r>
    </w:p>
    <w:p w14:paraId="12A979AC" w14:textId="77777777" w:rsidR="00826A69" w:rsidRPr="00747A00" w:rsidRDefault="00826A69" w:rsidP="00F94D92">
      <w:r w:rsidRPr="00747A00">
        <w:t>Maslach, C. and Leiter, M.P. (2022) </w:t>
      </w:r>
      <w:r w:rsidRPr="00747A00">
        <w:rPr>
          <w:i/>
          <w:iCs/>
        </w:rPr>
        <w:t>The burnout challenge: Managing people’s relationships with their jobs</w:t>
      </w:r>
      <w:r w:rsidRPr="00747A00">
        <w:t>. Harvard University Press.</w:t>
      </w:r>
    </w:p>
    <w:p w14:paraId="0AAD8957" w14:textId="77777777" w:rsidR="00826A69" w:rsidRPr="00747A00" w:rsidRDefault="00826A69" w:rsidP="00F94D92">
      <w:r w:rsidRPr="00747A00">
        <w:t>Miao, C., Humphrey, R.H. and Qian, S. (2021) Emotional intelligence and servant leadership: A meta</w:t>
      </w:r>
      <w:r w:rsidRPr="00747A00">
        <w:rPr>
          <w:rFonts w:ascii="Cambria Math" w:hAnsi="Cambria Math" w:cs="Cambria Math"/>
        </w:rPr>
        <w:t>‐</w:t>
      </w:r>
      <w:r w:rsidRPr="00747A00">
        <w:t>analytic review.</w:t>
      </w:r>
      <w:r w:rsidRPr="00747A00">
        <w:rPr>
          <w:rFonts w:cs="Arial"/>
        </w:rPr>
        <w:t> </w:t>
      </w:r>
      <w:r w:rsidRPr="00747A00">
        <w:rPr>
          <w:i/>
          <w:iCs/>
        </w:rPr>
        <w:t>Business ethics, the environment &amp; responsibility</w:t>
      </w:r>
      <w:r w:rsidRPr="00747A00">
        <w:t>, </w:t>
      </w:r>
      <w:r w:rsidRPr="00747A00">
        <w:rPr>
          <w:i/>
          <w:iCs/>
        </w:rPr>
        <w:t>30</w:t>
      </w:r>
      <w:r w:rsidRPr="00747A00">
        <w:t>(2), pp.231-243.</w:t>
      </w:r>
    </w:p>
    <w:p w14:paraId="3E7A7784" w14:textId="77777777" w:rsidR="00826A69" w:rsidRPr="00747A00" w:rsidRDefault="00826A69" w:rsidP="00EF2906">
      <w:r w:rsidRPr="00747A00">
        <w:t>Mishra, N., Sharma, H. and Garg, R. (2024) Generational contrasts: A comparative analysis of resilience, interpersonal communication, and life values in Gen X and Gen Z. </w:t>
      </w:r>
      <w:r w:rsidRPr="00747A00">
        <w:rPr>
          <w:i/>
          <w:iCs/>
        </w:rPr>
        <w:t>Journal of Strategic and International Studies</w:t>
      </w:r>
      <w:r w:rsidRPr="00747A00">
        <w:t>, </w:t>
      </w:r>
      <w:r w:rsidRPr="00747A00">
        <w:rPr>
          <w:i/>
          <w:iCs/>
        </w:rPr>
        <w:t>17</w:t>
      </w:r>
      <w:r w:rsidRPr="00747A00">
        <w:t>(2), pp.120-132.</w:t>
      </w:r>
    </w:p>
    <w:p w14:paraId="7B47E388" w14:textId="77777777" w:rsidR="00826A69" w:rsidRPr="00747A00" w:rsidRDefault="00826A69" w:rsidP="00F94D92">
      <w:r w:rsidRPr="00747A00">
        <w:t>Nelson, C. (2021) </w:t>
      </w:r>
      <w:r w:rsidRPr="00747A00">
        <w:rPr>
          <w:i/>
          <w:iCs/>
        </w:rPr>
        <w:t>Emotional Intelligence and Academic Achievement in Primary Schools: Development and Initial Evaluation of the EMIL Programme</w:t>
      </w:r>
      <w:r w:rsidRPr="00747A00">
        <w:t>. University of South Wales (United Kingdom).</w:t>
      </w:r>
    </w:p>
    <w:p w14:paraId="0FF0DDC8" w14:textId="77777777" w:rsidR="00826A69" w:rsidRPr="00747A00" w:rsidRDefault="00826A69" w:rsidP="00EF2906">
      <w:r w:rsidRPr="00747A00">
        <w:t>Omilion-Hodges, L.M. and Sugg, C.E. (2019) Millennials’ views and expectations regarding the communicative and relational behaviors of leaders: Exploring young adults’ talk about work. </w:t>
      </w:r>
      <w:r w:rsidRPr="00747A00">
        <w:rPr>
          <w:i/>
          <w:iCs/>
        </w:rPr>
        <w:t>Business and Professional Communication Quarterly</w:t>
      </w:r>
      <w:r w:rsidRPr="00747A00">
        <w:t>, </w:t>
      </w:r>
      <w:r w:rsidRPr="00747A00">
        <w:rPr>
          <w:i/>
          <w:iCs/>
        </w:rPr>
        <w:t>82</w:t>
      </w:r>
      <w:r w:rsidRPr="00747A00">
        <w:t>(1), pp.74-100.</w:t>
      </w:r>
    </w:p>
    <w:p w14:paraId="2679016C" w14:textId="77777777" w:rsidR="00826A69" w:rsidRPr="00747A00" w:rsidRDefault="00826A69" w:rsidP="00EF2906">
      <w:r w:rsidRPr="00747A00">
        <w:t>Pankade, S. and Mohture, A., (N.D.) Unlocking Potential: A Conceptual Exploration of Competency Mapping Methodology and Its Multifaceted Benefits.</w:t>
      </w:r>
    </w:p>
    <w:p w14:paraId="0B3855D1" w14:textId="77777777" w:rsidR="00826A69" w:rsidRPr="00747A00" w:rsidRDefault="00826A69" w:rsidP="00EF2906">
      <w:r w:rsidRPr="00747A00">
        <w:t>Pichler, S., Kohli, C. and Granitz, N. (2021) DITTO for Gen Z: A framework for leveraging the uniqueness of the new generation. </w:t>
      </w:r>
      <w:r w:rsidRPr="00747A00">
        <w:rPr>
          <w:i/>
          <w:iCs/>
        </w:rPr>
        <w:t>Business horizons</w:t>
      </w:r>
      <w:r w:rsidRPr="00747A00">
        <w:t>, </w:t>
      </w:r>
      <w:r w:rsidRPr="00747A00">
        <w:rPr>
          <w:i/>
          <w:iCs/>
        </w:rPr>
        <w:t>64</w:t>
      </w:r>
      <w:r w:rsidRPr="00747A00">
        <w:t>(5), pp.599-610.</w:t>
      </w:r>
    </w:p>
    <w:p w14:paraId="0B40F4A4" w14:textId="77777777" w:rsidR="00826A69" w:rsidRPr="00747A00" w:rsidRDefault="00826A69" w:rsidP="0044716B">
      <w:pPr>
        <w:rPr>
          <w:lang w:val="en-US"/>
        </w:rPr>
      </w:pPr>
      <w:r w:rsidRPr="00747A00">
        <w:rPr>
          <w:lang w:val="en-US"/>
        </w:rPr>
        <w:t xml:space="preserve">PwC (2025) </w:t>
      </w:r>
      <w:r w:rsidRPr="00747A00">
        <w:rPr>
          <w:i/>
          <w:iCs/>
          <w:lang w:val="en-US"/>
        </w:rPr>
        <w:t>Boost AI Adoption with PwC's interactive gamified learning experience</w:t>
      </w:r>
      <w:r w:rsidRPr="00747A00">
        <w:rPr>
          <w:lang w:val="en-US"/>
        </w:rPr>
        <w:t>. Available at: https://www.pwc.nl/en/services/technology-alliances/microsoft/boost-ai-adoption-with-pwcs-interactive-gamified-learning-experience.html (Accessed: 22 September 2025).</w:t>
      </w:r>
    </w:p>
    <w:p w14:paraId="55F5F684" w14:textId="77777777" w:rsidR="00826A69" w:rsidRPr="00747A00" w:rsidRDefault="00826A69" w:rsidP="00193FAC">
      <w:r w:rsidRPr="00747A00">
        <w:t>Ravikumar, M. and Muralidharan, S. (2025) Enhancing Leadership Through Mindfulness and Emotional Intelligence: A Path to Inclusive and Effective Organizational Culture. In </w:t>
      </w:r>
      <w:r w:rsidRPr="00747A00">
        <w:rPr>
          <w:i/>
          <w:iCs/>
        </w:rPr>
        <w:t xml:space="preserve">Strategic </w:t>
      </w:r>
      <w:r w:rsidRPr="00747A00">
        <w:rPr>
          <w:i/>
          <w:iCs/>
        </w:rPr>
        <w:lastRenderedPageBreak/>
        <w:t>Approaches to Mindful Leadership and Change Management</w:t>
      </w:r>
      <w:r w:rsidRPr="00747A00">
        <w:t> (pp. 35-78). IGI Global Scientific Publishing.</w:t>
      </w:r>
    </w:p>
    <w:p w14:paraId="57FF15F8" w14:textId="77777777" w:rsidR="00826A69" w:rsidRPr="00747A00" w:rsidRDefault="00826A69" w:rsidP="00EF2906">
      <w:r w:rsidRPr="00747A00">
        <w:t>Revutska, O. (2021) Human resource management: A shift towards agility due to a pandemic of COVID-19. In </w:t>
      </w:r>
      <w:r w:rsidRPr="00747A00">
        <w:rPr>
          <w:i/>
          <w:iCs/>
        </w:rPr>
        <w:t>Proceedings of the 15th International Conference Liberec Economic Forum</w:t>
      </w:r>
      <w:r w:rsidRPr="00747A00">
        <w:t> (pp. 423-430).</w:t>
      </w:r>
    </w:p>
    <w:p w14:paraId="6FFABA23" w14:textId="77777777" w:rsidR="00826A69" w:rsidRPr="00747A00" w:rsidRDefault="00826A69" w:rsidP="00EF2906">
      <w:r w:rsidRPr="00747A00">
        <w:t>Rudolph, C.W., Rauvola, R.S., Costanza, D.P. and Zacher, H. (2021) Generations and generational differences: Debunking myths in organizational science and practice and paving new paths forward. </w:t>
      </w:r>
      <w:r w:rsidRPr="00747A00">
        <w:rPr>
          <w:i/>
          <w:iCs/>
        </w:rPr>
        <w:t>Journal of Business and Psychology</w:t>
      </w:r>
      <w:r w:rsidRPr="00747A00">
        <w:t>, </w:t>
      </w:r>
      <w:r w:rsidRPr="00747A00">
        <w:rPr>
          <w:i/>
          <w:iCs/>
        </w:rPr>
        <w:t>36</w:t>
      </w:r>
      <w:r w:rsidRPr="00747A00">
        <w:t>(6), pp.945-967.</w:t>
      </w:r>
    </w:p>
    <w:p w14:paraId="00C3B1E7" w14:textId="77777777" w:rsidR="00826A69" w:rsidRPr="00747A00" w:rsidRDefault="00826A69" w:rsidP="00F94D92">
      <w:r w:rsidRPr="00747A00">
        <w:t>Schiuma, G., Schettini, E., Santarsiero, F. and Carlucci, D. (2022) The transformative leadership compass: six competencies for digital transformation entrepreneurship. </w:t>
      </w:r>
      <w:r w:rsidRPr="00747A00">
        <w:rPr>
          <w:i/>
          <w:iCs/>
        </w:rPr>
        <w:t>International Journal of Entrepreneurial Behavior &amp; Research</w:t>
      </w:r>
      <w:r w:rsidRPr="00747A00">
        <w:t>, </w:t>
      </w:r>
      <w:r w:rsidRPr="00747A00">
        <w:rPr>
          <w:i/>
          <w:iCs/>
        </w:rPr>
        <w:t>28</w:t>
      </w:r>
      <w:r w:rsidRPr="00747A00">
        <w:t>(5), pp.1273-1291.</w:t>
      </w:r>
    </w:p>
    <w:p w14:paraId="6E8C8EA8" w14:textId="77777777" w:rsidR="00826A69" w:rsidRPr="00747A00" w:rsidRDefault="00826A69" w:rsidP="00F94D92">
      <w:r w:rsidRPr="00747A00">
        <w:t>Sfetcu, N. (2020) </w:t>
      </w:r>
      <w:r w:rsidRPr="00747A00">
        <w:rPr>
          <w:i/>
          <w:iCs/>
        </w:rPr>
        <w:t>Emotions and emotional intelligence in organizations</w:t>
      </w:r>
      <w:r w:rsidRPr="00747A00">
        <w:t>. MultiMedia Publishing.</w:t>
      </w:r>
    </w:p>
    <w:p w14:paraId="2149B586" w14:textId="77777777" w:rsidR="00826A69" w:rsidRPr="00747A00" w:rsidRDefault="00826A69" w:rsidP="00F94D92">
      <w:r w:rsidRPr="00747A00">
        <w:t>Singh, A., Prabhakar, R. and Kiran, J.S. (2022) Emotional intelligence: A literature review of its concept, models, and measures. </w:t>
      </w:r>
      <w:r w:rsidRPr="00747A00">
        <w:rPr>
          <w:i/>
          <w:iCs/>
        </w:rPr>
        <w:t>Journal of Positive School Psychology</w:t>
      </w:r>
      <w:r w:rsidRPr="00747A00">
        <w:t>, </w:t>
      </w:r>
      <w:r w:rsidRPr="00747A00">
        <w:rPr>
          <w:i/>
          <w:iCs/>
        </w:rPr>
        <w:t>6</w:t>
      </w:r>
      <w:r w:rsidRPr="00747A00">
        <w:t>(10).</w:t>
      </w:r>
    </w:p>
    <w:p w14:paraId="23C5A9AD" w14:textId="77777777" w:rsidR="00826A69" w:rsidRPr="00747A00" w:rsidRDefault="00826A69" w:rsidP="00F94D92">
      <w:r w:rsidRPr="00747A00">
        <w:t>Singh, N.N., Lancioni, G.E., Karazsia, B.T., Myers, R.E., Hwang, Y.S. and Anālayo, B. (2019) Effects of mindfulness-based positive behavior support (MBPBS) training are equally beneficial for mothers and their children with autism spectrum disorder or with intellectual disabilities. </w:t>
      </w:r>
      <w:r w:rsidRPr="00747A00">
        <w:rPr>
          <w:i/>
          <w:iCs/>
        </w:rPr>
        <w:t>Frontiers in psychology</w:t>
      </w:r>
      <w:r w:rsidRPr="00747A00">
        <w:t>, </w:t>
      </w:r>
      <w:r w:rsidRPr="00747A00">
        <w:rPr>
          <w:i/>
          <w:iCs/>
        </w:rPr>
        <w:t>10</w:t>
      </w:r>
      <w:r w:rsidRPr="00747A00">
        <w:t>, p.385.</w:t>
      </w:r>
    </w:p>
    <w:p w14:paraId="710B1D13" w14:textId="77777777" w:rsidR="00826A69" w:rsidRPr="00747A00" w:rsidRDefault="00826A69" w:rsidP="006A56A4">
      <w:pPr>
        <w:rPr>
          <w:lang w:val="en-US"/>
        </w:rPr>
      </w:pPr>
      <w:r w:rsidRPr="00747A00">
        <w:rPr>
          <w:lang w:val="en-US"/>
        </w:rPr>
        <w:t xml:space="preserve">SIY (2024) </w:t>
      </w:r>
      <w:r w:rsidRPr="00747A00">
        <w:rPr>
          <w:i/>
          <w:iCs/>
          <w:lang w:val="en-US"/>
        </w:rPr>
        <w:t>search inside yourself</w:t>
      </w:r>
      <w:r w:rsidRPr="00747A00">
        <w:rPr>
          <w:lang w:val="en-US"/>
        </w:rPr>
        <w:t>. Available at: https://www.siyglobal.com/emotional-intelligence-programs/search-inside-yourself (Accessed: 20 September 2025).</w:t>
      </w:r>
    </w:p>
    <w:p w14:paraId="526749D4" w14:textId="77777777" w:rsidR="00826A69" w:rsidRPr="00747A00" w:rsidRDefault="00826A69" w:rsidP="006A56A4">
      <w:pPr>
        <w:rPr>
          <w:lang w:val="en-US"/>
        </w:rPr>
      </w:pPr>
      <w:r w:rsidRPr="00747A00">
        <w:rPr>
          <w:lang w:val="en-US"/>
        </w:rPr>
        <w:t xml:space="preserve">Unilever (2025) </w:t>
      </w:r>
      <w:r w:rsidRPr="00747A00">
        <w:rPr>
          <w:i/>
          <w:iCs/>
          <w:lang w:val="en-US"/>
        </w:rPr>
        <w:t>Unilever Future Leaders Programme</w:t>
      </w:r>
      <w:r w:rsidRPr="00747A00">
        <w:rPr>
          <w:lang w:val="en-US"/>
        </w:rPr>
        <w:t>. Available at: https://careers.unilever.com/unilever-future-leaders-programme (Accessed: 20 September 2025).</w:t>
      </w:r>
    </w:p>
    <w:p w14:paraId="5F882175" w14:textId="77777777" w:rsidR="00826A69" w:rsidRPr="00747A00" w:rsidRDefault="00826A69" w:rsidP="00EF2906">
      <w:r w:rsidRPr="00747A00">
        <w:t>Viterouli, M., Belias, D., Koustelios, A. and Tsigilis, N. (2024) Optimizing adaptive performance: exploring organizational learning culture across generations. </w:t>
      </w:r>
      <w:r w:rsidRPr="00747A00">
        <w:rPr>
          <w:i/>
          <w:iCs/>
        </w:rPr>
        <w:t>Journal of Chinese Human Resources Management</w:t>
      </w:r>
      <w:r w:rsidRPr="00747A00">
        <w:t>, </w:t>
      </w:r>
      <w:r w:rsidRPr="00747A00">
        <w:rPr>
          <w:i/>
          <w:iCs/>
        </w:rPr>
        <w:t>15</w:t>
      </w:r>
      <w:r w:rsidRPr="00747A00">
        <w:t>(4), pp.3-27.</w:t>
      </w:r>
    </w:p>
    <w:p w14:paraId="04785E5F" w14:textId="77777777" w:rsidR="00826A69" w:rsidRPr="00747A00" w:rsidRDefault="00826A69" w:rsidP="006A56A4">
      <w:r w:rsidRPr="00747A00">
        <w:t>Watters, E.R. (2021) Factors in employee motivation: Expectancy and equity theories. Journal of Colorado Policing, 6(1), pp.4-8.</w:t>
      </w:r>
    </w:p>
    <w:p w14:paraId="18C92653" w14:textId="77777777" w:rsidR="00826A69" w:rsidRPr="00747A00" w:rsidRDefault="00826A69" w:rsidP="00E55A7E">
      <w:pPr>
        <w:rPr>
          <w:i/>
          <w:iCs/>
          <w:lang w:val="en-US"/>
        </w:rPr>
      </w:pPr>
      <w:r w:rsidRPr="00747A00">
        <w:rPr>
          <w:lang w:val="en-US"/>
        </w:rPr>
        <w:t xml:space="preserve">WEF (2023) </w:t>
      </w:r>
      <w:r w:rsidRPr="00747A00">
        <w:rPr>
          <w:i/>
          <w:iCs/>
          <w:lang w:val="en-US"/>
        </w:rPr>
        <w:t>HSBC: Providing Upskilling and Reskilling Opportunities for our Employees. Here’s what will</w:t>
      </w:r>
      <w:r w:rsidRPr="00747A00">
        <w:rPr>
          <w:lang w:val="en-US"/>
        </w:rPr>
        <w:t>. Available at: https://initiatives.weforum.org/good-work-alliance/case-study-</w:t>
      </w:r>
      <w:r w:rsidRPr="00747A00">
        <w:rPr>
          <w:lang w:val="en-US"/>
        </w:rPr>
        <w:lastRenderedPageBreak/>
        <w:t>details/hsbc:-providing-upskilling-and-reskilling-opportunities-for-our-employees/aJY68000000PAvbGAG (Accessed: 22 September 2025).</w:t>
      </w:r>
    </w:p>
    <w:p w14:paraId="77D00063" w14:textId="77777777" w:rsidR="00826A69" w:rsidRPr="00747A00" w:rsidRDefault="00826A69" w:rsidP="00F94D92">
      <w:r w:rsidRPr="00747A00">
        <w:t>Weidmann, B. and Deming, D.J. (2021) Team players: How social skills improve team performance. </w:t>
      </w:r>
      <w:r w:rsidRPr="00747A00">
        <w:rPr>
          <w:i/>
          <w:iCs/>
        </w:rPr>
        <w:t>Econometrica</w:t>
      </w:r>
      <w:r w:rsidRPr="00747A00">
        <w:t>, </w:t>
      </w:r>
      <w:r w:rsidRPr="00747A00">
        <w:rPr>
          <w:i/>
          <w:iCs/>
        </w:rPr>
        <w:t>89</w:t>
      </w:r>
      <w:r w:rsidRPr="00747A00">
        <w:t>(6), pp.2637-2657.</w:t>
      </w:r>
    </w:p>
    <w:p w14:paraId="01ABC5B0" w14:textId="77777777" w:rsidR="00826A69" w:rsidRPr="00747A00" w:rsidRDefault="00826A69" w:rsidP="00EF2906">
      <w:r w:rsidRPr="00747A00">
        <w:t>Winardi, M.A., Prentice, C. and Weaven, S. (2022) Systematic literature review on emotional intelligence and conflict management. </w:t>
      </w:r>
      <w:r w:rsidRPr="00747A00">
        <w:rPr>
          <w:i/>
          <w:iCs/>
        </w:rPr>
        <w:t>Journal of Global Scholars of Marketing Science</w:t>
      </w:r>
      <w:r w:rsidRPr="00747A00">
        <w:t>, </w:t>
      </w:r>
      <w:r w:rsidRPr="00747A00">
        <w:rPr>
          <w:i/>
          <w:iCs/>
        </w:rPr>
        <w:t>32</w:t>
      </w:r>
      <w:r w:rsidRPr="00747A00">
        <w:t>(3), pp.372-397.</w:t>
      </w:r>
    </w:p>
    <w:p w14:paraId="35CB9DD2" w14:textId="77777777" w:rsidR="00826A69" w:rsidRPr="003B3E6D" w:rsidRDefault="00826A69" w:rsidP="0035237D">
      <w:r w:rsidRPr="00747A00">
        <w:t>Yadav, N., Yadav, K., Khare, A., Goel, O. and Goel, P. (2023) Dynamic self-regulation: A key to effective time management. </w:t>
      </w:r>
      <w:r w:rsidRPr="00747A00">
        <w:rPr>
          <w:i/>
          <w:iCs/>
        </w:rPr>
        <w:t>International Journal of Novel Research and Development</w:t>
      </w:r>
      <w:r w:rsidRPr="00747A00">
        <w:t>, </w:t>
      </w:r>
      <w:r w:rsidRPr="00747A00">
        <w:rPr>
          <w:i/>
          <w:iCs/>
        </w:rPr>
        <w:t>8</w:t>
      </w:r>
      <w:r w:rsidRPr="00747A00">
        <w:t>(11), pp.d854-d876.</w:t>
      </w:r>
    </w:p>
    <w:p w14:paraId="44424A09" w14:textId="77777777" w:rsidR="0035237D" w:rsidRPr="003B3E6D" w:rsidRDefault="0035237D" w:rsidP="0035237D"/>
    <w:p w14:paraId="3E1F0BF8" w14:textId="77777777" w:rsidR="0035237D" w:rsidRPr="003B3E6D" w:rsidRDefault="0035237D" w:rsidP="0035237D"/>
    <w:p w14:paraId="481AF49F" w14:textId="77777777" w:rsidR="0035237D" w:rsidRPr="003B3E6D" w:rsidRDefault="0035237D" w:rsidP="0035237D"/>
    <w:p w14:paraId="4D275532" w14:textId="77777777" w:rsidR="0035237D" w:rsidRPr="003B3E6D" w:rsidRDefault="0035237D" w:rsidP="0035237D"/>
    <w:p w14:paraId="78FC4C68" w14:textId="77777777" w:rsidR="0035237D" w:rsidRPr="003B3E6D" w:rsidRDefault="0035237D" w:rsidP="0035237D"/>
    <w:p w14:paraId="020C2B8B" w14:textId="77777777" w:rsidR="00EE23C2" w:rsidRPr="00EE23C2" w:rsidRDefault="00EE23C2">
      <w:pPr>
        <w:rPr>
          <w:lang w:val="en-US"/>
        </w:rPr>
      </w:pPr>
    </w:p>
    <w:sectPr w:rsidR="00EE23C2" w:rsidRPr="00EE23C2">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07F275" w14:textId="77777777" w:rsidR="003A21EB" w:rsidRDefault="003A21EB">
      <w:pPr>
        <w:spacing w:after="0" w:line="240" w:lineRule="auto"/>
      </w:pPr>
      <w:r>
        <w:separator/>
      </w:r>
    </w:p>
  </w:endnote>
  <w:endnote w:type="continuationSeparator" w:id="0">
    <w:p w14:paraId="3FA8B66B" w14:textId="77777777" w:rsidR="003A21EB" w:rsidRDefault="003A21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73114654"/>
      <w:docPartObj>
        <w:docPartGallery w:val="Page Numbers (Bottom of Page)"/>
        <w:docPartUnique/>
      </w:docPartObj>
    </w:sdtPr>
    <w:sdtContent>
      <w:p w14:paraId="21E91651" w14:textId="77777777" w:rsidR="005C1E63" w:rsidRPr="003B3E6D" w:rsidRDefault="00D96B1E">
        <w:pPr>
          <w:pStyle w:val="Footer"/>
          <w:jc w:val="right"/>
        </w:pPr>
        <w:r w:rsidRPr="003B3E6D">
          <w:fldChar w:fldCharType="begin"/>
        </w:r>
        <w:r w:rsidRPr="003B3E6D">
          <w:instrText xml:space="preserve"> PAGE   \* MERGEFORMAT </w:instrText>
        </w:r>
        <w:r w:rsidRPr="003B3E6D">
          <w:fldChar w:fldCharType="separate"/>
        </w:r>
        <w:r w:rsidR="00747A00">
          <w:rPr>
            <w:noProof/>
          </w:rPr>
          <w:t>4</w:t>
        </w:r>
        <w:r w:rsidRPr="003B3E6D">
          <w:fldChar w:fldCharType="end"/>
        </w:r>
      </w:p>
    </w:sdtContent>
  </w:sdt>
  <w:p w14:paraId="0609DA3A" w14:textId="77777777" w:rsidR="005C1E63" w:rsidRPr="003B3E6D" w:rsidRDefault="005C1E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A432FC" w14:textId="77777777" w:rsidR="003A21EB" w:rsidRDefault="003A21EB">
      <w:pPr>
        <w:spacing w:after="0" w:line="240" w:lineRule="auto"/>
      </w:pPr>
      <w:r>
        <w:separator/>
      </w:r>
    </w:p>
  </w:footnote>
  <w:footnote w:type="continuationSeparator" w:id="0">
    <w:p w14:paraId="54A17041" w14:textId="77777777" w:rsidR="003A21EB" w:rsidRDefault="003A21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C227B"/>
    <w:multiLevelType w:val="hybridMultilevel"/>
    <w:tmpl w:val="4C167B0A"/>
    <w:lvl w:ilvl="0" w:tplc="D7268C72">
      <w:start w:val="1"/>
      <w:numFmt w:val="upperLetter"/>
      <w:lvlText w:val="%1."/>
      <w:lvlJc w:val="left"/>
      <w:pPr>
        <w:ind w:left="720" w:hanging="360"/>
      </w:pPr>
      <w:rPr>
        <w:rFonts w:hint="default"/>
      </w:rPr>
    </w:lvl>
    <w:lvl w:ilvl="1" w:tplc="7F5A0E8A" w:tentative="1">
      <w:start w:val="1"/>
      <w:numFmt w:val="lowerLetter"/>
      <w:lvlText w:val="%2."/>
      <w:lvlJc w:val="left"/>
      <w:pPr>
        <w:ind w:left="1440" w:hanging="360"/>
      </w:pPr>
    </w:lvl>
    <w:lvl w:ilvl="2" w:tplc="318C3E5E" w:tentative="1">
      <w:start w:val="1"/>
      <w:numFmt w:val="lowerRoman"/>
      <w:lvlText w:val="%3."/>
      <w:lvlJc w:val="right"/>
      <w:pPr>
        <w:ind w:left="2160" w:hanging="180"/>
      </w:pPr>
    </w:lvl>
    <w:lvl w:ilvl="3" w:tplc="019885D8" w:tentative="1">
      <w:start w:val="1"/>
      <w:numFmt w:val="decimal"/>
      <w:lvlText w:val="%4."/>
      <w:lvlJc w:val="left"/>
      <w:pPr>
        <w:ind w:left="2880" w:hanging="360"/>
      </w:pPr>
    </w:lvl>
    <w:lvl w:ilvl="4" w:tplc="4D4CC362" w:tentative="1">
      <w:start w:val="1"/>
      <w:numFmt w:val="lowerLetter"/>
      <w:lvlText w:val="%5."/>
      <w:lvlJc w:val="left"/>
      <w:pPr>
        <w:ind w:left="3600" w:hanging="360"/>
      </w:pPr>
    </w:lvl>
    <w:lvl w:ilvl="5" w:tplc="31888D76" w:tentative="1">
      <w:start w:val="1"/>
      <w:numFmt w:val="lowerRoman"/>
      <w:lvlText w:val="%6."/>
      <w:lvlJc w:val="right"/>
      <w:pPr>
        <w:ind w:left="4320" w:hanging="180"/>
      </w:pPr>
    </w:lvl>
    <w:lvl w:ilvl="6" w:tplc="805CCADA" w:tentative="1">
      <w:start w:val="1"/>
      <w:numFmt w:val="decimal"/>
      <w:lvlText w:val="%7."/>
      <w:lvlJc w:val="left"/>
      <w:pPr>
        <w:ind w:left="5040" w:hanging="360"/>
      </w:pPr>
    </w:lvl>
    <w:lvl w:ilvl="7" w:tplc="BEAC3F3C" w:tentative="1">
      <w:start w:val="1"/>
      <w:numFmt w:val="lowerLetter"/>
      <w:lvlText w:val="%8."/>
      <w:lvlJc w:val="left"/>
      <w:pPr>
        <w:ind w:left="5760" w:hanging="360"/>
      </w:pPr>
    </w:lvl>
    <w:lvl w:ilvl="8" w:tplc="6032D294" w:tentative="1">
      <w:start w:val="1"/>
      <w:numFmt w:val="lowerRoman"/>
      <w:lvlText w:val="%9."/>
      <w:lvlJc w:val="right"/>
      <w:pPr>
        <w:ind w:left="6480" w:hanging="180"/>
      </w:pPr>
    </w:lvl>
  </w:abstractNum>
  <w:abstractNum w:abstractNumId="1" w15:restartNumberingAfterBreak="0">
    <w:nsid w:val="20A17920"/>
    <w:multiLevelType w:val="hybridMultilevel"/>
    <w:tmpl w:val="1F5EE500"/>
    <w:lvl w:ilvl="0" w:tplc="27321A64">
      <w:start w:val="1"/>
      <w:numFmt w:val="upperLetter"/>
      <w:lvlText w:val="%1."/>
      <w:lvlJc w:val="left"/>
      <w:pPr>
        <w:ind w:left="720" w:hanging="360"/>
      </w:pPr>
      <w:rPr>
        <w:rFonts w:hint="default"/>
      </w:rPr>
    </w:lvl>
    <w:lvl w:ilvl="1" w:tplc="D9B6DDBA" w:tentative="1">
      <w:start w:val="1"/>
      <w:numFmt w:val="lowerLetter"/>
      <w:lvlText w:val="%2."/>
      <w:lvlJc w:val="left"/>
      <w:pPr>
        <w:ind w:left="1440" w:hanging="360"/>
      </w:pPr>
    </w:lvl>
    <w:lvl w:ilvl="2" w:tplc="D4BA8780" w:tentative="1">
      <w:start w:val="1"/>
      <w:numFmt w:val="lowerRoman"/>
      <w:lvlText w:val="%3."/>
      <w:lvlJc w:val="right"/>
      <w:pPr>
        <w:ind w:left="2160" w:hanging="180"/>
      </w:pPr>
    </w:lvl>
    <w:lvl w:ilvl="3" w:tplc="9FB8D7C0" w:tentative="1">
      <w:start w:val="1"/>
      <w:numFmt w:val="decimal"/>
      <w:lvlText w:val="%4."/>
      <w:lvlJc w:val="left"/>
      <w:pPr>
        <w:ind w:left="2880" w:hanging="360"/>
      </w:pPr>
    </w:lvl>
    <w:lvl w:ilvl="4" w:tplc="93B28124" w:tentative="1">
      <w:start w:val="1"/>
      <w:numFmt w:val="lowerLetter"/>
      <w:lvlText w:val="%5."/>
      <w:lvlJc w:val="left"/>
      <w:pPr>
        <w:ind w:left="3600" w:hanging="360"/>
      </w:pPr>
    </w:lvl>
    <w:lvl w:ilvl="5" w:tplc="B862227C" w:tentative="1">
      <w:start w:val="1"/>
      <w:numFmt w:val="lowerRoman"/>
      <w:lvlText w:val="%6."/>
      <w:lvlJc w:val="right"/>
      <w:pPr>
        <w:ind w:left="4320" w:hanging="180"/>
      </w:pPr>
    </w:lvl>
    <w:lvl w:ilvl="6" w:tplc="5E02E1EA" w:tentative="1">
      <w:start w:val="1"/>
      <w:numFmt w:val="decimal"/>
      <w:lvlText w:val="%7."/>
      <w:lvlJc w:val="left"/>
      <w:pPr>
        <w:ind w:left="5040" w:hanging="360"/>
      </w:pPr>
    </w:lvl>
    <w:lvl w:ilvl="7" w:tplc="49E667FA" w:tentative="1">
      <w:start w:val="1"/>
      <w:numFmt w:val="lowerLetter"/>
      <w:lvlText w:val="%8."/>
      <w:lvlJc w:val="left"/>
      <w:pPr>
        <w:ind w:left="5760" w:hanging="360"/>
      </w:pPr>
    </w:lvl>
    <w:lvl w:ilvl="8" w:tplc="75BAC384" w:tentative="1">
      <w:start w:val="1"/>
      <w:numFmt w:val="lowerRoman"/>
      <w:lvlText w:val="%9."/>
      <w:lvlJc w:val="right"/>
      <w:pPr>
        <w:ind w:left="6480" w:hanging="180"/>
      </w:pPr>
    </w:lvl>
  </w:abstractNum>
  <w:abstractNum w:abstractNumId="2" w15:restartNumberingAfterBreak="0">
    <w:nsid w:val="2BC90B2F"/>
    <w:multiLevelType w:val="hybridMultilevel"/>
    <w:tmpl w:val="52644062"/>
    <w:lvl w:ilvl="0" w:tplc="732E2C86">
      <w:start w:val="1"/>
      <w:numFmt w:val="bullet"/>
      <w:lvlText w:val=""/>
      <w:lvlJc w:val="left"/>
      <w:pPr>
        <w:ind w:left="720" w:hanging="360"/>
      </w:pPr>
      <w:rPr>
        <w:rFonts w:ascii="Symbol" w:hAnsi="Symbol" w:hint="default"/>
      </w:rPr>
    </w:lvl>
    <w:lvl w:ilvl="1" w:tplc="7D56B774" w:tentative="1">
      <w:start w:val="1"/>
      <w:numFmt w:val="bullet"/>
      <w:lvlText w:val="o"/>
      <w:lvlJc w:val="left"/>
      <w:pPr>
        <w:ind w:left="1440" w:hanging="360"/>
      </w:pPr>
      <w:rPr>
        <w:rFonts w:ascii="Courier New" w:hAnsi="Courier New" w:cs="Courier New" w:hint="default"/>
      </w:rPr>
    </w:lvl>
    <w:lvl w:ilvl="2" w:tplc="800230DA" w:tentative="1">
      <w:start w:val="1"/>
      <w:numFmt w:val="bullet"/>
      <w:lvlText w:val=""/>
      <w:lvlJc w:val="left"/>
      <w:pPr>
        <w:ind w:left="2160" w:hanging="360"/>
      </w:pPr>
      <w:rPr>
        <w:rFonts w:ascii="Wingdings" w:hAnsi="Wingdings" w:hint="default"/>
      </w:rPr>
    </w:lvl>
    <w:lvl w:ilvl="3" w:tplc="82D48E1E" w:tentative="1">
      <w:start w:val="1"/>
      <w:numFmt w:val="bullet"/>
      <w:lvlText w:val=""/>
      <w:lvlJc w:val="left"/>
      <w:pPr>
        <w:ind w:left="2880" w:hanging="360"/>
      </w:pPr>
      <w:rPr>
        <w:rFonts w:ascii="Symbol" w:hAnsi="Symbol" w:hint="default"/>
      </w:rPr>
    </w:lvl>
    <w:lvl w:ilvl="4" w:tplc="91FE2B28" w:tentative="1">
      <w:start w:val="1"/>
      <w:numFmt w:val="bullet"/>
      <w:lvlText w:val="o"/>
      <w:lvlJc w:val="left"/>
      <w:pPr>
        <w:ind w:left="3600" w:hanging="360"/>
      </w:pPr>
      <w:rPr>
        <w:rFonts w:ascii="Courier New" w:hAnsi="Courier New" w:cs="Courier New" w:hint="default"/>
      </w:rPr>
    </w:lvl>
    <w:lvl w:ilvl="5" w:tplc="290E8764" w:tentative="1">
      <w:start w:val="1"/>
      <w:numFmt w:val="bullet"/>
      <w:lvlText w:val=""/>
      <w:lvlJc w:val="left"/>
      <w:pPr>
        <w:ind w:left="4320" w:hanging="360"/>
      </w:pPr>
      <w:rPr>
        <w:rFonts w:ascii="Wingdings" w:hAnsi="Wingdings" w:hint="default"/>
      </w:rPr>
    </w:lvl>
    <w:lvl w:ilvl="6" w:tplc="A3B61030" w:tentative="1">
      <w:start w:val="1"/>
      <w:numFmt w:val="bullet"/>
      <w:lvlText w:val=""/>
      <w:lvlJc w:val="left"/>
      <w:pPr>
        <w:ind w:left="5040" w:hanging="360"/>
      </w:pPr>
      <w:rPr>
        <w:rFonts w:ascii="Symbol" w:hAnsi="Symbol" w:hint="default"/>
      </w:rPr>
    </w:lvl>
    <w:lvl w:ilvl="7" w:tplc="4442F316" w:tentative="1">
      <w:start w:val="1"/>
      <w:numFmt w:val="bullet"/>
      <w:lvlText w:val="o"/>
      <w:lvlJc w:val="left"/>
      <w:pPr>
        <w:ind w:left="5760" w:hanging="360"/>
      </w:pPr>
      <w:rPr>
        <w:rFonts w:ascii="Courier New" w:hAnsi="Courier New" w:cs="Courier New" w:hint="default"/>
      </w:rPr>
    </w:lvl>
    <w:lvl w:ilvl="8" w:tplc="14A8B094" w:tentative="1">
      <w:start w:val="1"/>
      <w:numFmt w:val="bullet"/>
      <w:lvlText w:val=""/>
      <w:lvlJc w:val="left"/>
      <w:pPr>
        <w:ind w:left="6480" w:hanging="360"/>
      </w:pPr>
      <w:rPr>
        <w:rFonts w:ascii="Wingdings" w:hAnsi="Wingdings" w:hint="default"/>
      </w:rPr>
    </w:lvl>
  </w:abstractNum>
  <w:abstractNum w:abstractNumId="3" w15:restartNumberingAfterBreak="0">
    <w:nsid w:val="4B426A99"/>
    <w:multiLevelType w:val="hybridMultilevel"/>
    <w:tmpl w:val="C9A0A754"/>
    <w:lvl w:ilvl="0" w:tplc="695EC9F0">
      <w:start w:val="1"/>
      <w:numFmt w:val="upperLetter"/>
      <w:lvlText w:val="%1."/>
      <w:lvlJc w:val="left"/>
      <w:pPr>
        <w:ind w:left="720" w:hanging="360"/>
      </w:pPr>
      <w:rPr>
        <w:rFonts w:hint="default"/>
      </w:rPr>
    </w:lvl>
    <w:lvl w:ilvl="1" w:tplc="A6BCED98" w:tentative="1">
      <w:start w:val="1"/>
      <w:numFmt w:val="lowerLetter"/>
      <w:lvlText w:val="%2."/>
      <w:lvlJc w:val="left"/>
      <w:pPr>
        <w:ind w:left="1440" w:hanging="360"/>
      </w:pPr>
    </w:lvl>
    <w:lvl w:ilvl="2" w:tplc="81CCDCBA" w:tentative="1">
      <w:start w:val="1"/>
      <w:numFmt w:val="lowerRoman"/>
      <w:lvlText w:val="%3."/>
      <w:lvlJc w:val="right"/>
      <w:pPr>
        <w:ind w:left="2160" w:hanging="180"/>
      </w:pPr>
    </w:lvl>
    <w:lvl w:ilvl="3" w:tplc="85BA9DDC" w:tentative="1">
      <w:start w:val="1"/>
      <w:numFmt w:val="decimal"/>
      <w:lvlText w:val="%4."/>
      <w:lvlJc w:val="left"/>
      <w:pPr>
        <w:ind w:left="2880" w:hanging="360"/>
      </w:pPr>
    </w:lvl>
    <w:lvl w:ilvl="4" w:tplc="A9F23326" w:tentative="1">
      <w:start w:val="1"/>
      <w:numFmt w:val="lowerLetter"/>
      <w:lvlText w:val="%5."/>
      <w:lvlJc w:val="left"/>
      <w:pPr>
        <w:ind w:left="3600" w:hanging="360"/>
      </w:pPr>
    </w:lvl>
    <w:lvl w:ilvl="5" w:tplc="91BE9C3A" w:tentative="1">
      <w:start w:val="1"/>
      <w:numFmt w:val="lowerRoman"/>
      <w:lvlText w:val="%6."/>
      <w:lvlJc w:val="right"/>
      <w:pPr>
        <w:ind w:left="4320" w:hanging="180"/>
      </w:pPr>
    </w:lvl>
    <w:lvl w:ilvl="6" w:tplc="D30C13AA" w:tentative="1">
      <w:start w:val="1"/>
      <w:numFmt w:val="decimal"/>
      <w:lvlText w:val="%7."/>
      <w:lvlJc w:val="left"/>
      <w:pPr>
        <w:ind w:left="5040" w:hanging="360"/>
      </w:pPr>
    </w:lvl>
    <w:lvl w:ilvl="7" w:tplc="9F60A7FE" w:tentative="1">
      <w:start w:val="1"/>
      <w:numFmt w:val="lowerLetter"/>
      <w:lvlText w:val="%8."/>
      <w:lvlJc w:val="left"/>
      <w:pPr>
        <w:ind w:left="5760" w:hanging="360"/>
      </w:pPr>
    </w:lvl>
    <w:lvl w:ilvl="8" w:tplc="39B65B80" w:tentative="1">
      <w:start w:val="1"/>
      <w:numFmt w:val="lowerRoman"/>
      <w:lvlText w:val="%9."/>
      <w:lvlJc w:val="right"/>
      <w:pPr>
        <w:ind w:left="6480" w:hanging="180"/>
      </w:pPr>
    </w:lvl>
  </w:abstractNum>
  <w:abstractNum w:abstractNumId="4" w15:restartNumberingAfterBreak="0">
    <w:nsid w:val="52457AC2"/>
    <w:multiLevelType w:val="hybridMultilevel"/>
    <w:tmpl w:val="73364D6C"/>
    <w:lvl w:ilvl="0" w:tplc="795A025A">
      <w:start w:val="1"/>
      <w:numFmt w:val="upperLetter"/>
      <w:lvlText w:val="%1."/>
      <w:lvlJc w:val="left"/>
      <w:pPr>
        <w:ind w:left="720" w:hanging="360"/>
      </w:pPr>
      <w:rPr>
        <w:rFonts w:hint="default"/>
      </w:rPr>
    </w:lvl>
    <w:lvl w:ilvl="1" w:tplc="A5064D70" w:tentative="1">
      <w:start w:val="1"/>
      <w:numFmt w:val="lowerLetter"/>
      <w:lvlText w:val="%2."/>
      <w:lvlJc w:val="left"/>
      <w:pPr>
        <w:ind w:left="1440" w:hanging="360"/>
      </w:pPr>
    </w:lvl>
    <w:lvl w:ilvl="2" w:tplc="0F4AE6C0" w:tentative="1">
      <w:start w:val="1"/>
      <w:numFmt w:val="lowerRoman"/>
      <w:lvlText w:val="%3."/>
      <w:lvlJc w:val="right"/>
      <w:pPr>
        <w:ind w:left="2160" w:hanging="180"/>
      </w:pPr>
    </w:lvl>
    <w:lvl w:ilvl="3" w:tplc="0C06ABBC" w:tentative="1">
      <w:start w:val="1"/>
      <w:numFmt w:val="decimal"/>
      <w:lvlText w:val="%4."/>
      <w:lvlJc w:val="left"/>
      <w:pPr>
        <w:ind w:left="2880" w:hanging="360"/>
      </w:pPr>
    </w:lvl>
    <w:lvl w:ilvl="4" w:tplc="EE7494D4" w:tentative="1">
      <w:start w:val="1"/>
      <w:numFmt w:val="lowerLetter"/>
      <w:lvlText w:val="%5."/>
      <w:lvlJc w:val="left"/>
      <w:pPr>
        <w:ind w:left="3600" w:hanging="360"/>
      </w:pPr>
    </w:lvl>
    <w:lvl w:ilvl="5" w:tplc="0F06D00C" w:tentative="1">
      <w:start w:val="1"/>
      <w:numFmt w:val="lowerRoman"/>
      <w:lvlText w:val="%6."/>
      <w:lvlJc w:val="right"/>
      <w:pPr>
        <w:ind w:left="4320" w:hanging="180"/>
      </w:pPr>
    </w:lvl>
    <w:lvl w:ilvl="6" w:tplc="D97ABDFC" w:tentative="1">
      <w:start w:val="1"/>
      <w:numFmt w:val="decimal"/>
      <w:lvlText w:val="%7."/>
      <w:lvlJc w:val="left"/>
      <w:pPr>
        <w:ind w:left="5040" w:hanging="360"/>
      </w:pPr>
    </w:lvl>
    <w:lvl w:ilvl="7" w:tplc="E91679C6" w:tentative="1">
      <w:start w:val="1"/>
      <w:numFmt w:val="lowerLetter"/>
      <w:lvlText w:val="%8."/>
      <w:lvlJc w:val="left"/>
      <w:pPr>
        <w:ind w:left="5760" w:hanging="360"/>
      </w:pPr>
    </w:lvl>
    <w:lvl w:ilvl="8" w:tplc="0B2268E8" w:tentative="1">
      <w:start w:val="1"/>
      <w:numFmt w:val="lowerRoman"/>
      <w:lvlText w:val="%9."/>
      <w:lvlJc w:val="right"/>
      <w:pPr>
        <w:ind w:left="6480" w:hanging="180"/>
      </w:pPr>
    </w:lvl>
  </w:abstractNum>
  <w:num w:numId="1" w16cid:durableId="1749156903">
    <w:abstractNumId w:val="2"/>
  </w:num>
  <w:num w:numId="2" w16cid:durableId="335811980">
    <w:abstractNumId w:val="1"/>
  </w:num>
  <w:num w:numId="3" w16cid:durableId="1718892845">
    <w:abstractNumId w:val="3"/>
  </w:num>
  <w:num w:numId="4" w16cid:durableId="23211805">
    <w:abstractNumId w:val="0"/>
  </w:num>
  <w:num w:numId="5" w16cid:durableId="26793083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672A"/>
    <w:rsid w:val="0000055B"/>
    <w:rsid w:val="00010D62"/>
    <w:rsid w:val="0002412F"/>
    <w:rsid w:val="00030DE4"/>
    <w:rsid w:val="000363F0"/>
    <w:rsid w:val="00046990"/>
    <w:rsid w:val="0007764E"/>
    <w:rsid w:val="0008144E"/>
    <w:rsid w:val="00084BBF"/>
    <w:rsid w:val="00093357"/>
    <w:rsid w:val="00100C06"/>
    <w:rsid w:val="00103D7E"/>
    <w:rsid w:val="00154498"/>
    <w:rsid w:val="001607F7"/>
    <w:rsid w:val="0016304F"/>
    <w:rsid w:val="00171DD7"/>
    <w:rsid w:val="001749E8"/>
    <w:rsid w:val="00193FAC"/>
    <w:rsid w:val="001B2236"/>
    <w:rsid w:val="00201A4D"/>
    <w:rsid w:val="0020344E"/>
    <w:rsid w:val="00220680"/>
    <w:rsid w:val="002242D2"/>
    <w:rsid w:val="00225780"/>
    <w:rsid w:val="00236B39"/>
    <w:rsid w:val="00243A44"/>
    <w:rsid w:val="002474DE"/>
    <w:rsid w:val="00287503"/>
    <w:rsid w:val="0029173D"/>
    <w:rsid w:val="002935A8"/>
    <w:rsid w:val="002A3F5D"/>
    <w:rsid w:val="002B1D94"/>
    <w:rsid w:val="002E2628"/>
    <w:rsid w:val="002E77A6"/>
    <w:rsid w:val="003046AC"/>
    <w:rsid w:val="00305DD8"/>
    <w:rsid w:val="00323169"/>
    <w:rsid w:val="00324EAD"/>
    <w:rsid w:val="00327027"/>
    <w:rsid w:val="00347C5D"/>
    <w:rsid w:val="0035237D"/>
    <w:rsid w:val="00356620"/>
    <w:rsid w:val="003672C3"/>
    <w:rsid w:val="003725A6"/>
    <w:rsid w:val="00373A48"/>
    <w:rsid w:val="00385172"/>
    <w:rsid w:val="00395453"/>
    <w:rsid w:val="003A21EB"/>
    <w:rsid w:val="003A3004"/>
    <w:rsid w:val="003A3436"/>
    <w:rsid w:val="003A3B18"/>
    <w:rsid w:val="003A69A7"/>
    <w:rsid w:val="003B3E6D"/>
    <w:rsid w:val="003C0CC0"/>
    <w:rsid w:val="003D7EB1"/>
    <w:rsid w:val="003E0F25"/>
    <w:rsid w:val="003E7EE3"/>
    <w:rsid w:val="003F44AA"/>
    <w:rsid w:val="004021FC"/>
    <w:rsid w:val="00404AD2"/>
    <w:rsid w:val="00404CA0"/>
    <w:rsid w:val="00417165"/>
    <w:rsid w:val="004271C1"/>
    <w:rsid w:val="0044716B"/>
    <w:rsid w:val="00452133"/>
    <w:rsid w:val="00460A26"/>
    <w:rsid w:val="00463404"/>
    <w:rsid w:val="00470E41"/>
    <w:rsid w:val="00486F6B"/>
    <w:rsid w:val="0049267B"/>
    <w:rsid w:val="004A2B3D"/>
    <w:rsid w:val="004B2482"/>
    <w:rsid w:val="004B2AE0"/>
    <w:rsid w:val="004D6306"/>
    <w:rsid w:val="004E1977"/>
    <w:rsid w:val="004F7230"/>
    <w:rsid w:val="005220D1"/>
    <w:rsid w:val="0053767C"/>
    <w:rsid w:val="005622C9"/>
    <w:rsid w:val="00563027"/>
    <w:rsid w:val="00563BD0"/>
    <w:rsid w:val="00580560"/>
    <w:rsid w:val="00593985"/>
    <w:rsid w:val="005A37BA"/>
    <w:rsid w:val="005A496D"/>
    <w:rsid w:val="005C1E63"/>
    <w:rsid w:val="005D2551"/>
    <w:rsid w:val="005D5B90"/>
    <w:rsid w:val="005D7368"/>
    <w:rsid w:val="005F0721"/>
    <w:rsid w:val="00601D69"/>
    <w:rsid w:val="006022F9"/>
    <w:rsid w:val="00614DB9"/>
    <w:rsid w:val="00617261"/>
    <w:rsid w:val="006413C9"/>
    <w:rsid w:val="006601DA"/>
    <w:rsid w:val="006819FE"/>
    <w:rsid w:val="006A56A4"/>
    <w:rsid w:val="006B2751"/>
    <w:rsid w:val="006B6318"/>
    <w:rsid w:val="006B64C7"/>
    <w:rsid w:val="006C3B58"/>
    <w:rsid w:val="006D5E9B"/>
    <w:rsid w:val="006F20C3"/>
    <w:rsid w:val="00705897"/>
    <w:rsid w:val="00706E54"/>
    <w:rsid w:val="00747A00"/>
    <w:rsid w:val="00765444"/>
    <w:rsid w:val="00773BC8"/>
    <w:rsid w:val="007974FE"/>
    <w:rsid w:val="007A694B"/>
    <w:rsid w:val="007A7291"/>
    <w:rsid w:val="007B08DB"/>
    <w:rsid w:val="007B3492"/>
    <w:rsid w:val="00801A51"/>
    <w:rsid w:val="00805037"/>
    <w:rsid w:val="00806A42"/>
    <w:rsid w:val="00813D4C"/>
    <w:rsid w:val="0081672A"/>
    <w:rsid w:val="00826A69"/>
    <w:rsid w:val="00834086"/>
    <w:rsid w:val="00867D7B"/>
    <w:rsid w:val="0087399C"/>
    <w:rsid w:val="00895E79"/>
    <w:rsid w:val="00925511"/>
    <w:rsid w:val="00953358"/>
    <w:rsid w:val="009541B1"/>
    <w:rsid w:val="009552D1"/>
    <w:rsid w:val="0095575B"/>
    <w:rsid w:val="00956AD2"/>
    <w:rsid w:val="009605ED"/>
    <w:rsid w:val="00973355"/>
    <w:rsid w:val="009749B6"/>
    <w:rsid w:val="0098157B"/>
    <w:rsid w:val="009909EE"/>
    <w:rsid w:val="009A0E2D"/>
    <w:rsid w:val="009A71A1"/>
    <w:rsid w:val="009B255D"/>
    <w:rsid w:val="009C3254"/>
    <w:rsid w:val="009C3AA0"/>
    <w:rsid w:val="009D5F7B"/>
    <w:rsid w:val="009D7D7D"/>
    <w:rsid w:val="00A00869"/>
    <w:rsid w:val="00A06E21"/>
    <w:rsid w:val="00A15408"/>
    <w:rsid w:val="00A51F0D"/>
    <w:rsid w:val="00A52A33"/>
    <w:rsid w:val="00A611F4"/>
    <w:rsid w:val="00A61A0F"/>
    <w:rsid w:val="00A9659A"/>
    <w:rsid w:val="00AA0FEC"/>
    <w:rsid w:val="00AA3031"/>
    <w:rsid w:val="00AB4F79"/>
    <w:rsid w:val="00AB4FB7"/>
    <w:rsid w:val="00AC3ECE"/>
    <w:rsid w:val="00AC7B7B"/>
    <w:rsid w:val="00AD073B"/>
    <w:rsid w:val="00AD5BF2"/>
    <w:rsid w:val="00AF13D2"/>
    <w:rsid w:val="00AF748E"/>
    <w:rsid w:val="00B02373"/>
    <w:rsid w:val="00B13CAF"/>
    <w:rsid w:val="00B14E53"/>
    <w:rsid w:val="00B27492"/>
    <w:rsid w:val="00B303A4"/>
    <w:rsid w:val="00B44B10"/>
    <w:rsid w:val="00B7096A"/>
    <w:rsid w:val="00B87FCC"/>
    <w:rsid w:val="00B9176E"/>
    <w:rsid w:val="00B97D5D"/>
    <w:rsid w:val="00BA5C3A"/>
    <w:rsid w:val="00BC231A"/>
    <w:rsid w:val="00BC79E2"/>
    <w:rsid w:val="00BF2FC3"/>
    <w:rsid w:val="00C14AE5"/>
    <w:rsid w:val="00C30D59"/>
    <w:rsid w:val="00C3452B"/>
    <w:rsid w:val="00C52CD2"/>
    <w:rsid w:val="00C54A78"/>
    <w:rsid w:val="00C6180B"/>
    <w:rsid w:val="00C764F1"/>
    <w:rsid w:val="00C8320D"/>
    <w:rsid w:val="00C83C04"/>
    <w:rsid w:val="00C91256"/>
    <w:rsid w:val="00CA50B9"/>
    <w:rsid w:val="00CD34E8"/>
    <w:rsid w:val="00CE70B5"/>
    <w:rsid w:val="00CF045C"/>
    <w:rsid w:val="00CF3E82"/>
    <w:rsid w:val="00CF7133"/>
    <w:rsid w:val="00D26216"/>
    <w:rsid w:val="00D2746F"/>
    <w:rsid w:val="00D3081F"/>
    <w:rsid w:val="00D440EA"/>
    <w:rsid w:val="00D46E15"/>
    <w:rsid w:val="00D7384A"/>
    <w:rsid w:val="00D816AC"/>
    <w:rsid w:val="00D8424E"/>
    <w:rsid w:val="00D87A59"/>
    <w:rsid w:val="00D96B1E"/>
    <w:rsid w:val="00DA30EB"/>
    <w:rsid w:val="00DA6CCC"/>
    <w:rsid w:val="00DD2A83"/>
    <w:rsid w:val="00DE4D62"/>
    <w:rsid w:val="00E050AB"/>
    <w:rsid w:val="00E17F78"/>
    <w:rsid w:val="00E43137"/>
    <w:rsid w:val="00E55A7E"/>
    <w:rsid w:val="00E5779C"/>
    <w:rsid w:val="00E7156B"/>
    <w:rsid w:val="00E74B89"/>
    <w:rsid w:val="00E96CE8"/>
    <w:rsid w:val="00EA127D"/>
    <w:rsid w:val="00EB225F"/>
    <w:rsid w:val="00EB60AF"/>
    <w:rsid w:val="00EB665F"/>
    <w:rsid w:val="00EC2622"/>
    <w:rsid w:val="00EE23C2"/>
    <w:rsid w:val="00EF2906"/>
    <w:rsid w:val="00F07DED"/>
    <w:rsid w:val="00F37C9A"/>
    <w:rsid w:val="00F4201B"/>
    <w:rsid w:val="00F57737"/>
    <w:rsid w:val="00F62511"/>
    <w:rsid w:val="00F84AA3"/>
    <w:rsid w:val="00F94D92"/>
    <w:rsid w:val="00FA5559"/>
    <w:rsid w:val="00FA74C1"/>
    <w:rsid w:val="00FB315E"/>
    <w:rsid w:val="00FC2C78"/>
    <w:rsid w:val="00FE0A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FFCB7D"/>
  <w15:chartTrackingRefBased/>
  <w15:docId w15:val="{03214D9E-46B2-49F3-94EF-E58C6478BC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2751"/>
    <w:pPr>
      <w:spacing w:line="360" w:lineRule="auto"/>
      <w:jc w:val="both"/>
    </w:pPr>
    <w:rPr>
      <w:rFonts w:ascii="Arial" w:hAnsi="Arial"/>
      <w:color w:val="000000" w:themeColor="text1"/>
      <w:sz w:val="22"/>
    </w:rPr>
  </w:style>
  <w:style w:type="paragraph" w:styleId="Heading1">
    <w:name w:val="heading 1"/>
    <w:basedOn w:val="Normal"/>
    <w:next w:val="Normal"/>
    <w:link w:val="Heading1Char"/>
    <w:uiPriority w:val="9"/>
    <w:qFormat/>
    <w:rsid w:val="006C3B58"/>
    <w:pPr>
      <w:outlineLvl w:val="0"/>
    </w:pPr>
    <w:rPr>
      <w:b/>
      <w:bCs/>
      <w:lang w:val="en-US"/>
    </w:rPr>
  </w:style>
  <w:style w:type="paragraph" w:styleId="Heading2">
    <w:name w:val="heading 2"/>
    <w:basedOn w:val="Normal"/>
    <w:next w:val="Normal"/>
    <w:link w:val="Heading2Char"/>
    <w:uiPriority w:val="9"/>
    <w:unhideWhenUsed/>
    <w:qFormat/>
    <w:rsid w:val="006C3B58"/>
    <w:pPr>
      <w:outlineLvl w:val="1"/>
    </w:pPr>
    <w:rPr>
      <w:b/>
      <w:bCs/>
      <w:i/>
      <w:iCs/>
      <w:lang w:val="en-US"/>
    </w:rPr>
  </w:style>
  <w:style w:type="paragraph" w:styleId="Heading3">
    <w:name w:val="heading 3"/>
    <w:basedOn w:val="Normal"/>
    <w:next w:val="Normal"/>
    <w:link w:val="Heading3Char"/>
    <w:uiPriority w:val="9"/>
    <w:semiHidden/>
    <w:unhideWhenUsed/>
    <w:qFormat/>
    <w:rsid w:val="0081672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1672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1672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167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67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67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67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3B58"/>
    <w:rPr>
      <w:rFonts w:ascii="Arial" w:hAnsi="Arial"/>
      <w:b/>
      <w:bCs/>
      <w:color w:val="000000" w:themeColor="text1"/>
      <w:sz w:val="22"/>
      <w:lang w:val="en-US"/>
    </w:rPr>
  </w:style>
  <w:style w:type="character" w:customStyle="1" w:styleId="Heading2Char">
    <w:name w:val="Heading 2 Char"/>
    <w:basedOn w:val="DefaultParagraphFont"/>
    <w:link w:val="Heading2"/>
    <w:uiPriority w:val="9"/>
    <w:rsid w:val="006C3B58"/>
    <w:rPr>
      <w:rFonts w:ascii="Arial" w:hAnsi="Arial"/>
      <w:b/>
      <w:bCs/>
      <w:i/>
      <w:iCs/>
      <w:color w:val="000000" w:themeColor="text1"/>
      <w:sz w:val="22"/>
      <w:lang w:val="en-US"/>
    </w:rPr>
  </w:style>
  <w:style w:type="character" w:customStyle="1" w:styleId="Heading3Char">
    <w:name w:val="Heading 3 Char"/>
    <w:basedOn w:val="DefaultParagraphFont"/>
    <w:link w:val="Heading3"/>
    <w:uiPriority w:val="9"/>
    <w:semiHidden/>
    <w:rsid w:val="0081672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1672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1672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167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67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67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672A"/>
    <w:rPr>
      <w:rFonts w:eastAsiaTheme="majorEastAsia" w:cstheme="majorBidi"/>
      <w:color w:val="272727" w:themeColor="text1" w:themeTint="D8"/>
    </w:rPr>
  </w:style>
  <w:style w:type="paragraph" w:styleId="Title">
    <w:name w:val="Title"/>
    <w:basedOn w:val="Normal"/>
    <w:next w:val="Normal"/>
    <w:link w:val="TitleChar"/>
    <w:uiPriority w:val="10"/>
    <w:qFormat/>
    <w:rsid w:val="008167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67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67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67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672A"/>
    <w:pPr>
      <w:spacing w:before="160"/>
      <w:jc w:val="center"/>
    </w:pPr>
    <w:rPr>
      <w:i/>
      <w:iCs/>
      <w:color w:val="404040" w:themeColor="text1" w:themeTint="BF"/>
    </w:rPr>
  </w:style>
  <w:style w:type="character" w:customStyle="1" w:styleId="QuoteChar">
    <w:name w:val="Quote Char"/>
    <w:basedOn w:val="DefaultParagraphFont"/>
    <w:link w:val="Quote"/>
    <w:uiPriority w:val="29"/>
    <w:rsid w:val="0081672A"/>
    <w:rPr>
      <w:i/>
      <w:iCs/>
      <w:color w:val="404040" w:themeColor="text1" w:themeTint="BF"/>
    </w:rPr>
  </w:style>
  <w:style w:type="paragraph" w:styleId="ListParagraph">
    <w:name w:val="List Paragraph"/>
    <w:basedOn w:val="Normal"/>
    <w:uiPriority w:val="34"/>
    <w:qFormat/>
    <w:rsid w:val="0081672A"/>
    <w:pPr>
      <w:ind w:left="720"/>
      <w:contextualSpacing/>
    </w:pPr>
  </w:style>
  <w:style w:type="character" w:styleId="IntenseEmphasis">
    <w:name w:val="Intense Emphasis"/>
    <w:basedOn w:val="DefaultParagraphFont"/>
    <w:uiPriority w:val="21"/>
    <w:qFormat/>
    <w:rsid w:val="0081672A"/>
    <w:rPr>
      <w:i/>
      <w:iCs/>
      <w:color w:val="2F5496" w:themeColor="accent1" w:themeShade="BF"/>
    </w:rPr>
  </w:style>
  <w:style w:type="paragraph" w:styleId="IntenseQuote">
    <w:name w:val="Intense Quote"/>
    <w:basedOn w:val="Normal"/>
    <w:next w:val="Normal"/>
    <w:link w:val="IntenseQuoteChar"/>
    <w:uiPriority w:val="30"/>
    <w:qFormat/>
    <w:rsid w:val="0081672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1672A"/>
    <w:rPr>
      <w:i/>
      <w:iCs/>
      <w:color w:val="2F5496" w:themeColor="accent1" w:themeShade="BF"/>
    </w:rPr>
  </w:style>
  <w:style w:type="character" w:styleId="IntenseReference">
    <w:name w:val="Intense Reference"/>
    <w:basedOn w:val="DefaultParagraphFont"/>
    <w:uiPriority w:val="32"/>
    <w:qFormat/>
    <w:rsid w:val="0081672A"/>
    <w:rPr>
      <w:b/>
      <w:bCs/>
      <w:smallCaps/>
      <w:color w:val="2F5496" w:themeColor="accent1" w:themeShade="BF"/>
      <w:spacing w:val="5"/>
    </w:rPr>
  </w:style>
  <w:style w:type="paragraph" w:styleId="Header">
    <w:name w:val="header"/>
    <w:basedOn w:val="Normal"/>
    <w:link w:val="HeaderChar"/>
    <w:uiPriority w:val="99"/>
    <w:unhideWhenUsed/>
    <w:rsid w:val="005C1E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1E63"/>
    <w:rPr>
      <w:rFonts w:ascii="Arial" w:hAnsi="Arial"/>
      <w:color w:val="000000" w:themeColor="text1"/>
      <w:sz w:val="22"/>
    </w:rPr>
  </w:style>
  <w:style w:type="paragraph" w:styleId="Footer">
    <w:name w:val="footer"/>
    <w:basedOn w:val="Normal"/>
    <w:link w:val="FooterChar"/>
    <w:uiPriority w:val="99"/>
    <w:unhideWhenUsed/>
    <w:rsid w:val="005C1E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1E63"/>
    <w:rPr>
      <w:rFonts w:ascii="Arial" w:hAnsi="Arial"/>
      <w:color w:val="000000" w:themeColor="text1"/>
      <w:sz w:val="22"/>
    </w:rPr>
  </w:style>
  <w:style w:type="character" w:styleId="Hyperlink">
    <w:name w:val="Hyperlink"/>
    <w:basedOn w:val="DefaultParagraphFont"/>
    <w:uiPriority w:val="99"/>
    <w:unhideWhenUsed/>
    <w:rsid w:val="006A56A4"/>
    <w:rPr>
      <w:color w:val="0563C1" w:themeColor="hyperlink"/>
      <w:u w:val="single"/>
    </w:rPr>
  </w:style>
  <w:style w:type="character" w:customStyle="1" w:styleId="UnresolvedMention1">
    <w:name w:val="Unresolved Mention1"/>
    <w:basedOn w:val="DefaultParagraphFont"/>
    <w:uiPriority w:val="99"/>
    <w:semiHidden/>
    <w:unhideWhenUsed/>
    <w:rsid w:val="006A56A4"/>
    <w:rPr>
      <w:color w:val="605E5C"/>
      <w:shd w:val="clear" w:color="auto" w:fill="E1DFDD"/>
    </w:rPr>
  </w:style>
  <w:style w:type="paragraph" w:styleId="TOCHeading">
    <w:name w:val="TOC Heading"/>
    <w:basedOn w:val="Heading1"/>
    <w:next w:val="Normal"/>
    <w:uiPriority w:val="39"/>
    <w:unhideWhenUsed/>
    <w:qFormat/>
    <w:rsid w:val="005D2551"/>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14:ligatures w14:val="none"/>
    </w:rPr>
  </w:style>
  <w:style w:type="paragraph" w:styleId="TOC1">
    <w:name w:val="toc 1"/>
    <w:basedOn w:val="Normal"/>
    <w:next w:val="Normal"/>
    <w:autoRedefine/>
    <w:uiPriority w:val="39"/>
    <w:unhideWhenUsed/>
    <w:rsid w:val="005D2551"/>
    <w:pPr>
      <w:spacing w:after="100"/>
    </w:pPr>
  </w:style>
  <w:style w:type="paragraph" w:styleId="TOC2">
    <w:name w:val="toc 2"/>
    <w:basedOn w:val="Normal"/>
    <w:next w:val="Normal"/>
    <w:autoRedefine/>
    <w:uiPriority w:val="39"/>
    <w:unhideWhenUsed/>
    <w:rsid w:val="005D2551"/>
    <w:pPr>
      <w:spacing w:after="100"/>
      <w:ind w:left="220"/>
    </w:pPr>
  </w:style>
  <w:style w:type="paragraph" w:styleId="NormalWeb">
    <w:name w:val="Normal (Web)"/>
    <w:basedOn w:val="Normal"/>
    <w:uiPriority w:val="99"/>
    <w:semiHidden/>
    <w:unhideWhenUsed/>
    <w:rsid w:val="00C764F1"/>
    <w:rPr>
      <w:rFonts w:ascii="Times New Roman" w:hAnsi="Times New Roman" w:cs="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5399BE-FA55-4BB6-B06C-A525441BD3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254</TotalTime>
  <Pages>16</Pages>
  <Words>5161</Words>
  <Characters>29418</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 User</dc:creator>
  <cp:lastModifiedBy>eridan saliasi</cp:lastModifiedBy>
  <cp:revision>264</cp:revision>
  <dcterms:created xsi:type="dcterms:W3CDTF">2025-09-20T09:39:00Z</dcterms:created>
  <dcterms:modified xsi:type="dcterms:W3CDTF">2025-11-08T19:37:00Z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b4c6799f-e359-4e3a-aab4-cf22f4db2656</vt:lpwstr>
  </property>
</Properties>
</file>