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5AD2A5" w14:textId="77777777" w:rsidR="00135025" w:rsidRPr="00964611" w:rsidRDefault="00BC1CC4" w:rsidP="001F7514">
      <w:pPr>
        <w:spacing w:line="480" w:lineRule="auto"/>
        <w:jc w:val="center"/>
        <w:rPr>
          <w:rFonts w:ascii="Times New Roman" w:hAnsi="Times New Roman" w:cs="Times New Roman"/>
          <w:sz w:val="24"/>
          <w:szCs w:val="24"/>
          <w:u w:val="single"/>
        </w:rPr>
      </w:pPr>
      <w:r w:rsidRPr="00964611">
        <w:rPr>
          <w:rFonts w:ascii="Times New Roman" w:hAnsi="Times New Roman" w:cs="Times New Roman"/>
          <w:sz w:val="24"/>
          <w:szCs w:val="24"/>
          <w:u w:val="single"/>
        </w:rPr>
        <w:t>Differences in status between Greeks and native Egyptians in Ptolemaic Egypt.</w:t>
      </w:r>
    </w:p>
    <w:p w14:paraId="714FB8C3" w14:textId="77777777" w:rsidR="00BC1CC4" w:rsidRPr="00964611" w:rsidRDefault="00BC1CC4" w:rsidP="001F7514">
      <w:pPr>
        <w:spacing w:line="480" w:lineRule="auto"/>
        <w:jc w:val="center"/>
        <w:rPr>
          <w:rFonts w:ascii="Times New Roman" w:hAnsi="Times New Roman" w:cs="Times New Roman"/>
          <w:sz w:val="24"/>
          <w:szCs w:val="24"/>
          <w:u w:val="single"/>
        </w:rPr>
      </w:pPr>
    </w:p>
    <w:p w14:paraId="2BD8B211" w14:textId="1AF57832" w:rsidR="004B7CCF" w:rsidRPr="00964611" w:rsidRDefault="001F7514"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 xml:space="preserve">Christian </w:t>
      </w:r>
      <w:proofErr w:type="spellStart"/>
      <w:r w:rsidRPr="00964611">
        <w:rPr>
          <w:rFonts w:ascii="Times New Roman" w:hAnsi="Times New Roman" w:cs="Times New Roman"/>
          <w:sz w:val="24"/>
          <w:szCs w:val="24"/>
        </w:rPr>
        <w:t>Habicht’s</w:t>
      </w:r>
      <w:proofErr w:type="spellEnd"/>
      <w:r w:rsidRPr="00964611">
        <w:rPr>
          <w:rFonts w:ascii="Times New Roman" w:hAnsi="Times New Roman" w:cs="Times New Roman"/>
          <w:sz w:val="24"/>
          <w:szCs w:val="24"/>
        </w:rPr>
        <w:t xml:space="preserve"> 1958 study “of the Hellenistic </w:t>
      </w:r>
      <w:proofErr w:type="spellStart"/>
      <w:r w:rsidRPr="00964611">
        <w:rPr>
          <w:rFonts w:ascii="Times New Roman" w:hAnsi="Times New Roman" w:cs="Times New Roman"/>
          <w:i/>
          <w:sz w:val="24"/>
          <w:szCs w:val="24"/>
        </w:rPr>
        <w:t>herrschende</w:t>
      </w:r>
      <w:proofErr w:type="spellEnd"/>
      <w:r w:rsidRPr="00964611">
        <w:rPr>
          <w:rFonts w:ascii="Times New Roman" w:hAnsi="Times New Roman" w:cs="Times New Roman"/>
          <w:i/>
          <w:sz w:val="24"/>
          <w:szCs w:val="24"/>
        </w:rPr>
        <w:t xml:space="preserve"> </w:t>
      </w:r>
      <w:proofErr w:type="spellStart"/>
      <w:r w:rsidRPr="00964611">
        <w:rPr>
          <w:rFonts w:ascii="Times New Roman" w:hAnsi="Times New Roman" w:cs="Times New Roman"/>
          <w:i/>
          <w:sz w:val="24"/>
          <w:szCs w:val="24"/>
        </w:rPr>
        <w:t>Gedellschaft</w:t>
      </w:r>
      <w:proofErr w:type="spellEnd"/>
      <w:r w:rsidRPr="00964611">
        <w:rPr>
          <w:rFonts w:ascii="Times New Roman" w:hAnsi="Times New Roman" w:cs="Times New Roman"/>
          <w:sz w:val="24"/>
          <w:szCs w:val="24"/>
        </w:rPr>
        <w:t>’ started a line of research has posited that power within the Hellenistic court system was limited to Graeco-Macedonian elites.</w:t>
      </w:r>
      <w:r w:rsidRPr="00964611">
        <w:rPr>
          <w:rStyle w:val="FootnoteReference"/>
          <w:rFonts w:ascii="Times New Roman" w:hAnsi="Times New Roman" w:cs="Times New Roman"/>
          <w:sz w:val="24"/>
          <w:szCs w:val="24"/>
        </w:rPr>
        <w:footnoteReference w:id="1"/>
      </w:r>
      <w:r w:rsidRPr="00964611">
        <w:rPr>
          <w:rFonts w:ascii="Times New Roman" w:hAnsi="Times New Roman" w:cs="Times New Roman"/>
          <w:sz w:val="24"/>
          <w:szCs w:val="24"/>
        </w:rPr>
        <w:t xml:space="preserve"> This elite class consisted of the king and his ‘friends’, and the courts created by the successors following the death of Alexander generally followed “the relatively informal Macedonian institution of the king’s companions and defined by a Hellenic ethnic and cultural exclusivity”.</w:t>
      </w:r>
      <w:r w:rsidRPr="00964611">
        <w:rPr>
          <w:rStyle w:val="FootnoteReference"/>
          <w:rFonts w:ascii="Times New Roman" w:hAnsi="Times New Roman" w:cs="Times New Roman"/>
          <w:sz w:val="24"/>
          <w:szCs w:val="24"/>
        </w:rPr>
        <w:footnoteReference w:id="2"/>
      </w:r>
      <w:r w:rsidRPr="00964611">
        <w:rPr>
          <w:rFonts w:ascii="Times New Roman" w:hAnsi="Times New Roman" w:cs="Times New Roman"/>
          <w:sz w:val="24"/>
          <w:szCs w:val="24"/>
        </w:rPr>
        <w:t xml:space="preserve"> </w:t>
      </w:r>
      <w:r w:rsidR="00306A9A" w:rsidRPr="00964611">
        <w:rPr>
          <w:rFonts w:ascii="Times New Roman" w:hAnsi="Times New Roman" w:cs="Times New Roman"/>
          <w:sz w:val="24"/>
          <w:szCs w:val="24"/>
        </w:rPr>
        <w:t>Adler writes that at the time of colonisation, the Greeks had “a strong sense of separate identity”, maintained through various institutions.</w:t>
      </w:r>
      <w:r w:rsidR="00306A9A" w:rsidRPr="00964611">
        <w:rPr>
          <w:rStyle w:val="FootnoteReference"/>
          <w:rFonts w:ascii="Times New Roman" w:hAnsi="Times New Roman" w:cs="Times New Roman"/>
          <w:sz w:val="24"/>
          <w:szCs w:val="24"/>
        </w:rPr>
        <w:footnoteReference w:id="3"/>
      </w:r>
      <w:r w:rsidR="00306A9A" w:rsidRPr="00964611">
        <w:rPr>
          <w:rFonts w:ascii="Times New Roman" w:hAnsi="Times New Roman" w:cs="Times New Roman"/>
          <w:sz w:val="24"/>
          <w:szCs w:val="24"/>
        </w:rPr>
        <w:t xml:space="preserve"> </w:t>
      </w:r>
      <w:r w:rsidR="00287A58" w:rsidRPr="00964611">
        <w:rPr>
          <w:rFonts w:ascii="Times New Roman" w:hAnsi="Times New Roman" w:cs="Times New Roman"/>
          <w:sz w:val="24"/>
          <w:szCs w:val="24"/>
        </w:rPr>
        <w:t>However Fischer-Bovet argues that the Ptolemaic court was multi-ethnic and “successful at integrating socially and ethnically diverse populations.”</w:t>
      </w:r>
      <w:r w:rsidR="00287A58" w:rsidRPr="00964611">
        <w:rPr>
          <w:rStyle w:val="FootnoteReference"/>
          <w:rFonts w:ascii="Times New Roman" w:hAnsi="Times New Roman" w:cs="Times New Roman"/>
          <w:sz w:val="24"/>
          <w:szCs w:val="24"/>
        </w:rPr>
        <w:footnoteReference w:id="4"/>
      </w:r>
      <w:r w:rsidR="00287A58" w:rsidRPr="00964611">
        <w:rPr>
          <w:rFonts w:ascii="Times New Roman" w:hAnsi="Times New Roman" w:cs="Times New Roman"/>
          <w:sz w:val="24"/>
          <w:szCs w:val="24"/>
        </w:rPr>
        <w:t xml:space="preserve"> This definitely seems to more accurately describe the </w:t>
      </w:r>
      <w:r w:rsidR="00C31673" w:rsidRPr="00964611">
        <w:rPr>
          <w:rFonts w:ascii="Times New Roman" w:hAnsi="Times New Roman" w:cs="Times New Roman"/>
          <w:sz w:val="24"/>
          <w:szCs w:val="24"/>
        </w:rPr>
        <w:t>reality of at least the later Ptolemaic court.</w:t>
      </w:r>
      <w:r w:rsidR="00287A58" w:rsidRPr="00964611">
        <w:rPr>
          <w:rFonts w:ascii="Times New Roman" w:hAnsi="Times New Roman" w:cs="Times New Roman"/>
          <w:sz w:val="24"/>
          <w:szCs w:val="24"/>
        </w:rPr>
        <w:t xml:space="preserve"> </w:t>
      </w:r>
      <w:r w:rsidR="004B7CCF" w:rsidRPr="00964611">
        <w:rPr>
          <w:rFonts w:ascii="Times New Roman" w:hAnsi="Times New Roman" w:cs="Times New Roman"/>
          <w:sz w:val="24"/>
          <w:szCs w:val="24"/>
        </w:rPr>
        <w:t>F.W. Walbank in his 1981 ‘The Hellenistic World’ says that the reigns of the earlier Ptolemies were largely devoid of hostility, with the two peoples having grown used to each other before the Macedonian conquest</w:t>
      </w:r>
      <w:r w:rsidR="00426C74" w:rsidRPr="00964611">
        <w:rPr>
          <w:rFonts w:ascii="Times New Roman" w:hAnsi="Times New Roman" w:cs="Times New Roman"/>
          <w:sz w:val="24"/>
          <w:szCs w:val="24"/>
        </w:rPr>
        <w:t>. However, over time tensions rose, in part due to th</w:t>
      </w:r>
      <w:r w:rsidR="002D5252" w:rsidRPr="00964611">
        <w:rPr>
          <w:rFonts w:ascii="Times New Roman" w:hAnsi="Times New Roman" w:cs="Times New Roman"/>
          <w:sz w:val="24"/>
          <w:szCs w:val="24"/>
        </w:rPr>
        <w:t>e encroaching of the Greeks into Egyptian affairs, but</w:t>
      </w:r>
      <w:r w:rsidR="0018471F" w:rsidRPr="00964611">
        <w:rPr>
          <w:rFonts w:ascii="Times New Roman" w:hAnsi="Times New Roman" w:cs="Times New Roman"/>
          <w:sz w:val="24"/>
          <w:szCs w:val="24"/>
        </w:rPr>
        <w:t xml:space="preserve"> by</w:t>
      </w:r>
      <w:r w:rsidR="002D5252" w:rsidRPr="00964611">
        <w:rPr>
          <w:rFonts w:ascii="Times New Roman" w:hAnsi="Times New Roman" w:cs="Times New Roman"/>
          <w:sz w:val="24"/>
          <w:szCs w:val="24"/>
        </w:rPr>
        <w:t xml:space="preserve"> a class of people that was exclusive and exclusionary even to the wealthiest Egyptians.</w:t>
      </w:r>
      <w:r w:rsidR="002D5252" w:rsidRPr="00964611">
        <w:rPr>
          <w:rStyle w:val="FootnoteReference"/>
          <w:rFonts w:ascii="Times New Roman" w:hAnsi="Times New Roman" w:cs="Times New Roman"/>
          <w:sz w:val="24"/>
          <w:szCs w:val="24"/>
        </w:rPr>
        <w:footnoteReference w:id="5"/>
      </w:r>
      <w:r w:rsidR="002D5252" w:rsidRPr="00964611">
        <w:rPr>
          <w:rFonts w:ascii="Times New Roman" w:hAnsi="Times New Roman" w:cs="Times New Roman"/>
          <w:sz w:val="24"/>
          <w:szCs w:val="24"/>
        </w:rPr>
        <w:t xml:space="preserve"> </w:t>
      </w:r>
      <w:r w:rsidR="001B4C56" w:rsidRPr="00964611">
        <w:rPr>
          <w:rFonts w:ascii="Times New Roman" w:hAnsi="Times New Roman" w:cs="Times New Roman"/>
          <w:sz w:val="24"/>
          <w:szCs w:val="24"/>
        </w:rPr>
        <w:t>The Greeks and the native Egyptians came into closest contact in the countryside, where hostilities grew stronger at a more rapid rate.</w:t>
      </w:r>
      <w:r w:rsidR="001B4C56" w:rsidRPr="00964611">
        <w:rPr>
          <w:rStyle w:val="FootnoteReference"/>
          <w:rFonts w:ascii="Times New Roman" w:hAnsi="Times New Roman" w:cs="Times New Roman"/>
          <w:sz w:val="24"/>
          <w:szCs w:val="24"/>
        </w:rPr>
        <w:footnoteReference w:id="6"/>
      </w:r>
      <w:r w:rsidR="001B4C56" w:rsidRPr="00964611">
        <w:rPr>
          <w:rFonts w:ascii="Times New Roman" w:hAnsi="Times New Roman" w:cs="Times New Roman"/>
          <w:sz w:val="24"/>
          <w:szCs w:val="24"/>
        </w:rPr>
        <w:t xml:space="preserve"> It is for these reasons, amongst others</w:t>
      </w:r>
      <w:r w:rsidR="004039E5" w:rsidRPr="00964611">
        <w:rPr>
          <w:rFonts w:ascii="Times New Roman" w:hAnsi="Times New Roman" w:cs="Times New Roman"/>
          <w:sz w:val="24"/>
          <w:szCs w:val="24"/>
        </w:rPr>
        <w:t xml:space="preserve"> (including the pitfalls of war, discussed below)</w:t>
      </w:r>
      <w:r w:rsidR="001B4C56" w:rsidRPr="00964611">
        <w:rPr>
          <w:rFonts w:ascii="Times New Roman" w:hAnsi="Times New Roman" w:cs="Times New Roman"/>
          <w:sz w:val="24"/>
          <w:szCs w:val="24"/>
        </w:rPr>
        <w:t xml:space="preserve">, that the Greeks would </w:t>
      </w:r>
      <w:r w:rsidR="004039E5" w:rsidRPr="00964611">
        <w:rPr>
          <w:rFonts w:ascii="Times New Roman" w:hAnsi="Times New Roman" w:cs="Times New Roman"/>
          <w:sz w:val="24"/>
          <w:szCs w:val="24"/>
        </w:rPr>
        <w:t>b</w:t>
      </w:r>
      <w:r w:rsidR="001B4C56" w:rsidRPr="00964611">
        <w:rPr>
          <w:rFonts w:ascii="Times New Roman" w:hAnsi="Times New Roman" w:cs="Times New Roman"/>
          <w:sz w:val="24"/>
          <w:szCs w:val="24"/>
        </w:rPr>
        <w:t xml:space="preserve">e necessitated to incorporate the wealthy native Egyptians into their ranks, creating a multi-ethnic and ethnically diverse court, else they would succumb to resistance and ruin. </w:t>
      </w:r>
    </w:p>
    <w:p w14:paraId="041BA506" w14:textId="19FA2135" w:rsidR="007909D3" w:rsidRPr="00964611" w:rsidRDefault="001F7514"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lastRenderedPageBreak/>
        <w:t>Gabriel Herman’s 1997 article</w:t>
      </w:r>
      <w:r w:rsidR="00844EA9" w:rsidRPr="00964611">
        <w:rPr>
          <w:rFonts w:ascii="Times New Roman" w:hAnsi="Times New Roman" w:cs="Times New Roman"/>
          <w:sz w:val="24"/>
          <w:szCs w:val="24"/>
        </w:rPr>
        <w:t xml:space="preserve"> ‘The Court Society of the Hellenistic Age’ </w:t>
      </w:r>
      <w:r w:rsidR="00A40F4E" w:rsidRPr="00964611">
        <w:rPr>
          <w:rFonts w:ascii="Times New Roman" w:hAnsi="Times New Roman" w:cs="Times New Roman"/>
          <w:sz w:val="24"/>
          <w:szCs w:val="24"/>
        </w:rPr>
        <w:t>is also an important study, being an “analysis of the Hellenistic court as a social milieu”.</w:t>
      </w:r>
      <w:r w:rsidR="00A40F4E" w:rsidRPr="00964611">
        <w:rPr>
          <w:rStyle w:val="FootnoteReference"/>
          <w:rFonts w:ascii="Times New Roman" w:hAnsi="Times New Roman" w:cs="Times New Roman"/>
          <w:sz w:val="24"/>
          <w:szCs w:val="24"/>
        </w:rPr>
        <w:footnoteReference w:id="7"/>
      </w:r>
      <w:r w:rsidR="00A40F4E" w:rsidRPr="00964611">
        <w:rPr>
          <w:rFonts w:ascii="Times New Roman" w:hAnsi="Times New Roman" w:cs="Times New Roman"/>
          <w:sz w:val="24"/>
          <w:szCs w:val="24"/>
        </w:rPr>
        <w:t xml:space="preserve"> The social aspect of the court, in particular the relationships and interactions between the king and his courtiers, is especially pertinent to the topic of this essay</w:t>
      </w:r>
      <w:r w:rsidR="00C54465" w:rsidRPr="00964611">
        <w:rPr>
          <w:rFonts w:ascii="Times New Roman" w:hAnsi="Times New Roman" w:cs="Times New Roman"/>
          <w:sz w:val="24"/>
          <w:szCs w:val="24"/>
        </w:rPr>
        <w:t xml:space="preserve"> when considering the inclusion of native Egyptian elites into this, supposedly, exclusive court system</w:t>
      </w:r>
      <w:r w:rsidR="00A40F4E" w:rsidRPr="00964611">
        <w:rPr>
          <w:rFonts w:ascii="Times New Roman" w:hAnsi="Times New Roman" w:cs="Times New Roman"/>
          <w:sz w:val="24"/>
          <w:szCs w:val="24"/>
        </w:rPr>
        <w:t xml:space="preserve">, and is something that I will return to below. </w:t>
      </w:r>
    </w:p>
    <w:p w14:paraId="31328220" w14:textId="27544243" w:rsidR="00A874B2" w:rsidRPr="00964611" w:rsidRDefault="00A874B2"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 xml:space="preserve">The Hellenistic courts were ‘spaces’, </w:t>
      </w:r>
      <w:r w:rsidR="0070418F" w:rsidRPr="00964611">
        <w:rPr>
          <w:rFonts w:ascii="Times New Roman" w:hAnsi="Times New Roman" w:cs="Times New Roman"/>
          <w:sz w:val="24"/>
          <w:szCs w:val="24"/>
        </w:rPr>
        <w:t>consisting of the king and his courtiers, and the physical dwellings that they lived and operated in, that were the products of “human activity and … of social relations”.</w:t>
      </w:r>
      <w:r w:rsidR="0070418F" w:rsidRPr="00964611">
        <w:rPr>
          <w:rStyle w:val="FootnoteReference"/>
          <w:rFonts w:ascii="Times New Roman" w:hAnsi="Times New Roman" w:cs="Times New Roman"/>
          <w:sz w:val="24"/>
          <w:szCs w:val="24"/>
        </w:rPr>
        <w:footnoteReference w:id="8"/>
      </w:r>
      <w:r w:rsidR="0070418F" w:rsidRPr="00964611">
        <w:rPr>
          <w:rFonts w:ascii="Times New Roman" w:hAnsi="Times New Roman" w:cs="Times New Roman"/>
          <w:sz w:val="24"/>
          <w:szCs w:val="24"/>
        </w:rPr>
        <w:t xml:space="preserve"> </w:t>
      </w:r>
      <w:r w:rsidR="00A47B69" w:rsidRPr="00964611">
        <w:rPr>
          <w:rFonts w:ascii="Times New Roman" w:hAnsi="Times New Roman" w:cs="Times New Roman"/>
          <w:sz w:val="24"/>
          <w:szCs w:val="24"/>
        </w:rPr>
        <w:t>They were the physical and conceptual manifestations of social relations, economics, politics, and administration.</w:t>
      </w:r>
      <w:r w:rsidR="00A47B69" w:rsidRPr="00964611">
        <w:rPr>
          <w:rStyle w:val="FootnoteReference"/>
          <w:rFonts w:ascii="Times New Roman" w:hAnsi="Times New Roman" w:cs="Times New Roman"/>
          <w:sz w:val="24"/>
          <w:szCs w:val="24"/>
        </w:rPr>
        <w:footnoteReference w:id="9"/>
      </w:r>
      <w:r w:rsidR="00A47B69" w:rsidRPr="00964611">
        <w:rPr>
          <w:rFonts w:ascii="Times New Roman" w:hAnsi="Times New Roman" w:cs="Times New Roman"/>
          <w:sz w:val="24"/>
          <w:szCs w:val="24"/>
        </w:rPr>
        <w:t xml:space="preserve"> As such, the courts could be</w:t>
      </w:r>
      <w:r w:rsidR="009010E2" w:rsidRPr="00964611">
        <w:rPr>
          <w:rFonts w:ascii="Times New Roman" w:hAnsi="Times New Roman" w:cs="Times New Roman"/>
          <w:sz w:val="24"/>
          <w:szCs w:val="24"/>
        </w:rPr>
        <w:t xml:space="preserve"> described as “overblown households” that were “derived from and produced by Alexander’s massive, violent, primitive accumulation and domination of space”</w:t>
      </w:r>
      <w:r w:rsidR="009010E2" w:rsidRPr="00964611">
        <w:rPr>
          <w:rStyle w:val="FootnoteReference"/>
          <w:rFonts w:ascii="Times New Roman" w:hAnsi="Times New Roman" w:cs="Times New Roman"/>
          <w:sz w:val="24"/>
          <w:szCs w:val="24"/>
        </w:rPr>
        <w:footnoteReference w:id="10"/>
      </w:r>
      <w:r w:rsidR="00A73F9F" w:rsidRPr="00964611">
        <w:rPr>
          <w:rFonts w:ascii="Times New Roman" w:hAnsi="Times New Roman" w:cs="Times New Roman"/>
          <w:sz w:val="24"/>
          <w:szCs w:val="24"/>
        </w:rPr>
        <w:t xml:space="preserve">, which facilitated the expression, creation, and maintenance of status of the elites. </w:t>
      </w:r>
      <w:r w:rsidR="00FC7B1E" w:rsidRPr="00964611">
        <w:rPr>
          <w:rFonts w:ascii="Times New Roman" w:hAnsi="Times New Roman" w:cs="Times New Roman"/>
          <w:sz w:val="24"/>
          <w:szCs w:val="24"/>
        </w:rPr>
        <w:t xml:space="preserve">This web of relations was the basis for maintaining power: they created links of dependency and loyalty between king and courtier. </w:t>
      </w:r>
      <w:r w:rsidR="00B86D61" w:rsidRPr="00964611">
        <w:rPr>
          <w:rFonts w:ascii="Times New Roman" w:hAnsi="Times New Roman" w:cs="Times New Roman"/>
          <w:sz w:val="24"/>
          <w:szCs w:val="24"/>
        </w:rPr>
        <w:t>The king would supply his court of elites with material rewards and honour (including titles), appeasing their desire for the prestige that accompanied royal connections, and in return they would se</w:t>
      </w:r>
      <w:r w:rsidR="00A72221" w:rsidRPr="00964611">
        <w:rPr>
          <w:rFonts w:ascii="Times New Roman" w:hAnsi="Times New Roman" w:cs="Times New Roman"/>
          <w:sz w:val="24"/>
          <w:szCs w:val="24"/>
        </w:rPr>
        <w:t>rve the state and remain loyal.</w:t>
      </w:r>
      <w:r w:rsidR="00A72221" w:rsidRPr="00964611">
        <w:rPr>
          <w:rStyle w:val="FootnoteReference"/>
          <w:rFonts w:ascii="Times New Roman" w:hAnsi="Times New Roman" w:cs="Times New Roman"/>
          <w:sz w:val="24"/>
          <w:szCs w:val="24"/>
        </w:rPr>
        <w:footnoteReference w:id="11"/>
      </w:r>
      <w:r w:rsidR="00A72221" w:rsidRPr="00964611">
        <w:rPr>
          <w:rFonts w:ascii="Times New Roman" w:hAnsi="Times New Roman" w:cs="Times New Roman"/>
          <w:sz w:val="24"/>
          <w:szCs w:val="24"/>
        </w:rPr>
        <w:t xml:space="preserve"> </w:t>
      </w:r>
    </w:p>
    <w:p w14:paraId="667EBD6F" w14:textId="4D760D20" w:rsidR="00B14B97" w:rsidRPr="00964611" w:rsidRDefault="00B14B97"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The rule of the first Ptolemies was rife with “racial domination”, and when you also take into account the subjugation of the Egyptian traditions and culture by Cleomenes as Satrap, the native Egyptian elites were left with a “most unhappy impression”.</w:t>
      </w:r>
      <w:r w:rsidRPr="00964611">
        <w:rPr>
          <w:rStyle w:val="FootnoteReference"/>
          <w:rFonts w:ascii="Times New Roman" w:hAnsi="Times New Roman" w:cs="Times New Roman"/>
          <w:sz w:val="24"/>
          <w:szCs w:val="24"/>
        </w:rPr>
        <w:footnoteReference w:id="12"/>
      </w:r>
      <w:r w:rsidRPr="00964611">
        <w:rPr>
          <w:rFonts w:ascii="Times New Roman" w:hAnsi="Times New Roman" w:cs="Times New Roman"/>
          <w:sz w:val="24"/>
          <w:szCs w:val="24"/>
        </w:rPr>
        <w:t xml:space="preserve"> It was exactly these people that “had the position and influence to resist”.</w:t>
      </w:r>
      <w:r w:rsidRPr="00964611">
        <w:rPr>
          <w:rStyle w:val="FootnoteReference"/>
          <w:rFonts w:ascii="Times New Roman" w:hAnsi="Times New Roman" w:cs="Times New Roman"/>
          <w:sz w:val="24"/>
          <w:szCs w:val="24"/>
        </w:rPr>
        <w:footnoteReference w:id="13"/>
      </w:r>
      <w:r w:rsidRPr="00964611">
        <w:rPr>
          <w:rFonts w:ascii="Times New Roman" w:hAnsi="Times New Roman" w:cs="Times New Roman"/>
          <w:sz w:val="24"/>
          <w:szCs w:val="24"/>
        </w:rPr>
        <w:t xml:space="preserve"> These factors likely led to </w:t>
      </w:r>
      <w:r w:rsidRPr="00964611">
        <w:rPr>
          <w:rFonts w:ascii="Times New Roman" w:hAnsi="Times New Roman" w:cs="Times New Roman"/>
          <w:sz w:val="24"/>
          <w:szCs w:val="24"/>
        </w:rPr>
        <w:lastRenderedPageBreak/>
        <w:t>‘resentment’ amongst the native Egyptians.</w:t>
      </w:r>
      <w:r w:rsidRPr="00964611">
        <w:rPr>
          <w:rStyle w:val="FootnoteReference"/>
          <w:rFonts w:ascii="Times New Roman" w:hAnsi="Times New Roman" w:cs="Times New Roman"/>
          <w:sz w:val="24"/>
          <w:szCs w:val="24"/>
        </w:rPr>
        <w:footnoteReference w:id="14"/>
      </w:r>
      <w:r w:rsidRPr="00964611">
        <w:rPr>
          <w:rFonts w:ascii="Times New Roman" w:hAnsi="Times New Roman" w:cs="Times New Roman"/>
          <w:sz w:val="24"/>
          <w:szCs w:val="24"/>
        </w:rPr>
        <w:t xml:space="preserve"> </w:t>
      </w:r>
      <w:r w:rsidR="00140349" w:rsidRPr="00964611">
        <w:rPr>
          <w:rFonts w:ascii="Times New Roman" w:hAnsi="Times New Roman" w:cs="Times New Roman"/>
          <w:sz w:val="24"/>
          <w:szCs w:val="24"/>
        </w:rPr>
        <w:t>This resentment led to a series of resistances and revolts, with religion being a major driving force.</w:t>
      </w:r>
      <w:r w:rsidR="00140349" w:rsidRPr="00964611">
        <w:rPr>
          <w:rStyle w:val="FootnoteReference"/>
          <w:rFonts w:ascii="Times New Roman" w:hAnsi="Times New Roman" w:cs="Times New Roman"/>
          <w:sz w:val="24"/>
          <w:szCs w:val="24"/>
        </w:rPr>
        <w:footnoteReference w:id="15"/>
      </w:r>
      <w:r w:rsidR="00AD2E36" w:rsidRPr="00964611">
        <w:rPr>
          <w:rFonts w:ascii="Times New Roman" w:hAnsi="Times New Roman" w:cs="Times New Roman"/>
          <w:sz w:val="24"/>
          <w:szCs w:val="24"/>
        </w:rPr>
        <w:t xml:space="preserve"> </w:t>
      </w:r>
      <w:r w:rsidR="00771783" w:rsidRPr="00964611">
        <w:rPr>
          <w:rFonts w:ascii="Times New Roman" w:hAnsi="Times New Roman" w:cs="Times New Roman"/>
          <w:sz w:val="24"/>
          <w:szCs w:val="24"/>
        </w:rPr>
        <w:t xml:space="preserve">In terms of religious conflict, the priests of the long-standing and powerful temples must have thought themselves to have been on equal footing with the incoming Greeks, but this was not the case. The majority of the economic value of the temples was absorbed by the </w:t>
      </w:r>
      <w:r w:rsidR="003A2CF3" w:rsidRPr="00964611">
        <w:rPr>
          <w:rFonts w:ascii="Times New Roman" w:hAnsi="Times New Roman" w:cs="Times New Roman"/>
          <w:sz w:val="24"/>
          <w:szCs w:val="24"/>
        </w:rPr>
        <w:t>king and the priests left only with the maintenance of the buildings.</w:t>
      </w:r>
      <w:r w:rsidR="003A2CF3" w:rsidRPr="00964611">
        <w:rPr>
          <w:rStyle w:val="FootnoteReference"/>
          <w:rFonts w:ascii="Times New Roman" w:hAnsi="Times New Roman" w:cs="Times New Roman"/>
          <w:sz w:val="24"/>
          <w:szCs w:val="24"/>
        </w:rPr>
        <w:footnoteReference w:id="16"/>
      </w:r>
      <w:r w:rsidR="000C0DA0" w:rsidRPr="00964611">
        <w:rPr>
          <w:rFonts w:ascii="Times New Roman" w:hAnsi="Times New Roman" w:cs="Times New Roman"/>
          <w:sz w:val="24"/>
          <w:szCs w:val="24"/>
        </w:rPr>
        <w:t xml:space="preserve"> Their relationship with power over the Ptolemies would shift under Ptolemy IV and the economic strain of this time</w:t>
      </w:r>
      <w:r w:rsidR="00113A95" w:rsidRPr="00964611">
        <w:rPr>
          <w:rFonts w:ascii="Times New Roman" w:hAnsi="Times New Roman" w:cs="Times New Roman"/>
          <w:sz w:val="24"/>
          <w:szCs w:val="24"/>
        </w:rPr>
        <w:t>, and the king would make repeated concessions to the temples.</w:t>
      </w:r>
      <w:r w:rsidR="00113A95" w:rsidRPr="00964611">
        <w:rPr>
          <w:rStyle w:val="FootnoteReference"/>
          <w:rFonts w:ascii="Times New Roman" w:hAnsi="Times New Roman" w:cs="Times New Roman"/>
          <w:sz w:val="24"/>
          <w:szCs w:val="24"/>
        </w:rPr>
        <w:footnoteReference w:id="17"/>
      </w:r>
    </w:p>
    <w:p w14:paraId="79B6E5FB" w14:textId="77777777" w:rsidR="00A72221" w:rsidRPr="00964611" w:rsidRDefault="00A72221" w:rsidP="001F7514">
      <w:pPr>
        <w:spacing w:line="480" w:lineRule="auto"/>
        <w:rPr>
          <w:rFonts w:ascii="Times New Roman" w:hAnsi="Times New Roman" w:cs="Times New Roman"/>
          <w:sz w:val="24"/>
          <w:szCs w:val="24"/>
        </w:rPr>
      </w:pPr>
    </w:p>
    <w:p w14:paraId="78A1BEA6" w14:textId="3D63ABD2" w:rsidR="00A72221" w:rsidRPr="00964611" w:rsidRDefault="00A72221"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 xml:space="preserve">The Ptolemaic court in Egypt underwent significant changes between the third and first centuries, resulting in a system that did not </w:t>
      </w:r>
      <w:r w:rsidR="00EB3FA3" w:rsidRPr="00964611">
        <w:rPr>
          <w:rFonts w:ascii="Times New Roman" w:hAnsi="Times New Roman" w:cs="Times New Roman"/>
          <w:sz w:val="24"/>
          <w:szCs w:val="24"/>
        </w:rPr>
        <w:t xml:space="preserve">follow the typical model that I have outlined above. </w:t>
      </w:r>
      <w:r w:rsidR="00DE519A" w:rsidRPr="00964611">
        <w:rPr>
          <w:rFonts w:ascii="Times New Roman" w:hAnsi="Times New Roman" w:cs="Times New Roman"/>
          <w:sz w:val="24"/>
          <w:szCs w:val="24"/>
        </w:rPr>
        <w:t>This model was perhaps an ‘ideal’, that power and rule would remain solely in the hands on the incoming Graeco-Macedonian’s, which could to some degree apply to the reality of the</w:t>
      </w:r>
      <w:r w:rsidR="008B689B" w:rsidRPr="00964611">
        <w:rPr>
          <w:rFonts w:ascii="Times New Roman" w:hAnsi="Times New Roman" w:cs="Times New Roman"/>
          <w:sz w:val="24"/>
          <w:szCs w:val="24"/>
        </w:rPr>
        <w:t xml:space="preserve"> third century Ptolemaic court. But an ‘ideal’ is not o</w:t>
      </w:r>
      <w:r w:rsidR="009B1A66" w:rsidRPr="00964611">
        <w:rPr>
          <w:rFonts w:ascii="Times New Roman" w:hAnsi="Times New Roman" w:cs="Times New Roman"/>
          <w:sz w:val="24"/>
          <w:szCs w:val="24"/>
        </w:rPr>
        <w:t>ften applicable to the</w:t>
      </w:r>
      <w:r w:rsidR="008B689B" w:rsidRPr="00964611">
        <w:rPr>
          <w:rFonts w:ascii="Times New Roman" w:hAnsi="Times New Roman" w:cs="Times New Roman"/>
          <w:sz w:val="24"/>
          <w:szCs w:val="24"/>
        </w:rPr>
        <w:t xml:space="preserve"> ruling</w:t>
      </w:r>
      <w:r w:rsidR="002D2565" w:rsidRPr="00964611">
        <w:rPr>
          <w:rFonts w:ascii="Times New Roman" w:hAnsi="Times New Roman" w:cs="Times New Roman"/>
          <w:sz w:val="24"/>
          <w:szCs w:val="24"/>
        </w:rPr>
        <w:t xml:space="preserve"> of</w:t>
      </w:r>
      <w:r w:rsidR="008B689B" w:rsidRPr="00964611">
        <w:rPr>
          <w:rFonts w:ascii="Times New Roman" w:hAnsi="Times New Roman" w:cs="Times New Roman"/>
          <w:sz w:val="24"/>
          <w:szCs w:val="24"/>
        </w:rPr>
        <w:t xml:space="preserve"> a state</w:t>
      </w:r>
      <w:r w:rsidR="009B1A66" w:rsidRPr="00964611">
        <w:rPr>
          <w:rFonts w:ascii="Times New Roman" w:hAnsi="Times New Roman" w:cs="Times New Roman"/>
          <w:sz w:val="24"/>
          <w:szCs w:val="24"/>
        </w:rPr>
        <w:t>, and in the case of Ptolemaic Egypt a change to the prevailing system was necessary to deal with decline and threat</w:t>
      </w:r>
      <w:r w:rsidR="008B689B" w:rsidRPr="00964611">
        <w:rPr>
          <w:rFonts w:ascii="Times New Roman" w:hAnsi="Times New Roman" w:cs="Times New Roman"/>
          <w:sz w:val="24"/>
          <w:szCs w:val="24"/>
        </w:rPr>
        <w:t>.</w:t>
      </w:r>
      <w:r w:rsidR="009B1A66" w:rsidRPr="00964611">
        <w:rPr>
          <w:rStyle w:val="FootnoteReference"/>
          <w:rFonts w:ascii="Times New Roman" w:hAnsi="Times New Roman" w:cs="Times New Roman"/>
          <w:sz w:val="24"/>
          <w:szCs w:val="24"/>
        </w:rPr>
        <w:footnoteReference w:id="18"/>
      </w:r>
      <w:r w:rsidR="00306A9A" w:rsidRPr="00964611">
        <w:rPr>
          <w:rFonts w:ascii="Times New Roman" w:hAnsi="Times New Roman" w:cs="Times New Roman"/>
          <w:sz w:val="24"/>
          <w:szCs w:val="24"/>
        </w:rPr>
        <w:t xml:space="preserve"> </w:t>
      </w:r>
      <w:r w:rsidR="00DE519A" w:rsidRPr="00964611">
        <w:rPr>
          <w:rFonts w:ascii="Times New Roman" w:hAnsi="Times New Roman" w:cs="Times New Roman"/>
          <w:sz w:val="24"/>
          <w:szCs w:val="24"/>
        </w:rPr>
        <w:t>The transformation of the court</w:t>
      </w:r>
      <w:r w:rsidR="008B689B" w:rsidRPr="00964611">
        <w:rPr>
          <w:rFonts w:ascii="Times New Roman" w:hAnsi="Times New Roman" w:cs="Times New Roman"/>
          <w:sz w:val="24"/>
          <w:szCs w:val="24"/>
        </w:rPr>
        <w:t xml:space="preserve">, to incorporate native Egyptian elites into the fold, </w:t>
      </w:r>
      <w:r w:rsidR="00DE519A" w:rsidRPr="00964611">
        <w:rPr>
          <w:rFonts w:ascii="Times New Roman" w:hAnsi="Times New Roman" w:cs="Times New Roman"/>
          <w:sz w:val="24"/>
          <w:szCs w:val="24"/>
        </w:rPr>
        <w:t>started in the early second century</w:t>
      </w:r>
      <w:r w:rsidR="009B1A66" w:rsidRPr="00964611">
        <w:rPr>
          <w:rFonts w:ascii="Times New Roman" w:hAnsi="Times New Roman" w:cs="Times New Roman"/>
          <w:sz w:val="24"/>
          <w:szCs w:val="24"/>
        </w:rPr>
        <w:t xml:space="preserve"> under the reign of Ptolemy V Epiphanes, which ultimately resulted in the incorporation of the native Egyptian elites to the hierarchy of the court system as ‘kinsmen’, or </w:t>
      </w:r>
      <w:proofErr w:type="spellStart"/>
      <w:r w:rsidR="009B1A66" w:rsidRPr="00964611">
        <w:rPr>
          <w:rFonts w:ascii="Times New Roman" w:hAnsi="Times New Roman" w:cs="Times New Roman"/>
          <w:i/>
          <w:sz w:val="24"/>
          <w:szCs w:val="24"/>
        </w:rPr>
        <w:t>syngenes</w:t>
      </w:r>
      <w:proofErr w:type="spellEnd"/>
      <w:r w:rsidR="009B1A66" w:rsidRPr="00964611">
        <w:rPr>
          <w:rFonts w:ascii="Times New Roman" w:hAnsi="Times New Roman" w:cs="Times New Roman"/>
          <w:sz w:val="24"/>
          <w:szCs w:val="24"/>
        </w:rPr>
        <w:t xml:space="preserve">. </w:t>
      </w:r>
    </w:p>
    <w:p w14:paraId="701BD8DE" w14:textId="71A295C1" w:rsidR="005517F1" w:rsidRPr="00964611" w:rsidRDefault="002D2565"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 xml:space="preserve">The first changes </w:t>
      </w:r>
      <w:r w:rsidR="00F03237" w:rsidRPr="00964611">
        <w:rPr>
          <w:rFonts w:ascii="Times New Roman" w:hAnsi="Times New Roman" w:cs="Times New Roman"/>
          <w:sz w:val="24"/>
          <w:szCs w:val="24"/>
        </w:rPr>
        <w:t>to the court related to an expansion, beyond the kings immediate circle to include Graeco-</w:t>
      </w:r>
      <w:proofErr w:type="spellStart"/>
      <w:r w:rsidR="00F03237" w:rsidRPr="00964611">
        <w:rPr>
          <w:rFonts w:ascii="Times New Roman" w:hAnsi="Times New Roman" w:cs="Times New Roman"/>
          <w:sz w:val="24"/>
          <w:szCs w:val="24"/>
        </w:rPr>
        <w:t>Macdeonian</w:t>
      </w:r>
      <w:proofErr w:type="spellEnd"/>
      <w:r w:rsidR="00F03237" w:rsidRPr="00964611">
        <w:rPr>
          <w:rFonts w:ascii="Times New Roman" w:hAnsi="Times New Roman" w:cs="Times New Roman"/>
          <w:sz w:val="24"/>
          <w:szCs w:val="24"/>
        </w:rPr>
        <w:t xml:space="preserve"> elites living and operating outside of the city (in the </w:t>
      </w:r>
      <w:r w:rsidR="00F03237" w:rsidRPr="00964611">
        <w:rPr>
          <w:rFonts w:ascii="Times New Roman" w:hAnsi="Times New Roman" w:cs="Times New Roman"/>
          <w:i/>
          <w:sz w:val="24"/>
          <w:szCs w:val="24"/>
        </w:rPr>
        <w:t>chora</w:t>
      </w:r>
      <w:r w:rsidR="00F03237" w:rsidRPr="00964611">
        <w:rPr>
          <w:rFonts w:ascii="Times New Roman" w:hAnsi="Times New Roman" w:cs="Times New Roman"/>
          <w:sz w:val="24"/>
          <w:szCs w:val="24"/>
        </w:rPr>
        <w:t xml:space="preserve">) at </w:t>
      </w:r>
      <w:r w:rsidR="00F03237" w:rsidRPr="00964611">
        <w:rPr>
          <w:rFonts w:ascii="Times New Roman" w:hAnsi="Times New Roman" w:cs="Times New Roman"/>
          <w:sz w:val="24"/>
          <w:szCs w:val="24"/>
        </w:rPr>
        <w:lastRenderedPageBreak/>
        <w:t>“regional and local levels”.</w:t>
      </w:r>
      <w:r w:rsidR="00F03237" w:rsidRPr="00964611">
        <w:rPr>
          <w:rStyle w:val="FootnoteReference"/>
          <w:rFonts w:ascii="Times New Roman" w:hAnsi="Times New Roman" w:cs="Times New Roman"/>
          <w:sz w:val="24"/>
          <w:szCs w:val="24"/>
        </w:rPr>
        <w:footnoteReference w:id="19"/>
      </w:r>
      <w:r w:rsidR="00F03237" w:rsidRPr="00964611">
        <w:rPr>
          <w:rFonts w:ascii="Times New Roman" w:hAnsi="Times New Roman" w:cs="Times New Roman"/>
          <w:sz w:val="24"/>
          <w:szCs w:val="24"/>
        </w:rPr>
        <w:t xml:space="preserve"> </w:t>
      </w:r>
      <w:r w:rsidR="00A11D51" w:rsidRPr="00964611">
        <w:rPr>
          <w:rFonts w:ascii="Times New Roman" w:hAnsi="Times New Roman" w:cs="Times New Roman"/>
          <w:sz w:val="24"/>
          <w:szCs w:val="24"/>
        </w:rPr>
        <w:t xml:space="preserve">Leon </w:t>
      </w:r>
      <w:proofErr w:type="spellStart"/>
      <w:r w:rsidR="00A11D51" w:rsidRPr="00964611">
        <w:rPr>
          <w:rFonts w:ascii="Times New Roman" w:hAnsi="Times New Roman" w:cs="Times New Roman"/>
          <w:sz w:val="24"/>
          <w:szCs w:val="24"/>
        </w:rPr>
        <w:t>Mooren</w:t>
      </w:r>
      <w:proofErr w:type="spellEnd"/>
      <w:r w:rsidR="00A11D51" w:rsidRPr="00964611">
        <w:rPr>
          <w:rFonts w:ascii="Times New Roman" w:hAnsi="Times New Roman" w:cs="Times New Roman"/>
          <w:sz w:val="24"/>
          <w:szCs w:val="24"/>
        </w:rPr>
        <w:t xml:space="preserve"> views the changes as “aimed primarily at the bureaucracy” with the aim “to strengthen the connections between the king and his officials by extending the </w:t>
      </w:r>
      <w:proofErr w:type="spellStart"/>
      <w:r w:rsidR="00A11D51" w:rsidRPr="00964611">
        <w:rPr>
          <w:rFonts w:ascii="Times New Roman" w:hAnsi="Times New Roman" w:cs="Times New Roman"/>
          <w:sz w:val="24"/>
          <w:szCs w:val="24"/>
        </w:rPr>
        <w:t>honor</w:t>
      </w:r>
      <w:proofErr w:type="spellEnd"/>
      <w:r w:rsidR="00A11D51" w:rsidRPr="00964611">
        <w:rPr>
          <w:rFonts w:ascii="Times New Roman" w:hAnsi="Times New Roman" w:cs="Times New Roman"/>
          <w:sz w:val="24"/>
          <w:szCs w:val="24"/>
        </w:rPr>
        <w:t xml:space="preserve"> of court titles to them”.</w:t>
      </w:r>
      <w:r w:rsidR="00A11D51" w:rsidRPr="00964611">
        <w:rPr>
          <w:rStyle w:val="FootnoteReference"/>
          <w:rFonts w:ascii="Times New Roman" w:hAnsi="Times New Roman" w:cs="Times New Roman"/>
          <w:sz w:val="24"/>
          <w:szCs w:val="24"/>
        </w:rPr>
        <w:footnoteReference w:id="20"/>
      </w:r>
      <w:r w:rsidR="00A11D51" w:rsidRPr="00964611">
        <w:rPr>
          <w:rFonts w:ascii="Times New Roman" w:hAnsi="Times New Roman" w:cs="Times New Roman"/>
          <w:sz w:val="24"/>
          <w:szCs w:val="24"/>
        </w:rPr>
        <w:t xml:space="preserve"> As well as this, Ian Moyer describes how the court “had just emerged from a period of intrigue and conflict centred on tensions between an “inner” and “outer” court”.</w:t>
      </w:r>
      <w:r w:rsidR="00A11D51" w:rsidRPr="00964611">
        <w:rPr>
          <w:rStyle w:val="FootnoteReference"/>
          <w:rFonts w:ascii="Times New Roman" w:hAnsi="Times New Roman" w:cs="Times New Roman"/>
          <w:sz w:val="24"/>
          <w:szCs w:val="24"/>
        </w:rPr>
        <w:footnoteReference w:id="21"/>
      </w:r>
      <w:r w:rsidR="00A11D51" w:rsidRPr="00964611">
        <w:rPr>
          <w:rFonts w:ascii="Times New Roman" w:hAnsi="Times New Roman" w:cs="Times New Roman"/>
          <w:sz w:val="24"/>
          <w:szCs w:val="24"/>
        </w:rPr>
        <w:t xml:space="preserve"> </w:t>
      </w:r>
      <w:r w:rsidR="00F03237" w:rsidRPr="00964611">
        <w:rPr>
          <w:rFonts w:ascii="Times New Roman" w:hAnsi="Times New Roman" w:cs="Times New Roman"/>
          <w:sz w:val="24"/>
          <w:szCs w:val="24"/>
        </w:rPr>
        <w:t>This transformation of the court included the development of a new hierarchy system. The new titles</w:t>
      </w:r>
      <w:r w:rsidR="000F3A25" w:rsidRPr="00964611">
        <w:rPr>
          <w:rFonts w:ascii="Times New Roman" w:hAnsi="Times New Roman" w:cs="Times New Roman"/>
          <w:sz w:val="24"/>
          <w:szCs w:val="24"/>
        </w:rPr>
        <w:t xml:space="preserve"> (in addition to ones familiar from the old system such as ‘friends’, ‘bodyguards’, ‘successors’)</w:t>
      </w:r>
      <w:r w:rsidR="00F03237" w:rsidRPr="00964611">
        <w:rPr>
          <w:rFonts w:ascii="Times New Roman" w:hAnsi="Times New Roman" w:cs="Times New Roman"/>
          <w:sz w:val="24"/>
          <w:szCs w:val="24"/>
        </w:rPr>
        <w:t xml:space="preserve"> that came about as part of this process</w:t>
      </w:r>
      <w:r w:rsidR="00A11D51" w:rsidRPr="00964611">
        <w:rPr>
          <w:rFonts w:ascii="Times New Roman" w:hAnsi="Times New Roman" w:cs="Times New Roman"/>
          <w:sz w:val="24"/>
          <w:szCs w:val="24"/>
        </w:rPr>
        <w:t xml:space="preserve"> helped to </w:t>
      </w:r>
      <w:r w:rsidR="000C6EE2" w:rsidRPr="00964611">
        <w:rPr>
          <w:rFonts w:ascii="Times New Roman" w:hAnsi="Times New Roman" w:cs="Times New Roman"/>
          <w:sz w:val="24"/>
          <w:szCs w:val="24"/>
        </w:rPr>
        <w:t>create cohesion and reduce friction between those elites who were in the city of Alexandria in close physical proximity to the king, and those who undertook administrative and military functions outside of the city and “were only intermittently in his [the king] presence”.</w:t>
      </w:r>
      <w:r w:rsidR="000C6EE2" w:rsidRPr="00964611">
        <w:rPr>
          <w:rStyle w:val="FootnoteReference"/>
          <w:rFonts w:ascii="Times New Roman" w:hAnsi="Times New Roman" w:cs="Times New Roman"/>
          <w:sz w:val="24"/>
          <w:szCs w:val="24"/>
        </w:rPr>
        <w:footnoteReference w:id="22"/>
      </w:r>
      <w:r w:rsidR="000F3A25" w:rsidRPr="00964611">
        <w:rPr>
          <w:rFonts w:ascii="Times New Roman" w:hAnsi="Times New Roman" w:cs="Times New Roman"/>
          <w:sz w:val="24"/>
          <w:szCs w:val="24"/>
        </w:rPr>
        <w:t xml:space="preserve"> </w:t>
      </w:r>
      <w:r w:rsidR="00E0412B" w:rsidRPr="00964611">
        <w:rPr>
          <w:rFonts w:ascii="Times New Roman" w:hAnsi="Times New Roman" w:cs="Times New Roman"/>
          <w:sz w:val="24"/>
          <w:szCs w:val="24"/>
        </w:rPr>
        <w:t xml:space="preserve">Moyer, referencing </w:t>
      </w:r>
      <w:proofErr w:type="spellStart"/>
      <w:r w:rsidR="00E0412B" w:rsidRPr="00964611">
        <w:rPr>
          <w:rFonts w:ascii="Times New Roman" w:hAnsi="Times New Roman" w:cs="Times New Roman"/>
          <w:sz w:val="24"/>
          <w:szCs w:val="24"/>
        </w:rPr>
        <w:t>Mooren’s</w:t>
      </w:r>
      <w:proofErr w:type="spellEnd"/>
      <w:r w:rsidR="00E0412B" w:rsidRPr="00964611">
        <w:rPr>
          <w:rFonts w:ascii="Times New Roman" w:hAnsi="Times New Roman" w:cs="Times New Roman"/>
          <w:sz w:val="24"/>
          <w:szCs w:val="24"/>
        </w:rPr>
        <w:t xml:space="preserve"> seminal thesis on the topic, explains that there was at fist five titles, but that by the first century this had expanded to eight.</w:t>
      </w:r>
      <w:r w:rsidR="00E0412B" w:rsidRPr="00964611">
        <w:rPr>
          <w:rStyle w:val="FootnoteReference"/>
          <w:rFonts w:ascii="Times New Roman" w:hAnsi="Times New Roman" w:cs="Times New Roman"/>
          <w:sz w:val="24"/>
          <w:szCs w:val="24"/>
        </w:rPr>
        <w:footnoteReference w:id="23"/>
      </w:r>
      <w:r w:rsidR="00E0412B" w:rsidRPr="00964611">
        <w:rPr>
          <w:rFonts w:ascii="Times New Roman" w:hAnsi="Times New Roman" w:cs="Times New Roman"/>
          <w:sz w:val="24"/>
          <w:szCs w:val="24"/>
        </w:rPr>
        <w:t xml:space="preserve"> One of these titles is that of </w:t>
      </w:r>
      <w:proofErr w:type="spellStart"/>
      <w:r w:rsidR="00E0412B" w:rsidRPr="00964611">
        <w:rPr>
          <w:rFonts w:ascii="Times New Roman" w:hAnsi="Times New Roman" w:cs="Times New Roman"/>
          <w:i/>
          <w:sz w:val="24"/>
          <w:szCs w:val="24"/>
        </w:rPr>
        <w:t>syngenes</w:t>
      </w:r>
      <w:proofErr w:type="spellEnd"/>
      <w:r w:rsidR="00E0412B" w:rsidRPr="00964611">
        <w:rPr>
          <w:rFonts w:ascii="Times New Roman" w:hAnsi="Times New Roman" w:cs="Times New Roman"/>
          <w:sz w:val="24"/>
          <w:szCs w:val="24"/>
        </w:rPr>
        <w:t>, or ‘kinsmen’, which was the highest position a person could rise to bar the kingship, and eventually became aligned with their possessed power and influence within the court.</w:t>
      </w:r>
      <w:r w:rsidR="00E0412B" w:rsidRPr="00964611">
        <w:rPr>
          <w:rStyle w:val="FootnoteReference"/>
          <w:rFonts w:ascii="Times New Roman" w:hAnsi="Times New Roman" w:cs="Times New Roman"/>
          <w:sz w:val="24"/>
          <w:szCs w:val="24"/>
        </w:rPr>
        <w:footnoteReference w:id="24"/>
      </w:r>
      <w:r w:rsidR="00E0412B" w:rsidRPr="00964611">
        <w:rPr>
          <w:rFonts w:ascii="Times New Roman" w:hAnsi="Times New Roman" w:cs="Times New Roman"/>
          <w:sz w:val="24"/>
          <w:szCs w:val="24"/>
        </w:rPr>
        <w:t xml:space="preserve"> I will explore this title below, as it was a position that was able to be held by the elite Egyptians and an example of the growing incorporation of them into the Macedonian court system. </w:t>
      </w:r>
    </w:p>
    <w:p w14:paraId="775BB282" w14:textId="47592F5F" w:rsidR="002D2565" w:rsidRPr="00964611" w:rsidRDefault="001474A6"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 xml:space="preserve">Within this hierarchy system, there is evidence for native Egyptian elites holding the title of </w:t>
      </w:r>
      <w:proofErr w:type="spellStart"/>
      <w:r w:rsidRPr="00964611">
        <w:rPr>
          <w:rFonts w:ascii="Times New Roman" w:hAnsi="Times New Roman" w:cs="Times New Roman"/>
          <w:i/>
          <w:sz w:val="24"/>
          <w:szCs w:val="24"/>
        </w:rPr>
        <w:t>syngenes</w:t>
      </w:r>
      <w:proofErr w:type="spellEnd"/>
      <w:r w:rsidRPr="00964611">
        <w:rPr>
          <w:rFonts w:ascii="Times New Roman" w:hAnsi="Times New Roman" w:cs="Times New Roman"/>
          <w:sz w:val="24"/>
          <w:szCs w:val="24"/>
        </w:rPr>
        <w:t xml:space="preserve">. </w:t>
      </w:r>
      <w:r w:rsidR="00E20483" w:rsidRPr="00964611">
        <w:rPr>
          <w:rFonts w:ascii="Times New Roman" w:hAnsi="Times New Roman" w:cs="Times New Roman"/>
          <w:sz w:val="24"/>
          <w:szCs w:val="24"/>
        </w:rPr>
        <w:t>The changes were gradual, undergoing “</w:t>
      </w:r>
      <w:r w:rsidR="00E20483" w:rsidRPr="00964611">
        <w:rPr>
          <w:rFonts w:ascii="Times New Roman" w:hAnsi="Times New Roman" w:cs="Times New Roman"/>
          <w:i/>
          <w:sz w:val="24"/>
          <w:szCs w:val="24"/>
        </w:rPr>
        <w:t>ad hoc</w:t>
      </w:r>
      <w:r w:rsidR="00E20483" w:rsidRPr="00964611">
        <w:rPr>
          <w:rFonts w:ascii="Times New Roman" w:hAnsi="Times New Roman" w:cs="Times New Roman"/>
          <w:sz w:val="24"/>
          <w:szCs w:val="24"/>
        </w:rPr>
        <w:t xml:space="preserve"> changes over time”, with the resulting </w:t>
      </w:r>
      <w:proofErr w:type="spellStart"/>
      <w:r w:rsidR="00E20483" w:rsidRPr="00964611">
        <w:rPr>
          <w:rFonts w:ascii="Times New Roman" w:hAnsi="Times New Roman" w:cs="Times New Roman"/>
          <w:i/>
          <w:sz w:val="24"/>
          <w:szCs w:val="24"/>
        </w:rPr>
        <w:t>syngenes</w:t>
      </w:r>
      <w:proofErr w:type="spellEnd"/>
      <w:r w:rsidR="00E20483" w:rsidRPr="00964611">
        <w:rPr>
          <w:rFonts w:ascii="Times New Roman" w:hAnsi="Times New Roman" w:cs="Times New Roman"/>
          <w:sz w:val="24"/>
          <w:szCs w:val="24"/>
        </w:rPr>
        <w:t xml:space="preserve"> titles first being attested during the reign of Ptolemy VI </w:t>
      </w:r>
      <w:proofErr w:type="spellStart"/>
      <w:r w:rsidR="00E20483" w:rsidRPr="00964611">
        <w:rPr>
          <w:rFonts w:ascii="Times New Roman" w:hAnsi="Times New Roman" w:cs="Times New Roman"/>
          <w:sz w:val="24"/>
          <w:szCs w:val="24"/>
        </w:rPr>
        <w:t>Philometor</w:t>
      </w:r>
      <w:proofErr w:type="spellEnd"/>
      <w:r w:rsidR="00E20483" w:rsidRPr="00964611">
        <w:rPr>
          <w:rFonts w:ascii="Times New Roman" w:hAnsi="Times New Roman" w:cs="Times New Roman"/>
          <w:sz w:val="24"/>
          <w:szCs w:val="24"/>
        </w:rPr>
        <w:t>.</w:t>
      </w:r>
      <w:r w:rsidR="00E20483" w:rsidRPr="00964611">
        <w:rPr>
          <w:rStyle w:val="FootnoteReference"/>
          <w:rFonts w:ascii="Times New Roman" w:hAnsi="Times New Roman" w:cs="Times New Roman"/>
          <w:sz w:val="24"/>
          <w:szCs w:val="24"/>
        </w:rPr>
        <w:footnoteReference w:id="25"/>
      </w:r>
      <w:r w:rsidR="00E20483" w:rsidRPr="00964611">
        <w:rPr>
          <w:rFonts w:ascii="Times New Roman" w:hAnsi="Times New Roman" w:cs="Times New Roman"/>
          <w:sz w:val="24"/>
          <w:szCs w:val="24"/>
        </w:rPr>
        <w:t xml:space="preserve"> </w:t>
      </w:r>
      <w:r w:rsidR="005517F1" w:rsidRPr="00964611">
        <w:rPr>
          <w:rFonts w:ascii="Times New Roman" w:hAnsi="Times New Roman" w:cs="Times New Roman"/>
          <w:sz w:val="24"/>
          <w:szCs w:val="24"/>
        </w:rPr>
        <w:t xml:space="preserve">Given the previous discussion on the earlier exclusionary nature of the court, why did this </w:t>
      </w:r>
      <w:r w:rsidR="005517F1" w:rsidRPr="00964611">
        <w:rPr>
          <w:rFonts w:ascii="Times New Roman" w:hAnsi="Times New Roman" w:cs="Times New Roman"/>
          <w:sz w:val="24"/>
          <w:szCs w:val="24"/>
        </w:rPr>
        <w:lastRenderedPageBreak/>
        <w:t>change</w:t>
      </w:r>
      <w:r w:rsidR="00B5200F" w:rsidRPr="00964611">
        <w:rPr>
          <w:rFonts w:ascii="Times New Roman" w:hAnsi="Times New Roman" w:cs="Times New Roman"/>
          <w:sz w:val="24"/>
          <w:szCs w:val="24"/>
        </w:rPr>
        <w:t xml:space="preserve"> to include ‘outsiders’</w:t>
      </w:r>
      <w:r w:rsidR="00B5200F" w:rsidRPr="00964611">
        <w:rPr>
          <w:rStyle w:val="FootnoteReference"/>
          <w:rFonts w:ascii="Times New Roman" w:hAnsi="Times New Roman" w:cs="Times New Roman"/>
          <w:sz w:val="24"/>
          <w:szCs w:val="24"/>
        </w:rPr>
        <w:footnoteReference w:id="26"/>
      </w:r>
      <w:r w:rsidR="005517F1" w:rsidRPr="00964611">
        <w:rPr>
          <w:rFonts w:ascii="Times New Roman" w:hAnsi="Times New Roman" w:cs="Times New Roman"/>
          <w:sz w:val="24"/>
          <w:szCs w:val="24"/>
        </w:rPr>
        <w:t xml:space="preserve"> occur? Moyer describes this inclusion as creating a “transcultural space” that was “critical for maintaining the power of the Ptolemaic state”.</w:t>
      </w:r>
      <w:r w:rsidR="005517F1" w:rsidRPr="00964611">
        <w:rPr>
          <w:rStyle w:val="FootnoteReference"/>
          <w:rFonts w:ascii="Times New Roman" w:hAnsi="Times New Roman" w:cs="Times New Roman"/>
          <w:sz w:val="24"/>
          <w:szCs w:val="24"/>
        </w:rPr>
        <w:footnoteReference w:id="27"/>
      </w:r>
      <w:r w:rsidR="005517F1" w:rsidRPr="00964611">
        <w:rPr>
          <w:rFonts w:ascii="Times New Roman" w:hAnsi="Times New Roman" w:cs="Times New Roman"/>
          <w:sz w:val="24"/>
          <w:szCs w:val="24"/>
        </w:rPr>
        <w:t xml:space="preserve"> </w:t>
      </w:r>
      <w:r w:rsidR="00B5200F" w:rsidRPr="00964611">
        <w:rPr>
          <w:rFonts w:ascii="Times New Roman" w:hAnsi="Times New Roman" w:cs="Times New Roman"/>
          <w:sz w:val="24"/>
          <w:szCs w:val="24"/>
        </w:rPr>
        <w:t xml:space="preserve">The expansion of the court system permeated into the </w:t>
      </w:r>
      <w:r w:rsidR="00B5200F" w:rsidRPr="00964611">
        <w:rPr>
          <w:rFonts w:ascii="Times New Roman" w:hAnsi="Times New Roman" w:cs="Times New Roman"/>
          <w:i/>
          <w:sz w:val="24"/>
          <w:szCs w:val="24"/>
        </w:rPr>
        <w:t>chora</w:t>
      </w:r>
      <w:r w:rsidR="00B5200F" w:rsidRPr="00964611">
        <w:rPr>
          <w:rFonts w:ascii="Times New Roman" w:hAnsi="Times New Roman" w:cs="Times New Roman"/>
          <w:sz w:val="24"/>
          <w:szCs w:val="24"/>
        </w:rPr>
        <w:t xml:space="preserve"> where the Hellenistic influence ha</w:t>
      </w:r>
      <w:r w:rsidR="00F54263" w:rsidRPr="00964611">
        <w:rPr>
          <w:rFonts w:ascii="Times New Roman" w:hAnsi="Times New Roman" w:cs="Times New Roman"/>
          <w:sz w:val="24"/>
          <w:szCs w:val="24"/>
        </w:rPr>
        <w:t>d</w:t>
      </w:r>
      <w:r w:rsidR="00B5200F" w:rsidRPr="00964611">
        <w:rPr>
          <w:rFonts w:ascii="Times New Roman" w:hAnsi="Times New Roman" w:cs="Times New Roman"/>
          <w:sz w:val="24"/>
          <w:szCs w:val="24"/>
        </w:rPr>
        <w:t xml:space="preserve"> thus far been “the most gradual and had met the most resistance”.</w:t>
      </w:r>
      <w:r w:rsidR="00B5200F" w:rsidRPr="00964611">
        <w:rPr>
          <w:rStyle w:val="FootnoteReference"/>
          <w:rFonts w:ascii="Times New Roman" w:hAnsi="Times New Roman" w:cs="Times New Roman"/>
          <w:sz w:val="24"/>
          <w:szCs w:val="24"/>
        </w:rPr>
        <w:footnoteReference w:id="28"/>
      </w:r>
      <w:r w:rsidR="00B5200F" w:rsidRPr="00964611">
        <w:rPr>
          <w:rFonts w:ascii="Times New Roman" w:hAnsi="Times New Roman" w:cs="Times New Roman"/>
          <w:sz w:val="24"/>
          <w:szCs w:val="24"/>
        </w:rPr>
        <w:t xml:space="preserve"> </w:t>
      </w:r>
      <w:r w:rsidR="00E20483" w:rsidRPr="00964611">
        <w:rPr>
          <w:rFonts w:ascii="Times New Roman" w:hAnsi="Times New Roman" w:cs="Times New Roman"/>
          <w:sz w:val="24"/>
          <w:szCs w:val="24"/>
        </w:rPr>
        <w:t>At the time of these changes, the Ptolemaic state was “in a weak position and facing various threats, including a m</w:t>
      </w:r>
      <w:r w:rsidR="0028103E" w:rsidRPr="00964611">
        <w:rPr>
          <w:rFonts w:ascii="Times New Roman" w:hAnsi="Times New Roman" w:cs="Times New Roman"/>
          <w:sz w:val="24"/>
          <w:szCs w:val="24"/>
        </w:rPr>
        <w:t>a</w:t>
      </w:r>
      <w:r w:rsidR="00E20483" w:rsidRPr="00964611">
        <w:rPr>
          <w:rFonts w:ascii="Times New Roman" w:hAnsi="Times New Roman" w:cs="Times New Roman"/>
          <w:sz w:val="24"/>
          <w:szCs w:val="24"/>
        </w:rPr>
        <w:t>jor revolt in Upper Egypt”</w:t>
      </w:r>
      <w:r w:rsidR="00126A3D" w:rsidRPr="00964611">
        <w:rPr>
          <w:rFonts w:ascii="Times New Roman" w:hAnsi="Times New Roman" w:cs="Times New Roman"/>
          <w:sz w:val="24"/>
          <w:szCs w:val="24"/>
        </w:rPr>
        <w:t>, which I will expand on below</w:t>
      </w:r>
      <w:r w:rsidR="00E20483" w:rsidRPr="00964611">
        <w:rPr>
          <w:rFonts w:ascii="Times New Roman" w:hAnsi="Times New Roman" w:cs="Times New Roman"/>
          <w:sz w:val="24"/>
          <w:szCs w:val="24"/>
        </w:rPr>
        <w:t>.</w:t>
      </w:r>
      <w:r w:rsidR="00E20483" w:rsidRPr="00964611">
        <w:rPr>
          <w:rStyle w:val="FootnoteReference"/>
          <w:rFonts w:ascii="Times New Roman" w:hAnsi="Times New Roman" w:cs="Times New Roman"/>
          <w:sz w:val="24"/>
          <w:szCs w:val="24"/>
        </w:rPr>
        <w:footnoteReference w:id="29"/>
      </w:r>
      <w:r w:rsidR="00E20483" w:rsidRPr="00964611">
        <w:rPr>
          <w:rFonts w:ascii="Times New Roman" w:hAnsi="Times New Roman" w:cs="Times New Roman"/>
          <w:sz w:val="24"/>
          <w:szCs w:val="24"/>
        </w:rPr>
        <w:t xml:space="preserve"> In C. Fischer-Bovet’s 2015 article ‘Social Unrest and Ethnic Coexistence in Ptolemaic Egypt and the Seleucid Empire’, she explains the concept of ‘mediators’: locals were integrated into the administration and military systems of the Ptolemaic and Seleucid courts to “facilitate the balancing of solidarities”, and create links of trust between locals and the new governing group.</w:t>
      </w:r>
      <w:r w:rsidR="00E20483" w:rsidRPr="00964611">
        <w:rPr>
          <w:rStyle w:val="FootnoteReference"/>
          <w:rFonts w:ascii="Times New Roman" w:hAnsi="Times New Roman" w:cs="Times New Roman"/>
          <w:sz w:val="24"/>
          <w:szCs w:val="24"/>
        </w:rPr>
        <w:footnoteReference w:id="30"/>
      </w:r>
      <w:r w:rsidR="00E20483" w:rsidRPr="00964611">
        <w:rPr>
          <w:rFonts w:ascii="Times New Roman" w:hAnsi="Times New Roman" w:cs="Times New Roman"/>
          <w:sz w:val="24"/>
          <w:szCs w:val="24"/>
        </w:rPr>
        <w:t xml:space="preserve"> </w:t>
      </w:r>
      <w:r w:rsidR="00F54263" w:rsidRPr="00964611">
        <w:rPr>
          <w:rFonts w:ascii="Times New Roman" w:hAnsi="Times New Roman" w:cs="Times New Roman"/>
          <w:sz w:val="24"/>
          <w:szCs w:val="24"/>
        </w:rPr>
        <w:t>With local peoples holding posts at the local level, and being integrated into the Hellenistic court system, they could play “the role of mediators between villagers and the central power”.</w:t>
      </w:r>
      <w:r w:rsidR="00F54263" w:rsidRPr="00964611">
        <w:rPr>
          <w:rStyle w:val="FootnoteReference"/>
          <w:rFonts w:ascii="Times New Roman" w:hAnsi="Times New Roman" w:cs="Times New Roman"/>
          <w:sz w:val="24"/>
          <w:szCs w:val="24"/>
        </w:rPr>
        <w:footnoteReference w:id="31"/>
      </w:r>
      <w:r w:rsidR="00E20483" w:rsidRPr="00964611">
        <w:rPr>
          <w:rFonts w:ascii="Times New Roman" w:hAnsi="Times New Roman" w:cs="Times New Roman"/>
          <w:sz w:val="24"/>
          <w:szCs w:val="24"/>
        </w:rPr>
        <w:t xml:space="preserve"> </w:t>
      </w:r>
      <w:r w:rsidR="00126A3D" w:rsidRPr="00964611">
        <w:rPr>
          <w:rFonts w:ascii="Times New Roman" w:hAnsi="Times New Roman" w:cs="Times New Roman"/>
          <w:sz w:val="24"/>
          <w:szCs w:val="24"/>
        </w:rPr>
        <w:t xml:space="preserve">Moyer has proposed that at least </w:t>
      </w:r>
      <w:r w:rsidR="00B72274" w:rsidRPr="00964611">
        <w:rPr>
          <w:rFonts w:ascii="Times New Roman" w:hAnsi="Times New Roman" w:cs="Times New Roman"/>
          <w:sz w:val="24"/>
          <w:szCs w:val="24"/>
        </w:rPr>
        <w:t xml:space="preserve">twenty six native Egyptians held the title of </w:t>
      </w:r>
      <w:proofErr w:type="spellStart"/>
      <w:r w:rsidR="00B72274" w:rsidRPr="00964611">
        <w:rPr>
          <w:rFonts w:ascii="Times New Roman" w:hAnsi="Times New Roman" w:cs="Times New Roman"/>
          <w:i/>
          <w:sz w:val="24"/>
          <w:szCs w:val="24"/>
        </w:rPr>
        <w:t>syngenes</w:t>
      </w:r>
      <w:proofErr w:type="spellEnd"/>
      <w:r w:rsidR="00B72274" w:rsidRPr="00964611">
        <w:rPr>
          <w:rFonts w:ascii="Times New Roman" w:hAnsi="Times New Roman" w:cs="Times New Roman"/>
          <w:sz w:val="24"/>
          <w:szCs w:val="24"/>
        </w:rPr>
        <w:t>, around 20 percent of the total number.</w:t>
      </w:r>
      <w:r w:rsidR="00B72274" w:rsidRPr="00964611">
        <w:rPr>
          <w:rStyle w:val="FootnoteReference"/>
          <w:rFonts w:ascii="Times New Roman" w:hAnsi="Times New Roman" w:cs="Times New Roman"/>
          <w:sz w:val="24"/>
          <w:szCs w:val="24"/>
        </w:rPr>
        <w:footnoteReference w:id="32"/>
      </w:r>
      <w:r w:rsidR="00B72274" w:rsidRPr="00964611">
        <w:rPr>
          <w:rFonts w:ascii="Times New Roman" w:hAnsi="Times New Roman" w:cs="Times New Roman"/>
          <w:sz w:val="24"/>
          <w:szCs w:val="24"/>
        </w:rPr>
        <w:t xml:space="preserve"> </w:t>
      </w:r>
      <w:r w:rsidR="00E84122" w:rsidRPr="00964611">
        <w:rPr>
          <w:rFonts w:ascii="Times New Roman" w:hAnsi="Times New Roman" w:cs="Times New Roman"/>
          <w:sz w:val="24"/>
          <w:szCs w:val="24"/>
        </w:rPr>
        <w:t xml:space="preserve">This does not include any Egyptians who held posts at a lower level, but is a clear demonstration of the inclusion and status afforded to the people who were once subjugated by the court. </w:t>
      </w:r>
    </w:p>
    <w:p w14:paraId="16C3AA95" w14:textId="2ABFAFB9" w:rsidR="00381DE7" w:rsidRPr="00964611" w:rsidRDefault="00381DE7"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Tensions within Ptolemaic Egypt had reached a peak under the reign of Ptolemy VIII</w:t>
      </w:r>
      <w:r w:rsidR="00F17A8C" w:rsidRPr="00964611">
        <w:rPr>
          <w:rFonts w:ascii="Times New Roman" w:hAnsi="Times New Roman" w:cs="Times New Roman"/>
          <w:sz w:val="24"/>
          <w:szCs w:val="24"/>
        </w:rPr>
        <w:t>, as I will expand on below</w:t>
      </w:r>
      <w:r w:rsidRPr="00964611">
        <w:rPr>
          <w:rFonts w:ascii="Times New Roman" w:hAnsi="Times New Roman" w:cs="Times New Roman"/>
          <w:sz w:val="24"/>
          <w:szCs w:val="24"/>
        </w:rPr>
        <w:t>.</w:t>
      </w:r>
      <w:r w:rsidRPr="00964611">
        <w:rPr>
          <w:rStyle w:val="FootnoteReference"/>
          <w:rFonts w:ascii="Times New Roman" w:hAnsi="Times New Roman" w:cs="Times New Roman"/>
          <w:sz w:val="24"/>
          <w:szCs w:val="24"/>
        </w:rPr>
        <w:footnoteReference w:id="33"/>
      </w:r>
      <w:r w:rsidRPr="00964611">
        <w:rPr>
          <w:rFonts w:ascii="Times New Roman" w:hAnsi="Times New Roman" w:cs="Times New Roman"/>
          <w:sz w:val="24"/>
          <w:szCs w:val="24"/>
        </w:rPr>
        <w:t xml:space="preserve"> </w:t>
      </w:r>
      <w:r w:rsidR="00F80A5A" w:rsidRPr="00964611">
        <w:rPr>
          <w:rFonts w:ascii="Times New Roman" w:hAnsi="Times New Roman" w:cs="Times New Roman"/>
          <w:sz w:val="24"/>
          <w:szCs w:val="24"/>
        </w:rPr>
        <w:t xml:space="preserve">Adler argues that it was his ‘levelling of the playing field’ between the Graeco-Macedonians and the Egyptians that ended “race-based imperialism”, </w:t>
      </w:r>
      <w:r w:rsidR="00D94E0F" w:rsidRPr="00964611">
        <w:rPr>
          <w:rFonts w:ascii="Times New Roman" w:hAnsi="Times New Roman" w:cs="Times New Roman"/>
          <w:sz w:val="24"/>
          <w:szCs w:val="24"/>
        </w:rPr>
        <w:t xml:space="preserve">encouraged </w:t>
      </w:r>
      <w:r w:rsidR="00F80A5A" w:rsidRPr="00964611">
        <w:rPr>
          <w:rFonts w:ascii="Times New Roman" w:hAnsi="Times New Roman" w:cs="Times New Roman"/>
          <w:sz w:val="24"/>
          <w:szCs w:val="24"/>
        </w:rPr>
        <w:t xml:space="preserve">the advent of “hierarchical, class-based colonialism” that involved the Egyptian people, and </w:t>
      </w:r>
      <w:r w:rsidR="00F80A5A" w:rsidRPr="00964611">
        <w:rPr>
          <w:rFonts w:ascii="Times New Roman" w:hAnsi="Times New Roman" w:cs="Times New Roman"/>
          <w:sz w:val="24"/>
          <w:szCs w:val="24"/>
        </w:rPr>
        <w:lastRenderedPageBreak/>
        <w:t>helped to stabilise Ptolemaic rule.</w:t>
      </w:r>
      <w:r w:rsidR="00F80A5A" w:rsidRPr="00964611">
        <w:rPr>
          <w:rStyle w:val="FootnoteReference"/>
          <w:rFonts w:ascii="Times New Roman" w:hAnsi="Times New Roman" w:cs="Times New Roman"/>
          <w:sz w:val="24"/>
          <w:szCs w:val="24"/>
        </w:rPr>
        <w:footnoteReference w:id="34"/>
      </w:r>
      <w:r w:rsidR="00F80A5A" w:rsidRPr="00964611">
        <w:rPr>
          <w:rFonts w:ascii="Times New Roman" w:hAnsi="Times New Roman" w:cs="Times New Roman"/>
          <w:sz w:val="24"/>
          <w:szCs w:val="24"/>
        </w:rPr>
        <w:t xml:space="preserve"> </w:t>
      </w:r>
      <w:r w:rsidR="00EA1890" w:rsidRPr="00964611">
        <w:rPr>
          <w:rFonts w:ascii="Times New Roman" w:hAnsi="Times New Roman" w:cs="Times New Roman"/>
          <w:sz w:val="24"/>
          <w:szCs w:val="24"/>
        </w:rPr>
        <w:t>By this time, too, through ‘intermingling and intermarriage’, there was a group of people who identified as “the Alexandrians” who, despite their Greek heritage, would likely also have felt alienated by the race-based imperialism of the third century.</w:t>
      </w:r>
      <w:r w:rsidR="00D94E0F" w:rsidRPr="00964611">
        <w:rPr>
          <w:rStyle w:val="FootnoteReference"/>
          <w:rFonts w:ascii="Times New Roman" w:hAnsi="Times New Roman" w:cs="Times New Roman"/>
          <w:sz w:val="24"/>
          <w:szCs w:val="24"/>
        </w:rPr>
        <w:footnoteReference w:id="35"/>
      </w:r>
      <w:r w:rsidR="00EA1890" w:rsidRPr="00964611">
        <w:rPr>
          <w:rFonts w:ascii="Times New Roman" w:hAnsi="Times New Roman" w:cs="Times New Roman"/>
          <w:sz w:val="24"/>
          <w:szCs w:val="24"/>
        </w:rPr>
        <w:t xml:space="preserve"> </w:t>
      </w:r>
      <w:r w:rsidR="00D94E0F" w:rsidRPr="00964611">
        <w:rPr>
          <w:rFonts w:ascii="Times New Roman" w:hAnsi="Times New Roman" w:cs="Times New Roman"/>
          <w:sz w:val="24"/>
          <w:szCs w:val="24"/>
        </w:rPr>
        <w:t>Earlier, under Ptolemy IV, the native Egyptians were enlisted to aid in the battle at Raphia</w:t>
      </w:r>
      <w:r w:rsidR="00C75A6A" w:rsidRPr="00964611">
        <w:rPr>
          <w:rFonts w:ascii="Times New Roman" w:hAnsi="Times New Roman" w:cs="Times New Roman"/>
          <w:sz w:val="24"/>
          <w:szCs w:val="24"/>
        </w:rPr>
        <w:t>, though this had the unintended side effect of boosting their ‘self-esteem’.</w:t>
      </w:r>
      <w:r w:rsidR="00C75A6A" w:rsidRPr="00964611">
        <w:rPr>
          <w:rStyle w:val="FootnoteReference"/>
          <w:rFonts w:ascii="Times New Roman" w:hAnsi="Times New Roman" w:cs="Times New Roman"/>
          <w:sz w:val="24"/>
          <w:szCs w:val="24"/>
        </w:rPr>
        <w:footnoteReference w:id="36"/>
      </w:r>
      <w:r w:rsidR="00C75A6A" w:rsidRPr="00964611">
        <w:rPr>
          <w:rFonts w:ascii="Times New Roman" w:hAnsi="Times New Roman" w:cs="Times New Roman"/>
          <w:sz w:val="24"/>
          <w:szCs w:val="24"/>
        </w:rPr>
        <w:t xml:space="preserve"> They realised that the supposed force-based advantage of the Graeco-Macedonians that had prevented them from resisting their rule previously was not because they were “intrinsically superior to them in warfare”, but that they had “[better] tactics and sophisticated weaponry”.</w:t>
      </w:r>
      <w:r w:rsidR="00C75A6A" w:rsidRPr="00964611">
        <w:rPr>
          <w:rStyle w:val="FootnoteReference"/>
          <w:rFonts w:ascii="Times New Roman" w:hAnsi="Times New Roman" w:cs="Times New Roman"/>
          <w:sz w:val="24"/>
          <w:szCs w:val="24"/>
        </w:rPr>
        <w:footnoteReference w:id="37"/>
      </w:r>
      <w:r w:rsidR="00C75A6A" w:rsidRPr="00964611">
        <w:rPr>
          <w:rFonts w:ascii="Times New Roman" w:hAnsi="Times New Roman" w:cs="Times New Roman"/>
          <w:sz w:val="24"/>
          <w:szCs w:val="24"/>
        </w:rPr>
        <w:t xml:space="preserve"> </w:t>
      </w:r>
      <w:r w:rsidR="00326C32" w:rsidRPr="00964611">
        <w:rPr>
          <w:rFonts w:ascii="Times New Roman" w:hAnsi="Times New Roman" w:cs="Times New Roman"/>
          <w:sz w:val="24"/>
          <w:szCs w:val="24"/>
        </w:rPr>
        <w:t>Polybius tells us that the native Egyptians had been armed by Ptolemy IV against Antiochus III, but that while this benefitted him in the present</w:t>
      </w:r>
      <w:r w:rsidR="002F3AE4" w:rsidRPr="00964611">
        <w:rPr>
          <w:rFonts w:ascii="Times New Roman" w:hAnsi="Times New Roman" w:cs="Times New Roman"/>
          <w:sz w:val="24"/>
          <w:szCs w:val="24"/>
        </w:rPr>
        <w:t>, “the king, by arming the Egyptians for his war against Antiochus, took a step which was of great service for the time”,</w:t>
      </w:r>
      <w:r w:rsidR="00326C32" w:rsidRPr="00964611">
        <w:rPr>
          <w:rFonts w:ascii="Times New Roman" w:hAnsi="Times New Roman" w:cs="Times New Roman"/>
          <w:sz w:val="24"/>
          <w:szCs w:val="24"/>
        </w:rPr>
        <w:t xml:space="preserve"> it would have </w:t>
      </w:r>
      <w:r w:rsidR="002F3AE4" w:rsidRPr="00964611">
        <w:rPr>
          <w:rFonts w:ascii="Times New Roman" w:hAnsi="Times New Roman" w:cs="Times New Roman"/>
          <w:sz w:val="24"/>
          <w:szCs w:val="24"/>
        </w:rPr>
        <w:t xml:space="preserve">dire </w:t>
      </w:r>
      <w:r w:rsidR="00B073F8" w:rsidRPr="00964611">
        <w:rPr>
          <w:rFonts w:ascii="Times New Roman" w:hAnsi="Times New Roman" w:cs="Times New Roman"/>
          <w:sz w:val="24"/>
          <w:szCs w:val="24"/>
        </w:rPr>
        <w:t>consequences</w:t>
      </w:r>
      <w:r w:rsidR="002F3AE4" w:rsidRPr="00964611">
        <w:rPr>
          <w:rFonts w:ascii="Times New Roman" w:hAnsi="Times New Roman" w:cs="Times New Roman"/>
          <w:sz w:val="24"/>
          <w:szCs w:val="24"/>
        </w:rPr>
        <w:t xml:space="preserve"> for the future, referencing the later </w:t>
      </w:r>
      <w:r w:rsidR="00B073F8" w:rsidRPr="00964611">
        <w:rPr>
          <w:rFonts w:ascii="Times New Roman" w:hAnsi="Times New Roman" w:cs="Times New Roman"/>
          <w:sz w:val="24"/>
          <w:szCs w:val="24"/>
        </w:rPr>
        <w:t>resistance</w:t>
      </w:r>
      <w:r w:rsidR="002F3AE4" w:rsidRPr="00964611">
        <w:rPr>
          <w:rFonts w:ascii="Times New Roman" w:hAnsi="Times New Roman" w:cs="Times New Roman"/>
          <w:sz w:val="24"/>
          <w:szCs w:val="24"/>
        </w:rPr>
        <w:t xml:space="preserve"> by the Egyptians that I will describe below under Ptolemy VIII.</w:t>
      </w:r>
      <w:r w:rsidR="002F3AE4" w:rsidRPr="00964611">
        <w:rPr>
          <w:rStyle w:val="FootnoteReference"/>
          <w:rFonts w:ascii="Times New Roman" w:hAnsi="Times New Roman" w:cs="Times New Roman"/>
          <w:sz w:val="24"/>
          <w:szCs w:val="24"/>
        </w:rPr>
        <w:footnoteReference w:id="38"/>
      </w:r>
      <w:r w:rsidR="002F3AE4" w:rsidRPr="00964611">
        <w:rPr>
          <w:rFonts w:ascii="Times New Roman" w:hAnsi="Times New Roman" w:cs="Times New Roman"/>
          <w:sz w:val="24"/>
          <w:szCs w:val="24"/>
        </w:rPr>
        <w:t xml:space="preserve"> </w:t>
      </w:r>
      <w:r w:rsidR="00C75A6A" w:rsidRPr="00964611">
        <w:rPr>
          <w:rFonts w:ascii="Times New Roman" w:hAnsi="Times New Roman" w:cs="Times New Roman"/>
          <w:sz w:val="24"/>
          <w:szCs w:val="24"/>
        </w:rPr>
        <w:t xml:space="preserve">This shift in attitude likely encouraged the negative impression towards and desire to resist against the new </w:t>
      </w:r>
      <w:r w:rsidR="00BC1919" w:rsidRPr="00964611">
        <w:rPr>
          <w:rFonts w:ascii="Times New Roman" w:hAnsi="Times New Roman" w:cs="Times New Roman"/>
          <w:sz w:val="24"/>
          <w:szCs w:val="24"/>
        </w:rPr>
        <w:t>rulers that</w:t>
      </w:r>
      <w:r w:rsidR="00C75A6A" w:rsidRPr="00964611">
        <w:rPr>
          <w:rFonts w:ascii="Times New Roman" w:hAnsi="Times New Roman" w:cs="Times New Roman"/>
          <w:sz w:val="24"/>
          <w:szCs w:val="24"/>
        </w:rPr>
        <w:t xml:space="preserve"> I described above, that resulted in this peak of tension</w:t>
      </w:r>
      <w:r w:rsidR="00404743" w:rsidRPr="00964611">
        <w:rPr>
          <w:rFonts w:ascii="Times New Roman" w:hAnsi="Times New Roman" w:cs="Times New Roman"/>
          <w:sz w:val="24"/>
          <w:szCs w:val="24"/>
        </w:rPr>
        <w:t xml:space="preserve"> after 217</w:t>
      </w:r>
      <w:r w:rsidR="00C75A6A" w:rsidRPr="00964611">
        <w:rPr>
          <w:rFonts w:ascii="Times New Roman" w:hAnsi="Times New Roman" w:cs="Times New Roman"/>
          <w:sz w:val="24"/>
          <w:szCs w:val="24"/>
        </w:rPr>
        <w:t xml:space="preserve"> under Ptolemy VIII. </w:t>
      </w:r>
      <w:r w:rsidR="00404743" w:rsidRPr="00964611">
        <w:rPr>
          <w:rFonts w:ascii="Times New Roman" w:hAnsi="Times New Roman" w:cs="Times New Roman"/>
          <w:sz w:val="24"/>
          <w:szCs w:val="24"/>
        </w:rPr>
        <w:t>Polybius’ account is simplistic, calling the Egyptians ‘arrogant’, so Walbank argues that the reality of the situation was more complex.</w:t>
      </w:r>
      <w:r w:rsidR="00404743" w:rsidRPr="00964611">
        <w:rPr>
          <w:rStyle w:val="FootnoteReference"/>
          <w:rFonts w:ascii="Times New Roman" w:hAnsi="Times New Roman" w:cs="Times New Roman"/>
          <w:sz w:val="24"/>
          <w:szCs w:val="24"/>
        </w:rPr>
        <w:footnoteReference w:id="39"/>
      </w:r>
      <w:r w:rsidR="00404743" w:rsidRPr="00964611">
        <w:rPr>
          <w:rFonts w:ascii="Times New Roman" w:hAnsi="Times New Roman" w:cs="Times New Roman"/>
          <w:sz w:val="24"/>
          <w:szCs w:val="24"/>
        </w:rPr>
        <w:t xml:space="preserve"> The inclusion of the native Egyptians </w:t>
      </w:r>
      <w:r w:rsidR="00B073F8" w:rsidRPr="00964611">
        <w:rPr>
          <w:rFonts w:ascii="Times New Roman" w:hAnsi="Times New Roman" w:cs="Times New Roman"/>
          <w:sz w:val="24"/>
          <w:szCs w:val="24"/>
        </w:rPr>
        <w:t xml:space="preserve">into the Ptolemaic ranks was likely fuelled in part by economics, as indicated by “a deterioration in the Ptolemaic currency under Ptolemy III”. War itself is a costly business and financial difficulties led to unrest amongst the </w:t>
      </w:r>
      <w:proofErr w:type="spellStart"/>
      <w:r w:rsidR="00B073F8" w:rsidRPr="00964611">
        <w:rPr>
          <w:rFonts w:ascii="Times New Roman" w:hAnsi="Times New Roman" w:cs="Times New Roman"/>
          <w:sz w:val="24"/>
          <w:szCs w:val="24"/>
        </w:rPr>
        <w:t>peasantary</w:t>
      </w:r>
      <w:proofErr w:type="spellEnd"/>
      <w:r w:rsidR="00B073F8" w:rsidRPr="00964611">
        <w:rPr>
          <w:rFonts w:ascii="Times New Roman" w:hAnsi="Times New Roman" w:cs="Times New Roman"/>
          <w:sz w:val="24"/>
          <w:szCs w:val="24"/>
        </w:rPr>
        <w:t xml:space="preserve"> and increased pressure to deal with the </w:t>
      </w:r>
      <w:r w:rsidR="00B073F8" w:rsidRPr="00964611">
        <w:rPr>
          <w:rFonts w:ascii="Times New Roman" w:hAnsi="Times New Roman" w:cs="Times New Roman"/>
          <w:sz w:val="24"/>
          <w:szCs w:val="24"/>
        </w:rPr>
        <w:lastRenderedPageBreak/>
        <w:t>situation.</w:t>
      </w:r>
      <w:r w:rsidR="00B073F8" w:rsidRPr="00964611">
        <w:rPr>
          <w:rStyle w:val="FootnoteReference"/>
          <w:rFonts w:ascii="Times New Roman" w:hAnsi="Times New Roman" w:cs="Times New Roman"/>
          <w:sz w:val="24"/>
          <w:szCs w:val="24"/>
        </w:rPr>
        <w:footnoteReference w:id="40"/>
      </w:r>
      <w:r w:rsidR="00B073F8" w:rsidRPr="00964611">
        <w:rPr>
          <w:rFonts w:ascii="Times New Roman" w:hAnsi="Times New Roman" w:cs="Times New Roman"/>
          <w:sz w:val="24"/>
          <w:szCs w:val="24"/>
        </w:rPr>
        <w:t xml:space="preserve"> Ptolemy IV also had to deal with the desertion of “several of his mercenary captains”, leading to gaps in manpower </w:t>
      </w:r>
      <w:r w:rsidR="00C626A1" w:rsidRPr="00964611">
        <w:rPr>
          <w:rFonts w:ascii="Times New Roman" w:hAnsi="Times New Roman" w:cs="Times New Roman"/>
          <w:sz w:val="24"/>
          <w:szCs w:val="24"/>
        </w:rPr>
        <w:t>that would have added thus more pressure onto him.</w:t>
      </w:r>
      <w:r w:rsidR="00C626A1" w:rsidRPr="00964611">
        <w:rPr>
          <w:rStyle w:val="FootnoteReference"/>
          <w:rFonts w:ascii="Times New Roman" w:hAnsi="Times New Roman" w:cs="Times New Roman"/>
          <w:sz w:val="24"/>
          <w:szCs w:val="24"/>
        </w:rPr>
        <w:footnoteReference w:id="41"/>
      </w:r>
    </w:p>
    <w:p w14:paraId="7A239813" w14:textId="52517973" w:rsidR="0049443D" w:rsidRPr="00964611" w:rsidRDefault="0049443D"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The fallout of these tensions was that the native Egyptians act</w:t>
      </w:r>
      <w:r w:rsidR="00765482" w:rsidRPr="00964611">
        <w:rPr>
          <w:rFonts w:ascii="Times New Roman" w:hAnsi="Times New Roman" w:cs="Times New Roman"/>
          <w:sz w:val="24"/>
          <w:szCs w:val="24"/>
        </w:rPr>
        <w:t>ed upon their desire to resist, resulting in a large civil war that saw the “breakaway of Upper Egypt” that was governed by “pharaohs of Nubian origin”.</w:t>
      </w:r>
      <w:r w:rsidR="00765482" w:rsidRPr="00964611">
        <w:rPr>
          <w:rStyle w:val="FootnoteReference"/>
          <w:rFonts w:ascii="Times New Roman" w:hAnsi="Times New Roman" w:cs="Times New Roman"/>
          <w:sz w:val="24"/>
          <w:szCs w:val="24"/>
        </w:rPr>
        <w:footnoteReference w:id="42"/>
      </w:r>
      <w:r w:rsidR="00765482" w:rsidRPr="00964611">
        <w:rPr>
          <w:rFonts w:ascii="Times New Roman" w:hAnsi="Times New Roman" w:cs="Times New Roman"/>
          <w:sz w:val="24"/>
          <w:szCs w:val="24"/>
        </w:rPr>
        <w:t xml:space="preserve"> </w:t>
      </w:r>
      <w:r w:rsidR="00972756" w:rsidRPr="00964611">
        <w:rPr>
          <w:rFonts w:ascii="Times New Roman" w:hAnsi="Times New Roman" w:cs="Times New Roman"/>
          <w:sz w:val="24"/>
          <w:szCs w:val="24"/>
        </w:rPr>
        <w:t xml:space="preserve">Walbank argues that these signs of ‘governmental weakness or even collapse’ were likely the result of “growing social distress” for the native Egyptians </w:t>
      </w:r>
      <w:r w:rsidR="00B226E4" w:rsidRPr="00964611">
        <w:rPr>
          <w:rFonts w:ascii="Times New Roman" w:hAnsi="Times New Roman" w:cs="Times New Roman"/>
          <w:sz w:val="24"/>
          <w:szCs w:val="24"/>
        </w:rPr>
        <w:t>whom were subjugated by the Greek ruling class, as well as the fact that Graeco-Macedonian immigration had ‘dried up’ long before this unrest resulting in a weakened Ptolemaic court.</w:t>
      </w:r>
      <w:r w:rsidR="00B226E4" w:rsidRPr="00964611">
        <w:rPr>
          <w:rStyle w:val="FootnoteReference"/>
          <w:rFonts w:ascii="Times New Roman" w:hAnsi="Times New Roman" w:cs="Times New Roman"/>
          <w:sz w:val="24"/>
          <w:szCs w:val="24"/>
        </w:rPr>
        <w:footnoteReference w:id="43"/>
      </w:r>
      <w:r w:rsidR="00972756" w:rsidRPr="00964611">
        <w:rPr>
          <w:rFonts w:ascii="Times New Roman" w:hAnsi="Times New Roman" w:cs="Times New Roman"/>
          <w:sz w:val="24"/>
          <w:szCs w:val="24"/>
        </w:rPr>
        <w:t xml:space="preserve"> </w:t>
      </w:r>
      <w:r w:rsidR="00B60004" w:rsidRPr="00964611">
        <w:rPr>
          <w:rFonts w:ascii="Times New Roman" w:hAnsi="Times New Roman" w:cs="Times New Roman"/>
          <w:sz w:val="24"/>
          <w:szCs w:val="24"/>
        </w:rPr>
        <w:t>As well as incorporating native Egyptian elites into the hierarchy of the Ptolemaic court as a solution of reducing racial tensions, Greeks of middle and lower social strata Alexandria were encourage to assimilate and intermarry with the Egyptians</w:t>
      </w:r>
      <w:r w:rsidR="00B60004" w:rsidRPr="00964611">
        <w:rPr>
          <w:rStyle w:val="FootnoteReference"/>
          <w:rFonts w:ascii="Times New Roman" w:hAnsi="Times New Roman" w:cs="Times New Roman"/>
          <w:sz w:val="24"/>
          <w:szCs w:val="24"/>
        </w:rPr>
        <w:footnoteReference w:id="44"/>
      </w:r>
      <w:r w:rsidR="00B60004" w:rsidRPr="00964611">
        <w:rPr>
          <w:rFonts w:ascii="Times New Roman" w:hAnsi="Times New Roman" w:cs="Times New Roman"/>
          <w:sz w:val="24"/>
          <w:szCs w:val="24"/>
        </w:rPr>
        <w:t xml:space="preserve">, helping to blur the boundaries and </w:t>
      </w:r>
      <w:r w:rsidR="0069392A" w:rsidRPr="00964611">
        <w:rPr>
          <w:rFonts w:ascii="Times New Roman" w:hAnsi="Times New Roman" w:cs="Times New Roman"/>
          <w:sz w:val="24"/>
          <w:szCs w:val="24"/>
        </w:rPr>
        <w:t xml:space="preserve">encourage cohesions between the two groups of people. </w:t>
      </w:r>
      <w:r w:rsidR="00D62188" w:rsidRPr="00964611">
        <w:rPr>
          <w:rFonts w:ascii="Times New Roman" w:hAnsi="Times New Roman" w:cs="Times New Roman"/>
          <w:sz w:val="24"/>
          <w:szCs w:val="24"/>
        </w:rPr>
        <w:t>Friction following this assimilation was “all political in nature, and no longer the result of racial friction”</w:t>
      </w:r>
      <w:r w:rsidR="00D62188" w:rsidRPr="00964611">
        <w:rPr>
          <w:rStyle w:val="FootnoteReference"/>
          <w:rFonts w:ascii="Times New Roman" w:hAnsi="Times New Roman" w:cs="Times New Roman"/>
          <w:sz w:val="24"/>
          <w:szCs w:val="24"/>
        </w:rPr>
        <w:footnoteReference w:id="45"/>
      </w:r>
      <w:r w:rsidR="00D62188" w:rsidRPr="00964611">
        <w:rPr>
          <w:rFonts w:ascii="Times New Roman" w:hAnsi="Times New Roman" w:cs="Times New Roman"/>
          <w:sz w:val="24"/>
          <w:szCs w:val="24"/>
        </w:rPr>
        <w:t xml:space="preserve">, a point which Fischer-Bovet argues. </w:t>
      </w:r>
    </w:p>
    <w:p w14:paraId="1AAD07EC" w14:textId="30458EF5" w:rsidR="00B226E4" w:rsidRPr="00964611" w:rsidRDefault="00B226E4"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 xml:space="preserve">Further appeasement was </w:t>
      </w:r>
      <w:r w:rsidR="004B7CCF" w:rsidRPr="00964611">
        <w:rPr>
          <w:rFonts w:ascii="Times New Roman" w:hAnsi="Times New Roman" w:cs="Times New Roman"/>
          <w:sz w:val="24"/>
          <w:szCs w:val="24"/>
        </w:rPr>
        <w:t xml:space="preserve">found for the Egyptians at this time, outside of ‘fiscal concessions’ in the form of land allotments for soldiers and inclusion into Greek </w:t>
      </w:r>
      <w:proofErr w:type="spellStart"/>
      <w:r w:rsidR="004B7CCF" w:rsidRPr="00964611">
        <w:rPr>
          <w:rFonts w:ascii="Times New Roman" w:hAnsi="Times New Roman" w:cs="Times New Roman"/>
          <w:sz w:val="24"/>
          <w:szCs w:val="24"/>
        </w:rPr>
        <w:t>beurocracy</w:t>
      </w:r>
      <w:proofErr w:type="spellEnd"/>
      <w:r w:rsidR="004B7CCF" w:rsidRPr="00964611">
        <w:rPr>
          <w:rFonts w:ascii="Times New Roman" w:hAnsi="Times New Roman" w:cs="Times New Roman"/>
          <w:sz w:val="24"/>
          <w:szCs w:val="24"/>
        </w:rPr>
        <w:t xml:space="preserve"> for those who acquired a Greek education. These are examples of the ‘ad hoc’ and gradual changes that I mentioned above, on top of the changes made to titles made available to non-Greeks.</w:t>
      </w:r>
      <w:r w:rsidR="004B7CCF" w:rsidRPr="00964611">
        <w:rPr>
          <w:rStyle w:val="FootnoteReference"/>
          <w:rFonts w:ascii="Times New Roman" w:hAnsi="Times New Roman" w:cs="Times New Roman"/>
          <w:sz w:val="24"/>
          <w:szCs w:val="24"/>
        </w:rPr>
        <w:footnoteReference w:id="46"/>
      </w:r>
    </w:p>
    <w:p w14:paraId="4453971F" w14:textId="77777777" w:rsidR="00F8735A" w:rsidRPr="00964611" w:rsidRDefault="00F54263"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Fischer-Bovet puts forward that greater emphasis on socio-economic factors should be made by scholars when looking at why the incoming Graeco-Macedonian ruling class would incorporate local elites into their court system</w:t>
      </w:r>
      <w:r w:rsidR="003B62BA" w:rsidRPr="00964611">
        <w:rPr>
          <w:rFonts w:ascii="Times New Roman" w:hAnsi="Times New Roman" w:cs="Times New Roman"/>
          <w:sz w:val="24"/>
          <w:szCs w:val="24"/>
        </w:rPr>
        <w:t xml:space="preserve">. By forming positive relations between rulers </w:t>
      </w:r>
      <w:r w:rsidR="003B62BA" w:rsidRPr="00964611">
        <w:rPr>
          <w:rFonts w:ascii="Times New Roman" w:hAnsi="Times New Roman" w:cs="Times New Roman"/>
          <w:sz w:val="24"/>
          <w:szCs w:val="24"/>
        </w:rPr>
        <w:lastRenderedPageBreak/>
        <w:t>and local elites, who both shared similar socio-economic aspirations, they could enter into a situation that was mutually beneficial.</w:t>
      </w:r>
      <w:r w:rsidR="003B62BA" w:rsidRPr="00964611">
        <w:rPr>
          <w:rStyle w:val="FootnoteReference"/>
          <w:rFonts w:ascii="Times New Roman" w:hAnsi="Times New Roman" w:cs="Times New Roman"/>
          <w:sz w:val="24"/>
          <w:szCs w:val="24"/>
        </w:rPr>
        <w:footnoteReference w:id="47"/>
      </w:r>
      <w:r w:rsidR="003B62BA" w:rsidRPr="00964611">
        <w:rPr>
          <w:rFonts w:ascii="Times New Roman" w:hAnsi="Times New Roman" w:cs="Times New Roman"/>
          <w:sz w:val="24"/>
          <w:szCs w:val="24"/>
        </w:rPr>
        <w:t xml:space="preserve"> This is a point that is strikingly similar to the discussion above, about the reciprocal relationship in the earlier exclusive Hellenistic courts betw</w:t>
      </w:r>
      <w:r w:rsidR="00242CE2" w:rsidRPr="00964611">
        <w:rPr>
          <w:rFonts w:ascii="Times New Roman" w:hAnsi="Times New Roman" w:cs="Times New Roman"/>
          <w:sz w:val="24"/>
          <w:szCs w:val="24"/>
        </w:rPr>
        <w:t xml:space="preserve">een the king and his courtiers. The local elites would </w:t>
      </w:r>
      <w:r w:rsidR="00F8735A" w:rsidRPr="00964611">
        <w:rPr>
          <w:rFonts w:ascii="Times New Roman" w:hAnsi="Times New Roman" w:cs="Times New Roman"/>
          <w:sz w:val="24"/>
          <w:szCs w:val="24"/>
        </w:rPr>
        <w:t xml:space="preserve">be able to increase their status, and the king would create cross-cultural and cross-ethnic connections in areas of the territory that had not yet been as touched by his influence. </w:t>
      </w:r>
    </w:p>
    <w:p w14:paraId="13DC1ACB" w14:textId="58D2253B" w:rsidR="00F54263" w:rsidRPr="00964611" w:rsidRDefault="00F8735A"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 xml:space="preserve">What this gain in status meant in actuality for the native Egyptian elites is questionable, however, when you consider evidence such as the statues of some of these ‘kinsmen’ in temples around the </w:t>
      </w:r>
      <w:r w:rsidRPr="00964611">
        <w:rPr>
          <w:rFonts w:ascii="Times New Roman" w:hAnsi="Times New Roman" w:cs="Times New Roman"/>
          <w:i/>
          <w:sz w:val="24"/>
          <w:szCs w:val="24"/>
        </w:rPr>
        <w:t>chora</w:t>
      </w:r>
      <w:r w:rsidRPr="00964611">
        <w:rPr>
          <w:rFonts w:ascii="Times New Roman" w:hAnsi="Times New Roman" w:cs="Times New Roman"/>
          <w:sz w:val="24"/>
          <w:szCs w:val="24"/>
        </w:rPr>
        <w:t xml:space="preserve">. </w:t>
      </w:r>
      <w:r w:rsidR="00C170D1" w:rsidRPr="00964611">
        <w:rPr>
          <w:rFonts w:ascii="Times New Roman" w:hAnsi="Times New Roman" w:cs="Times New Roman"/>
          <w:sz w:val="24"/>
          <w:szCs w:val="24"/>
        </w:rPr>
        <w:t xml:space="preserve">These statues were of local Egyptian elites who had ascended to one of the highest positions in the Hellenistic court, and depicted them wearing </w:t>
      </w:r>
      <w:r w:rsidR="00C170D1" w:rsidRPr="00964611">
        <w:rPr>
          <w:rFonts w:ascii="Times New Roman" w:hAnsi="Times New Roman" w:cs="Times New Roman"/>
          <w:i/>
          <w:sz w:val="24"/>
          <w:szCs w:val="24"/>
        </w:rPr>
        <w:t>mitra</w:t>
      </w:r>
      <w:r w:rsidR="00C170D1" w:rsidRPr="00964611">
        <w:rPr>
          <w:rFonts w:ascii="Times New Roman" w:hAnsi="Times New Roman" w:cs="Times New Roman"/>
          <w:sz w:val="24"/>
          <w:szCs w:val="24"/>
        </w:rPr>
        <w:t>, which was similar to the diadem worn by the king.</w:t>
      </w:r>
      <w:r w:rsidR="00C170D1" w:rsidRPr="00964611">
        <w:rPr>
          <w:rStyle w:val="FootnoteReference"/>
          <w:rFonts w:ascii="Times New Roman" w:hAnsi="Times New Roman" w:cs="Times New Roman"/>
          <w:sz w:val="24"/>
          <w:szCs w:val="24"/>
        </w:rPr>
        <w:footnoteReference w:id="48"/>
      </w:r>
      <w:r w:rsidR="00C170D1" w:rsidRPr="00964611">
        <w:rPr>
          <w:rFonts w:ascii="Times New Roman" w:hAnsi="Times New Roman" w:cs="Times New Roman"/>
          <w:sz w:val="24"/>
          <w:szCs w:val="24"/>
        </w:rPr>
        <w:t xml:space="preserve"> There was also inscriptions in demotic or hieroglyphs that denoted them as ‘kinsmen’. </w:t>
      </w:r>
      <w:r w:rsidR="00717A46" w:rsidRPr="00964611">
        <w:rPr>
          <w:rFonts w:ascii="Times New Roman" w:hAnsi="Times New Roman" w:cs="Times New Roman"/>
          <w:sz w:val="24"/>
          <w:szCs w:val="24"/>
        </w:rPr>
        <w:t xml:space="preserve">Would a lower-status person, who made up the majority of the population in the </w:t>
      </w:r>
      <w:r w:rsidR="00717A46" w:rsidRPr="00964611">
        <w:rPr>
          <w:rFonts w:ascii="Times New Roman" w:hAnsi="Times New Roman" w:cs="Times New Roman"/>
          <w:i/>
          <w:sz w:val="24"/>
          <w:szCs w:val="24"/>
        </w:rPr>
        <w:t>chora</w:t>
      </w:r>
      <w:r w:rsidR="00717A46" w:rsidRPr="00964611">
        <w:rPr>
          <w:rFonts w:ascii="Times New Roman" w:hAnsi="Times New Roman" w:cs="Times New Roman"/>
          <w:sz w:val="24"/>
          <w:szCs w:val="24"/>
        </w:rPr>
        <w:t xml:space="preserve"> have recognised the </w:t>
      </w:r>
      <w:r w:rsidR="00717A46" w:rsidRPr="00964611">
        <w:rPr>
          <w:rFonts w:ascii="Times New Roman" w:hAnsi="Times New Roman" w:cs="Times New Roman"/>
          <w:i/>
          <w:sz w:val="24"/>
          <w:szCs w:val="24"/>
        </w:rPr>
        <w:t>mitra</w:t>
      </w:r>
      <w:r w:rsidR="00717A46" w:rsidRPr="00964611">
        <w:rPr>
          <w:rFonts w:ascii="Times New Roman" w:hAnsi="Times New Roman" w:cs="Times New Roman"/>
          <w:sz w:val="24"/>
          <w:szCs w:val="24"/>
        </w:rPr>
        <w:t xml:space="preserve">, if they did not live in the city and witness </w:t>
      </w:r>
      <w:r w:rsidR="003F0395" w:rsidRPr="00964611">
        <w:rPr>
          <w:rFonts w:ascii="Times New Roman" w:hAnsi="Times New Roman" w:cs="Times New Roman"/>
          <w:sz w:val="24"/>
          <w:szCs w:val="24"/>
        </w:rPr>
        <w:t>the parallel with the clothing of the king</w:t>
      </w:r>
      <w:r w:rsidR="004625FC" w:rsidRPr="00964611">
        <w:rPr>
          <w:rFonts w:ascii="Times New Roman" w:hAnsi="Times New Roman" w:cs="Times New Roman"/>
          <w:sz w:val="24"/>
          <w:szCs w:val="24"/>
        </w:rPr>
        <w:t xml:space="preserve"> for themselves</w:t>
      </w:r>
      <w:r w:rsidR="003F0395" w:rsidRPr="00964611">
        <w:rPr>
          <w:rFonts w:ascii="Times New Roman" w:hAnsi="Times New Roman" w:cs="Times New Roman"/>
          <w:sz w:val="24"/>
          <w:szCs w:val="24"/>
        </w:rPr>
        <w:t xml:space="preserve">? How many who saw the statues would be able to read the inscriptions and the information they contained about the subject’s privileged position within the court? </w:t>
      </w:r>
      <w:r w:rsidR="009761F4" w:rsidRPr="00964611">
        <w:rPr>
          <w:rFonts w:ascii="Times New Roman" w:hAnsi="Times New Roman" w:cs="Times New Roman"/>
          <w:sz w:val="24"/>
          <w:szCs w:val="24"/>
        </w:rPr>
        <w:t>The audience</w:t>
      </w:r>
      <w:r w:rsidR="004625FC" w:rsidRPr="00964611">
        <w:rPr>
          <w:rFonts w:ascii="Times New Roman" w:hAnsi="Times New Roman" w:cs="Times New Roman"/>
          <w:sz w:val="24"/>
          <w:szCs w:val="24"/>
        </w:rPr>
        <w:t xml:space="preserve"> that could have fully appreciated this status symbol and what it meant was seemingly fairly limited. </w:t>
      </w:r>
      <w:r w:rsidR="00F17A8C" w:rsidRPr="00964611">
        <w:rPr>
          <w:rFonts w:ascii="Times New Roman" w:hAnsi="Times New Roman" w:cs="Times New Roman"/>
          <w:sz w:val="24"/>
          <w:szCs w:val="24"/>
        </w:rPr>
        <w:t xml:space="preserve">Moyer argues that the </w:t>
      </w:r>
      <w:r w:rsidR="00F17A8C" w:rsidRPr="00964611">
        <w:rPr>
          <w:rFonts w:ascii="Times New Roman" w:hAnsi="Times New Roman" w:cs="Times New Roman"/>
          <w:i/>
          <w:sz w:val="24"/>
          <w:szCs w:val="24"/>
        </w:rPr>
        <w:t>mitra</w:t>
      </w:r>
      <w:r w:rsidR="00F17A8C" w:rsidRPr="00964611">
        <w:rPr>
          <w:rFonts w:ascii="Times New Roman" w:hAnsi="Times New Roman" w:cs="Times New Roman"/>
          <w:sz w:val="24"/>
          <w:szCs w:val="24"/>
        </w:rPr>
        <w:t xml:space="preserve"> was a symbol that “could be understood by all” as it was visual rather than textual with the example of the familial funerary monument in </w:t>
      </w:r>
      <w:proofErr w:type="spellStart"/>
      <w:r w:rsidR="00F17A8C" w:rsidRPr="00964611">
        <w:rPr>
          <w:rFonts w:ascii="Times New Roman" w:hAnsi="Times New Roman" w:cs="Times New Roman"/>
          <w:sz w:val="24"/>
          <w:szCs w:val="24"/>
        </w:rPr>
        <w:t>Edfu</w:t>
      </w:r>
      <w:proofErr w:type="spellEnd"/>
      <w:r w:rsidR="00F17A8C" w:rsidRPr="00964611">
        <w:rPr>
          <w:rFonts w:ascii="Times New Roman" w:hAnsi="Times New Roman" w:cs="Times New Roman"/>
          <w:sz w:val="24"/>
          <w:szCs w:val="24"/>
        </w:rPr>
        <w:t xml:space="preserve">, in which </w:t>
      </w:r>
      <w:proofErr w:type="spellStart"/>
      <w:r w:rsidR="00F17A8C" w:rsidRPr="00964611">
        <w:rPr>
          <w:rFonts w:ascii="Times New Roman" w:hAnsi="Times New Roman" w:cs="Times New Roman"/>
          <w:sz w:val="24"/>
          <w:szCs w:val="24"/>
        </w:rPr>
        <w:t>Ptolemaios</w:t>
      </w:r>
      <w:proofErr w:type="spellEnd"/>
      <w:r w:rsidR="00F17A8C" w:rsidRPr="00964611">
        <w:rPr>
          <w:rFonts w:ascii="Times New Roman" w:hAnsi="Times New Roman" w:cs="Times New Roman"/>
          <w:sz w:val="24"/>
          <w:szCs w:val="24"/>
        </w:rPr>
        <w:t xml:space="preserve"> was granted the title </w:t>
      </w:r>
      <w:proofErr w:type="spellStart"/>
      <w:r w:rsidR="00F17A8C" w:rsidRPr="00964611">
        <w:rPr>
          <w:rFonts w:ascii="Times New Roman" w:hAnsi="Times New Roman" w:cs="Times New Roman"/>
          <w:i/>
          <w:sz w:val="24"/>
          <w:szCs w:val="24"/>
        </w:rPr>
        <w:t>syngenes</w:t>
      </w:r>
      <w:proofErr w:type="spellEnd"/>
      <w:r w:rsidR="00F17A8C" w:rsidRPr="00964611">
        <w:rPr>
          <w:rFonts w:ascii="Times New Roman" w:hAnsi="Times New Roman" w:cs="Times New Roman"/>
          <w:sz w:val="24"/>
          <w:szCs w:val="24"/>
        </w:rPr>
        <w:t xml:space="preserve"> and the emblem, the </w:t>
      </w:r>
      <w:r w:rsidR="00F17A8C" w:rsidRPr="00964611">
        <w:rPr>
          <w:rFonts w:ascii="Times New Roman" w:hAnsi="Times New Roman" w:cs="Times New Roman"/>
          <w:i/>
          <w:sz w:val="24"/>
          <w:szCs w:val="24"/>
        </w:rPr>
        <w:t>mitra</w:t>
      </w:r>
      <w:r w:rsidR="00F17A8C" w:rsidRPr="00964611">
        <w:rPr>
          <w:rFonts w:ascii="Times New Roman" w:hAnsi="Times New Roman" w:cs="Times New Roman"/>
          <w:sz w:val="24"/>
          <w:szCs w:val="24"/>
        </w:rPr>
        <w:t xml:space="preserve">, as well as his son </w:t>
      </w:r>
      <w:proofErr w:type="spellStart"/>
      <w:r w:rsidR="00F17A8C" w:rsidRPr="00964611">
        <w:rPr>
          <w:rFonts w:ascii="Times New Roman" w:hAnsi="Times New Roman" w:cs="Times New Roman"/>
          <w:sz w:val="24"/>
          <w:szCs w:val="24"/>
        </w:rPr>
        <w:t>Apollonios</w:t>
      </w:r>
      <w:proofErr w:type="spellEnd"/>
      <w:r w:rsidR="00F17A8C" w:rsidRPr="00964611">
        <w:rPr>
          <w:rFonts w:ascii="Times New Roman" w:hAnsi="Times New Roman" w:cs="Times New Roman"/>
          <w:sz w:val="24"/>
          <w:szCs w:val="24"/>
        </w:rPr>
        <w:t xml:space="preserve">. </w:t>
      </w:r>
      <w:r w:rsidR="00EC69A2" w:rsidRPr="00964611">
        <w:rPr>
          <w:rFonts w:ascii="Times New Roman" w:hAnsi="Times New Roman" w:cs="Times New Roman"/>
          <w:sz w:val="24"/>
          <w:szCs w:val="24"/>
        </w:rPr>
        <w:t xml:space="preserve">Perhaps the </w:t>
      </w:r>
      <w:r w:rsidR="00EC69A2" w:rsidRPr="00964611">
        <w:rPr>
          <w:rFonts w:ascii="Times New Roman" w:hAnsi="Times New Roman" w:cs="Times New Roman"/>
          <w:i/>
          <w:sz w:val="24"/>
          <w:szCs w:val="24"/>
        </w:rPr>
        <w:t>mitra</w:t>
      </w:r>
      <w:r w:rsidR="00EC69A2" w:rsidRPr="00964611">
        <w:rPr>
          <w:rFonts w:ascii="Times New Roman" w:hAnsi="Times New Roman" w:cs="Times New Roman"/>
          <w:sz w:val="24"/>
          <w:szCs w:val="24"/>
        </w:rPr>
        <w:t xml:space="preserve"> became a culturally accepted funerary symbol of power, even if the full </w:t>
      </w:r>
      <w:r w:rsidR="00EC69A2" w:rsidRPr="00964611">
        <w:rPr>
          <w:rFonts w:ascii="Times New Roman" w:hAnsi="Times New Roman" w:cs="Times New Roman"/>
          <w:sz w:val="24"/>
          <w:szCs w:val="24"/>
        </w:rPr>
        <w:lastRenderedPageBreak/>
        <w:t>extent of its meaning was not entirely understood by all people, or as Moyer suggests that there was a</w:t>
      </w:r>
      <w:r w:rsidR="005037FA" w:rsidRPr="00964611">
        <w:rPr>
          <w:rFonts w:ascii="Times New Roman" w:hAnsi="Times New Roman" w:cs="Times New Roman"/>
          <w:sz w:val="24"/>
          <w:szCs w:val="24"/>
        </w:rPr>
        <w:t xml:space="preserve">n ‘investiture rite’ which could have served as a public declaration of </w:t>
      </w:r>
      <w:r w:rsidR="002D3345" w:rsidRPr="00964611">
        <w:rPr>
          <w:rFonts w:ascii="Times New Roman" w:hAnsi="Times New Roman" w:cs="Times New Roman"/>
          <w:sz w:val="24"/>
          <w:szCs w:val="24"/>
        </w:rPr>
        <w:t>status?</w:t>
      </w:r>
      <w:r w:rsidR="002D3345" w:rsidRPr="00964611">
        <w:rPr>
          <w:rStyle w:val="FootnoteReference"/>
          <w:rFonts w:ascii="Times New Roman" w:hAnsi="Times New Roman" w:cs="Times New Roman"/>
          <w:sz w:val="24"/>
          <w:szCs w:val="24"/>
        </w:rPr>
        <w:footnoteReference w:id="49"/>
      </w:r>
      <w:r w:rsidR="002D3345" w:rsidRPr="00964611">
        <w:rPr>
          <w:rFonts w:ascii="Times New Roman" w:hAnsi="Times New Roman" w:cs="Times New Roman"/>
          <w:sz w:val="24"/>
          <w:szCs w:val="24"/>
        </w:rPr>
        <w:t xml:space="preserve"> </w:t>
      </w:r>
    </w:p>
    <w:p w14:paraId="44A5CA1C" w14:textId="77777777" w:rsidR="0049443D" w:rsidRPr="00964611" w:rsidRDefault="0049443D" w:rsidP="001F7514">
      <w:pPr>
        <w:spacing w:line="480" w:lineRule="auto"/>
        <w:rPr>
          <w:rFonts w:ascii="Times New Roman" w:hAnsi="Times New Roman" w:cs="Times New Roman"/>
          <w:sz w:val="24"/>
          <w:szCs w:val="24"/>
        </w:rPr>
      </w:pPr>
    </w:p>
    <w:p w14:paraId="269A5419" w14:textId="77777777" w:rsidR="002D3345" w:rsidRPr="00964611" w:rsidRDefault="002D3345" w:rsidP="001F7514">
      <w:pPr>
        <w:spacing w:line="480" w:lineRule="auto"/>
        <w:rPr>
          <w:rFonts w:ascii="Times New Roman" w:hAnsi="Times New Roman" w:cs="Times New Roman"/>
          <w:sz w:val="24"/>
          <w:szCs w:val="24"/>
        </w:rPr>
      </w:pPr>
    </w:p>
    <w:p w14:paraId="2ABA858D" w14:textId="1CCD057F" w:rsidR="0018471F" w:rsidRPr="00964611" w:rsidRDefault="00795635"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 xml:space="preserve">The typical Hellenistic </w:t>
      </w:r>
      <w:r w:rsidR="00E14E65" w:rsidRPr="00964611">
        <w:rPr>
          <w:rFonts w:ascii="Times New Roman" w:hAnsi="Times New Roman" w:cs="Times New Roman"/>
          <w:sz w:val="24"/>
          <w:szCs w:val="24"/>
        </w:rPr>
        <w:t>court, which consisted of the king and his courtiers of Graeco-Macedonian origins,</w:t>
      </w:r>
      <w:r w:rsidRPr="00964611">
        <w:rPr>
          <w:rFonts w:ascii="Times New Roman" w:hAnsi="Times New Roman" w:cs="Times New Roman"/>
          <w:sz w:val="24"/>
          <w:szCs w:val="24"/>
        </w:rPr>
        <w:t xml:space="preserve"> was not a model that accurately describes the Ptolemaic court in the third to first centuries BC. </w:t>
      </w:r>
      <w:r w:rsidR="00E14E65" w:rsidRPr="00964611">
        <w:rPr>
          <w:rFonts w:ascii="Times New Roman" w:hAnsi="Times New Roman" w:cs="Times New Roman"/>
          <w:sz w:val="24"/>
          <w:szCs w:val="24"/>
        </w:rPr>
        <w:t xml:space="preserve">While in the earlier portion of this time frame it may be true that admittance and incorporation into the ranks of the court hierarchy was limited to the Graeco-Macedonian elite that arrived to rule the area following the death of Alexander the Great, by the second century BC it became necessary to include native Egyptian elites into the system. </w:t>
      </w:r>
      <w:r w:rsidR="0018471F" w:rsidRPr="00964611">
        <w:rPr>
          <w:rFonts w:ascii="Times New Roman" w:hAnsi="Times New Roman" w:cs="Times New Roman"/>
          <w:sz w:val="24"/>
          <w:szCs w:val="24"/>
        </w:rPr>
        <w:t xml:space="preserve">Hostilities between the native Egyptians (both the elites and the peasantry) grew stronger over time as a result of increasingly permeating racial subjugation. </w:t>
      </w:r>
      <w:r w:rsidR="00691B68" w:rsidRPr="00964611">
        <w:rPr>
          <w:rFonts w:ascii="Times New Roman" w:hAnsi="Times New Roman" w:cs="Times New Roman"/>
          <w:sz w:val="24"/>
          <w:szCs w:val="24"/>
        </w:rPr>
        <w:t>The Egyptians remained subdued under the Ptolemies for a while, only after having been drafted into the war between Ptolemy IV and Antiochus III</w:t>
      </w:r>
      <w:r w:rsidR="00462CB4" w:rsidRPr="00964611">
        <w:rPr>
          <w:rFonts w:ascii="Times New Roman" w:hAnsi="Times New Roman" w:cs="Times New Roman"/>
          <w:sz w:val="24"/>
          <w:szCs w:val="24"/>
        </w:rPr>
        <w:t xml:space="preserve"> that the tensions resulted in resistance. This resistance under Ptolemy VIII was the result of increased military awareness, economic decline of the Ptolemaic currency, unrest amongst the peasantry, increased social unrest, and a dwindling number of Graeco-Macedonian immigrants to keep up the population numbers. </w:t>
      </w:r>
      <w:r w:rsidR="00F40E00" w:rsidRPr="00964611">
        <w:rPr>
          <w:rFonts w:ascii="Times New Roman" w:hAnsi="Times New Roman" w:cs="Times New Roman"/>
          <w:sz w:val="24"/>
          <w:szCs w:val="24"/>
        </w:rPr>
        <w:t xml:space="preserve">Ptolemaic rule was under threat and it was through the reorganisation of the court, including the incorporation of Egyptian natives, that would </w:t>
      </w:r>
      <w:r w:rsidR="00556C3F" w:rsidRPr="00964611">
        <w:rPr>
          <w:rFonts w:ascii="Times New Roman" w:hAnsi="Times New Roman" w:cs="Times New Roman"/>
          <w:sz w:val="24"/>
          <w:szCs w:val="24"/>
        </w:rPr>
        <w:t xml:space="preserve">appease the social and racial tensions. </w:t>
      </w:r>
      <w:r w:rsidR="00A973DE" w:rsidRPr="00964611">
        <w:rPr>
          <w:rFonts w:ascii="Times New Roman" w:hAnsi="Times New Roman" w:cs="Times New Roman"/>
          <w:sz w:val="24"/>
          <w:szCs w:val="24"/>
        </w:rPr>
        <w:t xml:space="preserve">Instead of disallowing membership of the court and the holding of titles based on race, the system instead came to favour membership based on class and wealth. </w:t>
      </w:r>
    </w:p>
    <w:p w14:paraId="43EEE2F2" w14:textId="35D14408" w:rsidR="00F45B84" w:rsidRPr="00964611" w:rsidRDefault="00F45B84"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 xml:space="preserve">The role of Egyptian mediators was also important, as it allowed the natives to be incorporated into the administrative and military systems of the court, and provide a key link </w:t>
      </w:r>
      <w:r w:rsidRPr="00964611">
        <w:rPr>
          <w:rFonts w:ascii="Times New Roman" w:hAnsi="Times New Roman" w:cs="Times New Roman"/>
          <w:sz w:val="24"/>
          <w:szCs w:val="24"/>
        </w:rPr>
        <w:lastRenderedPageBreak/>
        <w:t xml:space="preserve">between otherwise disparate peoples. </w:t>
      </w:r>
      <w:r w:rsidR="00A0699B" w:rsidRPr="00964611">
        <w:rPr>
          <w:rFonts w:ascii="Times New Roman" w:hAnsi="Times New Roman" w:cs="Times New Roman"/>
          <w:sz w:val="24"/>
          <w:szCs w:val="24"/>
        </w:rPr>
        <w:t xml:space="preserve">By facilitating these roles, the Ptolemies would have been better able to gain the trust of the locals and reduce social unrest. </w:t>
      </w:r>
      <w:proofErr w:type="gramStart"/>
      <w:r w:rsidR="00291355" w:rsidRPr="00964611">
        <w:rPr>
          <w:rFonts w:ascii="Times New Roman" w:hAnsi="Times New Roman" w:cs="Times New Roman"/>
          <w:sz w:val="24"/>
          <w:szCs w:val="24"/>
        </w:rPr>
        <w:t>Also</w:t>
      </w:r>
      <w:proofErr w:type="gramEnd"/>
      <w:r w:rsidR="00291355" w:rsidRPr="00964611">
        <w:rPr>
          <w:rFonts w:ascii="Times New Roman" w:hAnsi="Times New Roman" w:cs="Times New Roman"/>
          <w:sz w:val="24"/>
          <w:szCs w:val="24"/>
        </w:rPr>
        <w:t xml:space="preserve"> in the lower classes, marriage was encouraged between Greeks and native Egyptians to again further social cohesion</w:t>
      </w:r>
      <w:r w:rsidR="00105493" w:rsidRPr="00964611">
        <w:rPr>
          <w:rFonts w:ascii="Times New Roman" w:hAnsi="Times New Roman" w:cs="Times New Roman"/>
          <w:sz w:val="24"/>
          <w:szCs w:val="24"/>
        </w:rPr>
        <w:t xml:space="preserve"> and a </w:t>
      </w:r>
      <w:r w:rsidR="00105493" w:rsidRPr="00964611">
        <w:rPr>
          <w:rFonts w:ascii="Times New Roman" w:hAnsi="Times New Roman" w:cs="Times New Roman"/>
          <w:sz w:val="24"/>
          <w:szCs w:val="24"/>
        </w:rPr>
        <w:t>“middle class consisting of a mixed race of Egyptian-Greeks” with a desire to maintain the Ptolemaic rule and thus their positions, wealth, and status.</w:t>
      </w:r>
      <w:r w:rsidR="00105493" w:rsidRPr="00964611">
        <w:rPr>
          <w:rStyle w:val="FootnoteReference"/>
          <w:rFonts w:ascii="Times New Roman" w:hAnsi="Times New Roman" w:cs="Times New Roman"/>
          <w:sz w:val="24"/>
          <w:szCs w:val="24"/>
        </w:rPr>
        <w:footnoteReference w:id="50"/>
      </w:r>
      <w:r w:rsidR="00F31B62" w:rsidRPr="00964611">
        <w:rPr>
          <w:rFonts w:ascii="Times New Roman" w:hAnsi="Times New Roman" w:cs="Times New Roman"/>
          <w:sz w:val="24"/>
          <w:szCs w:val="24"/>
        </w:rPr>
        <w:t xml:space="preserve"> The events on the second century BC means that being Greek was no longer the only way to achieve power</w:t>
      </w:r>
      <w:r w:rsidR="00105493" w:rsidRPr="00964611">
        <w:rPr>
          <w:rFonts w:ascii="Times New Roman" w:hAnsi="Times New Roman" w:cs="Times New Roman"/>
          <w:sz w:val="24"/>
          <w:szCs w:val="24"/>
        </w:rPr>
        <w:t xml:space="preserve">, and being Egyptian was no longer a limiting feature. What resulted from the incorporation of the Egyptians into the Ptolemaic court, as well as mixing of lives at lower levels, was relative social cohesion and cooperation, and the solidification of Ptolemaic rule in Egypt. </w:t>
      </w:r>
    </w:p>
    <w:p w14:paraId="7CF6975C" w14:textId="77777777" w:rsidR="0018471F" w:rsidRPr="00964611" w:rsidRDefault="0018471F" w:rsidP="001F7514">
      <w:pPr>
        <w:spacing w:line="480" w:lineRule="auto"/>
        <w:rPr>
          <w:rFonts w:ascii="Times New Roman" w:hAnsi="Times New Roman" w:cs="Times New Roman"/>
          <w:sz w:val="24"/>
          <w:szCs w:val="24"/>
        </w:rPr>
      </w:pPr>
    </w:p>
    <w:p w14:paraId="0D276F6C" w14:textId="0869D54A" w:rsidR="002968B0" w:rsidRPr="00964611" w:rsidRDefault="002968B0" w:rsidP="0018471F">
      <w:pPr>
        <w:spacing w:line="480" w:lineRule="auto"/>
        <w:rPr>
          <w:rFonts w:ascii="Times New Roman" w:hAnsi="Times New Roman" w:cs="Times New Roman"/>
          <w:sz w:val="24"/>
          <w:szCs w:val="24"/>
        </w:rPr>
      </w:pPr>
      <w:r w:rsidRPr="00964611">
        <w:rPr>
          <w:rFonts w:ascii="Times New Roman" w:hAnsi="Times New Roman" w:cs="Times New Roman"/>
          <w:sz w:val="24"/>
          <w:szCs w:val="24"/>
        </w:rPr>
        <w:br w:type="page"/>
      </w:r>
    </w:p>
    <w:p w14:paraId="68781AFA" w14:textId="2C36F06F" w:rsidR="00176E41" w:rsidRPr="00964611" w:rsidRDefault="002968B0"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u w:val="single"/>
        </w:rPr>
        <w:lastRenderedPageBreak/>
        <w:t>Bibliography</w:t>
      </w:r>
    </w:p>
    <w:p w14:paraId="4D9517D4" w14:textId="77777777" w:rsidR="007950C3" w:rsidRPr="00964611" w:rsidRDefault="007950C3"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 xml:space="preserve">Adler, J. (2005) ‘Governance in Ptolemaic Egypt: From Raphia to Cleopatra VII (217-31 B.C.), Class-Based ‘Colonialism’?’, </w:t>
      </w:r>
      <w:proofErr w:type="spellStart"/>
      <w:r w:rsidRPr="00964611">
        <w:rPr>
          <w:rFonts w:ascii="Times New Roman" w:hAnsi="Times New Roman" w:cs="Times New Roman"/>
          <w:i/>
          <w:sz w:val="24"/>
          <w:szCs w:val="24"/>
        </w:rPr>
        <w:t>Akroterion</w:t>
      </w:r>
      <w:proofErr w:type="spellEnd"/>
      <w:r w:rsidRPr="00964611">
        <w:rPr>
          <w:rFonts w:ascii="Times New Roman" w:hAnsi="Times New Roman" w:cs="Times New Roman"/>
          <w:sz w:val="24"/>
          <w:szCs w:val="24"/>
        </w:rPr>
        <w:t>, 50, pp. 27-38.</w:t>
      </w:r>
    </w:p>
    <w:p w14:paraId="6BBFF61B" w14:textId="77777777" w:rsidR="007950C3" w:rsidRPr="00964611" w:rsidRDefault="007950C3"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 xml:space="preserve">Fischer-Bovet, C. (2015) ‘Social Unrest and Ethnic Coexistence in Ptolemaic Egypt and the Seleucid Empire’, </w:t>
      </w:r>
      <w:r w:rsidRPr="00964611">
        <w:rPr>
          <w:rFonts w:ascii="Times New Roman" w:hAnsi="Times New Roman" w:cs="Times New Roman"/>
          <w:i/>
          <w:sz w:val="24"/>
          <w:szCs w:val="24"/>
        </w:rPr>
        <w:t>Past and Present</w:t>
      </w:r>
      <w:r w:rsidRPr="00964611">
        <w:rPr>
          <w:rFonts w:ascii="Times New Roman" w:hAnsi="Times New Roman" w:cs="Times New Roman"/>
          <w:sz w:val="24"/>
          <w:szCs w:val="24"/>
        </w:rPr>
        <w:t>, 229, pp. 3-45.</w:t>
      </w:r>
    </w:p>
    <w:p w14:paraId="3E515EB2" w14:textId="77777777" w:rsidR="007950C3" w:rsidRPr="00964611" w:rsidRDefault="007950C3"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 xml:space="preserve">Herman, G. (1997) ‘The Court Society of the Hellenistic Age’, in Cartledge, P., Garnsey, P., Gruen, E. (ed.) </w:t>
      </w:r>
      <w:r w:rsidRPr="00964611">
        <w:rPr>
          <w:rFonts w:ascii="Times New Roman" w:hAnsi="Times New Roman" w:cs="Times New Roman"/>
          <w:i/>
          <w:sz w:val="24"/>
          <w:szCs w:val="24"/>
        </w:rPr>
        <w:t>Hellenistic Constructs</w:t>
      </w:r>
      <w:r w:rsidRPr="00964611">
        <w:rPr>
          <w:rFonts w:ascii="Times New Roman" w:hAnsi="Times New Roman" w:cs="Times New Roman"/>
          <w:sz w:val="24"/>
          <w:szCs w:val="24"/>
        </w:rPr>
        <w:t xml:space="preserve">. Berkeley and Los Angeles: University of California Press. </w:t>
      </w:r>
    </w:p>
    <w:p w14:paraId="52AABA4A" w14:textId="0F8B96D9" w:rsidR="007950C3" w:rsidRDefault="007950C3" w:rsidP="001F7514">
      <w:pPr>
        <w:spacing w:line="480" w:lineRule="auto"/>
        <w:rPr>
          <w:rFonts w:ascii="Times New Roman" w:hAnsi="Times New Roman" w:cs="Times New Roman"/>
          <w:sz w:val="24"/>
          <w:szCs w:val="24"/>
        </w:rPr>
      </w:pPr>
      <w:r w:rsidRPr="00964611">
        <w:rPr>
          <w:rFonts w:ascii="Times New Roman" w:hAnsi="Times New Roman" w:cs="Times New Roman"/>
          <w:sz w:val="24"/>
          <w:szCs w:val="24"/>
        </w:rPr>
        <w:t xml:space="preserve">Moyer, I. S. (2011) ‘Court, “Chora”, and Culture in Late Ptolemaic Egypt’, </w:t>
      </w:r>
      <w:r w:rsidRPr="00964611">
        <w:rPr>
          <w:rFonts w:ascii="Times New Roman" w:hAnsi="Times New Roman" w:cs="Times New Roman"/>
          <w:i/>
          <w:sz w:val="24"/>
          <w:szCs w:val="24"/>
        </w:rPr>
        <w:t>The American Journal of Philology</w:t>
      </w:r>
      <w:r w:rsidRPr="00964611">
        <w:rPr>
          <w:rFonts w:ascii="Times New Roman" w:hAnsi="Times New Roman" w:cs="Times New Roman"/>
          <w:sz w:val="24"/>
          <w:szCs w:val="24"/>
        </w:rPr>
        <w:t>, 132(1), pp. 15-44.</w:t>
      </w:r>
    </w:p>
    <w:p w14:paraId="7926C285" w14:textId="28FBEF57" w:rsidR="00964611" w:rsidRPr="00964611" w:rsidRDefault="00964611" w:rsidP="001F7514">
      <w:pPr>
        <w:spacing w:line="480" w:lineRule="auto"/>
        <w:rPr>
          <w:rFonts w:ascii="Times New Roman" w:hAnsi="Times New Roman" w:cs="Times New Roman"/>
          <w:sz w:val="24"/>
          <w:szCs w:val="24"/>
        </w:rPr>
      </w:pPr>
      <w:r>
        <w:rPr>
          <w:rFonts w:ascii="Times New Roman" w:hAnsi="Times New Roman" w:cs="Times New Roman"/>
          <w:sz w:val="24"/>
          <w:szCs w:val="24"/>
        </w:rPr>
        <w:t xml:space="preserve">Walbank, F.W. (1981) </w:t>
      </w:r>
      <w:r>
        <w:rPr>
          <w:rFonts w:ascii="Times New Roman" w:hAnsi="Times New Roman" w:cs="Times New Roman"/>
          <w:i/>
          <w:sz w:val="24"/>
          <w:szCs w:val="24"/>
        </w:rPr>
        <w:t>The Hellenistic World</w:t>
      </w:r>
      <w:r>
        <w:rPr>
          <w:rFonts w:ascii="Times New Roman" w:hAnsi="Times New Roman" w:cs="Times New Roman"/>
          <w:sz w:val="24"/>
          <w:szCs w:val="24"/>
        </w:rPr>
        <w:t xml:space="preserve">. London: </w:t>
      </w:r>
      <w:bookmarkStart w:id="0" w:name="_GoBack"/>
      <w:bookmarkEnd w:id="0"/>
      <w:r>
        <w:rPr>
          <w:rFonts w:ascii="Times New Roman" w:hAnsi="Times New Roman" w:cs="Times New Roman"/>
          <w:sz w:val="24"/>
          <w:szCs w:val="24"/>
        </w:rPr>
        <w:t>Fontanna</w:t>
      </w:r>
    </w:p>
    <w:sectPr w:rsidR="00964611" w:rsidRPr="0096461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B70714" w14:textId="77777777" w:rsidR="00AA4770" w:rsidRDefault="00AA4770" w:rsidP="007909D3">
      <w:pPr>
        <w:spacing w:after="0" w:line="240" w:lineRule="auto"/>
      </w:pPr>
      <w:r>
        <w:separator/>
      </w:r>
    </w:p>
  </w:endnote>
  <w:endnote w:type="continuationSeparator" w:id="0">
    <w:p w14:paraId="4B533ABC" w14:textId="77777777" w:rsidR="00AA4770" w:rsidRDefault="00AA4770" w:rsidP="007909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6878205"/>
      <w:docPartObj>
        <w:docPartGallery w:val="Page Numbers (Bottom of Page)"/>
        <w:docPartUnique/>
      </w:docPartObj>
    </w:sdtPr>
    <w:sdtEndPr>
      <w:rPr>
        <w:noProof/>
      </w:rPr>
    </w:sdtEndPr>
    <w:sdtContent>
      <w:p w14:paraId="33D1C572" w14:textId="2301671B" w:rsidR="007909D3" w:rsidRDefault="007909D3">
        <w:pPr>
          <w:pStyle w:val="Footer"/>
          <w:jc w:val="center"/>
        </w:pPr>
        <w:r>
          <w:fldChar w:fldCharType="begin"/>
        </w:r>
        <w:r>
          <w:instrText xml:space="preserve"> PAGE   \* MERGEFORMAT </w:instrText>
        </w:r>
        <w:r>
          <w:fldChar w:fldCharType="separate"/>
        </w:r>
        <w:r w:rsidR="007950C3">
          <w:rPr>
            <w:noProof/>
          </w:rPr>
          <w:t>1</w:t>
        </w:r>
        <w:r>
          <w:rPr>
            <w:noProof/>
          </w:rPr>
          <w:fldChar w:fldCharType="end"/>
        </w:r>
      </w:p>
    </w:sdtContent>
  </w:sdt>
  <w:p w14:paraId="11906D39" w14:textId="77777777" w:rsidR="007909D3" w:rsidRDefault="007909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C96EF8" w14:textId="77777777" w:rsidR="00AA4770" w:rsidRDefault="00AA4770" w:rsidP="007909D3">
      <w:pPr>
        <w:spacing w:after="0" w:line="240" w:lineRule="auto"/>
      </w:pPr>
      <w:r>
        <w:separator/>
      </w:r>
    </w:p>
  </w:footnote>
  <w:footnote w:type="continuationSeparator" w:id="0">
    <w:p w14:paraId="7C0B21E5" w14:textId="77777777" w:rsidR="00AA4770" w:rsidRDefault="00AA4770" w:rsidP="007909D3">
      <w:pPr>
        <w:spacing w:after="0" w:line="240" w:lineRule="auto"/>
      </w:pPr>
      <w:r>
        <w:continuationSeparator/>
      </w:r>
    </w:p>
  </w:footnote>
  <w:footnote w:id="1">
    <w:p w14:paraId="0E0DF172" w14:textId="77777777" w:rsidR="001F7514" w:rsidRPr="00964611" w:rsidRDefault="001F7514">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16</w:t>
      </w:r>
    </w:p>
  </w:footnote>
  <w:footnote w:id="2">
    <w:p w14:paraId="47F45AE9" w14:textId="77777777" w:rsidR="001F7514" w:rsidRPr="00964611" w:rsidRDefault="001F7514">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16</w:t>
      </w:r>
    </w:p>
  </w:footnote>
  <w:footnote w:id="3">
    <w:p w14:paraId="06752B9B" w14:textId="7150F0F7" w:rsidR="00306A9A" w:rsidRPr="00964611" w:rsidRDefault="00306A9A">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Adler 2005: 28</w:t>
      </w:r>
    </w:p>
  </w:footnote>
  <w:footnote w:id="4">
    <w:p w14:paraId="48C4B53C" w14:textId="2E259840" w:rsidR="00287A58" w:rsidRPr="00964611" w:rsidRDefault="00287A58">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Fischer-Bovet 2015: 3</w:t>
      </w:r>
    </w:p>
  </w:footnote>
  <w:footnote w:id="5">
    <w:p w14:paraId="528DAB64" w14:textId="43D7E40A" w:rsidR="002D5252" w:rsidRPr="00964611" w:rsidRDefault="002D5252">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Walbank 1981: 114-115</w:t>
      </w:r>
    </w:p>
  </w:footnote>
  <w:footnote w:id="6">
    <w:p w14:paraId="1E2CCE74" w14:textId="66306EA2" w:rsidR="001B4C56" w:rsidRPr="00964611" w:rsidRDefault="001B4C56">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Walbank 1981: 115</w:t>
      </w:r>
    </w:p>
  </w:footnote>
  <w:footnote w:id="7">
    <w:p w14:paraId="045074D7" w14:textId="77777777" w:rsidR="00A40F4E" w:rsidRPr="00964611" w:rsidRDefault="00A40F4E">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17</w:t>
      </w:r>
    </w:p>
  </w:footnote>
  <w:footnote w:id="8">
    <w:p w14:paraId="1D9F0791" w14:textId="77777777" w:rsidR="0070418F" w:rsidRPr="00964611" w:rsidRDefault="0070418F">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18</w:t>
      </w:r>
    </w:p>
  </w:footnote>
  <w:footnote w:id="9">
    <w:p w14:paraId="78F206A3" w14:textId="77777777" w:rsidR="00A47B69" w:rsidRPr="00964611" w:rsidRDefault="00A47B69">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18</w:t>
      </w:r>
    </w:p>
  </w:footnote>
  <w:footnote w:id="10">
    <w:p w14:paraId="77F5878F" w14:textId="77777777" w:rsidR="009010E2" w:rsidRPr="00964611" w:rsidRDefault="009010E2">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18</w:t>
      </w:r>
    </w:p>
  </w:footnote>
  <w:footnote w:id="11">
    <w:p w14:paraId="215E6BF7" w14:textId="77777777" w:rsidR="00A72221" w:rsidRPr="00964611" w:rsidRDefault="00A72221">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18-19</w:t>
      </w:r>
    </w:p>
  </w:footnote>
  <w:footnote w:id="12">
    <w:p w14:paraId="01AF94E1" w14:textId="0164CC36" w:rsidR="00B14B97" w:rsidRPr="00964611" w:rsidRDefault="00B14B97">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Adler 2005: 28-29</w:t>
      </w:r>
    </w:p>
  </w:footnote>
  <w:footnote w:id="13">
    <w:p w14:paraId="58525163" w14:textId="2B8C3030" w:rsidR="00B14B97" w:rsidRPr="00964611" w:rsidRDefault="00B14B97">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Adler 2005: 29</w:t>
      </w:r>
    </w:p>
  </w:footnote>
  <w:footnote w:id="14">
    <w:p w14:paraId="7AB19F53" w14:textId="68B056F2" w:rsidR="00B14B97" w:rsidRPr="00964611" w:rsidRDefault="00B14B97">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Adler 2005: 29</w:t>
      </w:r>
    </w:p>
  </w:footnote>
  <w:footnote w:id="15">
    <w:p w14:paraId="39959BBE" w14:textId="314EFD1B" w:rsidR="00140349" w:rsidRPr="00964611" w:rsidRDefault="00140349">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Adler 2005: </w:t>
      </w:r>
      <w:r w:rsidR="006B3265" w:rsidRPr="00964611">
        <w:rPr>
          <w:rFonts w:ascii="Times New Roman" w:hAnsi="Times New Roman" w:cs="Times New Roman"/>
        </w:rPr>
        <w:t>29-</w:t>
      </w:r>
      <w:r w:rsidRPr="00964611">
        <w:rPr>
          <w:rFonts w:ascii="Times New Roman" w:hAnsi="Times New Roman" w:cs="Times New Roman"/>
        </w:rPr>
        <w:t xml:space="preserve">30. With the Egyptians </w:t>
      </w:r>
      <w:r w:rsidR="006B3265" w:rsidRPr="00964611">
        <w:rPr>
          <w:rFonts w:ascii="Times New Roman" w:hAnsi="Times New Roman" w:cs="Times New Roman"/>
        </w:rPr>
        <w:t xml:space="preserve">believing that their kings were gods themselves, and that these new colonial rulers were ‘arrogant’ to try to insert themselves as kings.  </w:t>
      </w:r>
    </w:p>
  </w:footnote>
  <w:footnote w:id="16">
    <w:p w14:paraId="3B8E230A" w14:textId="52931D57" w:rsidR="003A2CF3" w:rsidRPr="00964611" w:rsidRDefault="003A2CF3">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Walbank 1981: </w:t>
      </w:r>
      <w:r w:rsidR="000C0DA0" w:rsidRPr="00964611">
        <w:rPr>
          <w:rFonts w:ascii="Times New Roman" w:hAnsi="Times New Roman" w:cs="Times New Roman"/>
        </w:rPr>
        <w:t>115</w:t>
      </w:r>
    </w:p>
  </w:footnote>
  <w:footnote w:id="17">
    <w:p w14:paraId="44E25446" w14:textId="66E7F75A" w:rsidR="00113A95" w:rsidRPr="00964611" w:rsidRDefault="00113A95">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Walbank 1981: 119</w:t>
      </w:r>
    </w:p>
  </w:footnote>
  <w:footnote w:id="18">
    <w:p w14:paraId="3E60B5AD" w14:textId="77777777" w:rsidR="009B1A66" w:rsidRPr="00964611" w:rsidRDefault="009B1A66">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16-17</w:t>
      </w:r>
      <w:r w:rsidR="00B5200F" w:rsidRPr="00964611">
        <w:rPr>
          <w:rFonts w:ascii="Times New Roman" w:hAnsi="Times New Roman" w:cs="Times New Roman"/>
        </w:rPr>
        <w:t>, 20</w:t>
      </w:r>
    </w:p>
  </w:footnote>
  <w:footnote w:id="19">
    <w:p w14:paraId="1F268A9C" w14:textId="77777777" w:rsidR="00F03237" w:rsidRPr="00964611" w:rsidRDefault="00F03237">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15-16</w:t>
      </w:r>
    </w:p>
  </w:footnote>
  <w:footnote w:id="20">
    <w:p w14:paraId="24A05791" w14:textId="77777777" w:rsidR="00A11D51" w:rsidRPr="00964611" w:rsidRDefault="00A11D51">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20</w:t>
      </w:r>
    </w:p>
  </w:footnote>
  <w:footnote w:id="21">
    <w:p w14:paraId="364C27CC" w14:textId="77777777" w:rsidR="00A11D51" w:rsidRPr="00964611" w:rsidRDefault="00A11D51">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20</w:t>
      </w:r>
    </w:p>
  </w:footnote>
  <w:footnote w:id="22">
    <w:p w14:paraId="229F99F3" w14:textId="77777777" w:rsidR="000C6EE2" w:rsidRPr="00964611" w:rsidRDefault="000C6EE2">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20</w:t>
      </w:r>
    </w:p>
  </w:footnote>
  <w:footnote w:id="23">
    <w:p w14:paraId="1B7F888B" w14:textId="7A715A71" w:rsidR="00E0412B" w:rsidRPr="00964611" w:rsidRDefault="00E0412B">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21</w:t>
      </w:r>
    </w:p>
  </w:footnote>
  <w:footnote w:id="24">
    <w:p w14:paraId="49CF2CEC" w14:textId="72CFA6BD" w:rsidR="00E0412B" w:rsidRPr="00964611" w:rsidRDefault="00E0412B">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21</w:t>
      </w:r>
    </w:p>
  </w:footnote>
  <w:footnote w:id="25">
    <w:p w14:paraId="5FE1B4C6" w14:textId="77777777" w:rsidR="00E20483" w:rsidRPr="00964611" w:rsidRDefault="00E20483">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21</w:t>
      </w:r>
    </w:p>
  </w:footnote>
  <w:footnote w:id="26">
    <w:p w14:paraId="70E1044A" w14:textId="77777777" w:rsidR="00B5200F" w:rsidRPr="00964611" w:rsidRDefault="00B5200F">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In the sense that they were outsiders to the Graeco-Macedonian elite class. </w:t>
      </w:r>
    </w:p>
  </w:footnote>
  <w:footnote w:id="27">
    <w:p w14:paraId="036E8E76" w14:textId="77777777" w:rsidR="005517F1" w:rsidRPr="00964611" w:rsidRDefault="005517F1">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15</w:t>
      </w:r>
    </w:p>
  </w:footnote>
  <w:footnote w:id="28">
    <w:p w14:paraId="435BF6D8" w14:textId="77777777" w:rsidR="00B5200F" w:rsidRPr="00964611" w:rsidRDefault="00B5200F">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16</w:t>
      </w:r>
    </w:p>
  </w:footnote>
  <w:footnote w:id="29">
    <w:p w14:paraId="3A199C3A" w14:textId="77777777" w:rsidR="00E20483" w:rsidRPr="00964611" w:rsidRDefault="00E20483">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20</w:t>
      </w:r>
    </w:p>
  </w:footnote>
  <w:footnote w:id="30">
    <w:p w14:paraId="038B3C29" w14:textId="77777777" w:rsidR="00E20483" w:rsidRPr="00964611" w:rsidRDefault="00E20483">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Fischer-Bovet 2015: 9</w:t>
      </w:r>
    </w:p>
  </w:footnote>
  <w:footnote w:id="31">
    <w:p w14:paraId="0F8F9144" w14:textId="77777777" w:rsidR="00F54263" w:rsidRPr="00964611" w:rsidRDefault="00F54263">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Fischer-Bovet 2015: 37</w:t>
      </w:r>
    </w:p>
  </w:footnote>
  <w:footnote w:id="32">
    <w:p w14:paraId="5B6DCA99" w14:textId="294A7D56" w:rsidR="00B72274" w:rsidRPr="00964611" w:rsidRDefault="00B72274">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22</w:t>
      </w:r>
    </w:p>
  </w:footnote>
  <w:footnote w:id="33">
    <w:p w14:paraId="4807D8A0" w14:textId="6C41AF53" w:rsidR="00381DE7" w:rsidRPr="00964611" w:rsidRDefault="00381DE7">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Adler 2005: 27</w:t>
      </w:r>
    </w:p>
  </w:footnote>
  <w:footnote w:id="34">
    <w:p w14:paraId="39DB66A5" w14:textId="58E4287C" w:rsidR="00F80A5A" w:rsidRPr="00964611" w:rsidRDefault="00F80A5A">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Adler 2005: 28</w:t>
      </w:r>
    </w:p>
  </w:footnote>
  <w:footnote w:id="35">
    <w:p w14:paraId="6C13C848" w14:textId="7C9B0252" w:rsidR="00D94E0F" w:rsidRPr="00964611" w:rsidRDefault="00D94E0F">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Adler 2005: 28</w:t>
      </w:r>
    </w:p>
  </w:footnote>
  <w:footnote w:id="36">
    <w:p w14:paraId="40812469" w14:textId="23A4F890" w:rsidR="00C75A6A" w:rsidRPr="00964611" w:rsidRDefault="00C75A6A">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Adler 2005: 30</w:t>
      </w:r>
    </w:p>
  </w:footnote>
  <w:footnote w:id="37">
    <w:p w14:paraId="25E41BA8" w14:textId="579F9D06" w:rsidR="00C75A6A" w:rsidRPr="00964611" w:rsidRDefault="00C75A6A">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Adler 2005: 30</w:t>
      </w:r>
    </w:p>
  </w:footnote>
  <w:footnote w:id="38">
    <w:p w14:paraId="1DC0651B" w14:textId="29376023" w:rsidR="002F3AE4" w:rsidRPr="00964611" w:rsidRDefault="002F3AE4">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Polybius V, 107, 1-3, Walbank 1981: 118</w:t>
      </w:r>
    </w:p>
  </w:footnote>
  <w:footnote w:id="39">
    <w:p w14:paraId="62180D8D" w14:textId="34695C50" w:rsidR="00404743" w:rsidRPr="00964611" w:rsidRDefault="00404743">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Walbank 1981: 118</w:t>
      </w:r>
    </w:p>
  </w:footnote>
  <w:footnote w:id="40">
    <w:p w14:paraId="0AA0887E" w14:textId="50D09769" w:rsidR="00B073F8" w:rsidRPr="00964611" w:rsidRDefault="00B073F8">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Walbank 1981: 119</w:t>
      </w:r>
    </w:p>
  </w:footnote>
  <w:footnote w:id="41">
    <w:p w14:paraId="0B8CE52C" w14:textId="438879F0" w:rsidR="00C626A1" w:rsidRPr="00964611" w:rsidRDefault="00C626A1">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Walbank 1981: 119</w:t>
      </w:r>
    </w:p>
  </w:footnote>
  <w:footnote w:id="42">
    <w:p w14:paraId="4EB63C70" w14:textId="6CECE61F" w:rsidR="00765482" w:rsidRPr="00964611" w:rsidRDefault="00765482">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Adler 2005: 31</w:t>
      </w:r>
    </w:p>
  </w:footnote>
  <w:footnote w:id="43">
    <w:p w14:paraId="0F0A71C1" w14:textId="0BDA7D7E" w:rsidR="00B226E4" w:rsidRPr="00964611" w:rsidRDefault="00B226E4">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Walbank 1981: 119</w:t>
      </w:r>
    </w:p>
  </w:footnote>
  <w:footnote w:id="44">
    <w:p w14:paraId="2EF11613" w14:textId="346539E8" w:rsidR="00B60004" w:rsidRPr="00964611" w:rsidRDefault="00B60004">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Adler 2005: 31</w:t>
      </w:r>
    </w:p>
  </w:footnote>
  <w:footnote w:id="45">
    <w:p w14:paraId="28B28387" w14:textId="262F677E" w:rsidR="00D62188" w:rsidRPr="00964611" w:rsidRDefault="00D62188">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Adler 2005: 31</w:t>
      </w:r>
    </w:p>
  </w:footnote>
  <w:footnote w:id="46">
    <w:p w14:paraId="778A1D8C" w14:textId="76D66553" w:rsidR="004B7CCF" w:rsidRPr="00964611" w:rsidRDefault="004B7CCF">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Walbank 1981: 119-120</w:t>
      </w:r>
    </w:p>
  </w:footnote>
  <w:footnote w:id="47">
    <w:p w14:paraId="292D2768" w14:textId="683A0F31" w:rsidR="003B62BA" w:rsidRPr="00964611" w:rsidRDefault="003B62BA">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Fischer-Bovet 2015: </w:t>
      </w:r>
      <w:r w:rsidR="00242CE2" w:rsidRPr="00964611">
        <w:rPr>
          <w:rFonts w:ascii="Times New Roman" w:hAnsi="Times New Roman" w:cs="Times New Roman"/>
        </w:rPr>
        <w:t>31</w:t>
      </w:r>
    </w:p>
  </w:footnote>
  <w:footnote w:id="48">
    <w:p w14:paraId="4BA3940D" w14:textId="74AFA350" w:rsidR="00C170D1" w:rsidRPr="00964611" w:rsidRDefault="00C170D1">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15</w:t>
      </w:r>
    </w:p>
  </w:footnote>
  <w:footnote w:id="49">
    <w:p w14:paraId="773D968F" w14:textId="72A6263A" w:rsidR="002D3345" w:rsidRPr="00964611" w:rsidRDefault="002D3345">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Moyer 2011: 31-32</w:t>
      </w:r>
    </w:p>
  </w:footnote>
  <w:footnote w:id="50">
    <w:p w14:paraId="58C037E1" w14:textId="77777777" w:rsidR="00105493" w:rsidRPr="00964611" w:rsidRDefault="00105493" w:rsidP="00105493">
      <w:pPr>
        <w:pStyle w:val="FootnoteText"/>
        <w:rPr>
          <w:rFonts w:ascii="Times New Roman" w:hAnsi="Times New Roman" w:cs="Times New Roman"/>
        </w:rPr>
      </w:pPr>
      <w:r w:rsidRPr="00964611">
        <w:rPr>
          <w:rStyle w:val="FootnoteReference"/>
          <w:rFonts w:ascii="Times New Roman" w:hAnsi="Times New Roman" w:cs="Times New Roman"/>
        </w:rPr>
        <w:footnoteRef/>
      </w:r>
      <w:r w:rsidRPr="00964611">
        <w:rPr>
          <w:rFonts w:ascii="Times New Roman" w:hAnsi="Times New Roman" w:cs="Times New Roman"/>
        </w:rPr>
        <w:t xml:space="preserve"> Adler 2005: 31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2AA049" w14:textId="77777777" w:rsidR="007909D3" w:rsidRPr="007909D3" w:rsidRDefault="007909D3">
    <w:pPr>
      <w:pStyle w:val="Header"/>
      <w:rPr>
        <w:rFonts w:ascii="Times New Roman" w:hAnsi="Times New Roman" w:cs="Times New Roman"/>
        <w:sz w:val="20"/>
        <w:szCs w:val="20"/>
      </w:rPr>
    </w:pPr>
    <w:r>
      <w:rPr>
        <w:rFonts w:ascii="Times New Roman" w:hAnsi="Times New Roman" w:cs="Times New Roman"/>
        <w:sz w:val="20"/>
        <w:szCs w:val="20"/>
      </w:rPr>
      <w:tab/>
    </w:r>
    <w:r>
      <w:rPr>
        <w:rFonts w:ascii="Times New Roman" w:hAnsi="Times New Roman" w:cs="Times New Roman"/>
        <w:sz w:val="20"/>
        <w:szCs w:val="20"/>
      </w:rPr>
      <w:tab/>
      <w:t>Eleanor Travers 1500674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CC4"/>
    <w:rsid w:val="00004DF2"/>
    <w:rsid w:val="000C0DA0"/>
    <w:rsid w:val="000C6EE2"/>
    <w:rsid w:val="000F3A25"/>
    <w:rsid w:val="00105493"/>
    <w:rsid w:val="00113A95"/>
    <w:rsid w:val="00126A3D"/>
    <w:rsid w:val="00135025"/>
    <w:rsid w:val="00140349"/>
    <w:rsid w:val="001474A6"/>
    <w:rsid w:val="00176E41"/>
    <w:rsid w:val="0018471F"/>
    <w:rsid w:val="001B4C56"/>
    <w:rsid w:val="001F37D8"/>
    <w:rsid w:val="001F7514"/>
    <w:rsid w:val="00242CE2"/>
    <w:rsid w:val="0028103E"/>
    <w:rsid w:val="00282F99"/>
    <w:rsid w:val="00287A58"/>
    <w:rsid w:val="00291355"/>
    <w:rsid w:val="002968B0"/>
    <w:rsid w:val="002D2565"/>
    <w:rsid w:val="002D3345"/>
    <w:rsid w:val="002D5252"/>
    <w:rsid w:val="002F3AE4"/>
    <w:rsid w:val="00306A9A"/>
    <w:rsid w:val="00326C32"/>
    <w:rsid w:val="00381DE7"/>
    <w:rsid w:val="003869AC"/>
    <w:rsid w:val="003A2CF3"/>
    <w:rsid w:val="003B62BA"/>
    <w:rsid w:val="003D71CD"/>
    <w:rsid w:val="003F0395"/>
    <w:rsid w:val="004039E5"/>
    <w:rsid w:val="00404743"/>
    <w:rsid w:val="00426C74"/>
    <w:rsid w:val="004625FC"/>
    <w:rsid w:val="00462CB4"/>
    <w:rsid w:val="0049443D"/>
    <w:rsid w:val="004B7CCF"/>
    <w:rsid w:val="004D39F7"/>
    <w:rsid w:val="005037FA"/>
    <w:rsid w:val="00535767"/>
    <w:rsid w:val="005517F1"/>
    <w:rsid w:val="00556C3F"/>
    <w:rsid w:val="005C07C1"/>
    <w:rsid w:val="00691B68"/>
    <w:rsid w:val="0069392A"/>
    <w:rsid w:val="006B3265"/>
    <w:rsid w:val="0070418F"/>
    <w:rsid w:val="00717A46"/>
    <w:rsid w:val="007245E4"/>
    <w:rsid w:val="00765482"/>
    <w:rsid w:val="00771783"/>
    <w:rsid w:val="007802CB"/>
    <w:rsid w:val="007909D3"/>
    <w:rsid w:val="007950C3"/>
    <w:rsid w:val="00795635"/>
    <w:rsid w:val="007A5F90"/>
    <w:rsid w:val="00844EA9"/>
    <w:rsid w:val="00847D01"/>
    <w:rsid w:val="008B689B"/>
    <w:rsid w:val="008D51A3"/>
    <w:rsid w:val="009010E2"/>
    <w:rsid w:val="00964611"/>
    <w:rsid w:val="00972756"/>
    <w:rsid w:val="009761F4"/>
    <w:rsid w:val="009B1A66"/>
    <w:rsid w:val="009D7027"/>
    <w:rsid w:val="009F64BF"/>
    <w:rsid w:val="00A0699B"/>
    <w:rsid w:val="00A11D51"/>
    <w:rsid w:val="00A202A7"/>
    <w:rsid w:val="00A40F4E"/>
    <w:rsid w:val="00A47B69"/>
    <w:rsid w:val="00A72221"/>
    <w:rsid w:val="00A73F9F"/>
    <w:rsid w:val="00A874B2"/>
    <w:rsid w:val="00A973DE"/>
    <w:rsid w:val="00AA4770"/>
    <w:rsid w:val="00AD2E36"/>
    <w:rsid w:val="00B073F8"/>
    <w:rsid w:val="00B12B6A"/>
    <w:rsid w:val="00B14B97"/>
    <w:rsid w:val="00B16FC8"/>
    <w:rsid w:val="00B226E4"/>
    <w:rsid w:val="00B5200F"/>
    <w:rsid w:val="00B60004"/>
    <w:rsid w:val="00B72274"/>
    <w:rsid w:val="00B86D61"/>
    <w:rsid w:val="00BC1919"/>
    <w:rsid w:val="00BC1CC4"/>
    <w:rsid w:val="00BF1FF7"/>
    <w:rsid w:val="00C170D1"/>
    <w:rsid w:val="00C31673"/>
    <w:rsid w:val="00C409C4"/>
    <w:rsid w:val="00C54465"/>
    <w:rsid w:val="00C626A1"/>
    <w:rsid w:val="00C75A6A"/>
    <w:rsid w:val="00CE0748"/>
    <w:rsid w:val="00CE3777"/>
    <w:rsid w:val="00D62188"/>
    <w:rsid w:val="00D94E0F"/>
    <w:rsid w:val="00DE519A"/>
    <w:rsid w:val="00E0412B"/>
    <w:rsid w:val="00E14E65"/>
    <w:rsid w:val="00E20483"/>
    <w:rsid w:val="00E84122"/>
    <w:rsid w:val="00EA1890"/>
    <w:rsid w:val="00EB3FA3"/>
    <w:rsid w:val="00EC5078"/>
    <w:rsid w:val="00EC69A2"/>
    <w:rsid w:val="00F03237"/>
    <w:rsid w:val="00F17A8C"/>
    <w:rsid w:val="00F31B62"/>
    <w:rsid w:val="00F340B8"/>
    <w:rsid w:val="00F40E00"/>
    <w:rsid w:val="00F45B84"/>
    <w:rsid w:val="00F54263"/>
    <w:rsid w:val="00F76FB5"/>
    <w:rsid w:val="00F80A5A"/>
    <w:rsid w:val="00F8735A"/>
    <w:rsid w:val="00FC7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8098B"/>
  <w15:chartTrackingRefBased/>
  <w15:docId w15:val="{E4F837A6-8B38-41C6-B7CA-2A1D3C7AF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09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9D3"/>
  </w:style>
  <w:style w:type="paragraph" w:styleId="Footer">
    <w:name w:val="footer"/>
    <w:basedOn w:val="Normal"/>
    <w:link w:val="FooterChar"/>
    <w:uiPriority w:val="99"/>
    <w:unhideWhenUsed/>
    <w:rsid w:val="007909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9D3"/>
  </w:style>
  <w:style w:type="paragraph" w:styleId="FootnoteText">
    <w:name w:val="footnote text"/>
    <w:basedOn w:val="Normal"/>
    <w:link w:val="FootnoteTextChar"/>
    <w:uiPriority w:val="99"/>
    <w:semiHidden/>
    <w:unhideWhenUsed/>
    <w:rsid w:val="001F75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F7514"/>
    <w:rPr>
      <w:sz w:val="20"/>
      <w:szCs w:val="20"/>
    </w:rPr>
  </w:style>
  <w:style w:type="character" w:styleId="FootnoteReference">
    <w:name w:val="footnote reference"/>
    <w:basedOn w:val="DefaultParagraphFont"/>
    <w:uiPriority w:val="99"/>
    <w:semiHidden/>
    <w:unhideWhenUsed/>
    <w:rsid w:val="001F7514"/>
    <w:rPr>
      <w:vertAlign w:val="superscript"/>
    </w:rPr>
  </w:style>
  <w:style w:type="character" w:styleId="CommentReference">
    <w:name w:val="annotation reference"/>
    <w:basedOn w:val="DefaultParagraphFont"/>
    <w:uiPriority w:val="99"/>
    <w:semiHidden/>
    <w:unhideWhenUsed/>
    <w:rsid w:val="005517F1"/>
    <w:rPr>
      <w:sz w:val="16"/>
      <w:szCs w:val="16"/>
    </w:rPr>
  </w:style>
  <w:style w:type="paragraph" w:styleId="CommentText">
    <w:name w:val="annotation text"/>
    <w:basedOn w:val="Normal"/>
    <w:link w:val="CommentTextChar"/>
    <w:uiPriority w:val="99"/>
    <w:semiHidden/>
    <w:unhideWhenUsed/>
    <w:rsid w:val="005517F1"/>
    <w:pPr>
      <w:spacing w:line="240" w:lineRule="auto"/>
    </w:pPr>
    <w:rPr>
      <w:sz w:val="20"/>
      <w:szCs w:val="20"/>
    </w:rPr>
  </w:style>
  <w:style w:type="character" w:customStyle="1" w:styleId="CommentTextChar">
    <w:name w:val="Comment Text Char"/>
    <w:basedOn w:val="DefaultParagraphFont"/>
    <w:link w:val="CommentText"/>
    <w:uiPriority w:val="99"/>
    <w:semiHidden/>
    <w:rsid w:val="005517F1"/>
    <w:rPr>
      <w:sz w:val="20"/>
      <w:szCs w:val="20"/>
    </w:rPr>
  </w:style>
  <w:style w:type="paragraph" w:styleId="CommentSubject">
    <w:name w:val="annotation subject"/>
    <w:basedOn w:val="CommentText"/>
    <w:next w:val="CommentText"/>
    <w:link w:val="CommentSubjectChar"/>
    <w:uiPriority w:val="99"/>
    <w:semiHidden/>
    <w:unhideWhenUsed/>
    <w:rsid w:val="005517F1"/>
    <w:rPr>
      <w:b/>
      <w:bCs/>
    </w:rPr>
  </w:style>
  <w:style w:type="character" w:customStyle="1" w:styleId="CommentSubjectChar">
    <w:name w:val="Comment Subject Char"/>
    <w:basedOn w:val="CommentTextChar"/>
    <w:link w:val="CommentSubject"/>
    <w:uiPriority w:val="99"/>
    <w:semiHidden/>
    <w:rsid w:val="005517F1"/>
    <w:rPr>
      <w:b/>
      <w:bCs/>
      <w:sz w:val="20"/>
      <w:szCs w:val="20"/>
    </w:rPr>
  </w:style>
  <w:style w:type="paragraph" w:styleId="BalloonText">
    <w:name w:val="Balloon Text"/>
    <w:basedOn w:val="Normal"/>
    <w:link w:val="BalloonTextChar"/>
    <w:uiPriority w:val="99"/>
    <w:semiHidden/>
    <w:unhideWhenUsed/>
    <w:rsid w:val="005517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17F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4096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12F18A-7DBE-4387-8A53-CF5A74A85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11</Pages>
  <Words>2671</Words>
  <Characters>15231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Travers (1500674)</dc:creator>
  <cp:keywords/>
  <dc:description/>
  <cp:lastModifiedBy>Eleanor Travers (1500674)</cp:lastModifiedBy>
  <cp:revision>13</cp:revision>
  <dcterms:created xsi:type="dcterms:W3CDTF">2019-12-20T20:02:00Z</dcterms:created>
  <dcterms:modified xsi:type="dcterms:W3CDTF">2019-12-20T20:27:00Z</dcterms:modified>
</cp:coreProperties>
</file>