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1451A" w14:textId="0EFBA994" w:rsidR="00E61C46" w:rsidRDefault="00E61C46" w:rsidP="00E61C46">
      <w:pPr>
        <w:jc w:val="center"/>
        <w:rPr>
          <w:rFonts w:ascii="Times" w:hAnsi="Times"/>
          <w:sz w:val="36"/>
          <w:szCs w:val="36"/>
        </w:rPr>
      </w:pPr>
      <w:r>
        <w:rPr>
          <w:rFonts w:ascii="Times" w:hAnsi="Times"/>
          <w:sz w:val="36"/>
          <w:szCs w:val="36"/>
        </w:rPr>
        <w:t xml:space="preserve">Assessment </w:t>
      </w:r>
      <w:r>
        <w:rPr>
          <w:rFonts w:ascii="Times" w:hAnsi="Times"/>
          <w:sz w:val="36"/>
          <w:szCs w:val="36"/>
        </w:rPr>
        <w:t>One</w:t>
      </w:r>
    </w:p>
    <w:p w14:paraId="5E64EE8E" w14:textId="77777777" w:rsidR="00E61C46" w:rsidRDefault="00E61C46" w:rsidP="00E61C46">
      <w:pPr>
        <w:jc w:val="center"/>
        <w:rPr>
          <w:rFonts w:ascii="Times" w:hAnsi="Times"/>
          <w:sz w:val="48"/>
          <w:szCs w:val="48"/>
        </w:rPr>
      </w:pPr>
    </w:p>
    <w:p w14:paraId="61209E04" w14:textId="6ED3882C" w:rsidR="00E61C46" w:rsidRPr="001A1D43" w:rsidRDefault="00E61C46" w:rsidP="00E61C46">
      <w:pPr>
        <w:jc w:val="center"/>
        <w:rPr>
          <w:rFonts w:ascii="Times" w:hAnsi="Times"/>
          <w:sz w:val="48"/>
          <w:szCs w:val="48"/>
        </w:rPr>
      </w:pPr>
      <w:r>
        <w:rPr>
          <w:rFonts w:ascii="Times" w:hAnsi="Times"/>
          <w:sz w:val="48"/>
          <w:szCs w:val="48"/>
        </w:rPr>
        <w:t>A</w:t>
      </w:r>
      <w:r w:rsidR="00871C6B">
        <w:rPr>
          <w:rFonts w:ascii="Times" w:hAnsi="Times"/>
          <w:sz w:val="48"/>
          <w:szCs w:val="48"/>
        </w:rPr>
        <w:t xml:space="preserve"> Profile of a Significant Thinker Associated with Muslim Politics: Ibn </w:t>
      </w:r>
      <w:proofErr w:type="spellStart"/>
      <w:r w:rsidR="00D45053">
        <w:rPr>
          <w:rFonts w:ascii="Times" w:hAnsi="Times"/>
          <w:sz w:val="48"/>
          <w:szCs w:val="48"/>
        </w:rPr>
        <w:t>Taymiyya</w:t>
      </w:r>
      <w:proofErr w:type="spellEnd"/>
    </w:p>
    <w:p w14:paraId="3B5AF6E4" w14:textId="77777777" w:rsidR="00E61C46" w:rsidRDefault="00E61C46" w:rsidP="00E61C46">
      <w:pPr>
        <w:jc w:val="center"/>
        <w:rPr>
          <w:rFonts w:ascii="Times" w:hAnsi="Times"/>
          <w:sz w:val="36"/>
          <w:szCs w:val="36"/>
        </w:rPr>
      </w:pPr>
    </w:p>
    <w:p w14:paraId="2BBE50D6" w14:textId="77777777" w:rsidR="00E61C46" w:rsidRPr="001A1D43" w:rsidRDefault="00E61C46" w:rsidP="00E61C46">
      <w:pPr>
        <w:jc w:val="center"/>
        <w:rPr>
          <w:rFonts w:ascii="Times" w:hAnsi="Times"/>
          <w:sz w:val="44"/>
          <w:szCs w:val="44"/>
        </w:rPr>
      </w:pPr>
    </w:p>
    <w:p w14:paraId="2C46D229" w14:textId="5BA15A0A" w:rsidR="00E61C46" w:rsidRPr="001A1D43" w:rsidRDefault="00E61C46" w:rsidP="00E61C46">
      <w:pPr>
        <w:jc w:val="center"/>
        <w:rPr>
          <w:rFonts w:ascii="Times" w:hAnsi="Times"/>
          <w:sz w:val="44"/>
          <w:szCs w:val="44"/>
        </w:rPr>
      </w:pPr>
      <w:r>
        <w:rPr>
          <w:rFonts w:ascii="Times" w:hAnsi="Times"/>
          <w:sz w:val="44"/>
          <w:szCs w:val="44"/>
        </w:rPr>
        <w:t>Muslim Politics</w:t>
      </w:r>
    </w:p>
    <w:p w14:paraId="33F930AF" w14:textId="77777777" w:rsidR="00E61C46" w:rsidRDefault="00E61C46" w:rsidP="00E61C46">
      <w:pPr>
        <w:jc w:val="center"/>
        <w:rPr>
          <w:rFonts w:ascii="Times" w:hAnsi="Times"/>
          <w:sz w:val="36"/>
          <w:szCs w:val="36"/>
        </w:rPr>
      </w:pPr>
    </w:p>
    <w:p w14:paraId="79CD6F7B" w14:textId="77777777" w:rsidR="00E61C46" w:rsidRDefault="00E61C46" w:rsidP="00E61C46">
      <w:pPr>
        <w:jc w:val="center"/>
        <w:rPr>
          <w:rFonts w:ascii="Times" w:hAnsi="Times"/>
          <w:sz w:val="36"/>
          <w:szCs w:val="36"/>
        </w:rPr>
      </w:pPr>
    </w:p>
    <w:p w14:paraId="593AAD94" w14:textId="77777777" w:rsidR="00E61C46" w:rsidRDefault="00E61C46" w:rsidP="00E61C46">
      <w:pPr>
        <w:jc w:val="center"/>
        <w:rPr>
          <w:rFonts w:ascii="Times" w:hAnsi="Times"/>
          <w:sz w:val="36"/>
          <w:szCs w:val="36"/>
        </w:rPr>
      </w:pPr>
    </w:p>
    <w:p w14:paraId="3B21F62F" w14:textId="1CC07ACA" w:rsidR="00E61C46" w:rsidRDefault="00E61C46" w:rsidP="00E61C46">
      <w:pPr>
        <w:jc w:val="center"/>
        <w:rPr>
          <w:rFonts w:ascii="Times" w:hAnsi="Times"/>
          <w:sz w:val="36"/>
          <w:szCs w:val="36"/>
        </w:rPr>
      </w:pPr>
      <w:r>
        <w:rPr>
          <w:rFonts w:ascii="Times" w:hAnsi="Times"/>
          <w:sz w:val="36"/>
          <w:szCs w:val="36"/>
        </w:rPr>
        <w:t xml:space="preserve">Instructor: Dr. </w:t>
      </w:r>
      <w:r>
        <w:rPr>
          <w:rFonts w:ascii="Times" w:hAnsi="Times"/>
          <w:sz w:val="36"/>
          <w:szCs w:val="36"/>
        </w:rPr>
        <w:t>Gary Bunt</w:t>
      </w:r>
    </w:p>
    <w:p w14:paraId="20EE46BD" w14:textId="77777777" w:rsidR="00E61C46" w:rsidRDefault="00E61C46" w:rsidP="00E61C46">
      <w:pPr>
        <w:jc w:val="center"/>
        <w:rPr>
          <w:rFonts w:ascii="Times" w:hAnsi="Times"/>
          <w:sz w:val="36"/>
          <w:szCs w:val="36"/>
        </w:rPr>
      </w:pPr>
    </w:p>
    <w:p w14:paraId="701C7615" w14:textId="77777777" w:rsidR="00E61C46" w:rsidRDefault="00E61C46" w:rsidP="00E61C46">
      <w:pPr>
        <w:jc w:val="center"/>
        <w:rPr>
          <w:rFonts w:ascii="Times" w:hAnsi="Times"/>
          <w:sz w:val="36"/>
          <w:szCs w:val="36"/>
        </w:rPr>
      </w:pPr>
      <w:r>
        <w:rPr>
          <w:rFonts w:ascii="Times" w:hAnsi="Times"/>
          <w:sz w:val="36"/>
          <w:szCs w:val="36"/>
        </w:rPr>
        <w:t>University of Wales Trinity Saint David</w:t>
      </w:r>
    </w:p>
    <w:p w14:paraId="0EEAF107" w14:textId="77777777" w:rsidR="00E61C46" w:rsidRDefault="00E61C46" w:rsidP="00E61C46">
      <w:pPr>
        <w:jc w:val="center"/>
        <w:rPr>
          <w:rFonts w:ascii="Times" w:hAnsi="Times"/>
          <w:sz w:val="36"/>
          <w:szCs w:val="36"/>
        </w:rPr>
      </w:pPr>
    </w:p>
    <w:p w14:paraId="662D5482" w14:textId="77777777" w:rsidR="00E61C46" w:rsidRDefault="00E61C46" w:rsidP="00E61C46">
      <w:pPr>
        <w:jc w:val="center"/>
        <w:rPr>
          <w:rFonts w:ascii="Times" w:hAnsi="Times"/>
          <w:sz w:val="36"/>
          <w:szCs w:val="36"/>
        </w:rPr>
      </w:pPr>
      <w:r>
        <w:rPr>
          <w:rFonts w:ascii="Times" w:hAnsi="Times"/>
          <w:sz w:val="36"/>
          <w:szCs w:val="36"/>
        </w:rPr>
        <w:t>Syed Mohammad Haider</w:t>
      </w:r>
    </w:p>
    <w:p w14:paraId="7BB127AF" w14:textId="77777777" w:rsidR="00E61C46" w:rsidRDefault="00E61C46">
      <w:pPr>
        <w:rPr>
          <w:rFonts w:ascii="Times" w:hAnsi="Times"/>
        </w:rPr>
      </w:pPr>
    </w:p>
    <w:p w14:paraId="4C13746B" w14:textId="77777777" w:rsidR="00E61C46" w:rsidRDefault="00E61C46">
      <w:pPr>
        <w:rPr>
          <w:rFonts w:ascii="Times" w:hAnsi="Times"/>
        </w:rPr>
      </w:pPr>
    </w:p>
    <w:p w14:paraId="630ADB0E" w14:textId="77777777" w:rsidR="00E61C46" w:rsidRDefault="00E61C46">
      <w:pPr>
        <w:rPr>
          <w:rFonts w:ascii="Times" w:hAnsi="Times"/>
        </w:rPr>
      </w:pPr>
    </w:p>
    <w:p w14:paraId="54298DFC" w14:textId="77777777" w:rsidR="00E61C46" w:rsidRDefault="00E61C46">
      <w:pPr>
        <w:rPr>
          <w:rFonts w:ascii="Times" w:hAnsi="Times"/>
        </w:rPr>
      </w:pPr>
    </w:p>
    <w:p w14:paraId="749984BB" w14:textId="77777777" w:rsidR="00E61C46" w:rsidRDefault="00E61C46">
      <w:pPr>
        <w:rPr>
          <w:rFonts w:ascii="Times" w:hAnsi="Times"/>
        </w:rPr>
      </w:pPr>
    </w:p>
    <w:p w14:paraId="6A75F4F3" w14:textId="77777777" w:rsidR="00E61C46" w:rsidRDefault="00E61C46">
      <w:pPr>
        <w:rPr>
          <w:rFonts w:ascii="Times" w:hAnsi="Times"/>
        </w:rPr>
      </w:pPr>
    </w:p>
    <w:p w14:paraId="0980F701" w14:textId="77777777" w:rsidR="00E61C46" w:rsidRDefault="00E61C46">
      <w:pPr>
        <w:rPr>
          <w:rFonts w:ascii="Times" w:hAnsi="Times"/>
        </w:rPr>
      </w:pPr>
    </w:p>
    <w:p w14:paraId="4FB00AFD" w14:textId="77777777" w:rsidR="00E61C46" w:rsidRDefault="00E61C46">
      <w:pPr>
        <w:rPr>
          <w:rFonts w:ascii="Times" w:hAnsi="Times"/>
        </w:rPr>
      </w:pPr>
    </w:p>
    <w:p w14:paraId="04AD6259" w14:textId="77777777" w:rsidR="00E61C46" w:rsidRDefault="00E61C46">
      <w:pPr>
        <w:rPr>
          <w:rFonts w:ascii="Times" w:hAnsi="Times"/>
        </w:rPr>
      </w:pPr>
    </w:p>
    <w:p w14:paraId="1C19F1E2" w14:textId="77777777" w:rsidR="00E61C46" w:rsidRDefault="00E61C46">
      <w:pPr>
        <w:rPr>
          <w:rFonts w:ascii="Times" w:hAnsi="Times"/>
        </w:rPr>
      </w:pPr>
    </w:p>
    <w:p w14:paraId="6CB3705B" w14:textId="77777777" w:rsidR="00E61C46" w:rsidRDefault="00E61C46">
      <w:pPr>
        <w:rPr>
          <w:rFonts w:ascii="Times" w:hAnsi="Times"/>
        </w:rPr>
      </w:pPr>
    </w:p>
    <w:p w14:paraId="4789858B" w14:textId="77777777" w:rsidR="00E61C46" w:rsidRDefault="00E61C46">
      <w:pPr>
        <w:rPr>
          <w:rFonts w:ascii="Times" w:hAnsi="Times"/>
        </w:rPr>
      </w:pPr>
    </w:p>
    <w:p w14:paraId="616E8DC5" w14:textId="77777777" w:rsidR="00E61C46" w:rsidRDefault="00E61C46">
      <w:pPr>
        <w:rPr>
          <w:rFonts w:ascii="Times" w:hAnsi="Times"/>
        </w:rPr>
      </w:pPr>
    </w:p>
    <w:p w14:paraId="15528D05" w14:textId="77777777" w:rsidR="00E61C46" w:rsidRDefault="00E61C46">
      <w:pPr>
        <w:rPr>
          <w:rFonts w:ascii="Times" w:hAnsi="Times"/>
        </w:rPr>
      </w:pPr>
    </w:p>
    <w:p w14:paraId="507250DE" w14:textId="77777777" w:rsidR="00E61C46" w:rsidRDefault="00E61C46">
      <w:pPr>
        <w:rPr>
          <w:rFonts w:ascii="Times" w:hAnsi="Times"/>
        </w:rPr>
      </w:pPr>
    </w:p>
    <w:p w14:paraId="11BDC7BE" w14:textId="77777777" w:rsidR="00E61C46" w:rsidRDefault="00E61C46">
      <w:pPr>
        <w:rPr>
          <w:rFonts w:ascii="Times" w:hAnsi="Times"/>
        </w:rPr>
      </w:pPr>
    </w:p>
    <w:p w14:paraId="17B484BF" w14:textId="77777777" w:rsidR="00E61C46" w:rsidRDefault="00E61C46">
      <w:pPr>
        <w:rPr>
          <w:rFonts w:ascii="Times" w:hAnsi="Times"/>
        </w:rPr>
      </w:pPr>
    </w:p>
    <w:p w14:paraId="79306218" w14:textId="77777777" w:rsidR="00E61C46" w:rsidRDefault="00E61C46">
      <w:pPr>
        <w:rPr>
          <w:rFonts w:ascii="Times" w:hAnsi="Times"/>
        </w:rPr>
      </w:pPr>
    </w:p>
    <w:p w14:paraId="60D1566E" w14:textId="77777777" w:rsidR="00E61C46" w:rsidRDefault="00E61C46">
      <w:pPr>
        <w:rPr>
          <w:rFonts w:ascii="Times" w:hAnsi="Times"/>
        </w:rPr>
      </w:pPr>
    </w:p>
    <w:p w14:paraId="0C377B09" w14:textId="77777777" w:rsidR="00E61C46" w:rsidRDefault="00E61C46">
      <w:pPr>
        <w:rPr>
          <w:rFonts w:ascii="Times" w:hAnsi="Times"/>
        </w:rPr>
      </w:pPr>
    </w:p>
    <w:p w14:paraId="5539D947" w14:textId="77777777" w:rsidR="00E61C46" w:rsidRDefault="00E61C46">
      <w:pPr>
        <w:rPr>
          <w:rFonts w:ascii="Times" w:hAnsi="Times"/>
        </w:rPr>
      </w:pPr>
    </w:p>
    <w:p w14:paraId="33DAFD2C" w14:textId="77777777" w:rsidR="00871C6B" w:rsidRDefault="00871C6B">
      <w:pPr>
        <w:rPr>
          <w:rFonts w:ascii="Times" w:hAnsi="Times"/>
        </w:rPr>
      </w:pPr>
    </w:p>
    <w:p w14:paraId="5C9E2D39" w14:textId="59051A9E" w:rsidR="009B2AA7" w:rsidRDefault="009B2AA7">
      <w:pPr>
        <w:rPr>
          <w:rFonts w:ascii="Times" w:hAnsi="Times"/>
        </w:rPr>
      </w:pPr>
      <w:r>
        <w:rPr>
          <w:rFonts w:ascii="Times" w:hAnsi="Times"/>
        </w:rPr>
        <w:lastRenderedPageBreak/>
        <w:t>Introduction:</w:t>
      </w:r>
    </w:p>
    <w:p w14:paraId="347F2F1F" w14:textId="77777777" w:rsidR="009B2AA7" w:rsidRDefault="009B2AA7">
      <w:pPr>
        <w:rPr>
          <w:rFonts w:ascii="Times" w:hAnsi="Times"/>
        </w:rPr>
      </w:pPr>
    </w:p>
    <w:p w14:paraId="718724E6" w14:textId="74E8AC7A" w:rsidR="0014114E" w:rsidRDefault="001D34B8" w:rsidP="001D34B8">
      <w:pPr>
        <w:spacing w:line="360" w:lineRule="auto"/>
        <w:rPr>
          <w:rFonts w:ascii="Times" w:hAnsi="Times"/>
        </w:rPr>
      </w:pPr>
      <w:r>
        <w:rPr>
          <w:rFonts w:ascii="Times" w:hAnsi="Times"/>
        </w:rPr>
        <w:tab/>
      </w:r>
      <w:proofErr w:type="spellStart"/>
      <w:r w:rsidR="00D45053">
        <w:rPr>
          <w:rFonts w:ascii="Times" w:hAnsi="Times"/>
        </w:rPr>
        <w:t>Taqi</w:t>
      </w:r>
      <w:proofErr w:type="spellEnd"/>
      <w:r w:rsidR="00D45053">
        <w:rPr>
          <w:rFonts w:ascii="Times" w:hAnsi="Times"/>
        </w:rPr>
        <w:t xml:space="preserve"> al-Din Ahmad </w:t>
      </w:r>
      <w:r w:rsidR="00645D86">
        <w:rPr>
          <w:rFonts w:ascii="Times" w:hAnsi="Times"/>
        </w:rPr>
        <w:t>I</w:t>
      </w:r>
      <w:r w:rsidR="009B2AA7">
        <w:rPr>
          <w:rFonts w:ascii="Times" w:hAnsi="Times"/>
        </w:rPr>
        <w:t xml:space="preserve">bn </w:t>
      </w:r>
      <w:proofErr w:type="spellStart"/>
      <w:r w:rsidR="00D45053">
        <w:rPr>
          <w:rFonts w:ascii="Times" w:hAnsi="Times"/>
        </w:rPr>
        <w:t>Taymiyya</w:t>
      </w:r>
      <w:proofErr w:type="spellEnd"/>
      <w:r w:rsidR="009B2AA7">
        <w:rPr>
          <w:rFonts w:ascii="Times" w:hAnsi="Times"/>
        </w:rPr>
        <w:t xml:space="preserve"> is </w:t>
      </w:r>
      <w:r w:rsidR="000C5353">
        <w:rPr>
          <w:rFonts w:ascii="Times" w:hAnsi="Times"/>
        </w:rPr>
        <w:t>undoubtedly</w:t>
      </w:r>
      <w:r w:rsidR="009B2AA7">
        <w:rPr>
          <w:rFonts w:ascii="Times" w:hAnsi="Times"/>
        </w:rPr>
        <w:t xml:space="preserve"> one of the most significant and influential </w:t>
      </w:r>
      <w:r w:rsidR="00565F56">
        <w:rPr>
          <w:rFonts w:ascii="Times" w:hAnsi="Times"/>
        </w:rPr>
        <w:t>philosophers</w:t>
      </w:r>
      <w:r w:rsidR="009B2AA7">
        <w:rPr>
          <w:rFonts w:ascii="Times" w:hAnsi="Times"/>
        </w:rPr>
        <w:t xml:space="preserve"> of Islamic thought. His puritanical approach to Sunni Islam</w:t>
      </w:r>
      <w:r w:rsidR="000C5353">
        <w:rPr>
          <w:rFonts w:ascii="Times" w:hAnsi="Times"/>
        </w:rPr>
        <w:t xml:space="preserve"> has not only had a profound impact on Islamic history but also on contemporary Islamic societies worldwide. Preaching for Islamic reform,</w:t>
      </w:r>
      <w:r w:rsidR="00D00BA8">
        <w:rPr>
          <w:rFonts w:ascii="Times" w:hAnsi="Times"/>
        </w:rPr>
        <w:t xml:space="preserve"> Ibn </w:t>
      </w:r>
      <w:proofErr w:type="spellStart"/>
      <w:r w:rsidR="00D45053">
        <w:rPr>
          <w:rFonts w:ascii="Times" w:hAnsi="Times"/>
        </w:rPr>
        <w:t>Taymiyya</w:t>
      </w:r>
      <w:r w:rsidR="00D00BA8">
        <w:rPr>
          <w:rFonts w:ascii="Times" w:hAnsi="Times"/>
        </w:rPr>
        <w:t>’s</w:t>
      </w:r>
      <w:proofErr w:type="spellEnd"/>
      <w:r w:rsidR="00D00BA8">
        <w:rPr>
          <w:rFonts w:ascii="Times" w:hAnsi="Times"/>
        </w:rPr>
        <w:t xml:space="preserve"> approach to an ideal Islamic society is a return</w:t>
      </w:r>
      <w:r w:rsidR="00FD6787">
        <w:rPr>
          <w:rFonts w:ascii="Times" w:hAnsi="Times"/>
        </w:rPr>
        <w:t xml:space="preserve"> </w:t>
      </w:r>
      <w:r w:rsidR="00D00BA8">
        <w:rPr>
          <w:rFonts w:ascii="Times" w:hAnsi="Times"/>
        </w:rPr>
        <w:t xml:space="preserve">to the original </w:t>
      </w:r>
      <w:r w:rsidR="007B2BF1">
        <w:rPr>
          <w:rFonts w:ascii="Times" w:hAnsi="Times"/>
        </w:rPr>
        <w:t>teachings</w:t>
      </w:r>
      <w:r w:rsidR="00393B89">
        <w:rPr>
          <w:rFonts w:ascii="Times" w:hAnsi="Times"/>
        </w:rPr>
        <w:t xml:space="preserve"> of the Prophet Muhammad, advocating to incorporate (or re-</w:t>
      </w:r>
      <w:r w:rsidR="009266CE">
        <w:rPr>
          <w:rFonts w:ascii="Times" w:hAnsi="Times"/>
        </w:rPr>
        <w:t>incorporate</w:t>
      </w:r>
      <w:r w:rsidR="00393B89">
        <w:rPr>
          <w:rFonts w:ascii="Times" w:hAnsi="Times"/>
        </w:rPr>
        <w:t xml:space="preserve">) the original </w:t>
      </w:r>
      <w:r w:rsidR="009266CE">
        <w:rPr>
          <w:rFonts w:ascii="Times" w:hAnsi="Times"/>
        </w:rPr>
        <w:t>tenants</w:t>
      </w:r>
      <w:r w:rsidR="00393B89">
        <w:rPr>
          <w:rFonts w:ascii="Times" w:hAnsi="Times"/>
        </w:rPr>
        <w:t xml:space="preserve"> of Islam, pure from innovation (</w:t>
      </w:r>
      <w:r w:rsidR="00393B89" w:rsidRPr="00B172CD">
        <w:rPr>
          <w:rFonts w:ascii="Times" w:hAnsi="Times"/>
          <w:i/>
          <w:iCs/>
        </w:rPr>
        <w:t>bidah</w:t>
      </w:r>
      <w:r w:rsidR="00393B89">
        <w:rPr>
          <w:rFonts w:ascii="Times" w:hAnsi="Times"/>
        </w:rPr>
        <w:t xml:space="preserve">) and </w:t>
      </w:r>
      <w:r w:rsidR="00FD6787">
        <w:rPr>
          <w:rFonts w:ascii="Times" w:hAnsi="Times"/>
        </w:rPr>
        <w:t>changes</w:t>
      </w:r>
      <w:r w:rsidR="00393B89">
        <w:rPr>
          <w:rFonts w:ascii="Times" w:hAnsi="Times"/>
        </w:rPr>
        <w:t>.</w:t>
      </w:r>
      <w:r w:rsidR="001D27AB">
        <w:rPr>
          <w:rFonts w:ascii="Times" w:hAnsi="Times"/>
        </w:rPr>
        <w:t xml:space="preserve"> Although </w:t>
      </w:r>
      <w:r w:rsidR="00C574FE">
        <w:rPr>
          <w:rFonts w:ascii="Times" w:hAnsi="Times"/>
        </w:rPr>
        <w:t>there were other factors leading to his subsequent detention</w:t>
      </w:r>
      <w:r w:rsidR="00402740">
        <w:rPr>
          <w:rFonts w:ascii="Times" w:hAnsi="Times"/>
        </w:rPr>
        <w:t>s</w:t>
      </w:r>
      <w:r w:rsidR="00C574FE">
        <w:rPr>
          <w:rFonts w:ascii="Times" w:hAnsi="Times"/>
        </w:rPr>
        <w:t xml:space="preserve">, Ibn </w:t>
      </w:r>
      <w:proofErr w:type="spellStart"/>
      <w:r w:rsidR="00D45053">
        <w:rPr>
          <w:rFonts w:ascii="Times" w:hAnsi="Times"/>
        </w:rPr>
        <w:t>Taymiyya</w:t>
      </w:r>
      <w:proofErr w:type="spellEnd"/>
      <w:r w:rsidR="00C574FE">
        <w:rPr>
          <w:rFonts w:ascii="Times" w:hAnsi="Times"/>
        </w:rPr>
        <w:t xml:space="preserve"> was jailed by various regimes in the Islamic Caliphate six times within </w:t>
      </w:r>
      <w:r w:rsidR="00FD6787">
        <w:rPr>
          <w:rFonts w:ascii="Times" w:hAnsi="Times"/>
        </w:rPr>
        <w:t>six years</w:t>
      </w:r>
      <w:r w:rsidR="00C574FE">
        <w:rPr>
          <w:rFonts w:ascii="Times" w:hAnsi="Times"/>
        </w:rPr>
        <w:t xml:space="preserve">, primarily due to legal and </w:t>
      </w:r>
      <w:r w:rsidR="00402740">
        <w:rPr>
          <w:rFonts w:ascii="Times" w:hAnsi="Times"/>
        </w:rPr>
        <w:t>theological-related</w:t>
      </w:r>
      <w:r w:rsidR="00C574FE">
        <w:rPr>
          <w:rFonts w:ascii="Times" w:hAnsi="Times"/>
        </w:rPr>
        <w:t xml:space="preserve"> </w:t>
      </w:r>
      <w:r w:rsidR="00FD6787">
        <w:rPr>
          <w:rFonts w:ascii="Times" w:hAnsi="Times"/>
        </w:rPr>
        <w:t>discrepancies he had</w:t>
      </w:r>
      <w:r w:rsidR="00C574FE">
        <w:rPr>
          <w:rFonts w:ascii="Times" w:hAnsi="Times"/>
        </w:rPr>
        <w:t xml:space="preserve"> with the </w:t>
      </w:r>
      <w:r w:rsidR="00C574FE" w:rsidRPr="00B0480A">
        <w:rPr>
          <w:rFonts w:ascii="Times" w:hAnsi="Times"/>
        </w:rPr>
        <w:t>state</w:t>
      </w:r>
      <w:r w:rsidR="00402740" w:rsidRPr="00B0480A">
        <w:rPr>
          <w:rFonts w:ascii="Times" w:hAnsi="Times"/>
        </w:rPr>
        <w:t>.</w:t>
      </w:r>
      <w:r w:rsidR="00285AE7" w:rsidRPr="00B0480A">
        <w:rPr>
          <w:rStyle w:val="FootnoteReference"/>
          <w:rFonts w:ascii="Times" w:hAnsi="Times"/>
        </w:rPr>
        <w:footnoteReference w:id="1"/>
      </w:r>
    </w:p>
    <w:p w14:paraId="65C7321F" w14:textId="3F3CCEDB" w:rsidR="00393B89" w:rsidRDefault="001D34B8" w:rsidP="001D34B8">
      <w:pPr>
        <w:spacing w:line="360" w:lineRule="auto"/>
        <w:rPr>
          <w:rFonts w:ascii="Times" w:hAnsi="Times"/>
        </w:rPr>
      </w:pPr>
      <w:r>
        <w:rPr>
          <w:rFonts w:ascii="Times" w:hAnsi="Times"/>
        </w:rPr>
        <w:tab/>
      </w:r>
      <w:r w:rsidR="00393B89">
        <w:rPr>
          <w:rFonts w:ascii="Times" w:hAnsi="Times"/>
        </w:rPr>
        <w:t xml:space="preserve">Yet, </w:t>
      </w:r>
      <w:r w:rsidR="00FD6787">
        <w:rPr>
          <w:rFonts w:ascii="Times" w:hAnsi="Times"/>
        </w:rPr>
        <w:t xml:space="preserve">even when analyzing from a contemporary political lens, </w:t>
      </w:r>
      <w:r w:rsidR="00393B89">
        <w:rPr>
          <w:rFonts w:ascii="Times" w:hAnsi="Times"/>
        </w:rPr>
        <w:t xml:space="preserve">this ideological </w:t>
      </w:r>
      <w:r w:rsidR="009266CE">
        <w:rPr>
          <w:rFonts w:ascii="Times" w:hAnsi="Times"/>
        </w:rPr>
        <w:t>predecessor</w:t>
      </w:r>
      <w:r w:rsidR="00393B89">
        <w:rPr>
          <w:rFonts w:ascii="Times" w:hAnsi="Times"/>
        </w:rPr>
        <w:t xml:space="preserve"> of </w:t>
      </w:r>
      <w:r w:rsidR="00FD6787">
        <w:rPr>
          <w:rFonts w:ascii="Times" w:hAnsi="Times"/>
        </w:rPr>
        <w:t xml:space="preserve">the much </w:t>
      </w:r>
      <w:r w:rsidR="00393B89">
        <w:rPr>
          <w:rFonts w:ascii="Times" w:hAnsi="Times"/>
        </w:rPr>
        <w:t>later Wahhabi and Salafi</w:t>
      </w:r>
      <w:r w:rsidR="009B3646">
        <w:rPr>
          <w:rFonts w:ascii="Times" w:hAnsi="Times"/>
        </w:rPr>
        <w:t xml:space="preserve"> movements</w:t>
      </w:r>
      <w:r w:rsidR="00393B89">
        <w:rPr>
          <w:rFonts w:ascii="Times" w:hAnsi="Times"/>
        </w:rPr>
        <w:t xml:space="preserve"> is not without controversy</w:t>
      </w:r>
      <w:r w:rsidR="00FD6787">
        <w:rPr>
          <w:rFonts w:ascii="Times" w:hAnsi="Times"/>
        </w:rPr>
        <w:t xml:space="preserve">. </w:t>
      </w:r>
      <w:r w:rsidR="00B172CD">
        <w:rPr>
          <w:rFonts w:ascii="Times" w:hAnsi="Times"/>
        </w:rPr>
        <w:t>The impact of his philosophies, both political and social has garnered significant attention, particularly in its relationship with militant groups. Th</w:t>
      </w:r>
      <w:r w:rsidR="009B3646">
        <w:rPr>
          <w:rFonts w:ascii="Times" w:hAnsi="Times"/>
        </w:rPr>
        <w:t xml:space="preserve">e </w:t>
      </w:r>
      <w:r w:rsidR="00B172CD">
        <w:rPr>
          <w:rFonts w:ascii="Times" w:hAnsi="Times"/>
        </w:rPr>
        <w:t>concept of a glorified imagined past of an Islamic society without the tarnish</w:t>
      </w:r>
      <w:r w:rsidR="009266CE">
        <w:rPr>
          <w:rFonts w:ascii="Times" w:hAnsi="Times"/>
        </w:rPr>
        <w:t>ed i</w:t>
      </w:r>
      <w:r w:rsidR="00B172CD">
        <w:rPr>
          <w:rFonts w:ascii="Times" w:hAnsi="Times"/>
        </w:rPr>
        <w:t xml:space="preserve">nnovations of later generations commonly features </w:t>
      </w:r>
      <w:r w:rsidR="00636560">
        <w:rPr>
          <w:rFonts w:ascii="Times" w:hAnsi="Times"/>
        </w:rPr>
        <w:t>an</w:t>
      </w:r>
      <w:r w:rsidR="00B172CD">
        <w:rPr>
          <w:rFonts w:ascii="Times" w:hAnsi="Times"/>
        </w:rPr>
        <w:t xml:space="preserve"> </w:t>
      </w:r>
      <w:r w:rsidR="00636560">
        <w:rPr>
          <w:rFonts w:ascii="Times" w:hAnsi="Times"/>
        </w:rPr>
        <w:t xml:space="preserve">image </w:t>
      </w:r>
      <w:r w:rsidR="00B172CD">
        <w:rPr>
          <w:rFonts w:ascii="Times" w:hAnsi="Times"/>
        </w:rPr>
        <w:t>of how this indigenous form of Islam can withstand changes</w:t>
      </w:r>
      <w:r w:rsidR="00636560">
        <w:rPr>
          <w:rFonts w:ascii="Times" w:hAnsi="Times"/>
        </w:rPr>
        <w:t xml:space="preserve">, </w:t>
      </w:r>
      <w:r w:rsidR="00B172CD">
        <w:rPr>
          <w:rFonts w:ascii="Times" w:hAnsi="Times"/>
        </w:rPr>
        <w:t xml:space="preserve">from various others. These others commonly include those within Islam (although </w:t>
      </w:r>
      <w:r w:rsidR="009266CE">
        <w:rPr>
          <w:rFonts w:ascii="Times" w:hAnsi="Times"/>
        </w:rPr>
        <w:t>their</w:t>
      </w:r>
      <w:r w:rsidR="00B172CD">
        <w:rPr>
          <w:rFonts w:ascii="Times" w:hAnsi="Times"/>
        </w:rPr>
        <w:t xml:space="preserve"> status as Muslims according to this specific ideology is </w:t>
      </w:r>
      <w:r w:rsidR="00FD6787">
        <w:rPr>
          <w:rFonts w:ascii="Times" w:hAnsi="Times"/>
        </w:rPr>
        <w:t>often</w:t>
      </w:r>
      <w:r w:rsidR="00B172CD">
        <w:rPr>
          <w:rFonts w:ascii="Times" w:hAnsi="Times"/>
        </w:rPr>
        <w:t xml:space="preserve"> </w:t>
      </w:r>
      <w:r>
        <w:rPr>
          <w:rFonts w:ascii="Times" w:hAnsi="Times"/>
        </w:rPr>
        <w:t xml:space="preserve">invalidated), as well as </w:t>
      </w:r>
      <w:r w:rsidR="00636560">
        <w:rPr>
          <w:rFonts w:ascii="Times" w:hAnsi="Times"/>
        </w:rPr>
        <w:t>those</w:t>
      </w:r>
      <w:r w:rsidR="009B3646">
        <w:rPr>
          <w:rFonts w:ascii="Times" w:hAnsi="Times"/>
        </w:rPr>
        <w:t xml:space="preserve"> outside</w:t>
      </w:r>
      <w:r>
        <w:rPr>
          <w:rFonts w:ascii="Times" w:hAnsi="Times"/>
        </w:rPr>
        <w:t xml:space="preserve"> of Islam, </w:t>
      </w:r>
      <w:r w:rsidR="00FD6787">
        <w:rPr>
          <w:rFonts w:ascii="Times" w:hAnsi="Times"/>
        </w:rPr>
        <w:t>primarily</w:t>
      </w:r>
      <w:r>
        <w:rPr>
          <w:rFonts w:ascii="Times" w:hAnsi="Times"/>
        </w:rPr>
        <w:t xml:space="preserve"> Jews and Christians. </w:t>
      </w:r>
    </w:p>
    <w:p w14:paraId="28CFA107" w14:textId="01F89D97" w:rsidR="001D34B8" w:rsidRDefault="001D34B8" w:rsidP="001D34B8">
      <w:pPr>
        <w:spacing w:line="360" w:lineRule="auto"/>
        <w:rPr>
          <w:rFonts w:ascii="Times" w:hAnsi="Times"/>
        </w:rPr>
      </w:pPr>
      <w:r>
        <w:rPr>
          <w:rFonts w:ascii="Times" w:hAnsi="Times"/>
        </w:rPr>
        <w:tab/>
        <w:t xml:space="preserve">This essay is going to examine </w:t>
      </w:r>
      <w:r w:rsidR="00FD6787">
        <w:rPr>
          <w:rFonts w:ascii="Times" w:hAnsi="Times"/>
        </w:rPr>
        <w:t xml:space="preserve">aspects of </w:t>
      </w:r>
      <w:r>
        <w:rPr>
          <w:rFonts w:ascii="Times" w:hAnsi="Times"/>
        </w:rPr>
        <w:t xml:space="preserve">Ibn </w:t>
      </w:r>
      <w:proofErr w:type="spellStart"/>
      <w:r w:rsidR="00D45053">
        <w:rPr>
          <w:rFonts w:ascii="Times" w:hAnsi="Times"/>
        </w:rPr>
        <w:t>Taymiyya</w:t>
      </w:r>
      <w:r w:rsidR="00FD6787">
        <w:rPr>
          <w:rFonts w:ascii="Times" w:hAnsi="Times"/>
        </w:rPr>
        <w:t>’s</w:t>
      </w:r>
      <w:proofErr w:type="spellEnd"/>
      <w:r w:rsidR="00FD6787">
        <w:rPr>
          <w:rFonts w:ascii="Times" w:hAnsi="Times"/>
        </w:rPr>
        <w:t xml:space="preserve"> </w:t>
      </w:r>
      <w:r w:rsidR="00C01361">
        <w:rPr>
          <w:rFonts w:ascii="Times" w:hAnsi="Times"/>
        </w:rPr>
        <w:t>philosophy</w:t>
      </w:r>
      <w:r>
        <w:rPr>
          <w:rFonts w:ascii="Times" w:hAnsi="Times"/>
        </w:rPr>
        <w:t xml:space="preserve">, primarily </w:t>
      </w:r>
      <w:r w:rsidR="009266CE">
        <w:rPr>
          <w:rFonts w:ascii="Times" w:hAnsi="Times"/>
        </w:rPr>
        <w:t>on</w:t>
      </w:r>
      <w:r>
        <w:rPr>
          <w:rFonts w:ascii="Times" w:hAnsi="Times"/>
        </w:rPr>
        <w:t xml:space="preserve"> his views of </w:t>
      </w:r>
      <w:r w:rsidR="00FD6787">
        <w:rPr>
          <w:rFonts w:ascii="Times" w:hAnsi="Times"/>
        </w:rPr>
        <w:t>Islamic political structure</w:t>
      </w:r>
      <w:r w:rsidR="00636560">
        <w:rPr>
          <w:rFonts w:ascii="Times" w:hAnsi="Times"/>
        </w:rPr>
        <w:t xml:space="preserve"> </w:t>
      </w:r>
      <w:r>
        <w:rPr>
          <w:rFonts w:ascii="Times" w:hAnsi="Times"/>
        </w:rPr>
        <w:t>an</w:t>
      </w:r>
      <w:r w:rsidR="00636560">
        <w:rPr>
          <w:rFonts w:ascii="Times" w:hAnsi="Times"/>
        </w:rPr>
        <w:t>d</w:t>
      </w:r>
      <w:r>
        <w:rPr>
          <w:rFonts w:ascii="Times" w:hAnsi="Times"/>
        </w:rPr>
        <w:t xml:space="preserve"> ideal Islamic societ</w:t>
      </w:r>
      <w:r w:rsidR="00FD6787">
        <w:rPr>
          <w:rFonts w:ascii="Times" w:hAnsi="Times"/>
        </w:rPr>
        <w:t>y.</w:t>
      </w:r>
      <w:r>
        <w:rPr>
          <w:rFonts w:ascii="Times" w:hAnsi="Times"/>
        </w:rPr>
        <w:t xml:space="preserve"> </w:t>
      </w:r>
      <w:r w:rsidR="00247616">
        <w:rPr>
          <w:rFonts w:ascii="Times" w:hAnsi="Times"/>
        </w:rPr>
        <w:t xml:space="preserve">Part I will examine Ibn </w:t>
      </w:r>
      <w:proofErr w:type="spellStart"/>
      <w:r w:rsidR="00D45053">
        <w:rPr>
          <w:rFonts w:ascii="Times" w:hAnsi="Times"/>
        </w:rPr>
        <w:t>Taymiyya</w:t>
      </w:r>
      <w:r w:rsidR="009266CE">
        <w:rPr>
          <w:rFonts w:ascii="Times" w:hAnsi="Times"/>
        </w:rPr>
        <w:t>'s</w:t>
      </w:r>
      <w:proofErr w:type="spellEnd"/>
      <w:r w:rsidR="00247616">
        <w:rPr>
          <w:rFonts w:ascii="Times" w:hAnsi="Times"/>
        </w:rPr>
        <w:t xml:space="preserve"> </w:t>
      </w:r>
      <w:r>
        <w:rPr>
          <w:rFonts w:ascii="Times" w:hAnsi="Times"/>
        </w:rPr>
        <w:t xml:space="preserve">concept of the outsider within Islamic </w:t>
      </w:r>
      <w:r w:rsidR="00604AC2">
        <w:rPr>
          <w:rFonts w:ascii="Times" w:hAnsi="Times"/>
        </w:rPr>
        <w:t xml:space="preserve">political </w:t>
      </w:r>
      <w:r>
        <w:rPr>
          <w:rFonts w:ascii="Times" w:hAnsi="Times"/>
        </w:rPr>
        <w:t>society</w:t>
      </w:r>
      <w:r w:rsidR="0026221A">
        <w:rPr>
          <w:rFonts w:ascii="Times" w:hAnsi="Times"/>
        </w:rPr>
        <w:t xml:space="preserve">, illustrating his vision of Islamic political </w:t>
      </w:r>
      <w:r w:rsidR="007150EB">
        <w:rPr>
          <w:rFonts w:ascii="Times" w:hAnsi="Times"/>
        </w:rPr>
        <w:t>authority</w:t>
      </w:r>
      <w:r w:rsidR="0026221A">
        <w:rPr>
          <w:rFonts w:ascii="Times" w:hAnsi="Times"/>
        </w:rPr>
        <w:t xml:space="preserve">. </w:t>
      </w:r>
      <w:r w:rsidR="00247616">
        <w:rPr>
          <w:rFonts w:ascii="Times" w:hAnsi="Times"/>
        </w:rPr>
        <w:t>Part II</w:t>
      </w:r>
      <w:r>
        <w:rPr>
          <w:rFonts w:ascii="Times" w:hAnsi="Times"/>
        </w:rPr>
        <w:t xml:space="preserve"> will </w:t>
      </w:r>
      <w:r w:rsidR="00247616">
        <w:rPr>
          <w:rFonts w:ascii="Times" w:hAnsi="Times"/>
        </w:rPr>
        <w:t>examine</w:t>
      </w:r>
      <w:r>
        <w:rPr>
          <w:rFonts w:ascii="Times" w:hAnsi="Times"/>
        </w:rPr>
        <w:t xml:space="preserve">, the relevance of his teachings and philosophy </w:t>
      </w:r>
      <w:r w:rsidR="00247616">
        <w:rPr>
          <w:rFonts w:ascii="Times" w:hAnsi="Times"/>
        </w:rPr>
        <w:t>to</w:t>
      </w:r>
      <w:r>
        <w:rPr>
          <w:rFonts w:ascii="Times" w:hAnsi="Times"/>
        </w:rPr>
        <w:t xml:space="preserve"> contemporary militant groups</w:t>
      </w:r>
      <w:r w:rsidR="00247616">
        <w:rPr>
          <w:rFonts w:ascii="Times" w:hAnsi="Times"/>
        </w:rPr>
        <w:t xml:space="preserve"> and modern-day Wahhabi</w:t>
      </w:r>
      <w:r w:rsidR="007150EB">
        <w:rPr>
          <w:rFonts w:ascii="Times" w:hAnsi="Times"/>
        </w:rPr>
        <w:t xml:space="preserve"> and</w:t>
      </w:r>
      <w:r w:rsidR="00247616">
        <w:rPr>
          <w:rFonts w:ascii="Times" w:hAnsi="Times"/>
        </w:rPr>
        <w:t xml:space="preserve"> Salafi</w:t>
      </w:r>
      <w:r w:rsidR="007150EB">
        <w:rPr>
          <w:rFonts w:ascii="Times" w:hAnsi="Times"/>
        </w:rPr>
        <w:t xml:space="preserve"> movements.</w:t>
      </w:r>
      <w:r>
        <w:rPr>
          <w:rFonts w:ascii="Times" w:hAnsi="Times"/>
        </w:rPr>
        <w:t xml:space="preserve"> </w:t>
      </w:r>
      <w:r w:rsidR="007150EB">
        <w:rPr>
          <w:rFonts w:ascii="Times" w:hAnsi="Times"/>
        </w:rPr>
        <w:t>Although these</w:t>
      </w:r>
      <w:r>
        <w:rPr>
          <w:rFonts w:ascii="Times" w:hAnsi="Times"/>
        </w:rPr>
        <w:t xml:space="preserve"> factors will analyze the impact of Ibn </w:t>
      </w:r>
      <w:proofErr w:type="spellStart"/>
      <w:r w:rsidR="00D45053">
        <w:rPr>
          <w:rFonts w:ascii="Times" w:hAnsi="Times"/>
        </w:rPr>
        <w:t>Taymiyya</w:t>
      </w:r>
      <w:r>
        <w:rPr>
          <w:rFonts w:ascii="Times" w:hAnsi="Times"/>
        </w:rPr>
        <w:t>’s</w:t>
      </w:r>
      <w:proofErr w:type="spellEnd"/>
      <w:r>
        <w:rPr>
          <w:rFonts w:ascii="Times" w:hAnsi="Times"/>
        </w:rPr>
        <w:t xml:space="preserve"> views on Islamic political philosophy</w:t>
      </w:r>
      <w:r w:rsidR="007150EB">
        <w:rPr>
          <w:rFonts w:ascii="Times" w:hAnsi="Times"/>
        </w:rPr>
        <w:t xml:space="preserve"> and theory</w:t>
      </w:r>
      <w:r>
        <w:rPr>
          <w:rFonts w:ascii="Times" w:hAnsi="Times"/>
        </w:rPr>
        <w:t xml:space="preserve">, </w:t>
      </w:r>
      <w:r w:rsidR="007150EB">
        <w:rPr>
          <w:rFonts w:ascii="Times" w:hAnsi="Times"/>
        </w:rPr>
        <w:t>these factors also</w:t>
      </w:r>
      <w:r>
        <w:rPr>
          <w:rFonts w:ascii="Times" w:hAnsi="Times"/>
        </w:rPr>
        <w:t xml:space="preserve"> </w:t>
      </w:r>
      <w:r w:rsidR="007150EB">
        <w:rPr>
          <w:rFonts w:ascii="Times" w:hAnsi="Times"/>
        </w:rPr>
        <w:t>affect</w:t>
      </w:r>
      <w:r>
        <w:rPr>
          <w:rFonts w:ascii="Times" w:hAnsi="Times"/>
        </w:rPr>
        <w:t xml:space="preserve"> contemporary Islamic thought, primarily </w:t>
      </w:r>
      <w:r w:rsidR="00247616">
        <w:rPr>
          <w:rFonts w:ascii="Times" w:hAnsi="Times"/>
        </w:rPr>
        <w:t>on</w:t>
      </w:r>
      <w:r w:rsidR="009B3646">
        <w:rPr>
          <w:rFonts w:ascii="Times" w:hAnsi="Times"/>
        </w:rPr>
        <w:t xml:space="preserve"> </w:t>
      </w:r>
      <w:r>
        <w:rPr>
          <w:rFonts w:ascii="Times" w:hAnsi="Times"/>
        </w:rPr>
        <w:t xml:space="preserve">intra-Islamic </w:t>
      </w:r>
      <w:r w:rsidR="009B3646">
        <w:rPr>
          <w:rFonts w:ascii="Times" w:hAnsi="Times"/>
        </w:rPr>
        <w:t xml:space="preserve">coexistence </w:t>
      </w:r>
      <w:r>
        <w:rPr>
          <w:rFonts w:ascii="Times" w:hAnsi="Times"/>
        </w:rPr>
        <w:t>and interfaith relations.</w:t>
      </w:r>
    </w:p>
    <w:p w14:paraId="755F3D87" w14:textId="77777777" w:rsidR="00E35A68" w:rsidRDefault="00E35A68" w:rsidP="001D34B8">
      <w:pPr>
        <w:spacing w:line="360" w:lineRule="auto"/>
        <w:rPr>
          <w:rFonts w:ascii="Times" w:hAnsi="Times"/>
        </w:rPr>
      </w:pPr>
    </w:p>
    <w:p w14:paraId="7D4BEEBE" w14:textId="1C25E8C3" w:rsidR="00604AC2" w:rsidRDefault="00604AC2" w:rsidP="001D34B8">
      <w:pPr>
        <w:spacing w:line="360" w:lineRule="auto"/>
        <w:rPr>
          <w:rFonts w:ascii="Times" w:hAnsi="Times"/>
        </w:rPr>
      </w:pPr>
      <w:r>
        <w:rPr>
          <w:rFonts w:ascii="Times" w:hAnsi="Times"/>
        </w:rPr>
        <w:lastRenderedPageBreak/>
        <w:t xml:space="preserve">Part I. </w:t>
      </w:r>
    </w:p>
    <w:p w14:paraId="6DF7E2A1" w14:textId="52FFD3B9" w:rsidR="00604AC2" w:rsidRDefault="00604AC2" w:rsidP="001D34B8">
      <w:pPr>
        <w:spacing w:line="360" w:lineRule="auto"/>
        <w:rPr>
          <w:rFonts w:ascii="Times" w:hAnsi="Times"/>
        </w:rPr>
      </w:pPr>
      <w:r>
        <w:rPr>
          <w:rFonts w:ascii="Times" w:hAnsi="Times"/>
        </w:rPr>
        <w:tab/>
      </w:r>
    </w:p>
    <w:p w14:paraId="5A081215" w14:textId="4F1F3F35" w:rsidR="00F24209" w:rsidRDefault="00A47089" w:rsidP="001D34B8">
      <w:pPr>
        <w:spacing w:line="360" w:lineRule="auto"/>
        <w:rPr>
          <w:rFonts w:ascii="Times" w:hAnsi="Times"/>
        </w:rPr>
      </w:pPr>
      <w:r>
        <w:rPr>
          <w:rFonts w:ascii="Times" w:hAnsi="Times"/>
        </w:rPr>
        <w:tab/>
        <w:t xml:space="preserve">One key theme in Ibn </w:t>
      </w:r>
      <w:proofErr w:type="spellStart"/>
      <w:r w:rsidR="00D45053">
        <w:rPr>
          <w:rFonts w:ascii="Times" w:hAnsi="Times"/>
        </w:rPr>
        <w:t>Taymiyya</w:t>
      </w:r>
      <w:r>
        <w:rPr>
          <w:rFonts w:ascii="Times" w:hAnsi="Times"/>
        </w:rPr>
        <w:t>’s</w:t>
      </w:r>
      <w:proofErr w:type="spellEnd"/>
      <w:r>
        <w:rPr>
          <w:rFonts w:ascii="Times" w:hAnsi="Times"/>
        </w:rPr>
        <w:t xml:space="preserve"> political </w:t>
      </w:r>
      <w:r w:rsidR="0089080F">
        <w:rPr>
          <w:rFonts w:ascii="Times" w:hAnsi="Times"/>
        </w:rPr>
        <w:t>philosophy</w:t>
      </w:r>
      <w:r>
        <w:rPr>
          <w:rFonts w:ascii="Times" w:hAnsi="Times"/>
        </w:rPr>
        <w:t xml:space="preserve"> is the significance of </w:t>
      </w:r>
      <w:r w:rsidR="0089080F">
        <w:rPr>
          <w:rFonts w:ascii="Times" w:hAnsi="Times"/>
        </w:rPr>
        <w:t xml:space="preserve">the </w:t>
      </w:r>
      <w:r>
        <w:rPr>
          <w:rFonts w:ascii="Times" w:hAnsi="Times"/>
        </w:rPr>
        <w:t xml:space="preserve">distinction </w:t>
      </w:r>
      <w:r w:rsidR="0089080F">
        <w:rPr>
          <w:rFonts w:ascii="Times" w:hAnsi="Times"/>
        </w:rPr>
        <w:t>between</w:t>
      </w:r>
      <w:r>
        <w:rPr>
          <w:rFonts w:ascii="Times" w:hAnsi="Times"/>
        </w:rPr>
        <w:t xml:space="preserve"> Muslims and non-Muslims in Islamic society, particularly within the </w:t>
      </w:r>
      <w:r w:rsidR="0089080F">
        <w:rPr>
          <w:rFonts w:ascii="Times" w:hAnsi="Times"/>
        </w:rPr>
        <w:t>political</w:t>
      </w:r>
      <w:r>
        <w:rPr>
          <w:rFonts w:ascii="Times" w:hAnsi="Times"/>
        </w:rPr>
        <w:t xml:space="preserve"> framework. Within early Islamic caliphates, there is a unique relationship of non-Muslims having a significant role in the Islamic political</w:t>
      </w:r>
      <w:r w:rsidR="0089080F">
        <w:rPr>
          <w:rFonts w:ascii="Times" w:hAnsi="Times"/>
        </w:rPr>
        <w:t xml:space="preserve"> </w:t>
      </w:r>
      <w:r>
        <w:rPr>
          <w:rFonts w:ascii="Times" w:hAnsi="Times"/>
        </w:rPr>
        <w:t xml:space="preserve">system, specifically as adept administrators. </w:t>
      </w:r>
      <w:r w:rsidR="00F24209">
        <w:rPr>
          <w:rFonts w:ascii="Times" w:hAnsi="Times"/>
        </w:rPr>
        <w:t xml:space="preserve">When assessing the role of administrators within early Islamic caliphates, particularly the Umayyad and Abbasid Caliphates, there is a strong </w:t>
      </w:r>
      <w:r w:rsidR="00F66300">
        <w:rPr>
          <w:rFonts w:ascii="Times" w:hAnsi="Times"/>
        </w:rPr>
        <w:t>presence</w:t>
      </w:r>
      <w:r w:rsidR="00F24209">
        <w:rPr>
          <w:rFonts w:ascii="Times" w:hAnsi="Times"/>
        </w:rPr>
        <w:t xml:space="preserve"> of Christian administrators, sometimes working directly with the reigning Caliph. Primarily due to their experience in administration within the Byzantine Empire and the fluency of various regional languages, their adeptness by Muslim rulers was instilled from the onse</w:t>
      </w:r>
      <w:r w:rsidR="00F24209" w:rsidRPr="00DF4E69">
        <w:rPr>
          <w:rFonts w:ascii="Times" w:hAnsi="Times"/>
        </w:rPr>
        <w:t>t.</w:t>
      </w:r>
      <w:r w:rsidR="00DF4E69" w:rsidRPr="00DF4E69">
        <w:rPr>
          <w:rStyle w:val="FootnoteReference"/>
          <w:rFonts w:ascii="Times" w:hAnsi="Times"/>
        </w:rPr>
        <w:footnoteReference w:id="2"/>
      </w:r>
      <w:r w:rsidR="00F24209">
        <w:rPr>
          <w:rFonts w:ascii="Times" w:hAnsi="Times"/>
        </w:rPr>
        <w:t xml:space="preserve"> Yet, this was not without controversy. Even </w:t>
      </w:r>
      <w:r w:rsidR="00AD3BD4">
        <w:rPr>
          <w:rFonts w:ascii="Times" w:hAnsi="Times"/>
        </w:rPr>
        <w:t>before</w:t>
      </w:r>
      <w:r w:rsidR="00F24209">
        <w:rPr>
          <w:rFonts w:ascii="Times" w:hAnsi="Times"/>
        </w:rPr>
        <w:t xml:space="preserve"> Ibn </w:t>
      </w:r>
      <w:proofErr w:type="spellStart"/>
      <w:r w:rsidR="00D45053">
        <w:rPr>
          <w:rFonts w:ascii="Times" w:hAnsi="Times"/>
        </w:rPr>
        <w:t>Taymiyya</w:t>
      </w:r>
      <w:r w:rsidR="00F24209">
        <w:rPr>
          <w:rFonts w:ascii="Times" w:hAnsi="Times"/>
        </w:rPr>
        <w:t>’s</w:t>
      </w:r>
      <w:proofErr w:type="spellEnd"/>
      <w:r w:rsidR="00F24209">
        <w:rPr>
          <w:rFonts w:ascii="Times" w:hAnsi="Times"/>
        </w:rPr>
        <w:t xml:space="preserve"> time, there were </w:t>
      </w:r>
      <w:r w:rsidR="00F66300">
        <w:rPr>
          <w:rFonts w:ascii="Times" w:hAnsi="Times"/>
        </w:rPr>
        <w:t>complaints</w:t>
      </w:r>
      <w:r w:rsidR="00F24209">
        <w:rPr>
          <w:rFonts w:ascii="Times" w:hAnsi="Times"/>
        </w:rPr>
        <w:t xml:space="preserve"> from Muslim subjects within the Islamic Caliphate</w:t>
      </w:r>
      <w:r w:rsidR="007A558E">
        <w:rPr>
          <w:rFonts w:ascii="Times" w:hAnsi="Times"/>
        </w:rPr>
        <w:t xml:space="preserve">, particularly </w:t>
      </w:r>
      <w:r w:rsidR="00E35A68">
        <w:rPr>
          <w:rFonts w:ascii="Times" w:hAnsi="Times"/>
        </w:rPr>
        <w:t>regarding</w:t>
      </w:r>
      <w:r w:rsidR="00F24209">
        <w:rPr>
          <w:rFonts w:ascii="Times" w:hAnsi="Times"/>
        </w:rPr>
        <w:t xml:space="preserve"> the influence </w:t>
      </w:r>
      <w:r w:rsidR="007A558E">
        <w:rPr>
          <w:rFonts w:ascii="Times" w:hAnsi="Times"/>
        </w:rPr>
        <w:t xml:space="preserve">and stature </w:t>
      </w:r>
      <w:r w:rsidR="00F24209">
        <w:rPr>
          <w:rFonts w:ascii="Times" w:hAnsi="Times"/>
        </w:rPr>
        <w:t xml:space="preserve">of non-Muslims in positions of </w:t>
      </w:r>
      <w:r w:rsidR="007A558E">
        <w:rPr>
          <w:rFonts w:ascii="Times" w:hAnsi="Times"/>
        </w:rPr>
        <w:t xml:space="preserve">political </w:t>
      </w:r>
      <w:r w:rsidR="007A558E" w:rsidRPr="00DF4E69">
        <w:rPr>
          <w:rFonts w:ascii="Times" w:hAnsi="Times"/>
        </w:rPr>
        <w:t>power.</w:t>
      </w:r>
      <w:r w:rsidR="00DF4E69" w:rsidRPr="00DF4E69">
        <w:rPr>
          <w:rStyle w:val="FootnoteReference"/>
          <w:rFonts w:ascii="Times" w:hAnsi="Times"/>
        </w:rPr>
        <w:footnoteReference w:id="3"/>
      </w:r>
      <w:r w:rsidR="007A558E">
        <w:rPr>
          <w:rFonts w:ascii="Times" w:hAnsi="Times"/>
        </w:rPr>
        <w:t xml:space="preserve"> </w:t>
      </w:r>
    </w:p>
    <w:p w14:paraId="15B5F9C0" w14:textId="549016BD" w:rsidR="006829C7" w:rsidRDefault="007A558E" w:rsidP="001D34B8">
      <w:pPr>
        <w:spacing w:line="360" w:lineRule="auto"/>
        <w:rPr>
          <w:rFonts w:ascii="Times" w:hAnsi="Times"/>
        </w:rPr>
      </w:pPr>
      <w:r>
        <w:rPr>
          <w:rFonts w:ascii="Times" w:hAnsi="Times"/>
        </w:rPr>
        <w:tab/>
        <w:t xml:space="preserve">Ibn </w:t>
      </w:r>
      <w:proofErr w:type="spellStart"/>
      <w:r w:rsidR="00D45053">
        <w:rPr>
          <w:rFonts w:ascii="Times" w:hAnsi="Times"/>
        </w:rPr>
        <w:t>Taymiyya</w:t>
      </w:r>
      <w:r>
        <w:rPr>
          <w:rFonts w:ascii="Times" w:hAnsi="Times"/>
        </w:rPr>
        <w:t>’s</w:t>
      </w:r>
      <w:proofErr w:type="spellEnd"/>
      <w:r>
        <w:rPr>
          <w:rFonts w:ascii="Times" w:hAnsi="Times"/>
        </w:rPr>
        <w:t xml:space="preserve"> political </w:t>
      </w:r>
      <w:r w:rsidR="00F66300">
        <w:rPr>
          <w:rFonts w:ascii="Times" w:hAnsi="Times"/>
        </w:rPr>
        <w:t>philosophy</w:t>
      </w:r>
      <w:r>
        <w:rPr>
          <w:rFonts w:ascii="Times" w:hAnsi="Times"/>
        </w:rPr>
        <w:t xml:space="preserve"> of the collective “other” within Islamic political society is cohesive and lucid. When assessing </w:t>
      </w:r>
      <w:r w:rsidR="00DA114C">
        <w:rPr>
          <w:rFonts w:ascii="Times" w:hAnsi="Times"/>
        </w:rPr>
        <w:t>authoritarian</w:t>
      </w:r>
      <w:r>
        <w:rPr>
          <w:rFonts w:ascii="Times" w:hAnsi="Times"/>
        </w:rPr>
        <w:t xml:space="preserve"> rule in Islamic </w:t>
      </w:r>
      <w:r w:rsidR="00F66300">
        <w:rPr>
          <w:rFonts w:ascii="Times" w:hAnsi="Times"/>
        </w:rPr>
        <w:t>societies</w:t>
      </w:r>
      <w:r>
        <w:rPr>
          <w:rFonts w:ascii="Times" w:hAnsi="Times"/>
        </w:rPr>
        <w:t xml:space="preserve">, Ibn </w:t>
      </w:r>
      <w:proofErr w:type="spellStart"/>
      <w:r w:rsidR="00D45053">
        <w:rPr>
          <w:rFonts w:ascii="Times" w:hAnsi="Times"/>
        </w:rPr>
        <w:t>Taymiyya</w:t>
      </w:r>
      <w:proofErr w:type="spellEnd"/>
      <w:r>
        <w:rPr>
          <w:rFonts w:ascii="Times" w:hAnsi="Times"/>
        </w:rPr>
        <w:t xml:space="preserve"> has an interestingly different reaction </w:t>
      </w:r>
      <w:r w:rsidR="00AD3BD4">
        <w:rPr>
          <w:rFonts w:ascii="Times" w:hAnsi="Times"/>
        </w:rPr>
        <w:t>to</w:t>
      </w:r>
      <w:r>
        <w:rPr>
          <w:rFonts w:ascii="Times" w:hAnsi="Times"/>
        </w:rPr>
        <w:t xml:space="preserve"> the ruler of the regime</w:t>
      </w:r>
      <w:r w:rsidR="00E35A68">
        <w:rPr>
          <w:rFonts w:ascii="Times" w:hAnsi="Times"/>
        </w:rPr>
        <w:t xml:space="preserve">, depending on if the ruler is a Muslim or </w:t>
      </w:r>
      <w:r w:rsidR="00C03BB0">
        <w:rPr>
          <w:rFonts w:ascii="Times" w:hAnsi="Times"/>
        </w:rPr>
        <w:t>non-Muslim</w:t>
      </w:r>
      <w:r w:rsidR="00E35A68">
        <w:rPr>
          <w:rFonts w:ascii="Times" w:hAnsi="Times"/>
        </w:rPr>
        <w:t xml:space="preserve">. For example, if a leader is </w:t>
      </w:r>
      <w:r>
        <w:rPr>
          <w:rFonts w:ascii="Times" w:hAnsi="Times"/>
        </w:rPr>
        <w:t xml:space="preserve">a non-Muslim tyrant, Ibn </w:t>
      </w:r>
      <w:proofErr w:type="spellStart"/>
      <w:r w:rsidR="00D45053">
        <w:rPr>
          <w:rFonts w:ascii="Times" w:hAnsi="Times"/>
        </w:rPr>
        <w:t>Taymiyya</w:t>
      </w:r>
      <w:proofErr w:type="spellEnd"/>
      <w:r>
        <w:rPr>
          <w:rFonts w:ascii="Times" w:hAnsi="Times"/>
        </w:rPr>
        <w:t xml:space="preserve"> is </w:t>
      </w:r>
      <w:r w:rsidR="002C3938">
        <w:rPr>
          <w:rFonts w:ascii="Times" w:hAnsi="Times"/>
        </w:rPr>
        <w:t xml:space="preserve">of the belief that </w:t>
      </w:r>
      <w:r w:rsidR="00DA114C">
        <w:rPr>
          <w:rFonts w:ascii="Times" w:hAnsi="Times"/>
        </w:rPr>
        <w:t>raising</w:t>
      </w:r>
      <w:r w:rsidR="002C3938">
        <w:rPr>
          <w:rFonts w:ascii="Times" w:hAnsi="Times"/>
        </w:rPr>
        <w:t xml:space="preserve"> arms would be </w:t>
      </w:r>
      <w:r w:rsidR="00E35A68">
        <w:rPr>
          <w:rFonts w:ascii="Times" w:hAnsi="Times"/>
        </w:rPr>
        <w:t>obligatory</w:t>
      </w:r>
      <w:r w:rsidR="002C3938">
        <w:rPr>
          <w:rFonts w:ascii="Times" w:hAnsi="Times"/>
        </w:rPr>
        <w:t>.</w:t>
      </w:r>
      <w:r w:rsidR="00F66300">
        <w:rPr>
          <w:rFonts w:ascii="Times" w:hAnsi="Times"/>
        </w:rPr>
        <w:t xml:space="preserve"> However, this sentiment is not held </w:t>
      </w:r>
      <w:r w:rsidR="006444A6">
        <w:rPr>
          <w:rFonts w:ascii="Times" w:hAnsi="Times"/>
        </w:rPr>
        <w:t>with</w:t>
      </w:r>
      <w:r w:rsidR="00F66300">
        <w:rPr>
          <w:rFonts w:ascii="Times" w:hAnsi="Times"/>
        </w:rPr>
        <w:t xml:space="preserve"> the same vigilan</w:t>
      </w:r>
      <w:r w:rsidR="00E35A68">
        <w:rPr>
          <w:rFonts w:ascii="Times" w:hAnsi="Times"/>
        </w:rPr>
        <w:t xml:space="preserve">ce </w:t>
      </w:r>
      <w:r w:rsidR="00EA461F">
        <w:rPr>
          <w:rFonts w:ascii="Times" w:hAnsi="Times"/>
        </w:rPr>
        <w:t>as</w:t>
      </w:r>
      <w:r w:rsidR="00E35A68">
        <w:rPr>
          <w:rFonts w:ascii="Times" w:hAnsi="Times"/>
        </w:rPr>
        <w:t xml:space="preserve"> that of a</w:t>
      </w:r>
      <w:r w:rsidR="00F66300">
        <w:rPr>
          <w:rFonts w:ascii="Times" w:hAnsi="Times"/>
        </w:rPr>
        <w:t xml:space="preserve"> despotic</w:t>
      </w:r>
      <w:r w:rsidR="00E35A68">
        <w:rPr>
          <w:rFonts w:ascii="Times" w:hAnsi="Times"/>
        </w:rPr>
        <w:t xml:space="preserve"> Muslim</w:t>
      </w:r>
      <w:r w:rsidR="00F66300">
        <w:rPr>
          <w:rFonts w:ascii="Times" w:hAnsi="Times"/>
        </w:rPr>
        <w:t xml:space="preserve"> ruler. For the latter, Ibn </w:t>
      </w:r>
      <w:proofErr w:type="spellStart"/>
      <w:r w:rsidR="00D45053">
        <w:rPr>
          <w:rFonts w:ascii="Times" w:hAnsi="Times"/>
        </w:rPr>
        <w:t>Taymiyya</w:t>
      </w:r>
      <w:proofErr w:type="spellEnd"/>
      <w:r w:rsidR="00F66300">
        <w:rPr>
          <w:rFonts w:ascii="Times" w:hAnsi="Times"/>
        </w:rPr>
        <w:t xml:space="preserve"> believes that </w:t>
      </w:r>
      <w:r w:rsidR="005E7DF2">
        <w:rPr>
          <w:rFonts w:ascii="Times" w:hAnsi="Times"/>
        </w:rPr>
        <w:t>a Muslim subject should obey</w:t>
      </w:r>
      <w:r w:rsidR="00F66300">
        <w:rPr>
          <w:rFonts w:ascii="Times" w:hAnsi="Times"/>
        </w:rPr>
        <w:t xml:space="preserve"> a Muslim ruler</w:t>
      </w:r>
      <w:r w:rsidR="002C3938">
        <w:rPr>
          <w:rFonts w:ascii="Times" w:hAnsi="Times"/>
        </w:rPr>
        <w:t xml:space="preserve">, </w:t>
      </w:r>
      <w:r w:rsidR="00E35A68">
        <w:rPr>
          <w:rFonts w:ascii="Times" w:hAnsi="Times"/>
        </w:rPr>
        <w:t>regardless of his tyranny</w:t>
      </w:r>
      <w:r w:rsidR="00F66300">
        <w:rPr>
          <w:rFonts w:ascii="Times" w:hAnsi="Times"/>
        </w:rPr>
        <w:t xml:space="preserve"> since </w:t>
      </w:r>
      <w:r w:rsidR="002C3938">
        <w:rPr>
          <w:rFonts w:ascii="Times" w:hAnsi="Times"/>
        </w:rPr>
        <w:t>having a sitting (Muslim) leader as opposed to no</w:t>
      </w:r>
      <w:r w:rsidR="00E35A68">
        <w:rPr>
          <w:rFonts w:ascii="Times" w:hAnsi="Times"/>
        </w:rPr>
        <w:t xml:space="preserve">ne </w:t>
      </w:r>
      <w:r w:rsidR="002C3938">
        <w:rPr>
          <w:rFonts w:ascii="Times" w:hAnsi="Times"/>
        </w:rPr>
        <w:t>is preferabl</w:t>
      </w:r>
      <w:r w:rsidR="002C3938" w:rsidRPr="00023E19">
        <w:rPr>
          <w:rFonts w:ascii="Times" w:hAnsi="Times"/>
        </w:rPr>
        <w:t>e</w:t>
      </w:r>
      <w:r w:rsidR="00F66300" w:rsidRPr="00023E19">
        <w:rPr>
          <w:rFonts w:ascii="Times" w:hAnsi="Times"/>
        </w:rPr>
        <w:t>.</w:t>
      </w:r>
      <w:r w:rsidR="00311076" w:rsidRPr="00023E19">
        <w:rPr>
          <w:rStyle w:val="FootnoteReference"/>
          <w:rFonts w:ascii="Times" w:hAnsi="Times"/>
        </w:rPr>
        <w:footnoteReference w:id="4"/>
      </w:r>
      <w:r w:rsidR="00F66300">
        <w:rPr>
          <w:rFonts w:ascii="Times" w:hAnsi="Times"/>
        </w:rPr>
        <w:t xml:space="preserve"> </w:t>
      </w:r>
    </w:p>
    <w:p w14:paraId="29A10661" w14:textId="013B0190" w:rsidR="007A558E" w:rsidRDefault="006829C7" w:rsidP="001D34B8">
      <w:pPr>
        <w:spacing w:line="360" w:lineRule="auto"/>
        <w:rPr>
          <w:rFonts w:ascii="Times" w:hAnsi="Times"/>
        </w:rPr>
      </w:pPr>
      <w:r>
        <w:rPr>
          <w:rFonts w:ascii="Times" w:hAnsi="Times"/>
        </w:rPr>
        <w:tab/>
      </w:r>
      <w:r w:rsidR="00F66300">
        <w:rPr>
          <w:rFonts w:ascii="Times" w:hAnsi="Times"/>
        </w:rPr>
        <w:t xml:space="preserve">When analyzing this within a political framework, there is a clear distinction </w:t>
      </w:r>
      <w:r w:rsidR="00E35A68">
        <w:rPr>
          <w:rFonts w:ascii="Times" w:hAnsi="Times"/>
        </w:rPr>
        <w:t>of</w:t>
      </w:r>
      <w:r w:rsidR="00F66300">
        <w:rPr>
          <w:rFonts w:ascii="Times" w:hAnsi="Times"/>
        </w:rPr>
        <w:t xml:space="preserve"> obedience </w:t>
      </w:r>
      <w:r w:rsidR="00E35A68">
        <w:rPr>
          <w:rFonts w:ascii="Times" w:hAnsi="Times"/>
        </w:rPr>
        <w:t>in</w:t>
      </w:r>
      <w:r w:rsidR="00F66300">
        <w:rPr>
          <w:rFonts w:ascii="Times" w:hAnsi="Times"/>
        </w:rPr>
        <w:t xml:space="preserve"> Ibn </w:t>
      </w:r>
      <w:proofErr w:type="spellStart"/>
      <w:r w:rsidR="00D45053">
        <w:rPr>
          <w:rFonts w:ascii="Times" w:hAnsi="Times"/>
        </w:rPr>
        <w:t>Taymiyya</w:t>
      </w:r>
      <w:r w:rsidR="00F66300">
        <w:rPr>
          <w:rFonts w:ascii="Times" w:hAnsi="Times"/>
        </w:rPr>
        <w:t>’s</w:t>
      </w:r>
      <w:proofErr w:type="spellEnd"/>
      <w:r w:rsidR="00F66300">
        <w:rPr>
          <w:rFonts w:ascii="Times" w:hAnsi="Times"/>
        </w:rPr>
        <w:t xml:space="preserve"> </w:t>
      </w:r>
      <w:r w:rsidR="002C3938">
        <w:rPr>
          <w:rFonts w:ascii="Times" w:hAnsi="Times"/>
        </w:rPr>
        <w:t xml:space="preserve">political </w:t>
      </w:r>
      <w:r w:rsidR="00E35A68">
        <w:rPr>
          <w:rFonts w:ascii="Times" w:hAnsi="Times"/>
        </w:rPr>
        <w:t>philosophy,</w:t>
      </w:r>
      <w:r w:rsidR="00F66300">
        <w:rPr>
          <w:rFonts w:ascii="Times" w:hAnsi="Times"/>
        </w:rPr>
        <w:t xml:space="preserve"> to that of a Muslim and non-Muslim</w:t>
      </w:r>
      <w:r w:rsidR="00AC4B90">
        <w:rPr>
          <w:rFonts w:ascii="Times" w:hAnsi="Times"/>
        </w:rPr>
        <w:t>, and the rules that should be followed for either possible circumstance</w:t>
      </w:r>
      <w:r w:rsidR="002C3938">
        <w:rPr>
          <w:rFonts w:ascii="Times" w:hAnsi="Times"/>
        </w:rPr>
        <w:t xml:space="preserve"> by the wider Islamic community. </w:t>
      </w:r>
      <w:proofErr w:type="gramStart"/>
      <w:r w:rsidR="00DA114C">
        <w:rPr>
          <w:rFonts w:ascii="Times" w:hAnsi="Times"/>
        </w:rPr>
        <w:lastRenderedPageBreak/>
        <w:t>Interestingly</w:t>
      </w:r>
      <w:r w:rsidR="002C3938">
        <w:rPr>
          <w:rFonts w:ascii="Times" w:hAnsi="Times"/>
        </w:rPr>
        <w:t xml:space="preserve"> enough, this</w:t>
      </w:r>
      <w:proofErr w:type="gramEnd"/>
      <w:r w:rsidR="002C3938">
        <w:rPr>
          <w:rFonts w:ascii="Times" w:hAnsi="Times"/>
        </w:rPr>
        <w:t xml:space="preserve"> </w:t>
      </w:r>
      <w:r w:rsidR="00DA114C">
        <w:rPr>
          <w:rFonts w:ascii="Times" w:hAnsi="Times"/>
        </w:rPr>
        <w:t xml:space="preserve">sentiment </w:t>
      </w:r>
      <w:r w:rsidR="002C3938">
        <w:rPr>
          <w:rFonts w:ascii="Times" w:hAnsi="Times"/>
        </w:rPr>
        <w:t xml:space="preserve">is further depicted in Ibn </w:t>
      </w:r>
      <w:proofErr w:type="spellStart"/>
      <w:r w:rsidR="00D45053">
        <w:rPr>
          <w:rFonts w:ascii="Times" w:hAnsi="Times"/>
        </w:rPr>
        <w:t>Taymiyya</w:t>
      </w:r>
      <w:r w:rsidR="002C3938">
        <w:rPr>
          <w:rFonts w:ascii="Times" w:hAnsi="Times"/>
        </w:rPr>
        <w:t>’s</w:t>
      </w:r>
      <w:proofErr w:type="spellEnd"/>
      <w:r w:rsidR="002C3938">
        <w:rPr>
          <w:rFonts w:ascii="Times" w:hAnsi="Times"/>
        </w:rPr>
        <w:t xml:space="preserve"> criticism of </w:t>
      </w:r>
      <w:proofErr w:type="spellStart"/>
      <w:r w:rsidR="002C3938">
        <w:rPr>
          <w:rFonts w:ascii="Times" w:hAnsi="Times"/>
        </w:rPr>
        <w:t>Husayn</w:t>
      </w:r>
      <w:proofErr w:type="spellEnd"/>
      <w:r w:rsidR="002C3938">
        <w:rPr>
          <w:rFonts w:ascii="Times" w:hAnsi="Times"/>
        </w:rPr>
        <w:t xml:space="preserve"> ibn Ali</w:t>
      </w:r>
      <w:r w:rsidR="000009B8">
        <w:rPr>
          <w:rFonts w:ascii="Times" w:hAnsi="Times"/>
        </w:rPr>
        <w:t>’s</w:t>
      </w:r>
      <w:r w:rsidR="002C3938">
        <w:rPr>
          <w:rFonts w:ascii="Times" w:hAnsi="Times"/>
        </w:rPr>
        <w:t xml:space="preserve">, a highly revered figure in Islamic (especially Shiite) tradition, </w:t>
      </w:r>
      <w:r w:rsidR="00DA114C">
        <w:rPr>
          <w:rFonts w:ascii="Times" w:hAnsi="Times"/>
        </w:rPr>
        <w:t>revolt</w:t>
      </w:r>
      <w:r w:rsidR="002C3938">
        <w:rPr>
          <w:rFonts w:ascii="Times" w:hAnsi="Times"/>
        </w:rPr>
        <w:t xml:space="preserve"> against the </w:t>
      </w:r>
      <w:r w:rsidR="00DA114C">
        <w:rPr>
          <w:rFonts w:ascii="Times" w:hAnsi="Times"/>
        </w:rPr>
        <w:t xml:space="preserve">often-portrayed corrupt </w:t>
      </w:r>
      <w:r w:rsidR="002C3938">
        <w:rPr>
          <w:rFonts w:ascii="Times" w:hAnsi="Times"/>
        </w:rPr>
        <w:t>reign</w:t>
      </w:r>
      <w:r w:rsidR="00DA114C">
        <w:rPr>
          <w:rFonts w:ascii="Times" w:hAnsi="Times"/>
        </w:rPr>
        <w:t xml:space="preserve"> of the</w:t>
      </w:r>
      <w:r w:rsidR="002C3938">
        <w:rPr>
          <w:rFonts w:ascii="Times" w:hAnsi="Times"/>
        </w:rPr>
        <w:t xml:space="preserve"> Umayyad Caliph, Yazid I.</w:t>
      </w:r>
      <w:r w:rsidR="00023E19">
        <w:rPr>
          <w:rStyle w:val="FootnoteReference"/>
          <w:rFonts w:ascii="Times" w:hAnsi="Times"/>
        </w:rPr>
        <w:footnoteReference w:id="5"/>
      </w:r>
      <w:r w:rsidR="002C3938">
        <w:rPr>
          <w:rFonts w:ascii="Times" w:hAnsi="Times"/>
        </w:rPr>
        <w:t xml:space="preserve"> </w:t>
      </w:r>
    </w:p>
    <w:p w14:paraId="25864630" w14:textId="18031B6E" w:rsidR="00AA1080" w:rsidRDefault="00911C30" w:rsidP="001D34B8">
      <w:pPr>
        <w:spacing w:line="360" w:lineRule="auto"/>
        <w:rPr>
          <w:rFonts w:ascii="Times" w:hAnsi="Times"/>
        </w:rPr>
      </w:pPr>
      <w:r>
        <w:rPr>
          <w:rFonts w:ascii="Times" w:hAnsi="Times"/>
        </w:rPr>
        <w:tab/>
      </w:r>
      <w:r w:rsidR="00A81ED1">
        <w:rPr>
          <w:rFonts w:ascii="Times" w:hAnsi="Times"/>
        </w:rPr>
        <w:t xml:space="preserve">The concept of a collective other within Islamic </w:t>
      </w:r>
      <w:r w:rsidR="00C01361">
        <w:rPr>
          <w:rFonts w:ascii="Times" w:hAnsi="Times"/>
        </w:rPr>
        <w:t>societies</w:t>
      </w:r>
      <w:r w:rsidR="00A81ED1">
        <w:rPr>
          <w:rFonts w:ascii="Times" w:hAnsi="Times"/>
        </w:rPr>
        <w:t xml:space="preserve"> is a prominent feature of Ibn </w:t>
      </w:r>
      <w:proofErr w:type="spellStart"/>
      <w:r w:rsidR="00A81ED1">
        <w:rPr>
          <w:rFonts w:ascii="Times" w:hAnsi="Times"/>
        </w:rPr>
        <w:t>Taymiyya’s</w:t>
      </w:r>
      <w:proofErr w:type="spellEnd"/>
      <w:r w:rsidR="00A81ED1">
        <w:rPr>
          <w:rFonts w:ascii="Times" w:hAnsi="Times"/>
        </w:rPr>
        <w:t xml:space="preserve"> philosophy</w:t>
      </w:r>
      <w:r w:rsidR="000009B8">
        <w:rPr>
          <w:rFonts w:ascii="Times" w:hAnsi="Times"/>
        </w:rPr>
        <w:t xml:space="preserve">. </w:t>
      </w:r>
      <w:r w:rsidR="00A81ED1">
        <w:rPr>
          <w:rFonts w:ascii="Times" w:hAnsi="Times"/>
        </w:rPr>
        <w:t xml:space="preserve">However, </w:t>
      </w:r>
      <w:r w:rsidR="006829C7">
        <w:rPr>
          <w:rFonts w:ascii="Times" w:hAnsi="Times"/>
        </w:rPr>
        <w:t>the</w:t>
      </w:r>
      <w:r w:rsidR="00A81ED1">
        <w:rPr>
          <w:rFonts w:ascii="Times" w:hAnsi="Times"/>
        </w:rPr>
        <w:t xml:space="preserve"> incorporation of the antithesis of Islamic purity </w:t>
      </w:r>
      <w:r w:rsidR="00AA1080">
        <w:rPr>
          <w:rFonts w:ascii="Times" w:hAnsi="Times"/>
        </w:rPr>
        <w:t xml:space="preserve">within a political framework </w:t>
      </w:r>
      <w:r w:rsidR="00A81ED1">
        <w:rPr>
          <w:rFonts w:ascii="Times" w:hAnsi="Times"/>
        </w:rPr>
        <w:t xml:space="preserve">is not limited to just Jews and Christians- it extends </w:t>
      </w:r>
      <w:r w:rsidR="00C01361">
        <w:rPr>
          <w:rFonts w:ascii="Times" w:hAnsi="Times"/>
        </w:rPr>
        <w:t xml:space="preserve">to </w:t>
      </w:r>
      <w:r w:rsidR="00A81ED1">
        <w:rPr>
          <w:rFonts w:ascii="Times" w:hAnsi="Times"/>
        </w:rPr>
        <w:t xml:space="preserve">those within Islam as well, although Ibn </w:t>
      </w:r>
      <w:proofErr w:type="spellStart"/>
      <w:r w:rsidR="00D45053">
        <w:rPr>
          <w:rFonts w:ascii="Times" w:hAnsi="Times"/>
        </w:rPr>
        <w:t>Taymiyya</w:t>
      </w:r>
      <w:proofErr w:type="spellEnd"/>
      <w:r w:rsidR="00A81ED1">
        <w:rPr>
          <w:rFonts w:ascii="Times" w:hAnsi="Times"/>
        </w:rPr>
        <w:t xml:space="preserve"> and his likeness would take exception </w:t>
      </w:r>
      <w:r w:rsidR="00C01361">
        <w:rPr>
          <w:rFonts w:ascii="Times" w:hAnsi="Times"/>
        </w:rPr>
        <w:t>to</w:t>
      </w:r>
      <w:r w:rsidR="00A81ED1">
        <w:rPr>
          <w:rFonts w:ascii="Times" w:hAnsi="Times"/>
        </w:rPr>
        <w:t xml:space="preserve"> </w:t>
      </w:r>
      <w:r w:rsidR="006829C7">
        <w:rPr>
          <w:rFonts w:ascii="Times" w:hAnsi="Times"/>
        </w:rPr>
        <w:t>label</w:t>
      </w:r>
      <w:r w:rsidR="00A81ED1">
        <w:rPr>
          <w:rFonts w:ascii="Times" w:hAnsi="Times"/>
        </w:rPr>
        <w:t xml:space="preserve"> them Muslims. This can be witnessed in his </w:t>
      </w:r>
      <w:r w:rsidR="000009B8">
        <w:rPr>
          <w:rFonts w:ascii="Times" w:hAnsi="Times"/>
        </w:rPr>
        <w:t>demonization</w:t>
      </w:r>
      <w:r w:rsidR="00A81ED1">
        <w:rPr>
          <w:rFonts w:ascii="Times" w:hAnsi="Times"/>
        </w:rPr>
        <w:t xml:space="preserve"> of Shiites. </w:t>
      </w:r>
    </w:p>
    <w:p w14:paraId="3DB39003" w14:textId="7D0847AB" w:rsidR="00AA1080" w:rsidRDefault="00AA1080" w:rsidP="001D34B8">
      <w:pPr>
        <w:spacing w:line="360" w:lineRule="auto"/>
        <w:rPr>
          <w:rFonts w:ascii="Times" w:hAnsi="Times"/>
        </w:rPr>
      </w:pPr>
      <w:r>
        <w:rPr>
          <w:rFonts w:ascii="Times" w:hAnsi="Times"/>
        </w:rPr>
        <w:tab/>
        <w:t xml:space="preserve">For instance, when assessing early Islamic history and the schisms associated with multiple personalities during this period, Ibn </w:t>
      </w:r>
      <w:proofErr w:type="spellStart"/>
      <w:r w:rsidR="00D45053">
        <w:rPr>
          <w:rFonts w:ascii="Times" w:hAnsi="Times"/>
        </w:rPr>
        <w:t>Taymiyya</w:t>
      </w:r>
      <w:proofErr w:type="spellEnd"/>
      <w:r>
        <w:rPr>
          <w:rFonts w:ascii="Times" w:hAnsi="Times"/>
        </w:rPr>
        <w:t xml:space="preserve"> not only creatively denounces Jews but also Shiism</w:t>
      </w:r>
      <w:r w:rsidR="00DA114C">
        <w:rPr>
          <w:rFonts w:ascii="Times" w:hAnsi="Times"/>
        </w:rPr>
        <w:t xml:space="preserve"> as a doctrine</w:t>
      </w:r>
      <w:r>
        <w:rPr>
          <w:rFonts w:ascii="Times" w:hAnsi="Times"/>
        </w:rPr>
        <w:t>, illustrating the threa</w:t>
      </w:r>
      <w:r w:rsidR="00DA114C">
        <w:rPr>
          <w:rFonts w:ascii="Times" w:hAnsi="Times"/>
        </w:rPr>
        <w:t xml:space="preserve">t </w:t>
      </w:r>
      <w:r>
        <w:rPr>
          <w:rFonts w:ascii="Times" w:hAnsi="Times"/>
        </w:rPr>
        <w:t>they both potentialize to the wider Islamic community and</w:t>
      </w:r>
      <w:r w:rsidR="000009B8">
        <w:rPr>
          <w:rFonts w:ascii="Times" w:hAnsi="Times"/>
        </w:rPr>
        <w:t xml:space="preserve"> to</w:t>
      </w:r>
      <w:r>
        <w:rPr>
          <w:rFonts w:ascii="Times" w:hAnsi="Times"/>
        </w:rPr>
        <w:t xml:space="preserve"> political stability. Ibn </w:t>
      </w:r>
      <w:proofErr w:type="spellStart"/>
      <w:r w:rsidR="00D45053">
        <w:rPr>
          <w:rFonts w:ascii="Times" w:hAnsi="Times"/>
        </w:rPr>
        <w:t>Taymiyya</w:t>
      </w:r>
      <w:proofErr w:type="spellEnd"/>
      <w:r>
        <w:rPr>
          <w:rFonts w:ascii="Times" w:hAnsi="Times"/>
        </w:rPr>
        <w:t xml:space="preserve"> illustrates this by relaying a legendary story of Ibn Saba</w:t>
      </w:r>
      <w:r w:rsidR="004667B8">
        <w:rPr>
          <w:rFonts w:ascii="Times" w:hAnsi="Times"/>
        </w:rPr>
        <w:t>,</w:t>
      </w:r>
      <w:r>
        <w:rPr>
          <w:rFonts w:ascii="Times" w:hAnsi="Times"/>
        </w:rPr>
        <w:t xml:space="preserve"> </w:t>
      </w:r>
      <w:r w:rsidR="000009B8">
        <w:rPr>
          <w:rFonts w:ascii="Times" w:hAnsi="Times"/>
        </w:rPr>
        <w:t xml:space="preserve">who according to Ibn </w:t>
      </w:r>
      <w:proofErr w:type="spellStart"/>
      <w:r w:rsidR="000009B8">
        <w:rPr>
          <w:rFonts w:ascii="Times" w:hAnsi="Times"/>
        </w:rPr>
        <w:t>Taymiyya</w:t>
      </w:r>
      <w:proofErr w:type="spellEnd"/>
      <w:r w:rsidR="000009B8">
        <w:rPr>
          <w:rFonts w:ascii="Times" w:hAnsi="Times"/>
        </w:rPr>
        <w:t xml:space="preserve">, was </w:t>
      </w:r>
      <w:r>
        <w:rPr>
          <w:rFonts w:ascii="Times" w:hAnsi="Times"/>
        </w:rPr>
        <w:t xml:space="preserve">a </w:t>
      </w:r>
      <w:r w:rsidR="004667B8">
        <w:rPr>
          <w:rFonts w:ascii="Times" w:hAnsi="Times"/>
        </w:rPr>
        <w:t xml:space="preserve">devout </w:t>
      </w:r>
      <w:r w:rsidR="00DA114C">
        <w:rPr>
          <w:rFonts w:ascii="Times" w:hAnsi="Times"/>
        </w:rPr>
        <w:t xml:space="preserve">and founding member of the </w:t>
      </w:r>
      <w:r>
        <w:rPr>
          <w:rFonts w:ascii="Times" w:hAnsi="Times"/>
        </w:rPr>
        <w:t>Shiite</w:t>
      </w:r>
      <w:r w:rsidR="00DA114C">
        <w:rPr>
          <w:rFonts w:ascii="Times" w:hAnsi="Times"/>
        </w:rPr>
        <w:t xml:space="preserve"> movement</w:t>
      </w:r>
      <w:r>
        <w:rPr>
          <w:rFonts w:ascii="Times" w:hAnsi="Times"/>
        </w:rPr>
        <w:t xml:space="preserve">, </w:t>
      </w:r>
      <w:r w:rsidR="004667B8">
        <w:rPr>
          <w:rFonts w:ascii="Times" w:hAnsi="Times"/>
        </w:rPr>
        <w:t xml:space="preserve">who held reverence for the fourth Rashidun Caliph, Ali. </w:t>
      </w:r>
      <w:r w:rsidR="000009B8">
        <w:rPr>
          <w:rFonts w:ascii="Times" w:hAnsi="Times"/>
        </w:rPr>
        <w:t>Apparently,</w:t>
      </w:r>
      <w:r w:rsidR="004667B8">
        <w:rPr>
          <w:rFonts w:ascii="Times" w:hAnsi="Times"/>
        </w:rPr>
        <w:t xml:space="preserve"> Ibn Saba </w:t>
      </w:r>
      <w:r>
        <w:rPr>
          <w:rFonts w:ascii="Times" w:hAnsi="Times"/>
        </w:rPr>
        <w:t xml:space="preserve">was </w:t>
      </w:r>
      <w:r w:rsidR="004667B8">
        <w:rPr>
          <w:rFonts w:ascii="Times" w:hAnsi="Times"/>
        </w:rPr>
        <w:t xml:space="preserve">also a member of the mob </w:t>
      </w:r>
      <w:r w:rsidR="000009B8">
        <w:rPr>
          <w:rFonts w:ascii="Times" w:hAnsi="Times"/>
        </w:rPr>
        <w:t>that killed</w:t>
      </w:r>
      <w:r>
        <w:rPr>
          <w:rFonts w:ascii="Times" w:hAnsi="Times"/>
        </w:rPr>
        <w:t xml:space="preserve"> the third Rashidun </w:t>
      </w:r>
      <w:r w:rsidR="000009B8">
        <w:rPr>
          <w:rFonts w:ascii="Times" w:hAnsi="Times"/>
        </w:rPr>
        <w:t>Caliph</w:t>
      </w:r>
      <w:r>
        <w:rPr>
          <w:rFonts w:ascii="Times" w:hAnsi="Times"/>
        </w:rPr>
        <w:t xml:space="preserve">, Uthman. However, Ibn Saba was a closeted Jew, and the entire purpose of his exclamation of Shiism and </w:t>
      </w:r>
      <w:r w:rsidR="004667B8">
        <w:rPr>
          <w:rFonts w:ascii="Times" w:hAnsi="Times"/>
        </w:rPr>
        <w:t>reverence</w:t>
      </w:r>
      <w:r>
        <w:rPr>
          <w:rFonts w:ascii="Times" w:hAnsi="Times"/>
        </w:rPr>
        <w:t xml:space="preserve"> for Ali was a wider conspiracy to destabilize </w:t>
      </w:r>
      <w:r w:rsidR="00DA114C">
        <w:rPr>
          <w:rFonts w:ascii="Times" w:hAnsi="Times"/>
        </w:rPr>
        <w:t xml:space="preserve">the </w:t>
      </w:r>
      <w:r>
        <w:rPr>
          <w:rFonts w:ascii="Times" w:hAnsi="Times"/>
        </w:rPr>
        <w:t xml:space="preserve">Islamic government, thereby alluding directly to the dangers that both Jews and Shiites present to Islamic political </w:t>
      </w:r>
      <w:r w:rsidR="000009B8">
        <w:rPr>
          <w:rFonts w:ascii="Times" w:hAnsi="Times"/>
        </w:rPr>
        <w:t>stability</w:t>
      </w:r>
      <w:r>
        <w:rPr>
          <w:rFonts w:ascii="Times" w:hAnsi="Times"/>
        </w:rPr>
        <w:t xml:space="preserve"> since</w:t>
      </w:r>
      <w:r w:rsidR="000009B8">
        <w:rPr>
          <w:rFonts w:ascii="Times" w:hAnsi="Times"/>
        </w:rPr>
        <w:t xml:space="preserve"> </w:t>
      </w:r>
      <w:r>
        <w:rPr>
          <w:rFonts w:ascii="Times" w:hAnsi="Times"/>
        </w:rPr>
        <w:t xml:space="preserve">the pair is </w:t>
      </w:r>
      <w:r w:rsidR="004667B8">
        <w:rPr>
          <w:rFonts w:ascii="Times" w:hAnsi="Times"/>
        </w:rPr>
        <w:t>synonymous</w:t>
      </w:r>
      <w:r>
        <w:rPr>
          <w:rFonts w:ascii="Times" w:hAnsi="Times"/>
        </w:rPr>
        <w:t xml:space="preserve"> </w:t>
      </w:r>
      <w:r w:rsidR="004667B8">
        <w:rPr>
          <w:rFonts w:ascii="Times" w:hAnsi="Times"/>
        </w:rPr>
        <w:t xml:space="preserve">in their </w:t>
      </w:r>
      <w:r w:rsidR="004667B8" w:rsidRPr="00CF1747">
        <w:rPr>
          <w:rFonts w:ascii="Times" w:hAnsi="Times"/>
        </w:rPr>
        <w:t>interests</w:t>
      </w:r>
      <w:r w:rsidRPr="00CF1747">
        <w:rPr>
          <w:rFonts w:ascii="Times" w:hAnsi="Times"/>
        </w:rPr>
        <w:t>.</w:t>
      </w:r>
      <w:r w:rsidR="00CF1747" w:rsidRPr="00CF1747">
        <w:rPr>
          <w:rStyle w:val="FootnoteReference"/>
          <w:rFonts w:ascii="Times" w:hAnsi="Times"/>
        </w:rPr>
        <w:footnoteReference w:id="6"/>
      </w:r>
      <w:r>
        <w:rPr>
          <w:rFonts w:ascii="Times" w:hAnsi="Times"/>
        </w:rPr>
        <w:t xml:space="preserve"> </w:t>
      </w:r>
      <w:r w:rsidR="004667B8">
        <w:rPr>
          <w:rFonts w:ascii="Times" w:hAnsi="Times"/>
        </w:rPr>
        <w:t>Therefore, one can witness a joint narrative of anti-</w:t>
      </w:r>
      <w:r w:rsidR="00C659C2">
        <w:rPr>
          <w:rFonts w:ascii="Times" w:hAnsi="Times"/>
        </w:rPr>
        <w:t>Semitism</w:t>
      </w:r>
      <w:r w:rsidR="004667B8">
        <w:rPr>
          <w:rFonts w:ascii="Times" w:hAnsi="Times"/>
        </w:rPr>
        <w:t xml:space="preserve"> and anti-Shiite rhetoric, illustrating the dangers both present in not just </w:t>
      </w:r>
      <w:r w:rsidR="006829C7">
        <w:rPr>
          <w:rFonts w:ascii="Times" w:hAnsi="Times"/>
        </w:rPr>
        <w:t>their</w:t>
      </w:r>
      <w:r w:rsidR="004667B8">
        <w:rPr>
          <w:rFonts w:ascii="Times" w:hAnsi="Times"/>
        </w:rPr>
        <w:t xml:space="preserve"> </w:t>
      </w:r>
      <w:r w:rsidR="006829C7">
        <w:rPr>
          <w:rFonts w:ascii="Times" w:hAnsi="Times"/>
        </w:rPr>
        <w:t>involvement</w:t>
      </w:r>
      <w:r w:rsidR="000009B8">
        <w:rPr>
          <w:rFonts w:ascii="Times" w:hAnsi="Times"/>
        </w:rPr>
        <w:t xml:space="preserve"> in</w:t>
      </w:r>
      <w:r w:rsidR="004667B8">
        <w:rPr>
          <w:rFonts w:ascii="Times" w:hAnsi="Times"/>
        </w:rPr>
        <w:t xml:space="preserve"> Islamic government, but </w:t>
      </w:r>
      <w:r w:rsidR="00DA114C">
        <w:rPr>
          <w:rFonts w:ascii="Times" w:hAnsi="Times"/>
        </w:rPr>
        <w:t>civility in</w:t>
      </w:r>
      <w:r w:rsidR="004667B8">
        <w:rPr>
          <w:rFonts w:ascii="Times" w:hAnsi="Times"/>
        </w:rPr>
        <w:t xml:space="preserve"> Islamic society.</w:t>
      </w:r>
    </w:p>
    <w:p w14:paraId="738F7C51" w14:textId="62A11481" w:rsidR="004667B8" w:rsidRDefault="004667B8" w:rsidP="001D34B8">
      <w:pPr>
        <w:spacing w:line="360" w:lineRule="auto"/>
        <w:rPr>
          <w:rFonts w:ascii="Times" w:hAnsi="Times"/>
        </w:rPr>
      </w:pPr>
    </w:p>
    <w:p w14:paraId="003020EB" w14:textId="5452C377" w:rsidR="001D34B8" w:rsidRDefault="004667B8" w:rsidP="00E056C6">
      <w:pPr>
        <w:spacing w:line="360" w:lineRule="auto"/>
        <w:rPr>
          <w:rFonts w:ascii="Times" w:hAnsi="Times"/>
        </w:rPr>
      </w:pPr>
      <w:r>
        <w:rPr>
          <w:rFonts w:ascii="Times" w:hAnsi="Times"/>
        </w:rPr>
        <w:t xml:space="preserve">Part II. </w:t>
      </w:r>
    </w:p>
    <w:p w14:paraId="06219AFA" w14:textId="52432E21" w:rsidR="00E056C6" w:rsidRDefault="00E056C6" w:rsidP="00E056C6">
      <w:pPr>
        <w:spacing w:line="360" w:lineRule="auto"/>
        <w:rPr>
          <w:rFonts w:ascii="Times" w:hAnsi="Times"/>
        </w:rPr>
      </w:pPr>
    </w:p>
    <w:p w14:paraId="764D8280" w14:textId="63BC6B04" w:rsidR="00E056C6" w:rsidRDefault="00E056C6" w:rsidP="00E056C6">
      <w:pPr>
        <w:spacing w:line="360" w:lineRule="auto"/>
        <w:rPr>
          <w:rFonts w:ascii="Times" w:hAnsi="Times"/>
        </w:rPr>
      </w:pPr>
      <w:r>
        <w:rPr>
          <w:rFonts w:ascii="Times" w:hAnsi="Times"/>
        </w:rPr>
        <w:tab/>
        <w:t xml:space="preserve">Although jailed for much of his own life, Ibn </w:t>
      </w:r>
      <w:proofErr w:type="spellStart"/>
      <w:r w:rsidR="00D45053">
        <w:rPr>
          <w:rFonts w:ascii="Times" w:hAnsi="Times"/>
        </w:rPr>
        <w:t>Taymiyya</w:t>
      </w:r>
      <w:proofErr w:type="spellEnd"/>
      <w:r>
        <w:rPr>
          <w:rFonts w:ascii="Times" w:hAnsi="Times"/>
        </w:rPr>
        <w:t xml:space="preserve"> enjoys interesting relevance when analyzing wider Islamic political philosophy. This is especially true when assessing the political philosophy of multiple militant groups, such as Al Qaeda, ISIS</w:t>
      </w:r>
      <w:r w:rsidR="001C60AE">
        <w:rPr>
          <w:rFonts w:ascii="Times" w:hAnsi="Times"/>
        </w:rPr>
        <w:t>,</w:t>
      </w:r>
      <w:r>
        <w:rPr>
          <w:rFonts w:ascii="Times" w:hAnsi="Times"/>
        </w:rPr>
        <w:t xml:space="preserve"> and Boko Haram. Militant figureheads, such as Osama bin Laden have mentioned Ibn </w:t>
      </w:r>
      <w:proofErr w:type="spellStart"/>
      <w:r w:rsidR="00D45053">
        <w:rPr>
          <w:rFonts w:ascii="Times" w:hAnsi="Times"/>
        </w:rPr>
        <w:t>Taymiyya</w:t>
      </w:r>
      <w:r>
        <w:rPr>
          <w:rFonts w:ascii="Times" w:hAnsi="Times"/>
        </w:rPr>
        <w:t>’s</w:t>
      </w:r>
      <w:proofErr w:type="spellEnd"/>
      <w:r>
        <w:rPr>
          <w:rFonts w:ascii="Times" w:hAnsi="Times"/>
        </w:rPr>
        <w:t xml:space="preserve"> philosophy on </w:t>
      </w:r>
      <w:r>
        <w:rPr>
          <w:rFonts w:ascii="Times" w:hAnsi="Times"/>
        </w:rPr>
        <w:lastRenderedPageBreak/>
        <w:t xml:space="preserve">multiple occasions, justifying their rhetoric and actions to that of Ibn </w:t>
      </w:r>
      <w:proofErr w:type="spellStart"/>
      <w:r w:rsidR="00D45053">
        <w:rPr>
          <w:rFonts w:ascii="Times" w:hAnsi="Times"/>
        </w:rPr>
        <w:t>Taymiyya</w:t>
      </w:r>
      <w:r>
        <w:rPr>
          <w:rFonts w:ascii="Times" w:hAnsi="Times"/>
        </w:rPr>
        <w:t>’s</w:t>
      </w:r>
      <w:proofErr w:type="spellEnd"/>
      <w:r>
        <w:rPr>
          <w:rFonts w:ascii="Times" w:hAnsi="Times"/>
        </w:rPr>
        <w:t xml:space="preserve"> existing philosoph</w:t>
      </w:r>
      <w:r w:rsidRPr="00436E72">
        <w:rPr>
          <w:rFonts w:ascii="Times" w:hAnsi="Times"/>
        </w:rPr>
        <w:t>y</w:t>
      </w:r>
      <w:r w:rsidR="00436E72" w:rsidRPr="00436E72">
        <w:rPr>
          <w:rFonts w:ascii="Times" w:hAnsi="Times"/>
        </w:rPr>
        <w:t>.</w:t>
      </w:r>
      <w:r w:rsidR="00037520" w:rsidRPr="00436E72">
        <w:rPr>
          <w:rStyle w:val="FootnoteReference"/>
          <w:rFonts w:ascii="Times" w:hAnsi="Times"/>
        </w:rPr>
        <w:footnoteReference w:id="7"/>
      </w:r>
      <w:r>
        <w:rPr>
          <w:rFonts w:ascii="Times" w:hAnsi="Times"/>
        </w:rPr>
        <w:t xml:space="preserve"> </w:t>
      </w:r>
      <w:r w:rsidR="00833792">
        <w:rPr>
          <w:rFonts w:ascii="Times" w:hAnsi="Times"/>
        </w:rPr>
        <w:t xml:space="preserve">Similarly, </w:t>
      </w:r>
      <w:r w:rsidR="00243316">
        <w:rPr>
          <w:rFonts w:ascii="Times" w:hAnsi="Times"/>
        </w:rPr>
        <w:t xml:space="preserve">Boko Haram </w:t>
      </w:r>
      <w:r w:rsidR="001C60AE">
        <w:rPr>
          <w:rFonts w:ascii="Times" w:hAnsi="Times"/>
        </w:rPr>
        <w:t xml:space="preserve">echoes a sentiment to that of Bin Laden </w:t>
      </w:r>
      <w:r w:rsidR="00833792">
        <w:rPr>
          <w:rFonts w:ascii="Times" w:hAnsi="Times"/>
        </w:rPr>
        <w:t>from</w:t>
      </w:r>
      <w:r w:rsidR="001C60AE">
        <w:rPr>
          <w:rFonts w:ascii="Times" w:hAnsi="Times"/>
        </w:rPr>
        <w:t xml:space="preserve"> a more philosophical perspective, specifically to the ideas of the reformation of Islam to its (believed) indigenous roots, as well as </w:t>
      </w:r>
      <w:r w:rsidR="006829C7">
        <w:rPr>
          <w:rFonts w:ascii="Times" w:hAnsi="Times"/>
        </w:rPr>
        <w:t xml:space="preserve">it being </w:t>
      </w:r>
      <w:r w:rsidR="001C60AE">
        <w:rPr>
          <w:rFonts w:ascii="Times" w:hAnsi="Times"/>
        </w:rPr>
        <w:t xml:space="preserve">the basis for Islamic </w:t>
      </w:r>
      <w:r w:rsidR="001C60AE" w:rsidRPr="00436E72">
        <w:rPr>
          <w:rFonts w:ascii="Times" w:hAnsi="Times"/>
        </w:rPr>
        <w:t>la</w:t>
      </w:r>
      <w:r w:rsidR="00436E72" w:rsidRPr="00436E72">
        <w:rPr>
          <w:rFonts w:ascii="Times" w:hAnsi="Times"/>
        </w:rPr>
        <w:t>w</w:t>
      </w:r>
      <w:r w:rsidR="001C60AE" w:rsidRPr="00436E72">
        <w:rPr>
          <w:rFonts w:ascii="Times" w:hAnsi="Times"/>
        </w:rPr>
        <w:t xml:space="preserve">. </w:t>
      </w:r>
      <w:r w:rsidR="00436E72" w:rsidRPr="00436E72">
        <w:rPr>
          <w:rStyle w:val="FootnoteReference"/>
          <w:rFonts w:ascii="Times" w:hAnsi="Times"/>
        </w:rPr>
        <w:footnoteReference w:id="8"/>
      </w:r>
    </w:p>
    <w:p w14:paraId="2CDC7203" w14:textId="1C7DA741" w:rsidR="00833792" w:rsidRDefault="00833792" w:rsidP="00E056C6">
      <w:pPr>
        <w:spacing w:line="360" w:lineRule="auto"/>
        <w:rPr>
          <w:rFonts w:ascii="Times" w:hAnsi="Times"/>
        </w:rPr>
      </w:pPr>
      <w:r>
        <w:rPr>
          <w:rFonts w:ascii="Times" w:hAnsi="Times"/>
        </w:rPr>
        <w:tab/>
        <w:t>Although there are numerous political, social</w:t>
      </w:r>
      <w:r w:rsidR="00183859">
        <w:rPr>
          <w:rFonts w:ascii="Times" w:hAnsi="Times"/>
        </w:rPr>
        <w:t>,</w:t>
      </w:r>
      <w:r>
        <w:rPr>
          <w:rFonts w:ascii="Times" w:hAnsi="Times"/>
        </w:rPr>
        <w:t xml:space="preserve"> and economic factors for the rise of </w:t>
      </w:r>
      <w:r w:rsidR="006829C7">
        <w:rPr>
          <w:rFonts w:ascii="Times" w:hAnsi="Times"/>
        </w:rPr>
        <w:t>militancy</w:t>
      </w:r>
      <w:r>
        <w:rPr>
          <w:rFonts w:ascii="Times" w:hAnsi="Times"/>
        </w:rPr>
        <w:t xml:space="preserve">, </w:t>
      </w:r>
      <w:r w:rsidR="00B5644E">
        <w:rPr>
          <w:rFonts w:ascii="Times" w:hAnsi="Times"/>
        </w:rPr>
        <w:t>there</w:t>
      </w:r>
      <w:r>
        <w:rPr>
          <w:rFonts w:ascii="Times" w:hAnsi="Times"/>
        </w:rPr>
        <w:t xml:space="preserve"> is</w:t>
      </w:r>
      <w:r w:rsidR="00B5644E">
        <w:rPr>
          <w:rFonts w:ascii="Times" w:hAnsi="Times"/>
        </w:rPr>
        <w:t xml:space="preserve"> an</w:t>
      </w:r>
      <w:r>
        <w:rPr>
          <w:rFonts w:ascii="Times" w:hAnsi="Times"/>
        </w:rPr>
        <w:t xml:space="preserve"> interesting </w:t>
      </w:r>
      <w:r w:rsidR="00B5644E">
        <w:rPr>
          <w:rFonts w:ascii="Times" w:hAnsi="Times"/>
        </w:rPr>
        <w:t>parallel</w:t>
      </w:r>
      <w:r>
        <w:rPr>
          <w:rFonts w:ascii="Times" w:hAnsi="Times"/>
        </w:rPr>
        <w:t xml:space="preserve"> of </w:t>
      </w:r>
      <w:r w:rsidR="00B5644E">
        <w:rPr>
          <w:rFonts w:ascii="Times" w:hAnsi="Times"/>
        </w:rPr>
        <w:t xml:space="preserve">shared </w:t>
      </w:r>
      <w:r>
        <w:rPr>
          <w:rFonts w:ascii="Times" w:hAnsi="Times"/>
        </w:rPr>
        <w:t xml:space="preserve">ideology between </w:t>
      </w:r>
      <w:r w:rsidR="006829C7">
        <w:rPr>
          <w:rFonts w:ascii="Times" w:hAnsi="Times"/>
        </w:rPr>
        <w:t>militant</w:t>
      </w:r>
      <w:r>
        <w:rPr>
          <w:rFonts w:ascii="Times" w:hAnsi="Times"/>
        </w:rPr>
        <w:t xml:space="preserve"> groups to that of Ibn </w:t>
      </w:r>
      <w:proofErr w:type="spellStart"/>
      <w:r w:rsidR="00D45053">
        <w:rPr>
          <w:rFonts w:ascii="Times" w:hAnsi="Times"/>
        </w:rPr>
        <w:t>Taymiyya</w:t>
      </w:r>
      <w:r>
        <w:rPr>
          <w:rFonts w:ascii="Times" w:hAnsi="Times"/>
        </w:rPr>
        <w:t>’s</w:t>
      </w:r>
      <w:proofErr w:type="spellEnd"/>
      <w:r>
        <w:rPr>
          <w:rFonts w:ascii="Times" w:hAnsi="Times"/>
        </w:rPr>
        <w:t xml:space="preserve">, often </w:t>
      </w:r>
      <w:r w:rsidR="00B5644E">
        <w:rPr>
          <w:rFonts w:ascii="Times" w:hAnsi="Times"/>
        </w:rPr>
        <w:t>desired</w:t>
      </w:r>
      <w:r>
        <w:rPr>
          <w:rFonts w:ascii="Times" w:hAnsi="Times"/>
        </w:rPr>
        <w:t xml:space="preserve"> </w:t>
      </w:r>
      <w:r w:rsidR="00B5644E">
        <w:rPr>
          <w:rFonts w:ascii="Times" w:hAnsi="Times"/>
        </w:rPr>
        <w:t>for potential</w:t>
      </w:r>
      <w:r>
        <w:rPr>
          <w:rFonts w:ascii="Times" w:hAnsi="Times"/>
        </w:rPr>
        <w:t xml:space="preserve"> implementation. For instance, the concept of </w:t>
      </w:r>
      <w:r w:rsidR="009F039A">
        <w:rPr>
          <w:rFonts w:ascii="Times" w:hAnsi="Times"/>
        </w:rPr>
        <w:t xml:space="preserve">the </w:t>
      </w:r>
      <w:r w:rsidR="00183859">
        <w:rPr>
          <w:rFonts w:ascii="Times" w:hAnsi="Times"/>
        </w:rPr>
        <w:t>prevalence</w:t>
      </w:r>
      <w:r w:rsidR="009F039A">
        <w:rPr>
          <w:rFonts w:ascii="Times" w:hAnsi="Times"/>
        </w:rPr>
        <w:t xml:space="preserve"> of innovation (</w:t>
      </w:r>
      <w:r w:rsidR="009F039A" w:rsidRPr="00E578C6">
        <w:rPr>
          <w:rFonts w:ascii="Times" w:hAnsi="Times"/>
          <w:i/>
          <w:iCs/>
        </w:rPr>
        <w:t>bidah</w:t>
      </w:r>
      <w:r w:rsidR="009F039A">
        <w:rPr>
          <w:rFonts w:ascii="Times" w:hAnsi="Times"/>
        </w:rPr>
        <w:t xml:space="preserve">) amongst Muslims, is a common feature in both Ibn </w:t>
      </w:r>
      <w:proofErr w:type="spellStart"/>
      <w:r w:rsidR="00D45053">
        <w:rPr>
          <w:rFonts w:ascii="Times" w:hAnsi="Times"/>
        </w:rPr>
        <w:t>Taymiyya</w:t>
      </w:r>
      <w:r w:rsidR="009F039A">
        <w:rPr>
          <w:rFonts w:ascii="Times" w:hAnsi="Times"/>
        </w:rPr>
        <w:t>’s</w:t>
      </w:r>
      <w:proofErr w:type="spellEnd"/>
      <w:r w:rsidR="009F039A">
        <w:rPr>
          <w:rFonts w:ascii="Times" w:hAnsi="Times"/>
        </w:rPr>
        <w:t xml:space="preserve"> philosophy, often echoed by radical groups. Both Ibn </w:t>
      </w:r>
      <w:proofErr w:type="spellStart"/>
      <w:r w:rsidR="00D45053">
        <w:rPr>
          <w:rFonts w:ascii="Times" w:hAnsi="Times"/>
        </w:rPr>
        <w:t>Taymiyya</w:t>
      </w:r>
      <w:proofErr w:type="spellEnd"/>
      <w:r w:rsidR="009F039A">
        <w:rPr>
          <w:rFonts w:ascii="Times" w:hAnsi="Times"/>
        </w:rPr>
        <w:t xml:space="preserve"> and groups such as ISIS used the concept of </w:t>
      </w:r>
      <w:r w:rsidR="009F039A" w:rsidRPr="00E578C6">
        <w:rPr>
          <w:rFonts w:ascii="Times" w:hAnsi="Times"/>
          <w:i/>
          <w:iCs/>
        </w:rPr>
        <w:t>bidah</w:t>
      </w:r>
      <w:r w:rsidR="009F039A">
        <w:rPr>
          <w:rFonts w:ascii="Times" w:hAnsi="Times"/>
        </w:rPr>
        <w:t xml:space="preserve"> as illustrating the deviation of each’s contemporary Muslim society from </w:t>
      </w:r>
      <w:r w:rsidR="00183859">
        <w:rPr>
          <w:rFonts w:ascii="Times" w:hAnsi="Times"/>
        </w:rPr>
        <w:t>indigenous</w:t>
      </w:r>
      <w:r w:rsidR="009F039A">
        <w:rPr>
          <w:rFonts w:ascii="Times" w:hAnsi="Times"/>
        </w:rPr>
        <w:t xml:space="preserve"> Islam</w:t>
      </w:r>
      <w:r w:rsidR="00E578C6">
        <w:rPr>
          <w:rFonts w:ascii="Times" w:hAnsi="Times"/>
        </w:rPr>
        <w:t xml:space="preserve">. In terms of ISIS, this often leads to </w:t>
      </w:r>
      <w:r w:rsidR="009F039A">
        <w:rPr>
          <w:rFonts w:ascii="Times" w:hAnsi="Times"/>
        </w:rPr>
        <w:t xml:space="preserve">the </w:t>
      </w:r>
      <w:r w:rsidR="00E578C6">
        <w:rPr>
          <w:rFonts w:ascii="Times" w:hAnsi="Times"/>
        </w:rPr>
        <w:t>destruction</w:t>
      </w:r>
      <w:r w:rsidR="009F039A">
        <w:rPr>
          <w:rFonts w:ascii="Times" w:hAnsi="Times"/>
        </w:rPr>
        <w:t xml:space="preserve"> of sites and masses of </w:t>
      </w:r>
      <w:r w:rsidR="00183859">
        <w:rPr>
          <w:rFonts w:ascii="Times" w:hAnsi="Times"/>
        </w:rPr>
        <w:t>respective minority groups</w:t>
      </w:r>
      <w:r w:rsidR="009F039A">
        <w:rPr>
          <w:rFonts w:ascii="Times" w:hAnsi="Times"/>
        </w:rPr>
        <w:t>, including but not limited to Shiites, Sufis</w:t>
      </w:r>
      <w:r w:rsidR="00183859">
        <w:rPr>
          <w:rFonts w:ascii="Times" w:hAnsi="Times"/>
        </w:rPr>
        <w:t>,</w:t>
      </w:r>
      <w:r w:rsidR="009F039A">
        <w:rPr>
          <w:rFonts w:ascii="Times" w:hAnsi="Times"/>
        </w:rPr>
        <w:t xml:space="preserve"> and Christian</w:t>
      </w:r>
      <w:r w:rsidR="009F039A" w:rsidRPr="0094580B">
        <w:rPr>
          <w:rFonts w:ascii="Times" w:hAnsi="Times"/>
        </w:rPr>
        <w:t>s</w:t>
      </w:r>
      <w:r w:rsidR="00183859" w:rsidRPr="0094580B">
        <w:rPr>
          <w:rFonts w:ascii="Times" w:hAnsi="Times"/>
        </w:rPr>
        <w:t>.</w:t>
      </w:r>
      <w:r w:rsidR="00362900" w:rsidRPr="0094580B">
        <w:rPr>
          <w:rStyle w:val="FootnoteReference"/>
          <w:rFonts w:ascii="Times" w:hAnsi="Times"/>
        </w:rPr>
        <w:footnoteReference w:id="9"/>
      </w:r>
      <w:r w:rsidR="00183859">
        <w:rPr>
          <w:rFonts w:ascii="Times" w:hAnsi="Times"/>
        </w:rPr>
        <w:t xml:space="preserve"> </w:t>
      </w:r>
    </w:p>
    <w:p w14:paraId="7092C01C" w14:textId="4F8675E7" w:rsidR="00183859" w:rsidRDefault="00183859" w:rsidP="00E056C6">
      <w:pPr>
        <w:spacing w:line="360" w:lineRule="auto"/>
        <w:rPr>
          <w:rFonts w:ascii="Times" w:hAnsi="Times"/>
        </w:rPr>
      </w:pPr>
      <w:r>
        <w:rPr>
          <w:rFonts w:ascii="Times" w:hAnsi="Times"/>
        </w:rPr>
        <w:tab/>
        <w:t xml:space="preserve">It is also important to note, that Ibn </w:t>
      </w:r>
      <w:proofErr w:type="spellStart"/>
      <w:r w:rsidR="00D45053">
        <w:rPr>
          <w:rFonts w:ascii="Times" w:hAnsi="Times"/>
        </w:rPr>
        <w:t>Taymiyya</w:t>
      </w:r>
      <w:r>
        <w:rPr>
          <w:rFonts w:ascii="Times" w:hAnsi="Times"/>
        </w:rPr>
        <w:t>’s</w:t>
      </w:r>
      <w:proofErr w:type="spellEnd"/>
      <w:r>
        <w:rPr>
          <w:rFonts w:ascii="Times" w:hAnsi="Times"/>
        </w:rPr>
        <w:t xml:space="preserve"> influence is not just limited to radical terror outfits, but also contemporary Islamic governments. This is primarily witnessed with the </w:t>
      </w:r>
      <w:r w:rsidR="00EF5F1B">
        <w:rPr>
          <w:rFonts w:ascii="Times" w:hAnsi="Times"/>
        </w:rPr>
        <w:t xml:space="preserve">official decreed </w:t>
      </w:r>
      <w:r>
        <w:rPr>
          <w:rFonts w:ascii="Times" w:hAnsi="Times"/>
        </w:rPr>
        <w:t>state-</w:t>
      </w:r>
      <w:r w:rsidR="00EF5F1B">
        <w:rPr>
          <w:rFonts w:ascii="Times" w:hAnsi="Times"/>
        </w:rPr>
        <w:t>sponsored</w:t>
      </w:r>
      <w:r>
        <w:rPr>
          <w:rFonts w:ascii="Times" w:hAnsi="Times"/>
        </w:rPr>
        <w:t xml:space="preserve"> doctrine of Wahhabism within </w:t>
      </w:r>
      <w:r w:rsidR="00B5644E">
        <w:rPr>
          <w:rFonts w:ascii="Times" w:hAnsi="Times"/>
        </w:rPr>
        <w:t xml:space="preserve">the monarchy of </w:t>
      </w:r>
      <w:r>
        <w:rPr>
          <w:rFonts w:ascii="Times" w:hAnsi="Times"/>
        </w:rPr>
        <w:t>Saudi Arabia</w:t>
      </w:r>
      <w:r w:rsidR="00EF5F1B">
        <w:rPr>
          <w:rFonts w:ascii="Times" w:hAnsi="Times"/>
        </w:rPr>
        <w:t xml:space="preserve">. When assessing </w:t>
      </w:r>
      <w:r>
        <w:rPr>
          <w:rFonts w:ascii="Times" w:hAnsi="Times"/>
        </w:rPr>
        <w:t xml:space="preserve">Ibn </w:t>
      </w:r>
      <w:proofErr w:type="spellStart"/>
      <w:r w:rsidR="00D45053">
        <w:rPr>
          <w:rFonts w:ascii="Times" w:hAnsi="Times"/>
        </w:rPr>
        <w:t>Taymiyya</w:t>
      </w:r>
      <w:r w:rsidR="00EF5F1B">
        <w:rPr>
          <w:rFonts w:ascii="Times" w:hAnsi="Times"/>
        </w:rPr>
        <w:t>’s</w:t>
      </w:r>
      <w:proofErr w:type="spellEnd"/>
      <w:r w:rsidR="00EF5F1B">
        <w:rPr>
          <w:rFonts w:ascii="Times" w:hAnsi="Times"/>
        </w:rPr>
        <w:t xml:space="preserve"> influence on the Wahhabi</w:t>
      </w:r>
      <w:r w:rsidR="00B5644E">
        <w:rPr>
          <w:rFonts w:ascii="Times" w:hAnsi="Times"/>
        </w:rPr>
        <w:t xml:space="preserve"> and Salafi</w:t>
      </w:r>
      <w:r w:rsidR="00EF5F1B">
        <w:rPr>
          <w:rFonts w:ascii="Times" w:hAnsi="Times"/>
        </w:rPr>
        <w:t xml:space="preserve"> tradition, he</w:t>
      </w:r>
      <w:r w:rsidR="00B5644E">
        <w:rPr>
          <w:rFonts w:ascii="Times" w:hAnsi="Times"/>
        </w:rPr>
        <w:t xml:space="preserve"> and Ibn al-</w:t>
      </w:r>
      <w:proofErr w:type="spellStart"/>
      <w:r w:rsidR="00B5644E">
        <w:rPr>
          <w:rFonts w:ascii="Times" w:hAnsi="Times"/>
        </w:rPr>
        <w:t>Qayyim</w:t>
      </w:r>
      <w:proofErr w:type="spellEnd"/>
      <w:r>
        <w:rPr>
          <w:rFonts w:ascii="Times" w:hAnsi="Times"/>
        </w:rPr>
        <w:t xml:space="preserve"> </w:t>
      </w:r>
      <w:r w:rsidR="00C33437">
        <w:rPr>
          <w:rFonts w:ascii="Times" w:hAnsi="Times"/>
        </w:rPr>
        <w:t>are</w:t>
      </w:r>
      <w:r>
        <w:rPr>
          <w:rFonts w:ascii="Times" w:hAnsi="Times"/>
        </w:rPr>
        <w:t xml:space="preserve"> often considered to be the </w:t>
      </w:r>
      <w:r w:rsidR="00EF5F1B">
        <w:rPr>
          <w:rFonts w:ascii="Times" w:hAnsi="Times"/>
        </w:rPr>
        <w:t xml:space="preserve">literary </w:t>
      </w:r>
      <w:r>
        <w:rPr>
          <w:rFonts w:ascii="Times" w:hAnsi="Times"/>
        </w:rPr>
        <w:t xml:space="preserve">founding inspiration for </w:t>
      </w:r>
      <w:r w:rsidR="00EF5F1B">
        <w:rPr>
          <w:rFonts w:ascii="Times" w:hAnsi="Times"/>
        </w:rPr>
        <w:t>the 17</w:t>
      </w:r>
      <w:r w:rsidR="00EF5F1B" w:rsidRPr="00EF5F1B">
        <w:rPr>
          <w:rFonts w:ascii="Times" w:hAnsi="Times"/>
          <w:vertAlign w:val="superscript"/>
        </w:rPr>
        <w:t>th</w:t>
      </w:r>
      <w:r w:rsidR="00EF5F1B">
        <w:rPr>
          <w:rFonts w:ascii="Times" w:hAnsi="Times"/>
        </w:rPr>
        <w:t xml:space="preserve"> century’s </w:t>
      </w:r>
      <w:r>
        <w:rPr>
          <w:rFonts w:ascii="Times" w:hAnsi="Times"/>
        </w:rPr>
        <w:t>Muhammad Ibn Abd al-</w:t>
      </w:r>
      <w:proofErr w:type="spellStart"/>
      <w:r>
        <w:rPr>
          <w:rFonts w:ascii="Times" w:hAnsi="Times"/>
        </w:rPr>
        <w:t>Wahhab’s</w:t>
      </w:r>
      <w:proofErr w:type="spellEnd"/>
      <w:r>
        <w:rPr>
          <w:rFonts w:ascii="Times" w:hAnsi="Times"/>
        </w:rPr>
        <w:t xml:space="preserve"> </w:t>
      </w:r>
      <w:r w:rsidR="00EF5F1B">
        <w:rPr>
          <w:rFonts w:ascii="Times" w:hAnsi="Times"/>
        </w:rPr>
        <w:t xml:space="preserve">puritanical </w:t>
      </w:r>
      <w:r>
        <w:rPr>
          <w:rFonts w:ascii="Times" w:hAnsi="Times"/>
        </w:rPr>
        <w:t xml:space="preserve">movement, along with other </w:t>
      </w:r>
      <w:proofErr w:type="spellStart"/>
      <w:r>
        <w:rPr>
          <w:rFonts w:ascii="Times" w:hAnsi="Times"/>
        </w:rPr>
        <w:t>Hanbilite</w:t>
      </w:r>
      <w:proofErr w:type="spellEnd"/>
      <w:r>
        <w:rPr>
          <w:rFonts w:ascii="Times" w:hAnsi="Times"/>
        </w:rPr>
        <w:t xml:space="preserve"> scholars</w:t>
      </w:r>
      <w:r w:rsidR="00EF5F1B" w:rsidRPr="00CC0FDA">
        <w:rPr>
          <w:rFonts w:ascii="Times" w:hAnsi="Times"/>
        </w:rPr>
        <w:t>.</w:t>
      </w:r>
      <w:r w:rsidR="0094580B">
        <w:rPr>
          <w:rStyle w:val="FootnoteReference"/>
          <w:rFonts w:ascii="Times" w:hAnsi="Times"/>
        </w:rPr>
        <w:footnoteReference w:id="10"/>
      </w:r>
    </w:p>
    <w:p w14:paraId="6474D580" w14:textId="7710614E" w:rsidR="00E056C6" w:rsidRDefault="000674E0" w:rsidP="00E056C6">
      <w:pPr>
        <w:spacing w:line="360" w:lineRule="auto"/>
        <w:rPr>
          <w:rFonts w:ascii="Times" w:hAnsi="Times"/>
        </w:rPr>
      </w:pPr>
      <w:r>
        <w:rPr>
          <w:rFonts w:ascii="Times" w:hAnsi="Times"/>
        </w:rPr>
        <w:tab/>
        <w:t xml:space="preserve">Interestingly, one can also witness the concept of the abhorrence of </w:t>
      </w:r>
      <w:r w:rsidRPr="000674E0">
        <w:rPr>
          <w:rFonts w:ascii="Times" w:hAnsi="Times"/>
          <w:i/>
          <w:iCs/>
        </w:rPr>
        <w:t>bidah</w:t>
      </w:r>
      <w:r>
        <w:rPr>
          <w:rFonts w:ascii="Times" w:hAnsi="Times"/>
        </w:rPr>
        <w:t xml:space="preserve">, within </w:t>
      </w:r>
      <w:r w:rsidR="00E578C6">
        <w:rPr>
          <w:rFonts w:ascii="Times" w:hAnsi="Times"/>
        </w:rPr>
        <w:t xml:space="preserve">Saudi Arabian </w:t>
      </w:r>
      <w:r>
        <w:rPr>
          <w:rFonts w:ascii="Times" w:hAnsi="Times"/>
        </w:rPr>
        <w:t xml:space="preserve">state policy. Like ISIS’ destruction of religious and archeological sites, Saudi Arabia has engaged in similar acts of destruction of shrines, particularly of Sufi and Shiite importance. </w:t>
      </w:r>
      <w:r w:rsidR="0068037B">
        <w:rPr>
          <w:rFonts w:ascii="Times" w:hAnsi="Times"/>
        </w:rPr>
        <w:t>Following the new world order post-World War I in 1925, the newly formed Saudi Arabian state, destroyed the historic Al-</w:t>
      </w:r>
      <w:proofErr w:type="spellStart"/>
      <w:r w:rsidR="0068037B">
        <w:rPr>
          <w:rFonts w:ascii="Times" w:hAnsi="Times"/>
        </w:rPr>
        <w:t>Baqi</w:t>
      </w:r>
      <w:proofErr w:type="spellEnd"/>
      <w:r w:rsidR="0068037B">
        <w:rPr>
          <w:rFonts w:ascii="Times" w:hAnsi="Times"/>
        </w:rPr>
        <w:t xml:space="preserve"> graveyard, also the burial grounds of prominent Islamic figures, to avoid the practice of possible grave worship, over the fear of committing possible </w:t>
      </w:r>
      <w:r w:rsidR="0068037B" w:rsidRPr="0068037B">
        <w:rPr>
          <w:rFonts w:ascii="Times" w:hAnsi="Times"/>
          <w:i/>
          <w:iCs/>
        </w:rPr>
        <w:t>shirk</w:t>
      </w:r>
      <w:r w:rsidR="0068037B">
        <w:rPr>
          <w:rFonts w:ascii="Times" w:hAnsi="Times"/>
        </w:rPr>
        <w:t xml:space="preserve"> </w:t>
      </w:r>
      <w:r w:rsidR="00017912">
        <w:rPr>
          <w:rFonts w:ascii="Times" w:hAnsi="Times"/>
        </w:rPr>
        <w:t xml:space="preserve">or </w:t>
      </w:r>
      <w:r w:rsidR="00017912" w:rsidRPr="00B4220F">
        <w:rPr>
          <w:rFonts w:ascii="Times" w:hAnsi="Times"/>
        </w:rPr>
        <w:lastRenderedPageBreak/>
        <w:t>idolatry.</w:t>
      </w:r>
      <w:r w:rsidR="00CC0FDA" w:rsidRPr="00B4220F">
        <w:rPr>
          <w:rStyle w:val="FootnoteReference"/>
          <w:rFonts w:ascii="Times" w:hAnsi="Times"/>
        </w:rPr>
        <w:footnoteReference w:id="11"/>
      </w:r>
      <w:r w:rsidR="00017912">
        <w:rPr>
          <w:rFonts w:ascii="Times" w:hAnsi="Times"/>
        </w:rPr>
        <w:t xml:space="preserve"> Hosting the gravesites of multiple Shiite Imams and Sufi (along with Sunni) figures, the destruction is often viewed as an act of religious supremacy of puritanical Wahhabism </w:t>
      </w:r>
      <w:r w:rsidR="00E578C6">
        <w:rPr>
          <w:rFonts w:ascii="Times" w:hAnsi="Times"/>
        </w:rPr>
        <w:t>over</w:t>
      </w:r>
      <w:r w:rsidR="00017912">
        <w:rPr>
          <w:rFonts w:ascii="Times" w:hAnsi="Times"/>
        </w:rPr>
        <w:t xml:space="preserve"> that of other sects and subsects within Islam. </w:t>
      </w:r>
    </w:p>
    <w:p w14:paraId="3A6CF266" w14:textId="38905565" w:rsidR="00017912" w:rsidRDefault="00017912" w:rsidP="00E056C6">
      <w:pPr>
        <w:spacing w:line="360" w:lineRule="auto"/>
        <w:rPr>
          <w:rFonts w:ascii="Times" w:hAnsi="Times"/>
        </w:rPr>
      </w:pPr>
    </w:p>
    <w:p w14:paraId="1428CA21" w14:textId="591E1660" w:rsidR="00AC47B9" w:rsidRDefault="00AC47B9" w:rsidP="00E056C6">
      <w:pPr>
        <w:spacing w:line="360" w:lineRule="auto"/>
        <w:rPr>
          <w:rFonts w:ascii="Times" w:hAnsi="Times"/>
        </w:rPr>
      </w:pPr>
      <w:r>
        <w:rPr>
          <w:rFonts w:ascii="Times" w:hAnsi="Times"/>
        </w:rPr>
        <w:t>Conclusion</w:t>
      </w:r>
    </w:p>
    <w:p w14:paraId="724D4161" w14:textId="18D224A5" w:rsidR="00AC47B9" w:rsidRDefault="00AC47B9" w:rsidP="00E056C6">
      <w:pPr>
        <w:spacing w:line="360" w:lineRule="auto"/>
        <w:rPr>
          <w:rFonts w:ascii="Times" w:hAnsi="Times"/>
        </w:rPr>
      </w:pPr>
    </w:p>
    <w:p w14:paraId="280C51E9" w14:textId="3D6B49A4" w:rsidR="007C6AEE" w:rsidRDefault="00AC47B9" w:rsidP="00E056C6">
      <w:pPr>
        <w:spacing w:line="360" w:lineRule="auto"/>
        <w:rPr>
          <w:rFonts w:ascii="Times" w:hAnsi="Times"/>
        </w:rPr>
      </w:pPr>
      <w:r>
        <w:rPr>
          <w:rFonts w:ascii="Times" w:hAnsi="Times"/>
        </w:rPr>
        <w:tab/>
        <w:t xml:space="preserve">The relevance of Ibn </w:t>
      </w:r>
      <w:proofErr w:type="spellStart"/>
      <w:r w:rsidR="00D45053">
        <w:rPr>
          <w:rFonts w:ascii="Times" w:hAnsi="Times"/>
        </w:rPr>
        <w:t>Taymiyya</w:t>
      </w:r>
      <w:proofErr w:type="spellEnd"/>
      <w:r>
        <w:rPr>
          <w:rFonts w:ascii="Times" w:hAnsi="Times"/>
        </w:rPr>
        <w:t xml:space="preserve"> and his doctrine has had far-reaching implications, in not just Islamic history but the contemporary geopolitical Islamic </w:t>
      </w:r>
      <w:r w:rsidR="00D97F36">
        <w:rPr>
          <w:rFonts w:ascii="Times" w:hAnsi="Times"/>
        </w:rPr>
        <w:t>environment</w:t>
      </w:r>
      <w:r>
        <w:rPr>
          <w:rFonts w:ascii="Times" w:hAnsi="Times"/>
        </w:rPr>
        <w:t xml:space="preserve">. </w:t>
      </w:r>
      <w:r w:rsidR="00D97F36">
        <w:rPr>
          <w:rFonts w:ascii="Times" w:hAnsi="Times"/>
        </w:rPr>
        <w:t xml:space="preserve">Although jailed numerous times within his lifetime, Ibn </w:t>
      </w:r>
      <w:proofErr w:type="spellStart"/>
      <w:r w:rsidR="00D45053">
        <w:rPr>
          <w:rFonts w:ascii="Times" w:hAnsi="Times"/>
        </w:rPr>
        <w:t>Taymiyya</w:t>
      </w:r>
      <w:proofErr w:type="spellEnd"/>
      <w:r w:rsidR="00D97F36">
        <w:rPr>
          <w:rFonts w:ascii="Times" w:hAnsi="Times"/>
        </w:rPr>
        <w:t xml:space="preserve"> would eventually find a passionate audience, not least of all on later Muslim figures such as Mohammad ibn Abd al-</w:t>
      </w:r>
      <w:proofErr w:type="spellStart"/>
      <w:r w:rsidR="00D97F36">
        <w:rPr>
          <w:rFonts w:ascii="Times" w:hAnsi="Times"/>
        </w:rPr>
        <w:t>Wahhab</w:t>
      </w:r>
      <w:proofErr w:type="spellEnd"/>
      <w:r w:rsidR="007C6AEE">
        <w:rPr>
          <w:rFonts w:ascii="Times" w:hAnsi="Times"/>
        </w:rPr>
        <w:t xml:space="preserve"> and his eventual </w:t>
      </w:r>
      <w:r w:rsidR="00D97F36">
        <w:rPr>
          <w:rFonts w:ascii="Times" w:hAnsi="Times"/>
        </w:rPr>
        <w:t xml:space="preserve">alliance with the later </w:t>
      </w:r>
      <w:r w:rsidR="00E578C6">
        <w:rPr>
          <w:rFonts w:ascii="Times" w:hAnsi="Times"/>
        </w:rPr>
        <w:t xml:space="preserve">formed </w:t>
      </w:r>
      <w:r w:rsidR="00D97F36">
        <w:rPr>
          <w:rFonts w:ascii="Times" w:hAnsi="Times"/>
        </w:rPr>
        <w:t xml:space="preserve">Saudi state. </w:t>
      </w:r>
    </w:p>
    <w:p w14:paraId="50D491E7" w14:textId="35F2CF20" w:rsidR="00AC47B9" w:rsidRDefault="007C6AEE" w:rsidP="00E056C6">
      <w:pPr>
        <w:spacing w:line="360" w:lineRule="auto"/>
        <w:rPr>
          <w:rFonts w:ascii="Times" w:hAnsi="Times"/>
        </w:rPr>
      </w:pPr>
      <w:r>
        <w:rPr>
          <w:rFonts w:ascii="Times" w:hAnsi="Times"/>
        </w:rPr>
        <w:tab/>
      </w:r>
      <w:r w:rsidR="00D97F36">
        <w:rPr>
          <w:rFonts w:ascii="Times" w:hAnsi="Times"/>
        </w:rPr>
        <w:t xml:space="preserve">However, the prevalence of Ibn </w:t>
      </w:r>
      <w:proofErr w:type="spellStart"/>
      <w:r w:rsidR="00D45053">
        <w:rPr>
          <w:rFonts w:ascii="Times" w:hAnsi="Times"/>
        </w:rPr>
        <w:t>Taymiyya</w:t>
      </w:r>
      <w:r w:rsidR="00D97F36">
        <w:rPr>
          <w:rFonts w:ascii="Times" w:hAnsi="Times"/>
        </w:rPr>
        <w:t>’s</w:t>
      </w:r>
      <w:proofErr w:type="spellEnd"/>
      <w:r w:rsidR="00D97F36">
        <w:rPr>
          <w:rFonts w:ascii="Times" w:hAnsi="Times"/>
        </w:rPr>
        <w:t xml:space="preserve"> philosophy and the similarities shared with contemporary militant groups is also noteworthy, especially in the concept of </w:t>
      </w:r>
      <w:r w:rsidR="00D97F36" w:rsidRPr="00D97F36">
        <w:rPr>
          <w:rFonts w:ascii="Times" w:hAnsi="Times"/>
          <w:i/>
          <w:iCs/>
        </w:rPr>
        <w:t>bidah</w:t>
      </w:r>
      <w:r w:rsidR="00D97F36">
        <w:rPr>
          <w:rFonts w:ascii="Times" w:hAnsi="Times"/>
        </w:rPr>
        <w:t xml:space="preserve"> and </w:t>
      </w:r>
      <w:r w:rsidR="00D97F36" w:rsidRPr="00D97F36">
        <w:rPr>
          <w:rFonts w:ascii="Times" w:hAnsi="Times"/>
          <w:i/>
          <w:iCs/>
        </w:rPr>
        <w:t>shirk</w:t>
      </w:r>
      <w:r w:rsidR="00D97F36">
        <w:rPr>
          <w:rFonts w:ascii="Times" w:hAnsi="Times"/>
        </w:rPr>
        <w:t xml:space="preserve"> when engaging in polemics (and violence) against various religions, sects, and subsects. Although there are multiple factors for the rise of militant groups, especially in terms of global politics, the correlation between Ibn </w:t>
      </w:r>
      <w:proofErr w:type="spellStart"/>
      <w:r w:rsidR="00D45053">
        <w:rPr>
          <w:rFonts w:ascii="Times" w:hAnsi="Times"/>
        </w:rPr>
        <w:t>Taymiyya</w:t>
      </w:r>
      <w:r w:rsidR="00D97F36">
        <w:rPr>
          <w:rFonts w:ascii="Times" w:hAnsi="Times"/>
        </w:rPr>
        <w:t>’s</w:t>
      </w:r>
      <w:proofErr w:type="spellEnd"/>
      <w:r w:rsidR="00D97F36">
        <w:rPr>
          <w:rFonts w:ascii="Times" w:hAnsi="Times"/>
        </w:rPr>
        <w:t xml:space="preserve"> philosophy and that </w:t>
      </w:r>
      <w:r w:rsidR="00E578C6">
        <w:rPr>
          <w:rFonts w:ascii="Times" w:hAnsi="Times"/>
        </w:rPr>
        <w:t>of</w:t>
      </w:r>
      <w:r w:rsidR="00D97F36">
        <w:rPr>
          <w:rFonts w:ascii="Times" w:hAnsi="Times"/>
        </w:rPr>
        <w:t xml:space="preserve"> militant groups allows for a wider understanding of not just the historical factors associated with </w:t>
      </w:r>
      <w:r w:rsidR="00E578C6">
        <w:rPr>
          <w:rFonts w:ascii="Times" w:hAnsi="Times"/>
        </w:rPr>
        <w:t xml:space="preserve">the </w:t>
      </w:r>
      <w:r w:rsidR="00D97F36">
        <w:rPr>
          <w:rFonts w:ascii="Times" w:hAnsi="Times"/>
        </w:rPr>
        <w:t xml:space="preserve">rise </w:t>
      </w:r>
      <w:r w:rsidR="00B14663">
        <w:rPr>
          <w:rFonts w:ascii="Times" w:hAnsi="Times"/>
        </w:rPr>
        <w:t>of</w:t>
      </w:r>
      <w:r w:rsidR="00D97F36">
        <w:rPr>
          <w:rFonts w:ascii="Times" w:hAnsi="Times"/>
        </w:rPr>
        <w:t xml:space="preserve"> puritanical Islamic movements, but </w:t>
      </w:r>
      <w:r w:rsidR="00E578C6">
        <w:rPr>
          <w:rFonts w:ascii="Times" w:hAnsi="Times"/>
        </w:rPr>
        <w:t>it's</w:t>
      </w:r>
      <w:r w:rsidR="00D97F36">
        <w:rPr>
          <w:rFonts w:ascii="Times" w:hAnsi="Times"/>
        </w:rPr>
        <w:t xml:space="preserve"> contemporary </w:t>
      </w:r>
      <w:r w:rsidR="00E578C6">
        <w:rPr>
          <w:rFonts w:ascii="Times" w:hAnsi="Times"/>
        </w:rPr>
        <w:t>relevance</w:t>
      </w:r>
      <w:r w:rsidR="00D97F36">
        <w:rPr>
          <w:rFonts w:ascii="Times" w:hAnsi="Times"/>
        </w:rPr>
        <w:t xml:space="preserve"> when attempting to understand intra-Islamic </w:t>
      </w:r>
      <w:r w:rsidR="00B14663">
        <w:rPr>
          <w:rFonts w:ascii="Times" w:hAnsi="Times"/>
        </w:rPr>
        <w:t xml:space="preserve">and interfaith </w:t>
      </w:r>
      <w:r>
        <w:rPr>
          <w:rFonts w:ascii="Times" w:hAnsi="Times"/>
        </w:rPr>
        <w:t>relations</w:t>
      </w:r>
      <w:r w:rsidR="00D97F36">
        <w:rPr>
          <w:rFonts w:ascii="Times" w:hAnsi="Times"/>
        </w:rPr>
        <w:t xml:space="preserve">. </w:t>
      </w:r>
    </w:p>
    <w:p w14:paraId="79B68E17" w14:textId="6B75FF90" w:rsidR="00871C6B" w:rsidRDefault="00871C6B" w:rsidP="00E056C6">
      <w:pPr>
        <w:spacing w:line="360" w:lineRule="auto"/>
        <w:rPr>
          <w:rFonts w:ascii="Times" w:hAnsi="Times"/>
        </w:rPr>
      </w:pPr>
    </w:p>
    <w:p w14:paraId="28DA3738" w14:textId="56851537" w:rsidR="00871C6B" w:rsidRDefault="00871C6B" w:rsidP="00E056C6">
      <w:pPr>
        <w:spacing w:line="360" w:lineRule="auto"/>
        <w:rPr>
          <w:rFonts w:ascii="Times" w:hAnsi="Times"/>
        </w:rPr>
      </w:pPr>
    </w:p>
    <w:p w14:paraId="4A8BCFD2" w14:textId="70B09A41" w:rsidR="00871C6B" w:rsidRDefault="00871C6B" w:rsidP="00E056C6">
      <w:pPr>
        <w:spacing w:line="360" w:lineRule="auto"/>
        <w:rPr>
          <w:rFonts w:ascii="Times" w:hAnsi="Times"/>
        </w:rPr>
      </w:pPr>
    </w:p>
    <w:p w14:paraId="421AB031" w14:textId="14E615F4" w:rsidR="00871C6B" w:rsidRDefault="00871C6B" w:rsidP="00E056C6">
      <w:pPr>
        <w:spacing w:line="360" w:lineRule="auto"/>
        <w:rPr>
          <w:rFonts w:ascii="Times" w:hAnsi="Times"/>
        </w:rPr>
      </w:pPr>
    </w:p>
    <w:p w14:paraId="59E4F66C" w14:textId="3FCE83B2" w:rsidR="00871C6B" w:rsidRDefault="00871C6B" w:rsidP="00E056C6">
      <w:pPr>
        <w:spacing w:line="360" w:lineRule="auto"/>
        <w:rPr>
          <w:rFonts w:ascii="Times" w:hAnsi="Times"/>
        </w:rPr>
      </w:pPr>
    </w:p>
    <w:p w14:paraId="709F242B" w14:textId="243B8407" w:rsidR="00871C6B" w:rsidRDefault="00871C6B" w:rsidP="00E056C6">
      <w:pPr>
        <w:spacing w:line="360" w:lineRule="auto"/>
        <w:rPr>
          <w:rFonts w:ascii="Times" w:hAnsi="Times"/>
        </w:rPr>
      </w:pPr>
    </w:p>
    <w:p w14:paraId="1A44C481" w14:textId="5B335909" w:rsidR="00871C6B" w:rsidRDefault="00871C6B" w:rsidP="00E056C6">
      <w:pPr>
        <w:spacing w:line="360" w:lineRule="auto"/>
        <w:rPr>
          <w:rFonts w:ascii="Times" w:hAnsi="Times"/>
        </w:rPr>
      </w:pPr>
    </w:p>
    <w:p w14:paraId="09011A4B" w14:textId="77777777" w:rsidR="00CC0FDA" w:rsidRDefault="00CC0FDA" w:rsidP="00871C6B">
      <w:pPr>
        <w:spacing w:line="360" w:lineRule="auto"/>
        <w:jc w:val="center"/>
        <w:rPr>
          <w:rFonts w:ascii="Times" w:hAnsi="Times"/>
        </w:rPr>
      </w:pPr>
    </w:p>
    <w:p w14:paraId="49F9CB27" w14:textId="77777777" w:rsidR="00C96A47" w:rsidRDefault="00C96A47" w:rsidP="00871C6B">
      <w:pPr>
        <w:spacing w:line="360" w:lineRule="auto"/>
        <w:jc w:val="center"/>
        <w:rPr>
          <w:rFonts w:ascii="Times" w:hAnsi="Times"/>
        </w:rPr>
      </w:pPr>
    </w:p>
    <w:p w14:paraId="6B205DAA" w14:textId="65E2D45C" w:rsidR="00871C6B" w:rsidRDefault="00871C6B" w:rsidP="00871C6B">
      <w:pPr>
        <w:spacing w:line="360" w:lineRule="auto"/>
        <w:jc w:val="center"/>
        <w:rPr>
          <w:rFonts w:ascii="Times" w:hAnsi="Times"/>
        </w:rPr>
      </w:pPr>
      <w:r>
        <w:rPr>
          <w:rFonts w:ascii="Times" w:hAnsi="Times"/>
        </w:rPr>
        <w:lastRenderedPageBreak/>
        <w:t>Bibliography</w:t>
      </w:r>
    </w:p>
    <w:p w14:paraId="7DD9C39D" w14:textId="77777777" w:rsidR="000F3C4D" w:rsidRDefault="000F3C4D" w:rsidP="00916991">
      <w:pPr>
        <w:spacing w:before="100" w:beforeAutospacing="1" w:after="100" w:afterAutospacing="1"/>
        <w:ind w:left="720" w:hanging="720"/>
        <w:rPr>
          <w:rFonts w:ascii="Times" w:eastAsia="Times New Roman" w:hAnsi="Times" w:cs="Times New Roman"/>
        </w:rPr>
      </w:pPr>
      <w:r w:rsidRPr="00A42F61">
        <w:rPr>
          <w:rFonts w:ascii="Times" w:eastAsia="Times New Roman" w:hAnsi="Times" w:cs="Times New Roman"/>
        </w:rPr>
        <w:t xml:space="preserve">Barkindo, Atta. 2013. “‘Join the Caravan’: The Ideology of Political Authority in Islam from Ibn </w:t>
      </w:r>
      <w:proofErr w:type="spellStart"/>
      <w:r w:rsidRPr="00A42F61">
        <w:rPr>
          <w:rFonts w:ascii="Times" w:eastAsia="Times New Roman" w:hAnsi="Times" w:cs="Times New Roman"/>
        </w:rPr>
        <w:t>Taymiyya</w:t>
      </w:r>
      <w:proofErr w:type="spellEnd"/>
      <w:r w:rsidRPr="00A42F61">
        <w:rPr>
          <w:rFonts w:ascii="Times" w:eastAsia="Times New Roman" w:hAnsi="Times" w:cs="Times New Roman"/>
        </w:rPr>
        <w:t xml:space="preserve"> to Boko Haram in North-Eastern Nigeria,” </w:t>
      </w:r>
      <w:r w:rsidRPr="00A42F61">
        <w:rPr>
          <w:rFonts w:ascii="Times" w:eastAsia="Times New Roman" w:hAnsi="Times" w:cs="Times New Roman"/>
          <w:i/>
          <w:iCs/>
        </w:rPr>
        <w:t>Perspectives on Terrorism</w:t>
      </w:r>
      <w:r w:rsidRPr="00A42F61">
        <w:rPr>
          <w:rFonts w:ascii="Times" w:eastAsia="Times New Roman" w:hAnsi="Times" w:cs="Times New Roman"/>
        </w:rPr>
        <w:t>, 7.3: 30–43</w:t>
      </w:r>
      <w:r w:rsidRPr="00916991">
        <w:rPr>
          <w:rFonts w:ascii="Times" w:eastAsia="Times New Roman" w:hAnsi="Times" w:cs="Times New Roman"/>
        </w:rPr>
        <w:t xml:space="preserve"> </w:t>
      </w:r>
      <w:r>
        <w:rPr>
          <w:rFonts w:ascii="Times" w:eastAsia="Times New Roman" w:hAnsi="Times" w:cs="Times New Roman"/>
        </w:rPr>
        <w:t xml:space="preserve"> </w:t>
      </w:r>
      <w:hyperlink r:id="rId8" w:history="1">
        <w:r w:rsidRPr="00E35CEE">
          <w:rPr>
            <w:rStyle w:val="Hyperlink"/>
            <w:rFonts w:ascii="Times" w:eastAsia="Times New Roman" w:hAnsi="Times" w:cs="Times New Roman"/>
          </w:rPr>
          <w:t>https://www.jstor.org/stable/26296938?seq=1</w:t>
        </w:r>
      </w:hyperlink>
      <w:r w:rsidRPr="00916991">
        <w:rPr>
          <w:rFonts w:ascii="Times" w:eastAsia="Times New Roman" w:hAnsi="Times" w:cs="Times New Roman"/>
        </w:rPr>
        <w:t xml:space="preserve"> </w:t>
      </w:r>
    </w:p>
    <w:p w14:paraId="26324C68" w14:textId="77777777" w:rsidR="000F3C4D" w:rsidRDefault="000F3C4D" w:rsidP="000C7470">
      <w:pPr>
        <w:spacing w:before="100" w:beforeAutospacing="1" w:after="100" w:afterAutospacing="1"/>
        <w:ind w:left="720" w:hanging="720"/>
        <w:rPr>
          <w:rFonts w:ascii="Times" w:eastAsia="Times New Roman" w:hAnsi="Times" w:cs="Times New Roman"/>
        </w:rPr>
      </w:pPr>
      <w:r w:rsidRPr="000C7470">
        <w:rPr>
          <w:rFonts w:ascii="Times" w:eastAsia="Times New Roman" w:hAnsi="Times" w:cs="Times New Roman"/>
        </w:rPr>
        <w:t>Hassan, Hassan. 2016. “The Sectarianism of the Islamic State: Ideological Roots and Political Context,” </w:t>
      </w:r>
      <w:r w:rsidRPr="000C7470">
        <w:rPr>
          <w:rFonts w:ascii="Times" w:eastAsia="Times New Roman" w:hAnsi="Times" w:cs="Times New Roman"/>
          <w:i/>
          <w:iCs/>
        </w:rPr>
        <w:t>Carnegie Endowment for International Peace</w:t>
      </w:r>
      <w:r w:rsidRPr="000C7470">
        <w:rPr>
          <w:rFonts w:ascii="Times" w:eastAsia="Times New Roman" w:hAnsi="Times" w:cs="Times New Roman"/>
        </w:rPr>
        <w:t xml:space="preserve">: 1–20 </w:t>
      </w:r>
      <w:hyperlink r:id="rId9" w:history="1">
        <w:r w:rsidRPr="000C7470">
          <w:rPr>
            <w:rStyle w:val="Hyperlink"/>
            <w:rFonts w:ascii="Times" w:eastAsia="Times New Roman" w:hAnsi="Times" w:cs="Times New Roman"/>
          </w:rPr>
          <w:t>https://carnegieendowment.org/2016/06/13/sectarianism-of-islamic-state-ideological-roots-and-political-context-pub-63746</w:t>
        </w:r>
      </w:hyperlink>
      <w:r>
        <w:rPr>
          <w:rFonts w:ascii="Times" w:eastAsia="Times New Roman" w:hAnsi="Times" w:cs="Times New Roman"/>
        </w:rPr>
        <w:t xml:space="preserve"> </w:t>
      </w:r>
    </w:p>
    <w:p w14:paraId="72A9FAAF" w14:textId="77777777" w:rsidR="000F3C4D" w:rsidRDefault="000F3C4D" w:rsidP="00401E00">
      <w:pPr>
        <w:spacing w:before="100" w:beforeAutospacing="1" w:after="100" w:afterAutospacing="1"/>
        <w:ind w:left="720" w:hanging="720"/>
        <w:rPr>
          <w:rFonts w:ascii="Times" w:eastAsia="Times New Roman" w:hAnsi="Times" w:cs="Times New Roman"/>
        </w:rPr>
      </w:pPr>
      <w:proofErr w:type="spellStart"/>
      <w:r w:rsidRPr="00401E00">
        <w:rPr>
          <w:rFonts w:ascii="Times" w:eastAsia="Times New Roman" w:hAnsi="Times" w:cs="Times New Roman"/>
        </w:rPr>
        <w:t>Husayn</w:t>
      </w:r>
      <w:proofErr w:type="spellEnd"/>
      <w:r w:rsidRPr="00401E00">
        <w:rPr>
          <w:rFonts w:ascii="Times" w:eastAsia="Times New Roman" w:hAnsi="Times" w:cs="Times New Roman"/>
        </w:rPr>
        <w:t xml:space="preserve">, </w:t>
      </w:r>
      <w:proofErr w:type="spellStart"/>
      <w:r w:rsidRPr="00401E00">
        <w:rPr>
          <w:rFonts w:ascii="Times" w:eastAsia="Times New Roman" w:hAnsi="Times" w:cs="Times New Roman"/>
        </w:rPr>
        <w:t>Nebil</w:t>
      </w:r>
      <w:proofErr w:type="spellEnd"/>
      <w:r w:rsidRPr="00401E00">
        <w:rPr>
          <w:rFonts w:ascii="Times" w:eastAsia="Times New Roman" w:hAnsi="Times" w:cs="Times New Roman"/>
        </w:rPr>
        <w:t>. 2021. </w:t>
      </w:r>
      <w:r w:rsidRPr="00401E00">
        <w:rPr>
          <w:rFonts w:ascii="Times" w:eastAsia="Times New Roman" w:hAnsi="Times" w:cs="Times New Roman"/>
          <w:i/>
          <w:iCs/>
        </w:rPr>
        <w:t xml:space="preserve">Opposing the Imam: The Legacy of the </w:t>
      </w:r>
      <w:proofErr w:type="spellStart"/>
      <w:r w:rsidRPr="00401E00">
        <w:rPr>
          <w:rFonts w:ascii="Times" w:eastAsia="Times New Roman" w:hAnsi="Times" w:cs="Times New Roman"/>
          <w:i/>
          <w:iCs/>
        </w:rPr>
        <w:t>Nawasib</w:t>
      </w:r>
      <w:proofErr w:type="spellEnd"/>
      <w:r w:rsidRPr="00401E00">
        <w:rPr>
          <w:rFonts w:ascii="Times" w:eastAsia="Times New Roman" w:hAnsi="Times" w:cs="Times New Roman"/>
          <w:i/>
          <w:iCs/>
        </w:rPr>
        <w:t xml:space="preserve"> in Islamic Literature</w:t>
      </w:r>
      <w:r w:rsidRPr="00401E00">
        <w:rPr>
          <w:rFonts w:ascii="Times" w:eastAsia="Times New Roman" w:hAnsi="Times" w:cs="Times New Roman"/>
        </w:rPr>
        <w:t> (New York: Cambridge University Press)</w:t>
      </w:r>
    </w:p>
    <w:p w14:paraId="7E0301A8" w14:textId="77777777" w:rsidR="000F3C4D" w:rsidRDefault="000F3C4D" w:rsidP="00401E00">
      <w:pPr>
        <w:spacing w:before="100" w:beforeAutospacing="1" w:after="100" w:afterAutospacing="1"/>
        <w:ind w:left="720" w:hanging="720"/>
        <w:rPr>
          <w:rFonts w:ascii="Times" w:eastAsia="Times New Roman" w:hAnsi="Times" w:cs="Times New Roman"/>
        </w:rPr>
      </w:pPr>
      <w:r w:rsidRPr="00401E00">
        <w:rPr>
          <w:rFonts w:ascii="Times" w:eastAsia="Times New Roman" w:hAnsi="Times" w:cs="Times New Roman"/>
        </w:rPr>
        <w:t xml:space="preserve">Little, Donald. 1973. “The Historical and Historiographical Significance of the Detention of </w:t>
      </w:r>
      <w:proofErr w:type="gramStart"/>
      <w:r w:rsidRPr="00401E00">
        <w:rPr>
          <w:rFonts w:ascii="Times" w:eastAsia="Times New Roman" w:hAnsi="Times" w:cs="Times New Roman"/>
        </w:rPr>
        <w:t>Ibn</w:t>
      </w:r>
      <w:proofErr w:type="gramEnd"/>
      <w:r w:rsidRPr="00401E00">
        <w:rPr>
          <w:rFonts w:ascii="Times" w:eastAsia="Times New Roman" w:hAnsi="Times" w:cs="Times New Roman"/>
        </w:rPr>
        <w:t xml:space="preserve"> </w:t>
      </w:r>
      <w:proofErr w:type="spellStart"/>
      <w:r w:rsidRPr="00401E00">
        <w:rPr>
          <w:rFonts w:ascii="Times" w:eastAsia="Times New Roman" w:hAnsi="Times" w:cs="Times New Roman"/>
        </w:rPr>
        <w:t>Taymiyya</w:t>
      </w:r>
      <w:proofErr w:type="spellEnd"/>
      <w:r w:rsidRPr="00401E00">
        <w:rPr>
          <w:rFonts w:ascii="Times" w:eastAsia="Times New Roman" w:hAnsi="Times" w:cs="Times New Roman"/>
        </w:rPr>
        <w:t>,” </w:t>
      </w:r>
      <w:r w:rsidRPr="00401E00">
        <w:rPr>
          <w:rFonts w:ascii="Times" w:eastAsia="Times New Roman" w:hAnsi="Times" w:cs="Times New Roman"/>
          <w:i/>
          <w:iCs/>
        </w:rPr>
        <w:t>International Journal of Middle East Studies</w:t>
      </w:r>
      <w:r w:rsidRPr="00401E00">
        <w:rPr>
          <w:rFonts w:ascii="Times" w:eastAsia="Times New Roman" w:hAnsi="Times" w:cs="Times New Roman"/>
        </w:rPr>
        <w:t xml:space="preserve">, 4.3: 311–27 </w:t>
      </w:r>
      <w:hyperlink r:id="rId10" w:history="1">
        <w:r w:rsidRPr="00401E00">
          <w:rPr>
            <w:rStyle w:val="Hyperlink"/>
            <w:rFonts w:ascii="Times" w:eastAsia="Times New Roman" w:hAnsi="Times" w:cs="Times New Roman"/>
          </w:rPr>
          <w:t>https://www.jstor.o</w:t>
        </w:r>
        <w:r w:rsidRPr="00401E00">
          <w:rPr>
            <w:rStyle w:val="Hyperlink"/>
            <w:rFonts w:ascii="Times" w:eastAsia="Times New Roman" w:hAnsi="Times" w:cs="Times New Roman"/>
          </w:rPr>
          <w:t>r</w:t>
        </w:r>
        <w:r w:rsidRPr="00401E00">
          <w:rPr>
            <w:rStyle w:val="Hyperlink"/>
            <w:rFonts w:ascii="Times" w:eastAsia="Times New Roman" w:hAnsi="Times" w:cs="Times New Roman"/>
          </w:rPr>
          <w:t>g/stabl</w:t>
        </w:r>
        <w:r w:rsidRPr="00401E00">
          <w:rPr>
            <w:rStyle w:val="Hyperlink"/>
            <w:rFonts w:ascii="Times" w:eastAsia="Times New Roman" w:hAnsi="Times" w:cs="Times New Roman"/>
          </w:rPr>
          <w:t>e</w:t>
        </w:r>
        <w:r w:rsidRPr="00401E00">
          <w:rPr>
            <w:rStyle w:val="Hyperlink"/>
            <w:rFonts w:ascii="Times" w:eastAsia="Times New Roman" w:hAnsi="Times" w:cs="Times New Roman"/>
          </w:rPr>
          <w:t>/1</w:t>
        </w:r>
        <w:r w:rsidRPr="00401E00">
          <w:rPr>
            <w:rStyle w:val="Hyperlink"/>
            <w:rFonts w:ascii="Times" w:eastAsia="Times New Roman" w:hAnsi="Times" w:cs="Times New Roman"/>
          </w:rPr>
          <w:t>6</w:t>
        </w:r>
        <w:r w:rsidRPr="00401E00">
          <w:rPr>
            <w:rStyle w:val="Hyperlink"/>
            <w:rFonts w:ascii="Times" w:eastAsia="Times New Roman" w:hAnsi="Times" w:cs="Times New Roman"/>
          </w:rPr>
          <w:t>2162</w:t>
        </w:r>
      </w:hyperlink>
      <w:r>
        <w:rPr>
          <w:rFonts w:ascii="Times" w:eastAsia="Times New Roman" w:hAnsi="Times" w:cs="Times New Roman"/>
        </w:rPr>
        <w:t xml:space="preserve"> </w:t>
      </w:r>
    </w:p>
    <w:p w14:paraId="5463946C" w14:textId="77777777" w:rsidR="000F3C4D" w:rsidRPr="00002359" w:rsidRDefault="000F3C4D" w:rsidP="00002359">
      <w:pPr>
        <w:spacing w:before="100" w:beforeAutospacing="1" w:after="100" w:afterAutospacing="1"/>
        <w:ind w:left="720" w:hanging="720"/>
        <w:rPr>
          <w:rFonts w:ascii="Times" w:eastAsia="Times New Roman" w:hAnsi="Times" w:cs="Times New Roman"/>
        </w:rPr>
      </w:pPr>
      <w:r w:rsidRPr="00002359">
        <w:rPr>
          <w:rFonts w:ascii="Times" w:eastAsia="Times New Roman" w:hAnsi="Times" w:cs="Times New Roman"/>
        </w:rPr>
        <w:t>Mohammadi, Adeel. 2015. “The Destruction of Jannat Al-</w:t>
      </w:r>
      <w:proofErr w:type="spellStart"/>
      <w:r w:rsidRPr="00002359">
        <w:rPr>
          <w:rFonts w:ascii="Times" w:eastAsia="Times New Roman" w:hAnsi="Times" w:cs="Times New Roman"/>
        </w:rPr>
        <w:t>Baqi</w:t>
      </w:r>
      <w:proofErr w:type="spellEnd"/>
      <w:r w:rsidRPr="00002359">
        <w:rPr>
          <w:rFonts w:ascii="Times" w:eastAsia="Times New Roman" w:hAnsi="Times" w:cs="Times New Roman"/>
        </w:rPr>
        <w:t>: A Case of Wahhabi Iconoclasm,” </w:t>
      </w:r>
      <w:r w:rsidRPr="00002359">
        <w:rPr>
          <w:rFonts w:ascii="Times" w:eastAsia="Times New Roman" w:hAnsi="Times" w:cs="Times New Roman"/>
          <w:i/>
          <w:iCs/>
        </w:rPr>
        <w:t>University of Toronto Undergraduate Journal of Middle East Studies</w:t>
      </w:r>
      <w:r w:rsidRPr="00002359">
        <w:rPr>
          <w:rFonts w:ascii="Times" w:eastAsia="Times New Roman" w:hAnsi="Times" w:cs="Times New Roman"/>
        </w:rPr>
        <w:t>, 1.8: 47–56</w:t>
      </w:r>
    </w:p>
    <w:p w14:paraId="0B41DFF5" w14:textId="77777777" w:rsidR="000F3C4D" w:rsidRDefault="000F3C4D" w:rsidP="00401E00">
      <w:pPr>
        <w:spacing w:before="100" w:beforeAutospacing="1" w:after="100" w:afterAutospacing="1"/>
        <w:ind w:left="720" w:hanging="720"/>
        <w:rPr>
          <w:rFonts w:ascii="Times" w:eastAsia="Times New Roman" w:hAnsi="Times" w:cs="Times New Roman"/>
        </w:rPr>
      </w:pPr>
      <w:proofErr w:type="spellStart"/>
      <w:r w:rsidRPr="00401E00">
        <w:rPr>
          <w:rFonts w:ascii="Times" w:eastAsia="Times New Roman" w:hAnsi="Times" w:cs="Times New Roman"/>
        </w:rPr>
        <w:t>Mouline</w:t>
      </w:r>
      <w:proofErr w:type="spellEnd"/>
      <w:r w:rsidRPr="00401E00">
        <w:rPr>
          <w:rFonts w:ascii="Times" w:eastAsia="Times New Roman" w:hAnsi="Times" w:cs="Times New Roman"/>
        </w:rPr>
        <w:t>, Nabil. 2014. </w:t>
      </w:r>
      <w:r w:rsidRPr="00401E00">
        <w:rPr>
          <w:rFonts w:ascii="Times" w:eastAsia="Times New Roman" w:hAnsi="Times" w:cs="Times New Roman"/>
          <w:i/>
          <w:iCs/>
        </w:rPr>
        <w:t>The Clerics of Islam: Religious Authority and Political Power in Saudi Arabia</w:t>
      </w:r>
      <w:r w:rsidRPr="00401E00">
        <w:rPr>
          <w:rFonts w:ascii="Times" w:eastAsia="Times New Roman" w:hAnsi="Times" w:cs="Times New Roman"/>
        </w:rPr>
        <w:t> (New Haven, CT: Yale University Press)</w:t>
      </w:r>
      <w:r>
        <w:rPr>
          <w:rFonts w:ascii="Times" w:eastAsia="Times New Roman" w:hAnsi="Times" w:cs="Times New Roman"/>
        </w:rPr>
        <w:t xml:space="preserve"> </w:t>
      </w:r>
      <w:r w:rsidRPr="00401E00">
        <w:rPr>
          <w:rFonts w:ascii="Times" w:eastAsia="Times New Roman" w:hAnsi="Times" w:cs="Times New Roman"/>
        </w:rPr>
        <w:t xml:space="preserve"> </w:t>
      </w:r>
      <w:hyperlink r:id="rId11" w:history="1">
        <w:r w:rsidRPr="00401E00">
          <w:rPr>
            <w:rStyle w:val="Hyperlink"/>
            <w:rFonts w:ascii="Times" w:eastAsia="Times New Roman" w:hAnsi="Times" w:cs="Times New Roman"/>
          </w:rPr>
          <w:t>https://www.jstor.org/stable/j.ctt13x1t4p</w:t>
        </w:r>
      </w:hyperlink>
      <w:r>
        <w:rPr>
          <w:rFonts w:ascii="Times" w:eastAsia="Times New Roman" w:hAnsi="Times" w:cs="Times New Roman"/>
        </w:rPr>
        <w:t xml:space="preserve"> </w:t>
      </w:r>
    </w:p>
    <w:p w14:paraId="793982FB" w14:textId="77777777" w:rsidR="000F3C4D" w:rsidRDefault="000F3C4D" w:rsidP="000C7470">
      <w:pPr>
        <w:spacing w:before="100" w:beforeAutospacing="1" w:after="100" w:afterAutospacing="1"/>
        <w:ind w:left="720" w:hanging="720"/>
        <w:rPr>
          <w:rFonts w:ascii="Times" w:eastAsia="Times New Roman" w:hAnsi="Times" w:cs="Times New Roman"/>
        </w:rPr>
      </w:pPr>
      <w:r w:rsidRPr="000C7470">
        <w:rPr>
          <w:rFonts w:ascii="Times" w:eastAsia="Times New Roman" w:hAnsi="Times" w:cs="Times New Roman"/>
        </w:rPr>
        <w:t xml:space="preserve">Mulcaire, Camille. 2013. “Assessing Al-Qaeda from the Teachings of Ibn </w:t>
      </w:r>
      <w:proofErr w:type="spellStart"/>
      <w:r w:rsidRPr="000C7470">
        <w:rPr>
          <w:rFonts w:ascii="Times" w:eastAsia="Times New Roman" w:hAnsi="Times" w:cs="Times New Roman"/>
        </w:rPr>
        <w:t>Taymiyya</w:t>
      </w:r>
      <w:proofErr w:type="spellEnd"/>
      <w:r w:rsidRPr="000C7470">
        <w:rPr>
          <w:rFonts w:ascii="Times" w:eastAsia="Times New Roman" w:hAnsi="Times" w:cs="Times New Roman"/>
        </w:rPr>
        <w:t>,” </w:t>
      </w:r>
      <w:r w:rsidRPr="000C7470">
        <w:rPr>
          <w:rFonts w:ascii="Times" w:eastAsia="Times New Roman" w:hAnsi="Times" w:cs="Times New Roman"/>
          <w:i/>
          <w:iCs/>
        </w:rPr>
        <w:t>E-International Relations</w:t>
      </w:r>
      <w:r w:rsidRPr="000C7470">
        <w:rPr>
          <w:rFonts w:ascii="Times" w:eastAsia="Times New Roman" w:hAnsi="Times" w:cs="Times New Roman"/>
        </w:rPr>
        <w:t>: 1–5</w:t>
      </w:r>
      <w:r>
        <w:rPr>
          <w:rFonts w:ascii="Times" w:eastAsia="Times New Roman" w:hAnsi="Times" w:cs="Times New Roman"/>
        </w:rPr>
        <w:tab/>
      </w:r>
      <w:r>
        <w:rPr>
          <w:rFonts w:ascii="Times" w:eastAsia="Times New Roman" w:hAnsi="Times" w:cs="Times New Roman"/>
        </w:rPr>
        <w:tab/>
      </w:r>
      <w:r>
        <w:rPr>
          <w:rFonts w:ascii="Times" w:eastAsia="Times New Roman" w:hAnsi="Times" w:cs="Times New Roman"/>
        </w:rPr>
        <w:tab/>
      </w:r>
      <w:r>
        <w:rPr>
          <w:rFonts w:ascii="Times" w:eastAsia="Times New Roman" w:hAnsi="Times" w:cs="Times New Roman"/>
        </w:rPr>
        <w:tab/>
      </w:r>
      <w:r>
        <w:rPr>
          <w:rFonts w:ascii="Times" w:eastAsia="Times New Roman" w:hAnsi="Times" w:cs="Times New Roman"/>
        </w:rPr>
        <w:tab/>
      </w:r>
      <w:r>
        <w:rPr>
          <w:rFonts w:ascii="Times" w:eastAsia="Times New Roman" w:hAnsi="Times" w:cs="Times New Roman"/>
        </w:rPr>
        <w:tab/>
      </w:r>
      <w:r>
        <w:rPr>
          <w:rFonts w:ascii="Times" w:eastAsia="Times New Roman" w:hAnsi="Times" w:cs="Times New Roman"/>
        </w:rPr>
        <w:tab/>
        <w:t xml:space="preserve"> </w:t>
      </w:r>
      <w:hyperlink r:id="rId12" w:history="1">
        <w:r w:rsidRPr="00E35CEE">
          <w:rPr>
            <w:rStyle w:val="Hyperlink"/>
            <w:rFonts w:ascii="Times" w:eastAsia="Times New Roman" w:hAnsi="Times" w:cs="Times New Roman"/>
          </w:rPr>
          <w:t>https://www.e-ir.info/2013/10/15/assessing-a</w:t>
        </w:r>
        <w:r w:rsidRPr="00E35CEE">
          <w:rPr>
            <w:rStyle w:val="Hyperlink"/>
            <w:rFonts w:ascii="Times" w:eastAsia="Times New Roman" w:hAnsi="Times" w:cs="Times New Roman"/>
          </w:rPr>
          <w:t>l</w:t>
        </w:r>
        <w:r w:rsidRPr="00E35CEE">
          <w:rPr>
            <w:rStyle w:val="Hyperlink"/>
            <w:rFonts w:ascii="Times" w:eastAsia="Times New Roman" w:hAnsi="Times" w:cs="Times New Roman"/>
          </w:rPr>
          <w:t>-qaeda-from-the-teachings-of-ibn-taymiyya/</w:t>
        </w:r>
      </w:hyperlink>
      <w:r>
        <w:rPr>
          <w:rFonts w:ascii="Times" w:eastAsia="Times New Roman" w:hAnsi="Times" w:cs="Times New Roman"/>
        </w:rPr>
        <w:t xml:space="preserve"> </w:t>
      </w:r>
    </w:p>
    <w:p w14:paraId="2E62D43E" w14:textId="77777777" w:rsidR="000F3C4D" w:rsidRPr="00916991" w:rsidRDefault="000F3C4D" w:rsidP="00916991">
      <w:pPr>
        <w:spacing w:before="100" w:beforeAutospacing="1" w:after="100" w:afterAutospacing="1"/>
        <w:ind w:left="720" w:hanging="720"/>
        <w:rPr>
          <w:rFonts w:ascii="Times" w:eastAsia="Times New Roman" w:hAnsi="Times" w:cs="Times New Roman"/>
        </w:rPr>
      </w:pPr>
      <w:proofErr w:type="spellStart"/>
      <w:r w:rsidRPr="00A42F61">
        <w:rPr>
          <w:rFonts w:ascii="Times" w:eastAsia="Times New Roman" w:hAnsi="Times" w:cs="Times New Roman"/>
        </w:rPr>
        <w:t>Sirry</w:t>
      </w:r>
      <w:proofErr w:type="spellEnd"/>
      <w:r w:rsidRPr="00A42F61">
        <w:rPr>
          <w:rFonts w:ascii="Times" w:eastAsia="Times New Roman" w:hAnsi="Times" w:cs="Times New Roman"/>
        </w:rPr>
        <w:t xml:space="preserve">, </w:t>
      </w:r>
      <w:proofErr w:type="spellStart"/>
      <w:r w:rsidRPr="00A42F61">
        <w:rPr>
          <w:rFonts w:ascii="Times" w:eastAsia="Times New Roman" w:hAnsi="Times" w:cs="Times New Roman"/>
        </w:rPr>
        <w:t>Mun’im</w:t>
      </w:r>
      <w:proofErr w:type="spellEnd"/>
      <w:r w:rsidRPr="00A42F61">
        <w:rPr>
          <w:rFonts w:ascii="Times" w:eastAsia="Times New Roman" w:hAnsi="Times" w:cs="Times New Roman"/>
        </w:rPr>
        <w:t xml:space="preserve">. 2011. “The Public Role of </w:t>
      </w:r>
      <w:proofErr w:type="spellStart"/>
      <w:r w:rsidRPr="00A42F61">
        <w:rPr>
          <w:rFonts w:ascii="Times" w:eastAsia="Times New Roman" w:hAnsi="Times" w:cs="Times New Roman"/>
        </w:rPr>
        <w:t>Dhimmīs</w:t>
      </w:r>
      <w:proofErr w:type="spellEnd"/>
      <w:r w:rsidRPr="00A42F61">
        <w:rPr>
          <w:rFonts w:ascii="Times" w:eastAsia="Times New Roman" w:hAnsi="Times" w:cs="Times New Roman"/>
        </w:rPr>
        <w:t xml:space="preserve"> during </w:t>
      </w:r>
      <w:proofErr w:type="spellStart"/>
      <w:r w:rsidRPr="00A42F61">
        <w:rPr>
          <w:rFonts w:ascii="Times New Roman" w:eastAsia="Times New Roman" w:hAnsi="Times New Roman" w:cs="Times New Roman"/>
        </w:rPr>
        <w:t>ʿ</w:t>
      </w:r>
      <w:r w:rsidRPr="00A42F61">
        <w:rPr>
          <w:rFonts w:ascii="Times" w:eastAsia="Times New Roman" w:hAnsi="Times" w:cs="Times New Roman"/>
        </w:rPr>
        <w:t>Abbāsid</w:t>
      </w:r>
      <w:proofErr w:type="spellEnd"/>
      <w:r w:rsidRPr="00A42F61">
        <w:rPr>
          <w:rFonts w:ascii="Times" w:eastAsia="Times New Roman" w:hAnsi="Times" w:cs="Times New Roman"/>
        </w:rPr>
        <w:t xml:space="preserve"> Times,” </w:t>
      </w:r>
      <w:r w:rsidRPr="00A42F61">
        <w:rPr>
          <w:rFonts w:ascii="Times" w:eastAsia="Times New Roman" w:hAnsi="Times" w:cs="Times New Roman"/>
          <w:i/>
          <w:iCs/>
        </w:rPr>
        <w:t>Bulletin of the School of Oriental and African Studies</w:t>
      </w:r>
      <w:r w:rsidRPr="00A42F61">
        <w:rPr>
          <w:rFonts w:ascii="Times" w:eastAsia="Times New Roman" w:hAnsi="Times" w:cs="Times New Roman"/>
        </w:rPr>
        <w:t>, 74.2: 187–204</w:t>
      </w:r>
      <w:r>
        <w:rPr>
          <w:rFonts w:ascii="Times" w:eastAsia="Times New Roman" w:hAnsi="Times" w:cs="Times New Roman"/>
        </w:rPr>
        <w:t xml:space="preserve"> </w:t>
      </w:r>
      <w:hyperlink r:id="rId13" w:history="1">
        <w:r w:rsidRPr="00A42F61">
          <w:rPr>
            <w:rStyle w:val="Hyperlink"/>
            <w:rFonts w:ascii="Times" w:eastAsia="Times New Roman" w:hAnsi="Times" w:cs="Times New Roman"/>
          </w:rPr>
          <w:t>https://www.jstor.org/stable/41287947</w:t>
        </w:r>
      </w:hyperlink>
    </w:p>
    <w:p w14:paraId="1B48EDDF" w14:textId="77777777" w:rsidR="00002359" w:rsidRPr="00002359" w:rsidRDefault="00002359" w:rsidP="00002359">
      <w:pPr>
        <w:spacing w:before="100" w:beforeAutospacing="1" w:after="100" w:afterAutospacing="1"/>
        <w:ind w:left="720" w:hanging="720"/>
        <w:rPr>
          <w:rFonts w:ascii="Times" w:eastAsia="Times New Roman" w:hAnsi="Times" w:cs="Times New Roman"/>
        </w:rPr>
      </w:pPr>
    </w:p>
    <w:p w14:paraId="172D1DCB" w14:textId="77777777" w:rsidR="00401E00" w:rsidRPr="00401E00" w:rsidRDefault="00401E00" w:rsidP="00401E00">
      <w:pPr>
        <w:spacing w:before="100" w:beforeAutospacing="1" w:after="100" w:afterAutospacing="1"/>
        <w:ind w:left="720" w:hanging="720"/>
        <w:rPr>
          <w:rFonts w:ascii="Times" w:eastAsia="Times New Roman" w:hAnsi="Times" w:cs="Times New Roman"/>
        </w:rPr>
      </w:pPr>
    </w:p>
    <w:p w14:paraId="34AC5E23" w14:textId="77777777" w:rsidR="00D32FDC" w:rsidRPr="009B2AA7" w:rsidRDefault="00D32FDC" w:rsidP="00D32FDC">
      <w:pPr>
        <w:spacing w:line="360" w:lineRule="auto"/>
        <w:rPr>
          <w:rFonts w:ascii="Times" w:hAnsi="Times"/>
        </w:rPr>
      </w:pPr>
    </w:p>
    <w:sectPr w:rsidR="00D32FDC" w:rsidRPr="009B2A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88E4E" w14:textId="77777777" w:rsidR="00683C24" w:rsidRDefault="00683C24" w:rsidP="00285AE7">
      <w:r>
        <w:separator/>
      </w:r>
    </w:p>
  </w:endnote>
  <w:endnote w:type="continuationSeparator" w:id="0">
    <w:p w14:paraId="6E69D3E6" w14:textId="77777777" w:rsidR="00683C24" w:rsidRDefault="00683C24" w:rsidP="0028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鞑耒ĝ宀ڶ怀"/>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2E17B" w14:textId="77777777" w:rsidR="00683C24" w:rsidRDefault="00683C24" w:rsidP="00285AE7">
      <w:r>
        <w:separator/>
      </w:r>
    </w:p>
  </w:footnote>
  <w:footnote w:type="continuationSeparator" w:id="0">
    <w:p w14:paraId="03ABA4CF" w14:textId="77777777" w:rsidR="00683C24" w:rsidRDefault="00683C24" w:rsidP="00285AE7">
      <w:r>
        <w:continuationSeparator/>
      </w:r>
    </w:p>
  </w:footnote>
  <w:footnote w:id="1">
    <w:p w14:paraId="00936E77" w14:textId="2BFB9E32" w:rsidR="008A7794" w:rsidRPr="008A7794" w:rsidRDefault="00285AE7" w:rsidP="008A7794">
      <w:pPr>
        <w:pStyle w:val="FootnoteText"/>
        <w:rPr>
          <w:rFonts w:ascii="Times" w:hAnsi="Times"/>
        </w:rPr>
      </w:pPr>
      <w:r w:rsidRPr="008A7794">
        <w:rPr>
          <w:rStyle w:val="FootnoteReference"/>
          <w:rFonts w:ascii="Times" w:hAnsi="Times"/>
        </w:rPr>
        <w:footnoteRef/>
      </w:r>
      <w:r w:rsidRPr="008A7794">
        <w:rPr>
          <w:rFonts w:ascii="Times" w:hAnsi="Times"/>
        </w:rPr>
        <w:t xml:space="preserve"> Donald Little.</w:t>
      </w:r>
      <w:r w:rsidR="00C741B8" w:rsidRPr="008A7794">
        <w:rPr>
          <w:rFonts w:ascii="Times" w:hAnsi="Times"/>
        </w:rPr>
        <w:t xml:space="preserve"> 1973. </w:t>
      </w:r>
      <w:r w:rsidR="008A7794" w:rsidRPr="008A7794">
        <w:rPr>
          <w:rFonts w:ascii="Times" w:hAnsi="Times"/>
        </w:rPr>
        <w:t>“</w:t>
      </w:r>
      <w:r w:rsidR="00C741B8" w:rsidRPr="00401E00">
        <w:rPr>
          <w:rFonts w:ascii="Times" w:hAnsi="Times"/>
          <w:i/>
          <w:iCs/>
        </w:rPr>
        <w:t xml:space="preserve">The Historical and Historiographical Significance of the Detention of Ibn </w:t>
      </w:r>
      <w:proofErr w:type="spellStart"/>
      <w:proofErr w:type="gramStart"/>
      <w:r w:rsidR="00DF4E69" w:rsidRPr="00401E00">
        <w:rPr>
          <w:rFonts w:ascii="Times" w:hAnsi="Times"/>
          <w:i/>
          <w:iCs/>
        </w:rPr>
        <w:t>Taymiyya</w:t>
      </w:r>
      <w:proofErr w:type="spellEnd"/>
      <w:r w:rsidR="00DF4E69" w:rsidRPr="008A7794">
        <w:rPr>
          <w:rFonts w:ascii="Times" w:hAnsi="Times"/>
          <w:i/>
          <w:iCs/>
        </w:rPr>
        <w:t>”</w:t>
      </w:r>
      <w:r w:rsidR="00DF4E69">
        <w:rPr>
          <w:rFonts w:ascii="Times" w:hAnsi="Times"/>
          <w:i/>
          <w:iCs/>
        </w:rPr>
        <w:t xml:space="preserve">  </w:t>
      </w:r>
      <w:r w:rsidR="008A7794">
        <w:rPr>
          <w:rFonts w:ascii="Times" w:hAnsi="Times"/>
          <w:i/>
          <w:iCs/>
        </w:rPr>
        <w:t xml:space="preserve"> </w:t>
      </w:r>
      <w:proofErr w:type="gramEnd"/>
      <w:r w:rsidR="008A7794">
        <w:rPr>
          <w:rFonts w:ascii="Times" w:hAnsi="Times"/>
          <w:i/>
          <w:iCs/>
        </w:rPr>
        <w:t xml:space="preserve">          </w:t>
      </w:r>
      <w:r w:rsidR="008A7794">
        <w:rPr>
          <w:rFonts w:ascii="Times" w:hAnsi="Times"/>
        </w:rPr>
        <w:t>(</w:t>
      </w:r>
      <w:r w:rsidR="008A7794" w:rsidRPr="008A7794">
        <w:rPr>
          <w:rFonts w:ascii="Times" w:hAnsi="Times"/>
        </w:rPr>
        <w:t>International Journal of Middle East Studies</w:t>
      </w:r>
      <w:r w:rsidR="008A7794">
        <w:rPr>
          <w:rFonts w:ascii="Times" w:hAnsi="Times"/>
        </w:rPr>
        <w:t xml:space="preserve">), 4.3: p 313 </w:t>
      </w:r>
      <w:hyperlink r:id="rId1" w:history="1">
        <w:r w:rsidR="008A7794" w:rsidRPr="00E35CEE">
          <w:rPr>
            <w:rStyle w:val="Hyperlink"/>
            <w:rFonts w:ascii="Times" w:hAnsi="Times"/>
          </w:rPr>
          <w:t>https://www.jstor.org/stable/162162</w:t>
        </w:r>
      </w:hyperlink>
      <w:r w:rsidR="008A7794">
        <w:rPr>
          <w:rFonts w:ascii="Times" w:hAnsi="Times"/>
        </w:rPr>
        <w:t xml:space="preserve"> </w:t>
      </w:r>
    </w:p>
    <w:p w14:paraId="2327E937" w14:textId="33017F75" w:rsidR="00285AE7" w:rsidRPr="008A7794" w:rsidRDefault="00285AE7">
      <w:pPr>
        <w:pStyle w:val="FootnoteText"/>
        <w:rPr>
          <w:rFonts w:ascii="Times" w:hAnsi="Times"/>
        </w:rPr>
      </w:pPr>
    </w:p>
  </w:footnote>
  <w:footnote w:id="2">
    <w:p w14:paraId="1FF614BE" w14:textId="4FD19C95" w:rsidR="00DF4E69" w:rsidRPr="00311076" w:rsidRDefault="00DF4E69">
      <w:pPr>
        <w:pStyle w:val="FootnoteText"/>
        <w:rPr>
          <w:rFonts w:ascii="Times" w:hAnsi="Times"/>
        </w:rPr>
      </w:pPr>
      <w:r w:rsidRPr="00311076">
        <w:rPr>
          <w:rStyle w:val="FootnoteReference"/>
          <w:rFonts w:ascii="Times" w:hAnsi="Times"/>
        </w:rPr>
        <w:footnoteRef/>
      </w:r>
      <w:r w:rsidRPr="00311076">
        <w:rPr>
          <w:rFonts w:ascii="Times" w:hAnsi="Times"/>
        </w:rPr>
        <w:t xml:space="preserve"> </w:t>
      </w:r>
      <w:proofErr w:type="spellStart"/>
      <w:r w:rsidRPr="00311076">
        <w:rPr>
          <w:rFonts w:ascii="Times" w:hAnsi="Times"/>
        </w:rPr>
        <w:t>Mun’im</w:t>
      </w:r>
      <w:proofErr w:type="spellEnd"/>
      <w:r w:rsidRPr="00311076">
        <w:rPr>
          <w:rFonts w:ascii="Times" w:hAnsi="Times"/>
        </w:rPr>
        <w:t xml:space="preserve"> </w:t>
      </w:r>
      <w:proofErr w:type="spellStart"/>
      <w:r w:rsidRPr="00311076">
        <w:rPr>
          <w:rFonts w:ascii="Times" w:hAnsi="Times"/>
        </w:rPr>
        <w:t>Sirry</w:t>
      </w:r>
      <w:proofErr w:type="spellEnd"/>
      <w:r w:rsidRPr="00311076">
        <w:rPr>
          <w:rFonts w:ascii="Times" w:hAnsi="Times"/>
        </w:rPr>
        <w:t xml:space="preserve">. 2011. </w:t>
      </w:r>
      <w:r w:rsidRPr="00311076">
        <w:rPr>
          <w:rFonts w:ascii="Times" w:hAnsi="Times"/>
        </w:rPr>
        <w:t>“</w:t>
      </w:r>
      <w:r w:rsidRPr="00311076">
        <w:rPr>
          <w:rFonts w:ascii="Times" w:hAnsi="Times"/>
          <w:i/>
          <w:iCs/>
        </w:rPr>
        <w:t xml:space="preserve">The Public Role of </w:t>
      </w:r>
      <w:proofErr w:type="spellStart"/>
      <w:r w:rsidRPr="00311076">
        <w:rPr>
          <w:rFonts w:ascii="Times" w:hAnsi="Times"/>
          <w:i/>
          <w:iCs/>
        </w:rPr>
        <w:t>Dhimmīs</w:t>
      </w:r>
      <w:proofErr w:type="spellEnd"/>
      <w:r w:rsidRPr="00311076">
        <w:rPr>
          <w:rFonts w:ascii="Times" w:hAnsi="Times"/>
          <w:i/>
          <w:iCs/>
        </w:rPr>
        <w:t xml:space="preserve"> during </w:t>
      </w:r>
      <w:proofErr w:type="spellStart"/>
      <w:r w:rsidRPr="00311076">
        <w:rPr>
          <w:rFonts w:ascii="Times New Roman" w:hAnsi="Times New Roman" w:cs="Times New Roman"/>
          <w:i/>
          <w:iCs/>
        </w:rPr>
        <w:t>ʿ</w:t>
      </w:r>
      <w:r w:rsidRPr="00311076">
        <w:rPr>
          <w:rFonts w:ascii="Times" w:hAnsi="Times"/>
          <w:i/>
          <w:iCs/>
        </w:rPr>
        <w:t>Abbāsid</w:t>
      </w:r>
      <w:proofErr w:type="spellEnd"/>
      <w:r w:rsidRPr="00311076">
        <w:rPr>
          <w:rFonts w:ascii="Times" w:hAnsi="Times"/>
          <w:i/>
          <w:iCs/>
        </w:rPr>
        <w:t xml:space="preserve"> Times</w:t>
      </w:r>
      <w:r w:rsidRPr="00311076">
        <w:rPr>
          <w:rFonts w:ascii="Times" w:hAnsi="Times"/>
        </w:rPr>
        <w:t>,”</w:t>
      </w:r>
      <w:r w:rsidRPr="00311076">
        <w:rPr>
          <w:rFonts w:ascii="Times" w:hAnsi="Times"/>
        </w:rPr>
        <w:t xml:space="preserve"> </w:t>
      </w:r>
      <w:r w:rsidRPr="00311076">
        <w:rPr>
          <w:rFonts w:ascii="Times" w:hAnsi="Times"/>
        </w:rPr>
        <w:t>Bulletin of the School of Oriental and African Studies</w:t>
      </w:r>
      <w:r w:rsidRPr="00311076">
        <w:rPr>
          <w:rFonts w:ascii="Times" w:hAnsi="Times"/>
        </w:rPr>
        <w:t>, 74.2: p. 202</w:t>
      </w:r>
      <w:r w:rsidR="00311076">
        <w:rPr>
          <w:rFonts w:ascii="Times" w:hAnsi="Times"/>
        </w:rPr>
        <w:t xml:space="preserve"> </w:t>
      </w:r>
      <w:hyperlink r:id="rId2" w:history="1">
        <w:r w:rsidR="00311076" w:rsidRPr="00E35CEE">
          <w:rPr>
            <w:rStyle w:val="Hyperlink"/>
            <w:rFonts w:ascii="Times" w:hAnsi="Times"/>
          </w:rPr>
          <w:t>https://www.jstor.org/stable/41287947</w:t>
        </w:r>
      </w:hyperlink>
      <w:r w:rsidR="00311076">
        <w:rPr>
          <w:rFonts w:ascii="Times" w:hAnsi="Times"/>
        </w:rPr>
        <w:t xml:space="preserve"> </w:t>
      </w:r>
    </w:p>
  </w:footnote>
  <w:footnote w:id="3">
    <w:p w14:paraId="4C837D7F" w14:textId="1DF414E3" w:rsidR="00DF4E69" w:rsidRPr="00311076" w:rsidRDefault="00DF4E69">
      <w:pPr>
        <w:pStyle w:val="FootnoteText"/>
        <w:rPr>
          <w:rFonts w:ascii="Times" w:hAnsi="Times"/>
        </w:rPr>
      </w:pPr>
      <w:r w:rsidRPr="00311076">
        <w:rPr>
          <w:rStyle w:val="FootnoteReference"/>
          <w:rFonts w:ascii="Times" w:hAnsi="Times"/>
        </w:rPr>
        <w:footnoteRef/>
      </w:r>
      <w:r w:rsidRPr="00311076">
        <w:rPr>
          <w:rFonts w:ascii="Times" w:hAnsi="Times"/>
        </w:rPr>
        <w:t xml:space="preserve"> </w:t>
      </w:r>
      <w:proofErr w:type="spellStart"/>
      <w:r w:rsidRPr="00311076">
        <w:rPr>
          <w:rFonts w:ascii="Times" w:hAnsi="Times"/>
        </w:rPr>
        <w:t>Sirry</w:t>
      </w:r>
      <w:proofErr w:type="spellEnd"/>
      <w:r w:rsidRPr="00311076">
        <w:rPr>
          <w:rFonts w:ascii="Times" w:hAnsi="Times"/>
        </w:rPr>
        <w:t>, p. 194</w:t>
      </w:r>
    </w:p>
  </w:footnote>
  <w:footnote w:id="4">
    <w:p w14:paraId="26EE1997" w14:textId="77777777" w:rsidR="00023E19" w:rsidRPr="00023E19" w:rsidRDefault="00311076" w:rsidP="00023E19">
      <w:pPr>
        <w:pStyle w:val="FootnoteText"/>
        <w:rPr>
          <w:rFonts w:ascii="Times" w:hAnsi="Times"/>
        </w:rPr>
      </w:pPr>
      <w:r w:rsidRPr="00311076">
        <w:rPr>
          <w:rStyle w:val="FootnoteReference"/>
          <w:rFonts w:ascii="Times" w:hAnsi="Times"/>
        </w:rPr>
        <w:footnoteRef/>
      </w:r>
      <w:r w:rsidRPr="00311076">
        <w:rPr>
          <w:rFonts w:ascii="Times" w:hAnsi="Times"/>
        </w:rPr>
        <w:t xml:space="preserve"> Camille Mulcaire. 2013. “</w:t>
      </w:r>
      <w:r w:rsidRPr="00311076">
        <w:rPr>
          <w:rFonts w:ascii="Times" w:hAnsi="Times"/>
          <w:i/>
          <w:iCs/>
        </w:rPr>
        <w:t xml:space="preserve">Assessing Al-Qaeda from the Teachings of Ibn </w:t>
      </w:r>
      <w:proofErr w:type="spellStart"/>
      <w:r w:rsidRPr="00311076">
        <w:rPr>
          <w:rFonts w:ascii="Times" w:hAnsi="Times"/>
          <w:i/>
          <w:iCs/>
        </w:rPr>
        <w:t>Taymiyya</w:t>
      </w:r>
      <w:proofErr w:type="spellEnd"/>
      <w:r w:rsidRPr="00311076">
        <w:rPr>
          <w:rFonts w:ascii="Times" w:hAnsi="Times"/>
        </w:rPr>
        <w:t xml:space="preserve">,” </w:t>
      </w:r>
      <w:r w:rsidRPr="00311076">
        <w:rPr>
          <w:rFonts w:ascii="Times" w:hAnsi="Times"/>
        </w:rPr>
        <w:t>E-International Relations:</w:t>
      </w:r>
      <w:r w:rsidRPr="00311076">
        <w:rPr>
          <w:rFonts w:ascii="Times" w:hAnsi="Times"/>
        </w:rPr>
        <w:t xml:space="preserve"> </w:t>
      </w:r>
      <w:r>
        <w:rPr>
          <w:rFonts w:ascii="Times" w:hAnsi="Times"/>
        </w:rPr>
        <w:t xml:space="preserve">     </w:t>
      </w:r>
      <w:r w:rsidRPr="00311076">
        <w:rPr>
          <w:rFonts w:ascii="Times" w:hAnsi="Times"/>
        </w:rPr>
        <w:t>p. 2</w:t>
      </w:r>
      <w:r w:rsidR="00023E19">
        <w:rPr>
          <w:rFonts w:ascii="Times" w:hAnsi="Times"/>
        </w:rPr>
        <w:t xml:space="preserve"> </w:t>
      </w:r>
      <w:hyperlink r:id="rId3" w:history="1">
        <w:r w:rsidR="00023E19" w:rsidRPr="00023E19">
          <w:rPr>
            <w:rStyle w:val="Hyperlink"/>
            <w:rFonts w:ascii="Times" w:hAnsi="Times"/>
          </w:rPr>
          <w:t>https://www.e-ir.info/2013/10/15/assessing-al-qaeda-from-the-teachings-of-ibn-taymiyya/</w:t>
        </w:r>
      </w:hyperlink>
      <w:r w:rsidR="00023E19" w:rsidRPr="00023E19">
        <w:rPr>
          <w:rFonts w:ascii="Times" w:hAnsi="Times"/>
        </w:rPr>
        <w:t xml:space="preserve"> </w:t>
      </w:r>
    </w:p>
    <w:p w14:paraId="2025E918" w14:textId="175889B4" w:rsidR="00311076" w:rsidRPr="00311076" w:rsidRDefault="00311076" w:rsidP="00311076">
      <w:pPr>
        <w:pStyle w:val="FootnoteText"/>
        <w:rPr>
          <w:rFonts w:ascii="Times" w:hAnsi="Times"/>
        </w:rPr>
      </w:pPr>
    </w:p>
    <w:p w14:paraId="57847521" w14:textId="696C13E2" w:rsidR="00311076" w:rsidRPr="00311076" w:rsidRDefault="00311076" w:rsidP="00311076">
      <w:pPr>
        <w:pStyle w:val="FootnoteText"/>
      </w:pPr>
    </w:p>
    <w:p w14:paraId="157C0291" w14:textId="0F8E4663" w:rsidR="00311076" w:rsidRDefault="00311076">
      <w:pPr>
        <w:pStyle w:val="FootnoteText"/>
      </w:pPr>
    </w:p>
  </w:footnote>
  <w:footnote w:id="5">
    <w:p w14:paraId="7D386E9C" w14:textId="4F8916F5" w:rsidR="00023E19" w:rsidRPr="00CF1747" w:rsidRDefault="00023E19">
      <w:pPr>
        <w:pStyle w:val="FootnoteText"/>
        <w:rPr>
          <w:rFonts w:ascii="Times" w:hAnsi="Times"/>
        </w:rPr>
      </w:pPr>
      <w:r w:rsidRPr="00CF1747">
        <w:rPr>
          <w:rStyle w:val="FootnoteReference"/>
          <w:rFonts w:ascii="Times" w:hAnsi="Times"/>
        </w:rPr>
        <w:footnoteRef/>
      </w:r>
      <w:r w:rsidRPr="00CF1747">
        <w:rPr>
          <w:rFonts w:ascii="Times" w:hAnsi="Times"/>
        </w:rPr>
        <w:t xml:space="preserve"> </w:t>
      </w:r>
      <w:proofErr w:type="spellStart"/>
      <w:r w:rsidR="000F04FB" w:rsidRPr="00CF1747">
        <w:rPr>
          <w:rFonts w:ascii="Times" w:hAnsi="Times"/>
        </w:rPr>
        <w:t>Nebil</w:t>
      </w:r>
      <w:proofErr w:type="spellEnd"/>
      <w:r w:rsidR="000F04FB" w:rsidRPr="00CF1747">
        <w:rPr>
          <w:rFonts w:ascii="Times" w:hAnsi="Times"/>
        </w:rPr>
        <w:t xml:space="preserve"> </w:t>
      </w:r>
      <w:proofErr w:type="spellStart"/>
      <w:r w:rsidR="000F04FB" w:rsidRPr="00CF1747">
        <w:rPr>
          <w:rFonts w:ascii="Times" w:hAnsi="Times"/>
        </w:rPr>
        <w:t>Husayn</w:t>
      </w:r>
      <w:proofErr w:type="spellEnd"/>
      <w:r w:rsidR="000F04FB" w:rsidRPr="00CF1747">
        <w:rPr>
          <w:rFonts w:ascii="Times" w:hAnsi="Times"/>
        </w:rPr>
        <w:t xml:space="preserve">. </w:t>
      </w:r>
      <w:r w:rsidR="000F04FB" w:rsidRPr="00401E00">
        <w:rPr>
          <w:rFonts w:ascii="Times" w:hAnsi="Times"/>
          <w:i/>
          <w:iCs/>
        </w:rPr>
        <w:t xml:space="preserve">Opposing the Imam: The Legacy of the </w:t>
      </w:r>
      <w:proofErr w:type="spellStart"/>
      <w:r w:rsidR="000F04FB" w:rsidRPr="00401E00">
        <w:rPr>
          <w:rFonts w:ascii="Times" w:hAnsi="Times"/>
          <w:i/>
          <w:iCs/>
        </w:rPr>
        <w:t>Nawasib</w:t>
      </w:r>
      <w:proofErr w:type="spellEnd"/>
      <w:r w:rsidR="000F04FB" w:rsidRPr="00401E00">
        <w:rPr>
          <w:rFonts w:ascii="Times" w:hAnsi="Times"/>
          <w:i/>
          <w:iCs/>
        </w:rPr>
        <w:t xml:space="preserve"> in Islamic Literature</w:t>
      </w:r>
      <w:r w:rsidR="000F04FB" w:rsidRPr="00401E00">
        <w:rPr>
          <w:rFonts w:ascii="Times" w:hAnsi="Times"/>
        </w:rPr>
        <w:t> </w:t>
      </w:r>
      <w:r w:rsidR="00CF1747" w:rsidRPr="00CF1747">
        <w:rPr>
          <w:rFonts w:ascii="Times" w:hAnsi="Times"/>
        </w:rPr>
        <w:t>(</w:t>
      </w:r>
      <w:r w:rsidR="00CF1747" w:rsidRPr="00401E00">
        <w:rPr>
          <w:rFonts w:ascii="Times" w:hAnsi="Times"/>
        </w:rPr>
        <w:t>New York: Cambridge University Press</w:t>
      </w:r>
      <w:r w:rsidR="00CF1747" w:rsidRPr="00CF1747">
        <w:rPr>
          <w:rFonts w:ascii="Times" w:hAnsi="Times"/>
        </w:rPr>
        <w:t>, 2021), p. 123</w:t>
      </w:r>
    </w:p>
  </w:footnote>
  <w:footnote w:id="6">
    <w:p w14:paraId="535D2232" w14:textId="4CD70E0D" w:rsidR="00CF1747" w:rsidRDefault="00CF1747">
      <w:pPr>
        <w:pStyle w:val="FootnoteText"/>
      </w:pPr>
      <w:r w:rsidRPr="00CF1747">
        <w:rPr>
          <w:rStyle w:val="FootnoteReference"/>
          <w:rFonts w:ascii="Times" w:hAnsi="Times"/>
        </w:rPr>
        <w:footnoteRef/>
      </w:r>
      <w:r w:rsidRPr="00CF1747">
        <w:rPr>
          <w:rFonts w:ascii="Times" w:hAnsi="Times"/>
        </w:rPr>
        <w:t xml:space="preserve"> </w:t>
      </w:r>
      <w:proofErr w:type="spellStart"/>
      <w:r w:rsidRPr="00CF1747">
        <w:rPr>
          <w:rFonts w:ascii="Times" w:hAnsi="Times"/>
        </w:rPr>
        <w:t>Husayn</w:t>
      </w:r>
      <w:proofErr w:type="spellEnd"/>
      <w:r w:rsidRPr="00CF1747">
        <w:rPr>
          <w:rFonts w:ascii="Times" w:hAnsi="Times"/>
        </w:rPr>
        <w:t>, p. 122</w:t>
      </w:r>
      <w:r>
        <w:t xml:space="preserve"> </w:t>
      </w:r>
    </w:p>
  </w:footnote>
  <w:footnote w:id="7">
    <w:p w14:paraId="7465C3A5" w14:textId="7A353DD0" w:rsidR="00037520" w:rsidRPr="00CC0FDA" w:rsidRDefault="00037520">
      <w:pPr>
        <w:pStyle w:val="FootnoteText"/>
        <w:rPr>
          <w:rFonts w:ascii="Times" w:hAnsi="Times"/>
        </w:rPr>
      </w:pPr>
      <w:r w:rsidRPr="00CC0FDA">
        <w:rPr>
          <w:rStyle w:val="FootnoteReference"/>
          <w:rFonts w:ascii="Times" w:hAnsi="Times"/>
        </w:rPr>
        <w:footnoteRef/>
      </w:r>
      <w:r w:rsidR="00CC0FDA">
        <w:rPr>
          <w:rFonts w:ascii="Times" w:hAnsi="Times"/>
        </w:rPr>
        <w:t xml:space="preserve"> </w:t>
      </w:r>
      <w:r w:rsidRPr="00CC0FDA">
        <w:rPr>
          <w:rFonts w:ascii="Times" w:hAnsi="Times"/>
        </w:rPr>
        <w:t xml:space="preserve">Atta Barkindo. 2013. </w:t>
      </w:r>
      <w:r w:rsidR="00436E72" w:rsidRPr="00CC0FDA">
        <w:rPr>
          <w:rFonts w:ascii="Times" w:hAnsi="Times"/>
        </w:rPr>
        <w:t>“</w:t>
      </w:r>
      <w:r w:rsidR="00436E72" w:rsidRPr="00CC0FDA">
        <w:rPr>
          <w:rFonts w:ascii="Times" w:hAnsi="Times"/>
          <w:i/>
          <w:iCs/>
        </w:rPr>
        <w:t>’</w:t>
      </w:r>
      <w:r w:rsidR="00436E72" w:rsidRPr="00CC0FDA">
        <w:rPr>
          <w:rFonts w:ascii="Times" w:hAnsi="Times"/>
          <w:i/>
          <w:iCs/>
        </w:rPr>
        <w:t xml:space="preserve">Join the Caravan’: The Ideology of Political Authority in Islam from Ibn </w:t>
      </w:r>
      <w:proofErr w:type="spellStart"/>
      <w:r w:rsidR="00436E72" w:rsidRPr="00CC0FDA">
        <w:rPr>
          <w:rFonts w:ascii="Times" w:hAnsi="Times"/>
          <w:i/>
          <w:iCs/>
        </w:rPr>
        <w:t>Taymiyya</w:t>
      </w:r>
      <w:proofErr w:type="spellEnd"/>
      <w:r w:rsidR="00436E72" w:rsidRPr="00CC0FDA">
        <w:rPr>
          <w:rFonts w:ascii="Times" w:hAnsi="Times"/>
          <w:i/>
          <w:iCs/>
        </w:rPr>
        <w:t xml:space="preserve"> to Boko Haram in North-Eastern Nigeria</w:t>
      </w:r>
      <w:r w:rsidR="00436E72" w:rsidRPr="00CC0FDA">
        <w:rPr>
          <w:rFonts w:ascii="Times" w:hAnsi="Times"/>
        </w:rPr>
        <w:t xml:space="preserve">”, </w:t>
      </w:r>
      <w:r w:rsidR="00436E72" w:rsidRPr="00CC0FDA">
        <w:rPr>
          <w:rFonts w:ascii="Times" w:hAnsi="Times"/>
        </w:rPr>
        <w:t>Perspectives on Terrorism</w:t>
      </w:r>
      <w:r w:rsidR="00436E72" w:rsidRPr="00CC0FDA">
        <w:rPr>
          <w:rFonts w:ascii="Times" w:hAnsi="Times"/>
        </w:rPr>
        <w:t>, 7.3: p. 35</w:t>
      </w:r>
      <w:r w:rsidR="00436E72" w:rsidRPr="00CC0FDA">
        <w:rPr>
          <w:rFonts w:ascii="Times" w:hAnsi="Times"/>
        </w:rPr>
        <w:t xml:space="preserve"> </w:t>
      </w:r>
      <w:hyperlink r:id="rId4" w:history="1">
        <w:r w:rsidR="00436E72" w:rsidRPr="00CC0FDA">
          <w:rPr>
            <w:rStyle w:val="Hyperlink"/>
            <w:rFonts w:ascii="Times" w:hAnsi="Times"/>
          </w:rPr>
          <w:t>https://www.jstor.org/stable/26296938?seq=1</w:t>
        </w:r>
      </w:hyperlink>
      <w:r w:rsidR="00436E72" w:rsidRPr="00CC0FDA">
        <w:rPr>
          <w:rFonts w:ascii="Times" w:hAnsi="Times"/>
        </w:rPr>
        <w:t xml:space="preserve"> </w:t>
      </w:r>
    </w:p>
  </w:footnote>
  <w:footnote w:id="8">
    <w:p w14:paraId="12B3F518" w14:textId="67915836" w:rsidR="00436E72" w:rsidRPr="00CC0FDA" w:rsidRDefault="00436E72">
      <w:pPr>
        <w:pStyle w:val="FootnoteText"/>
        <w:rPr>
          <w:rFonts w:ascii="Times" w:hAnsi="Times"/>
        </w:rPr>
      </w:pPr>
      <w:r w:rsidRPr="00CC0FDA">
        <w:rPr>
          <w:rStyle w:val="FootnoteReference"/>
          <w:rFonts w:ascii="Times" w:hAnsi="Times"/>
        </w:rPr>
        <w:footnoteRef/>
      </w:r>
      <w:r w:rsidR="00CC0FDA">
        <w:rPr>
          <w:rFonts w:ascii="Times" w:hAnsi="Times"/>
        </w:rPr>
        <w:t xml:space="preserve"> </w:t>
      </w:r>
      <w:r w:rsidRPr="00CC0FDA">
        <w:rPr>
          <w:rFonts w:ascii="Times" w:hAnsi="Times"/>
        </w:rPr>
        <w:t>Barkindo, p. 37</w:t>
      </w:r>
    </w:p>
  </w:footnote>
  <w:footnote w:id="9">
    <w:p w14:paraId="57FAEFAA" w14:textId="4DF1EF00" w:rsidR="00362900" w:rsidRPr="00CC0FDA" w:rsidRDefault="00362900">
      <w:pPr>
        <w:pStyle w:val="FootnoteText"/>
        <w:rPr>
          <w:rFonts w:ascii="Times" w:hAnsi="Times"/>
        </w:rPr>
      </w:pPr>
      <w:r w:rsidRPr="00CC0FDA">
        <w:rPr>
          <w:rStyle w:val="FootnoteReference"/>
          <w:rFonts w:ascii="Times" w:hAnsi="Times"/>
        </w:rPr>
        <w:footnoteRef/>
      </w:r>
      <w:r w:rsidR="00CC0FDA">
        <w:rPr>
          <w:rFonts w:ascii="Times" w:hAnsi="Times"/>
        </w:rPr>
        <w:t xml:space="preserve"> </w:t>
      </w:r>
      <w:r w:rsidR="0094580B" w:rsidRPr="00CC0FDA">
        <w:rPr>
          <w:rFonts w:ascii="Times" w:hAnsi="Times"/>
        </w:rPr>
        <w:t xml:space="preserve">Hassan </w:t>
      </w:r>
      <w:proofErr w:type="spellStart"/>
      <w:r w:rsidR="0094580B" w:rsidRPr="00CC0FDA">
        <w:rPr>
          <w:rFonts w:ascii="Times" w:hAnsi="Times"/>
        </w:rPr>
        <w:t>Hassan</w:t>
      </w:r>
      <w:proofErr w:type="spellEnd"/>
      <w:r w:rsidR="0094580B" w:rsidRPr="00CC0FDA">
        <w:rPr>
          <w:rFonts w:ascii="Times" w:hAnsi="Times"/>
        </w:rPr>
        <w:t>. 2016. “</w:t>
      </w:r>
      <w:r w:rsidR="0094580B" w:rsidRPr="00CC0FDA">
        <w:rPr>
          <w:rFonts w:ascii="Times" w:hAnsi="Times"/>
          <w:i/>
          <w:iCs/>
        </w:rPr>
        <w:t>The Sectarianism of the Islamic State: Ideological Roots and Political Context</w:t>
      </w:r>
      <w:r w:rsidR="0094580B" w:rsidRPr="00CC0FDA">
        <w:rPr>
          <w:rFonts w:ascii="Times" w:hAnsi="Times"/>
        </w:rPr>
        <w:t>,”</w:t>
      </w:r>
      <w:r w:rsidR="0094580B" w:rsidRPr="00CC0FDA">
        <w:rPr>
          <w:rFonts w:ascii="Times" w:hAnsi="Times"/>
        </w:rPr>
        <w:t xml:space="preserve"> </w:t>
      </w:r>
      <w:r w:rsidR="0094580B" w:rsidRPr="00CC0FDA">
        <w:rPr>
          <w:rFonts w:ascii="Times" w:hAnsi="Times"/>
        </w:rPr>
        <w:t>Carnegie Endowment for International Peace</w:t>
      </w:r>
      <w:r w:rsidR="0094580B" w:rsidRPr="00CC0FDA">
        <w:rPr>
          <w:rFonts w:ascii="Times" w:hAnsi="Times"/>
        </w:rPr>
        <w:t xml:space="preserve">, p. 5 </w:t>
      </w:r>
      <w:hyperlink r:id="rId5" w:history="1">
        <w:r w:rsidR="0094580B" w:rsidRPr="00CC0FDA">
          <w:rPr>
            <w:rStyle w:val="Hyperlink"/>
            <w:rFonts w:ascii="Times" w:hAnsi="Times"/>
          </w:rPr>
          <w:t>https://carnegieendowment.org/2016/06/13/sectarianism-of-islamic-state-ideological-roots-and-political-context-pub-63746</w:t>
        </w:r>
      </w:hyperlink>
      <w:r w:rsidR="0094580B" w:rsidRPr="00CC0FDA">
        <w:rPr>
          <w:rFonts w:ascii="Times" w:hAnsi="Times"/>
        </w:rPr>
        <w:t xml:space="preserve"> </w:t>
      </w:r>
    </w:p>
  </w:footnote>
  <w:footnote w:id="10">
    <w:p w14:paraId="058E8627" w14:textId="556AB59B" w:rsidR="00CC0FDA" w:rsidRPr="00CC0FDA" w:rsidRDefault="0094580B" w:rsidP="00CC0FDA">
      <w:pPr>
        <w:pStyle w:val="FootnoteText"/>
        <w:rPr>
          <w:rFonts w:ascii="Times" w:hAnsi="Times"/>
        </w:rPr>
      </w:pPr>
      <w:r w:rsidRPr="00CC0FDA">
        <w:rPr>
          <w:rStyle w:val="FootnoteReference"/>
          <w:rFonts w:ascii="Times" w:hAnsi="Times"/>
        </w:rPr>
        <w:footnoteRef/>
      </w:r>
      <w:r w:rsidR="00CC0FDA">
        <w:rPr>
          <w:rFonts w:ascii="Times" w:hAnsi="Times"/>
        </w:rPr>
        <w:t xml:space="preserve"> </w:t>
      </w:r>
      <w:r w:rsidRPr="00CC0FDA">
        <w:rPr>
          <w:rFonts w:ascii="Times" w:hAnsi="Times"/>
        </w:rPr>
        <w:t xml:space="preserve">Nabil </w:t>
      </w:r>
      <w:proofErr w:type="spellStart"/>
      <w:r w:rsidRPr="00CC0FDA">
        <w:rPr>
          <w:rFonts w:ascii="Times" w:hAnsi="Times"/>
        </w:rPr>
        <w:t>Mouline</w:t>
      </w:r>
      <w:proofErr w:type="spellEnd"/>
      <w:r w:rsidRPr="00CC0FDA">
        <w:rPr>
          <w:rFonts w:ascii="Times" w:hAnsi="Times"/>
        </w:rPr>
        <w:t>. 2014. “</w:t>
      </w:r>
      <w:r w:rsidRPr="00CC0FDA">
        <w:rPr>
          <w:rFonts w:ascii="Times" w:hAnsi="Times"/>
          <w:i/>
          <w:iCs/>
        </w:rPr>
        <w:t>The Clerics of Islam: Religious Authority and Political Power in Saudi Arabia</w:t>
      </w:r>
      <w:r w:rsidRPr="00CC0FDA">
        <w:rPr>
          <w:rFonts w:ascii="Times" w:hAnsi="Times"/>
          <w:i/>
          <w:iCs/>
        </w:rPr>
        <w:t>”,</w:t>
      </w:r>
      <w:r w:rsidRPr="00CC0FDA">
        <w:rPr>
          <w:rFonts w:ascii="Times" w:hAnsi="Times"/>
        </w:rPr>
        <w:t> (New Haven, CT: Yale University Press)</w:t>
      </w:r>
      <w:r w:rsidR="00CC0FDA" w:rsidRPr="00CC0FDA">
        <w:rPr>
          <w:rFonts w:ascii="Times" w:hAnsi="Times"/>
        </w:rPr>
        <w:t xml:space="preserve">, p. 53 </w:t>
      </w:r>
      <w:hyperlink r:id="rId6" w:history="1">
        <w:r w:rsidR="00CC0FDA" w:rsidRPr="00CC0FDA">
          <w:rPr>
            <w:rStyle w:val="Hyperlink"/>
            <w:rFonts w:ascii="Times" w:hAnsi="Times"/>
          </w:rPr>
          <w:t>https://www.jstor.org/stable/j.ctt13x1t4p</w:t>
        </w:r>
      </w:hyperlink>
      <w:r w:rsidR="00CC0FDA" w:rsidRPr="00CC0FDA">
        <w:rPr>
          <w:rFonts w:ascii="Times" w:hAnsi="Times"/>
        </w:rPr>
        <w:t xml:space="preserve"> </w:t>
      </w:r>
    </w:p>
    <w:p w14:paraId="3A5577D4" w14:textId="47BD299C" w:rsidR="0094580B" w:rsidRPr="0094580B" w:rsidRDefault="0094580B" w:rsidP="0094580B">
      <w:pPr>
        <w:pStyle w:val="FootnoteText"/>
      </w:pPr>
    </w:p>
    <w:p w14:paraId="1C6C0840" w14:textId="7BE2D402" w:rsidR="0094580B" w:rsidRDefault="0094580B">
      <w:pPr>
        <w:pStyle w:val="FootnoteText"/>
      </w:pPr>
    </w:p>
  </w:footnote>
  <w:footnote w:id="11">
    <w:p w14:paraId="3CF9B9DC" w14:textId="7FF757E7" w:rsidR="00CC0FDA" w:rsidRPr="00CC0FDA" w:rsidRDefault="00CC0FDA" w:rsidP="00CC0FDA">
      <w:pPr>
        <w:pStyle w:val="FootnoteText"/>
        <w:rPr>
          <w:rFonts w:ascii="Times" w:hAnsi="Times"/>
        </w:rPr>
      </w:pPr>
      <w:r w:rsidRPr="00CC0FDA">
        <w:rPr>
          <w:rStyle w:val="FootnoteReference"/>
          <w:rFonts w:ascii="Times" w:hAnsi="Times"/>
        </w:rPr>
        <w:footnoteRef/>
      </w:r>
      <w:r w:rsidRPr="00CC0FDA">
        <w:rPr>
          <w:rFonts w:ascii="Times" w:hAnsi="Times"/>
        </w:rPr>
        <w:t xml:space="preserve"> Adeel Mohammadi. 2015. “</w:t>
      </w:r>
      <w:r w:rsidRPr="00CC0FDA">
        <w:rPr>
          <w:rFonts w:ascii="Times" w:hAnsi="Times"/>
          <w:i/>
          <w:iCs/>
        </w:rPr>
        <w:t>The Destruction of Jannat Al-</w:t>
      </w:r>
      <w:proofErr w:type="spellStart"/>
      <w:r w:rsidRPr="00CC0FDA">
        <w:rPr>
          <w:rFonts w:ascii="Times" w:hAnsi="Times"/>
          <w:i/>
          <w:iCs/>
        </w:rPr>
        <w:t>Baqi</w:t>
      </w:r>
      <w:proofErr w:type="spellEnd"/>
      <w:r w:rsidRPr="00CC0FDA">
        <w:rPr>
          <w:rFonts w:ascii="Times" w:hAnsi="Times"/>
          <w:i/>
          <w:iCs/>
        </w:rPr>
        <w:t>: A Case of Wahhabi Iconoclasm</w:t>
      </w:r>
      <w:r w:rsidRPr="00CC0FDA">
        <w:rPr>
          <w:rFonts w:ascii="Times" w:hAnsi="Times"/>
        </w:rPr>
        <w:t>”</w:t>
      </w:r>
      <w:r w:rsidRPr="00CC0FDA">
        <w:rPr>
          <w:rFonts w:ascii="Times" w:hAnsi="Times"/>
        </w:rPr>
        <w:t>,</w:t>
      </w:r>
      <w:r w:rsidRPr="00CC0FDA">
        <w:rPr>
          <w:rFonts w:ascii="Times" w:hAnsi="Times"/>
        </w:rPr>
        <w:t> University of Toronto Undergraduate Journal of Middle East Studies, 1.8:</w:t>
      </w:r>
      <w:r w:rsidRPr="00CC0FDA">
        <w:rPr>
          <w:rFonts w:ascii="Times" w:hAnsi="Times"/>
        </w:rPr>
        <w:t xml:space="preserve"> p. 49-50 </w:t>
      </w:r>
    </w:p>
    <w:p w14:paraId="63603BAC" w14:textId="535C0543" w:rsidR="00CC0FDA" w:rsidRDefault="00CC0FD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3744EA"/>
    <w:multiLevelType w:val="hybridMultilevel"/>
    <w:tmpl w:val="F0604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21736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A7"/>
    <w:rsid w:val="000009B8"/>
    <w:rsid w:val="00002359"/>
    <w:rsid w:val="00017912"/>
    <w:rsid w:val="00023E19"/>
    <w:rsid w:val="0002570E"/>
    <w:rsid w:val="00037520"/>
    <w:rsid w:val="000674E0"/>
    <w:rsid w:val="000B3200"/>
    <w:rsid w:val="000C5353"/>
    <w:rsid w:val="000C7470"/>
    <w:rsid w:val="000F04FB"/>
    <w:rsid w:val="000F3C4D"/>
    <w:rsid w:val="0010310F"/>
    <w:rsid w:val="0014114E"/>
    <w:rsid w:val="00183859"/>
    <w:rsid w:val="001C60AE"/>
    <w:rsid w:val="001D27AB"/>
    <w:rsid w:val="001D34B8"/>
    <w:rsid w:val="001F3866"/>
    <w:rsid w:val="00243316"/>
    <w:rsid w:val="00247616"/>
    <w:rsid w:val="0026221A"/>
    <w:rsid w:val="00285AE7"/>
    <w:rsid w:val="002C3938"/>
    <w:rsid w:val="002D63E7"/>
    <w:rsid w:val="00311076"/>
    <w:rsid w:val="00362900"/>
    <w:rsid w:val="00393B89"/>
    <w:rsid w:val="00401E00"/>
    <w:rsid w:val="00402740"/>
    <w:rsid w:val="00436E72"/>
    <w:rsid w:val="004667B8"/>
    <w:rsid w:val="004C11A7"/>
    <w:rsid w:val="00565F56"/>
    <w:rsid w:val="005E7DF2"/>
    <w:rsid w:val="00604AC2"/>
    <w:rsid w:val="00636560"/>
    <w:rsid w:val="006444A6"/>
    <w:rsid w:val="00645D86"/>
    <w:rsid w:val="0068037B"/>
    <w:rsid w:val="006829C7"/>
    <w:rsid w:val="00683C24"/>
    <w:rsid w:val="007150EB"/>
    <w:rsid w:val="007A558E"/>
    <w:rsid w:val="007B2BF1"/>
    <w:rsid w:val="007C6AEE"/>
    <w:rsid w:val="00833792"/>
    <w:rsid w:val="00871C6B"/>
    <w:rsid w:val="0089080F"/>
    <w:rsid w:val="008A7794"/>
    <w:rsid w:val="00911C30"/>
    <w:rsid w:val="00916991"/>
    <w:rsid w:val="009266CE"/>
    <w:rsid w:val="0094580B"/>
    <w:rsid w:val="009B2AA7"/>
    <w:rsid w:val="009B3646"/>
    <w:rsid w:val="009F039A"/>
    <w:rsid w:val="00A42F61"/>
    <w:rsid w:val="00A47089"/>
    <w:rsid w:val="00A81ED1"/>
    <w:rsid w:val="00AA1080"/>
    <w:rsid w:val="00AC47B9"/>
    <w:rsid w:val="00AC4B90"/>
    <w:rsid w:val="00AD3BD4"/>
    <w:rsid w:val="00B0480A"/>
    <w:rsid w:val="00B14663"/>
    <w:rsid w:val="00B172CD"/>
    <w:rsid w:val="00B4220F"/>
    <w:rsid w:val="00B5644E"/>
    <w:rsid w:val="00C01361"/>
    <w:rsid w:val="00C03BB0"/>
    <w:rsid w:val="00C33437"/>
    <w:rsid w:val="00C574FE"/>
    <w:rsid w:val="00C659C2"/>
    <w:rsid w:val="00C741B8"/>
    <w:rsid w:val="00C96A47"/>
    <w:rsid w:val="00CC0FDA"/>
    <w:rsid w:val="00CF1747"/>
    <w:rsid w:val="00D00BA8"/>
    <w:rsid w:val="00D32FDC"/>
    <w:rsid w:val="00D45053"/>
    <w:rsid w:val="00D97F36"/>
    <w:rsid w:val="00DA114C"/>
    <w:rsid w:val="00DF4E69"/>
    <w:rsid w:val="00E056C6"/>
    <w:rsid w:val="00E35A68"/>
    <w:rsid w:val="00E578C6"/>
    <w:rsid w:val="00E61C46"/>
    <w:rsid w:val="00EA461F"/>
    <w:rsid w:val="00EF5F1B"/>
    <w:rsid w:val="00F24209"/>
    <w:rsid w:val="00F66300"/>
    <w:rsid w:val="00F83262"/>
    <w:rsid w:val="00FD6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EA489"/>
  <w15:chartTrackingRefBased/>
  <w15:docId w15:val="{B8BB9FCF-1BD3-3D43-8CC7-0DCF71559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2F6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42F61"/>
    <w:rPr>
      <w:color w:val="0563C1" w:themeColor="hyperlink"/>
      <w:u w:val="single"/>
    </w:rPr>
  </w:style>
  <w:style w:type="character" w:styleId="UnresolvedMention">
    <w:name w:val="Unresolved Mention"/>
    <w:basedOn w:val="DefaultParagraphFont"/>
    <w:uiPriority w:val="99"/>
    <w:semiHidden/>
    <w:unhideWhenUsed/>
    <w:rsid w:val="00A42F61"/>
    <w:rPr>
      <w:color w:val="605E5C"/>
      <w:shd w:val="clear" w:color="auto" w:fill="E1DFDD"/>
    </w:rPr>
  </w:style>
  <w:style w:type="character" w:styleId="FollowedHyperlink">
    <w:name w:val="FollowedHyperlink"/>
    <w:basedOn w:val="DefaultParagraphFont"/>
    <w:uiPriority w:val="99"/>
    <w:semiHidden/>
    <w:unhideWhenUsed/>
    <w:rsid w:val="00916991"/>
    <w:rPr>
      <w:color w:val="954F72" w:themeColor="followedHyperlink"/>
      <w:u w:val="single"/>
    </w:rPr>
  </w:style>
  <w:style w:type="paragraph" w:styleId="FootnoteText">
    <w:name w:val="footnote text"/>
    <w:basedOn w:val="Normal"/>
    <w:link w:val="FootnoteTextChar"/>
    <w:uiPriority w:val="99"/>
    <w:semiHidden/>
    <w:unhideWhenUsed/>
    <w:rsid w:val="00285AE7"/>
    <w:rPr>
      <w:sz w:val="20"/>
      <w:szCs w:val="20"/>
    </w:rPr>
  </w:style>
  <w:style w:type="character" w:customStyle="1" w:styleId="FootnoteTextChar">
    <w:name w:val="Footnote Text Char"/>
    <w:basedOn w:val="DefaultParagraphFont"/>
    <w:link w:val="FootnoteText"/>
    <w:uiPriority w:val="99"/>
    <w:semiHidden/>
    <w:rsid w:val="00285AE7"/>
    <w:rPr>
      <w:sz w:val="20"/>
      <w:szCs w:val="20"/>
    </w:rPr>
  </w:style>
  <w:style w:type="character" w:styleId="FootnoteReference">
    <w:name w:val="footnote reference"/>
    <w:basedOn w:val="DefaultParagraphFont"/>
    <w:uiPriority w:val="99"/>
    <w:semiHidden/>
    <w:unhideWhenUsed/>
    <w:rsid w:val="00285A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70583">
      <w:bodyDiv w:val="1"/>
      <w:marLeft w:val="0"/>
      <w:marRight w:val="0"/>
      <w:marTop w:val="0"/>
      <w:marBottom w:val="0"/>
      <w:divBdr>
        <w:top w:val="none" w:sz="0" w:space="0" w:color="auto"/>
        <w:left w:val="none" w:sz="0" w:space="0" w:color="auto"/>
        <w:bottom w:val="none" w:sz="0" w:space="0" w:color="auto"/>
        <w:right w:val="none" w:sz="0" w:space="0" w:color="auto"/>
      </w:divBdr>
    </w:div>
    <w:div w:id="128937584">
      <w:bodyDiv w:val="1"/>
      <w:marLeft w:val="0"/>
      <w:marRight w:val="0"/>
      <w:marTop w:val="0"/>
      <w:marBottom w:val="0"/>
      <w:divBdr>
        <w:top w:val="none" w:sz="0" w:space="0" w:color="auto"/>
        <w:left w:val="none" w:sz="0" w:space="0" w:color="auto"/>
        <w:bottom w:val="none" w:sz="0" w:space="0" w:color="auto"/>
        <w:right w:val="none" w:sz="0" w:space="0" w:color="auto"/>
      </w:divBdr>
    </w:div>
    <w:div w:id="191579506">
      <w:bodyDiv w:val="1"/>
      <w:marLeft w:val="0"/>
      <w:marRight w:val="0"/>
      <w:marTop w:val="0"/>
      <w:marBottom w:val="0"/>
      <w:divBdr>
        <w:top w:val="none" w:sz="0" w:space="0" w:color="auto"/>
        <w:left w:val="none" w:sz="0" w:space="0" w:color="auto"/>
        <w:bottom w:val="none" w:sz="0" w:space="0" w:color="auto"/>
        <w:right w:val="none" w:sz="0" w:space="0" w:color="auto"/>
      </w:divBdr>
      <w:divsChild>
        <w:div w:id="1760297531">
          <w:marLeft w:val="0"/>
          <w:marRight w:val="0"/>
          <w:marTop w:val="0"/>
          <w:marBottom w:val="0"/>
          <w:divBdr>
            <w:top w:val="none" w:sz="0" w:space="0" w:color="auto"/>
            <w:left w:val="none" w:sz="0" w:space="0" w:color="auto"/>
            <w:bottom w:val="none" w:sz="0" w:space="0" w:color="auto"/>
            <w:right w:val="none" w:sz="0" w:space="0" w:color="auto"/>
          </w:divBdr>
        </w:div>
      </w:divsChild>
    </w:div>
    <w:div w:id="503394737">
      <w:bodyDiv w:val="1"/>
      <w:marLeft w:val="0"/>
      <w:marRight w:val="0"/>
      <w:marTop w:val="0"/>
      <w:marBottom w:val="0"/>
      <w:divBdr>
        <w:top w:val="none" w:sz="0" w:space="0" w:color="auto"/>
        <w:left w:val="none" w:sz="0" w:space="0" w:color="auto"/>
        <w:bottom w:val="none" w:sz="0" w:space="0" w:color="auto"/>
        <w:right w:val="none" w:sz="0" w:space="0" w:color="auto"/>
      </w:divBdr>
    </w:div>
    <w:div w:id="523250026">
      <w:bodyDiv w:val="1"/>
      <w:marLeft w:val="0"/>
      <w:marRight w:val="0"/>
      <w:marTop w:val="0"/>
      <w:marBottom w:val="0"/>
      <w:divBdr>
        <w:top w:val="none" w:sz="0" w:space="0" w:color="auto"/>
        <w:left w:val="none" w:sz="0" w:space="0" w:color="auto"/>
        <w:bottom w:val="none" w:sz="0" w:space="0" w:color="auto"/>
        <w:right w:val="none" w:sz="0" w:space="0" w:color="auto"/>
      </w:divBdr>
      <w:divsChild>
        <w:div w:id="1249077953">
          <w:marLeft w:val="0"/>
          <w:marRight w:val="0"/>
          <w:marTop w:val="0"/>
          <w:marBottom w:val="0"/>
          <w:divBdr>
            <w:top w:val="none" w:sz="0" w:space="0" w:color="auto"/>
            <w:left w:val="none" w:sz="0" w:space="0" w:color="auto"/>
            <w:bottom w:val="none" w:sz="0" w:space="0" w:color="auto"/>
            <w:right w:val="none" w:sz="0" w:space="0" w:color="auto"/>
          </w:divBdr>
        </w:div>
      </w:divsChild>
    </w:div>
    <w:div w:id="655107760">
      <w:bodyDiv w:val="1"/>
      <w:marLeft w:val="0"/>
      <w:marRight w:val="0"/>
      <w:marTop w:val="0"/>
      <w:marBottom w:val="0"/>
      <w:divBdr>
        <w:top w:val="none" w:sz="0" w:space="0" w:color="auto"/>
        <w:left w:val="none" w:sz="0" w:space="0" w:color="auto"/>
        <w:bottom w:val="none" w:sz="0" w:space="0" w:color="auto"/>
        <w:right w:val="none" w:sz="0" w:space="0" w:color="auto"/>
      </w:divBdr>
    </w:div>
    <w:div w:id="681474560">
      <w:bodyDiv w:val="1"/>
      <w:marLeft w:val="0"/>
      <w:marRight w:val="0"/>
      <w:marTop w:val="0"/>
      <w:marBottom w:val="0"/>
      <w:divBdr>
        <w:top w:val="none" w:sz="0" w:space="0" w:color="auto"/>
        <w:left w:val="none" w:sz="0" w:space="0" w:color="auto"/>
        <w:bottom w:val="none" w:sz="0" w:space="0" w:color="auto"/>
        <w:right w:val="none" w:sz="0" w:space="0" w:color="auto"/>
      </w:divBdr>
      <w:divsChild>
        <w:div w:id="1055470863">
          <w:marLeft w:val="0"/>
          <w:marRight w:val="0"/>
          <w:marTop w:val="0"/>
          <w:marBottom w:val="0"/>
          <w:divBdr>
            <w:top w:val="none" w:sz="0" w:space="0" w:color="auto"/>
            <w:left w:val="none" w:sz="0" w:space="0" w:color="auto"/>
            <w:bottom w:val="none" w:sz="0" w:space="0" w:color="auto"/>
            <w:right w:val="none" w:sz="0" w:space="0" w:color="auto"/>
          </w:divBdr>
        </w:div>
      </w:divsChild>
    </w:div>
    <w:div w:id="736054643">
      <w:bodyDiv w:val="1"/>
      <w:marLeft w:val="0"/>
      <w:marRight w:val="0"/>
      <w:marTop w:val="0"/>
      <w:marBottom w:val="0"/>
      <w:divBdr>
        <w:top w:val="none" w:sz="0" w:space="0" w:color="auto"/>
        <w:left w:val="none" w:sz="0" w:space="0" w:color="auto"/>
        <w:bottom w:val="none" w:sz="0" w:space="0" w:color="auto"/>
        <w:right w:val="none" w:sz="0" w:space="0" w:color="auto"/>
      </w:divBdr>
    </w:div>
    <w:div w:id="761995291">
      <w:bodyDiv w:val="1"/>
      <w:marLeft w:val="0"/>
      <w:marRight w:val="0"/>
      <w:marTop w:val="0"/>
      <w:marBottom w:val="0"/>
      <w:divBdr>
        <w:top w:val="none" w:sz="0" w:space="0" w:color="auto"/>
        <w:left w:val="none" w:sz="0" w:space="0" w:color="auto"/>
        <w:bottom w:val="none" w:sz="0" w:space="0" w:color="auto"/>
        <w:right w:val="none" w:sz="0" w:space="0" w:color="auto"/>
      </w:divBdr>
    </w:div>
    <w:div w:id="891767443">
      <w:bodyDiv w:val="1"/>
      <w:marLeft w:val="0"/>
      <w:marRight w:val="0"/>
      <w:marTop w:val="0"/>
      <w:marBottom w:val="0"/>
      <w:divBdr>
        <w:top w:val="none" w:sz="0" w:space="0" w:color="auto"/>
        <w:left w:val="none" w:sz="0" w:space="0" w:color="auto"/>
        <w:bottom w:val="none" w:sz="0" w:space="0" w:color="auto"/>
        <w:right w:val="none" w:sz="0" w:space="0" w:color="auto"/>
      </w:divBdr>
    </w:div>
    <w:div w:id="1020817758">
      <w:bodyDiv w:val="1"/>
      <w:marLeft w:val="0"/>
      <w:marRight w:val="0"/>
      <w:marTop w:val="0"/>
      <w:marBottom w:val="0"/>
      <w:divBdr>
        <w:top w:val="none" w:sz="0" w:space="0" w:color="auto"/>
        <w:left w:val="none" w:sz="0" w:space="0" w:color="auto"/>
        <w:bottom w:val="none" w:sz="0" w:space="0" w:color="auto"/>
        <w:right w:val="none" w:sz="0" w:space="0" w:color="auto"/>
      </w:divBdr>
    </w:div>
    <w:div w:id="1065184244">
      <w:bodyDiv w:val="1"/>
      <w:marLeft w:val="0"/>
      <w:marRight w:val="0"/>
      <w:marTop w:val="0"/>
      <w:marBottom w:val="0"/>
      <w:divBdr>
        <w:top w:val="none" w:sz="0" w:space="0" w:color="auto"/>
        <w:left w:val="none" w:sz="0" w:space="0" w:color="auto"/>
        <w:bottom w:val="none" w:sz="0" w:space="0" w:color="auto"/>
        <w:right w:val="none" w:sz="0" w:space="0" w:color="auto"/>
      </w:divBdr>
    </w:div>
    <w:div w:id="1072578183">
      <w:bodyDiv w:val="1"/>
      <w:marLeft w:val="0"/>
      <w:marRight w:val="0"/>
      <w:marTop w:val="0"/>
      <w:marBottom w:val="0"/>
      <w:divBdr>
        <w:top w:val="none" w:sz="0" w:space="0" w:color="auto"/>
        <w:left w:val="none" w:sz="0" w:space="0" w:color="auto"/>
        <w:bottom w:val="none" w:sz="0" w:space="0" w:color="auto"/>
        <w:right w:val="none" w:sz="0" w:space="0" w:color="auto"/>
      </w:divBdr>
      <w:divsChild>
        <w:div w:id="564799389">
          <w:marLeft w:val="0"/>
          <w:marRight w:val="0"/>
          <w:marTop w:val="0"/>
          <w:marBottom w:val="0"/>
          <w:divBdr>
            <w:top w:val="none" w:sz="0" w:space="0" w:color="auto"/>
            <w:left w:val="none" w:sz="0" w:space="0" w:color="auto"/>
            <w:bottom w:val="none" w:sz="0" w:space="0" w:color="auto"/>
            <w:right w:val="none" w:sz="0" w:space="0" w:color="auto"/>
          </w:divBdr>
        </w:div>
      </w:divsChild>
    </w:div>
    <w:div w:id="1275139498">
      <w:bodyDiv w:val="1"/>
      <w:marLeft w:val="0"/>
      <w:marRight w:val="0"/>
      <w:marTop w:val="0"/>
      <w:marBottom w:val="0"/>
      <w:divBdr>
        <w:top w:val="none" w:sz="0" w:space="0" w:color="auto"/>
        <w:left w:val="none" w:sz="0" w:space="0" w:color="auto"/>
        <w:bottom w:val="none" w:sz="0" w:space="0" w:color="auto"/>
        <w:right w:val="none" w:sz="0" w:space="0" w:color="auto"/>
      </w:divBdr>
      <w:divsChild>
        <w:div w:id="2085181164">
          <w:marLeft w:val="0"/>
          <w:marRight w:val="0"/>
          <w:marTop w:val="0"/>
          <w:marBottom w:val="0"/>
          <w:divBdr>
            <w:top w:val="none" w:sz="0" w:space="0" w:color="auto"/>
            <w:left w:val="none" w:sz="0" w:space="0" w:color="auto"/>
            <w:bottom w:val="none" w:sz="0" w:space="0" w:color="auto"/>
            <w:right w:val="none" w:sz="0" w:space="0" w:color="auto"/>
          </w:divBdr>
        </w:div>
      </w:divsChild>
    </w:div>
    <w:div w:id="1314144609">
      <w:bodyDiv w:val="1"/>
      <w:marLeft w:val="0"/>
      <w:marRight w:val="0"/>
      <w:marTop w:val="0"/>
      <w:marBottom w:val="0"/>
      <w:divBdr>
        <w:top w:val="none" w:sz="0" w:space="0" w:color="auto"/>
        <w:left w:val="none" w:sz="0" w:space="0" w:color="auto"/>
        <w:bottom w:val="none" w:sz="0" w:space="0" w:color="auto"/>
        <w:right w:val="none" w:sz="0" w:space="0" w:color="auto"/>
      </w:divBdr>
    </w:div>
    <w:div w:id="1395084455">
      <w:bodyDiv w:val="1"/>
      <w:marLeft w:val="0"/>
      <w:marRight w:val="0"/>
      <w:marTop w:val="0"/>
      <w:marBottom w:val="0"/>
      <w:divBdr>
        <w:top w:val="none" w:sz="0" w:space="0" w:color="auto"/>
        <w:left w:val="none" w:sz="0" w:space="0" w:color="auto"/>
        <w:bottom w:val="none" w:sz="0" w:space="0" w:color="auto"/>
        <w:right w:val="none" w:sz="0" w:space="0" w:color="auto"/>
      </w:divBdr>
      <w:divsChild>
        <w:div w:id="520778859">
          <w:marLeft w:val="0"/>
          <w:marRight w:val="0"/>
          <w:marTop w:val="0"/>
          <w:marBottom w:val="0"/>
          <w:divBdr>
            <w:top w:val="none" w:sz="0" w:space="0" w:color="auto"/>
            <w:left w:val="none" w:sz="0" w:space="0" w:color="auto"/>
            <w:bottom w:val="none" w:sz="0" w:space="0" w:color="auto"/>
            <w:right w:val="none" w:sz="0" w:space="0" w:color="auto"/>
          </w:divBdr>
        </w:div>
      </w:divsChild>
    </w:div>
    <w:div w:id="1430732791">
      <w:bodyDiv w:val="1"/>
      <w:marLeft w:val="0"/>
      <w:marRight w:val="0"/>
      <w:marTop w:val="0"/>
      <w:marBottom w:val="0"/>
      <w:divBdr>
        <w:top w:val="none" w:sz="0" w:space="0" w:color="auto"/>
        <w:left w:val="none" w:sz="0" w:space="0" w:color="auto"/>
        <w:bottom w:val="none" w:sz="0" w:space="0" w:color="auto"/>
        <w:right w:val="none" w:sz="0" w:space="0" w:color="auto"/>
      </w:divBdr>
      <w:divsChild>
        <w:div w:id="674847339">
          <w:marLeft w:val="0"/>
          <w:marRight w:val="0"/>
          <w:marTop w:val="0"/>
          <w:marBottom w:val="0"/>
          <w:divBdr>
            <w:top w:val="none" w:sz="0" w:space="0" w:color="auto"/>
            <w:left w:val="none" w:sz="0" w:space="0" w:color="auto"/>
            <w:bottom w:val="none" w:sz="0" w:space="0" w:color="auto"/>
            <w:right w:val="none" w:sz="0" w:space="0" w:color="auto"/>
          </w:divBdr>
          <w:divsChild>
            <w:div w:id="1650286590">
              <w:marLeft w:val="0"/>
              <w:marRight w:val="0"/>
              <w:marTop w:val="0"/>
              <w:marBottom w:val="0"/>
              <w:divBdr>
                <w:top w:val="none" w:sz="0" w:space="0" w:color="auto"/>
                <w:left w:val="none" w:sz="0" w:space="0" w:color="auto"/>
                <w:bottom w:val="none" w:sz="0" w:space="0" w:color="auto"/>
                <w:right w:val="none" w:sz="0" w:space="0" w:color="auto"/>
              </w:divBdr>
              <w:divsChild>
                <w:div w:id="1487698405">
                  <w:marLeft w:val="0"/>
                  <w:marRight w:val="0"/>
                  <w:marTop w:val="0"/>
                  <w:marBottom w:val="0"/>
                  <w:divBdr>
                    <w:top w:val="none" w:sz="0" w:space="0" w:color="auto"/>
                    <w:left w:val="none" w:sz="0" w:space="0" w:color="auto"/>
                    <w:bottom w:val="none" w:sz="0" w:space="0" w:color="auto"/>
                    <w:right w:val="none" w:sz="0" w:space="0" w:color="auto"/>
                  </w:divBdr>
                  <w:divsChild>
                    <w:div w:id="135031150">
                      <w:marLeft w:val="0"/>
                      <w:marRight w:val="0"/>
                      <w:marTop w:val="0"/>
                      <w:marBottom w:val="0"/>
                      <w:divBdr>
                        <w:top w:val="none" w:sz="0" w:space="0" w:color="auto"/>
                        <w:left w:val="none" w:sz="0" w:space="0" w:color="auto"/>
                        <w:bottom w:val="none" w:sz="0" w:space="0" w:color="auto"/>
                        <w:right w:val="none" w:sz="0" w:space="0" w:color="auto"/>
                      </w:divBdr>
                      <w:divsChild>
                        <w:div w:id="1996640505">
                          <w:marLeft w:val="0"/>
                          <w:marRight w:val="0"/>
                          <w:marTop w:val="0"/>
                          <w:marBottom w:val="0"/>
                          <w:divBdr>
                            <w:top w:val="none" w:sz="0" w:space="0" w:color="auto"/>
                            <w:left w:val="none" w:sz="0" w:space="0" w:color="auto"/>
                            <w:bottom w:val="none" w:sz="0" w:space="0" w:color="auto"/>
                            <w:right w:val="none" w:sz="0" w:space="0" w:color="auto"/>
                          </w:divBdr>
                          <w:divsChild>
                            <w:div w:id="1321691049">
                              <w:marLeft w:val="0"/>
                              <w:marRight w:val="0"/>
                              <w:marTop w:val="0"/>
                              <w:marBottom w:val="0"/>
                              <w:divBdr>
                                <w:top w:val="none" w:sz="0" w:space="0" w:color="auto"/>
                                <w:left w:val="none" w:sz="0" w:space="0" w:color="auto"/>
                                <w:bottom w:val="none" w:sz="0" w:space="0" w:color="auto"/>
                                <w:right w:val="none" w:sz="0" w:space="0" w:color="auto"/>
                              </w:divBdr>
                              <w:divsChild>
                                <w:div w:id="1180199302">
                                  <w:marLeft w:val="0"/>
                                  <w:marRight w:val="0"/>
                                  <w:marTop w:val="0"/>
                                  <w:marBottom w:val="0"/>
                                  <w:divBdr>
                                    <w:top w:val="none" w:sz="0" w:space="0" w:color="auto"/>
                                    <w:left w:val="none" w:sz="0" w:space="0" w:color="auto"/>
                                    <w:bottom w:val="none" w:sz="0" w:space="0" w:color="auto"/>
                                    <w:right w:val="none" w:sz="0" w:space="0" w:color="auto"/>
                                  </w:divBdr>
                                  <w:divsChild>
                                    <w:div w:id="17255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098974">
      <w:bodyDiv w:val="1"/>
      <w:marLeft w:val="0"/>
      <w:marRight w:val="0"/>
      <w:marTop w:val="0"/>
      <w:marBottom w:val="0"/>
      <w:divBdr>
        <w:top w:val="none" w:sz="0" w:space="0" w:color="auto"/>
        <w:left w:val="none" w:sz="0" w:space="0" w:color="auto"/>
        <w:bottom w:val="none" w:sz="0" w:space="0" w:color="auto"/>
        <w:right w:val="none" w:sz="0" w:space="0" w:color="auto"/>
      </w:divBdr>
    </w:div>
    <w:div w:id="1644584423">
      <w:bodyDiv w:val="1"/>
      <w:marLeft w:val="0"/>
      <w:marRight w:val="0"/>
      <w:marTop w:val="0"/>
      <w:marBottom w:val="0"/>
      <w:divBdr>
        <w:top w:val="none" w:sz="0" w:space="0" w:color="auto"/>
        <w:left w:val="none" w:sz="0" w:space="0" w:color="auto"/>
        <w:bottom w:val="none" w:sz="0" w:space="0" w:color="auto"/>
        <w:right w:val="none" w:sz="0" w:space="0" w:color="auto"/>
      </w:divBdr>
    </w:div>
    <w:div w:id="1662614503">
      <w:bodyDiv w:val="1"/>
      <w:marLeft w:val="0"/>
      <w:marRight w:val="0"/>
      <w:marTop w:val="0"/>
      <w:marBottom w:val="0"/>
      <w:divBdr>
        <w:top w:val="none" w:sz="0" w:space="0" w:color="auto"/>
        <w:left w:val="none" w:sz="0" w:space="0" w:color="auto"/>
        <w:bottom w:val="none" w:sz="0" w:space="0" w:color="auto"/>
        <w:right w:val="none" w:sz="0" w:space="0" w:color="auto"/>
      </w:divBdr>
      <w:divsChild>
        <w:div w:id="940141571">
          <w:marLeft w:val="0"/>
          <w:marRight w:val="0"/>
          <w:marTop w:val="0"/>
          <w:marBottom w:val="0"/>
          <w:divBdr>
            <w:top w:val="none" w:sz="0" w:space="0" w:color="auto"/>
            <w:left w:val="none" w:sz="0" w:space="0" w:color="auto"/>
            <w:bottom w:val="none" w:sz="0" w:space="0" w:color="auto"/>
            <w:right w:val="none" w:sz="0" w:space="0" w:color="auto"/>
          </w:divBdr>
        </w:div>
      </w:divsChild>
    </w:div>
    <w:div w:id="1736659932">
      <w:bodyDiv w:val="1"/>
      <w:marLeft w:val="0"/>
      <w:marRight w:val="0"/>
      <w:marTop w:val="0"/>
      <w:marBottom w:val="0"/>
      <w:divBdr>
        <w:top w:val="none" w:sz="0" w:space="0" w:color="auto"/>
        <w:left w:val="none" w:sz="0" w:space="0" w:color="auto"/>
        <w:bottom w:val="none" w:sz="0" w:space="0" w:color="auto"/>
        <w:right w:val="none" w:sz="0" w:space="0" w:color="auto"/>
      </w:divBdr>
      <w:divsChild>
        <w:div w:id="478151503">
          <w:marLeft w:val="0"/>
          <w:marRight w:val="0"/>
          <w:marTop w:val="0"/>
          <w:marBottom w:val="0"/>
          <w:divBdr>
            <w:top w:val="none" w:sz="0" w:space="0" w:color="auto"/>
            <w:left w:val="none" w:sz="0" w:space="0" w:color="auto"/>
            <w:bottom w:val="none" w:sz="0" w:space="0" w:color="auto"/>
            <w:right w:val="none" w:sz="0" w:space="0" w:color="auto"/>
          </w:divBdr>
        </w:div>
      </w:divsChild>
    </w:div>
    <w:div w:id="1804887957">
      <w:bodyDiv w:val="1"/>
      <w:marLeft w:val="0"/>
      <w:marRight w:val="0"/>
      <w:marTop w:val="0"/>
      <w:marBottom w:val="0"/>
      <w:divBdr>
        <w:top w:val="none" w:sz="0" w:space="0" w:color="auto"/>
        <w:left w:val="none" w:sz="0" w:space="0" w:color="auto"/>
        <w:bottom w:val="none" w:sz="0" w:space="0" w:color="auto"/>
        <w:right w:val="none" w:sz="0" w:space="0" w:color="auto"/>
      </w:divBdr>
    </w:div>
    <w:div w:id="1953055193">
      <w:bodyDiv w:val="1"/>
      <w:marLeft w:val="0"/>
      <w:marRight w:val="0"/>
      <w:marTop w:val="0"/>
      <w:marBottom w:val="0"/>
      <w:divBdr>
        <w:top w:val="none" w:sz="0" w:space="0" w:color="auto"/>
        <w:left w:val="none" w:sz="0" w:space="0" w:color="auto"/>
        <w:bottom w:val="none" w:sz="0" w:space="0" w:color="auto"/>
        <w:right w:val="none" w:sz="0" w:space="0" w:color="auto"/>
      </w:divBdr>
      <w:divsChild>
        <w:div w:id="682437591">
          <w:marLeft w:val="0"/>
          <w:marRight w:val="0"/>
          <w:marTop w:val="0"/>
          <w:marBottom w:val="0"/>
          <w:divBdr>
            <w:top w:val="none" w:sz="0" w:space="0" w:color="auto"/>
            <w:left w:val="none" w:sz="0" w:space="0" w:color="auto"/>
            <w:bottom w:val="none" w:sz="0" w:space="0" w:color="auto"/>
            <w:right w:val="none" w:sz="0" w:space="0" w:color="auto"/>
          </w:divBdr>
          <w:divsChild>
            <w:div w:id="1992102934">
              <w:marLeft w:val="0"/>
              <w:marRight w:val="0"/>
              <w:marTop w:val="0"/>
              <w:marBottom w:val="0"/>
              <w:divBdr>
                <w:top w:val="none" w:sz="0" w:space="0" w:color="auto"/>
                <w:left w:val="none" w:sz="0" w:space="0" w:color="auto"/>
                <w:bottom w:val="none" w:sz="0" w:space="0" w:color="auto"/>
                <w:right w:val="none" w:sz="0" w:space="0" w:color="auto"/>
              </w:divBdr>
              <w:divsChild>
                <w:div w:id="400638683">
                  <w:marLeft w:val="0"/>
                  <w:marRight w:val="0"/>
                  <w:marTop w:val="0"/>
                  <w:marBottom w:val="0"/>
                  <w:divBdr>
                    <w:top w:val="none" w:sz="0" w:space="0" w:color="auto"/>
                    <w:left w:val="none" w:sz="0" w:space="0" w:color="auto"/>
                    <w:bottom w:val="none" w:sz="0" w:space="0" w:color="auto"/>
                    <w:right w:val="none" w:sz="0" w:space="0" w:color="auto"/>
                  </w:divBdr>
                  <w:divsChild>
                    <w:div w:id="859660145">
                      <w:marLeft w:val="0"/>
                      <w:marRight w:val="0"/>
                      <w:marTop w:val="0"/>
                      <w:marBottom w:val="0"/>
                      <w:divBdr>
                        <w:top w:val="none" w:sz="0" w:space="0" w:color="auto"/>
                        <w:left w:val="none" w:sz="0" w:space="0" w:color="auto"/>
                        <w:bottom w:val="none" w:sz="0" w:space="0" w:color="auto"/>
                        <w:right w:val="none" w:sz="0" w:space="0" w:color="auto"/>
                      </w:divBdr>
                      <w:divsChild>
                        <w:div w:id="1840388946">
                          <w:marLeft w:val="0"/>
                          <w:marRight w:val="0"/>
                          <w:marTop w:val="0"/>
                          <w:marBottom w:val="0"/>
                          <w:divBdr>
                            <w:top w:val="none" w:sz="0" w:space="0" w:color="auto"/>
                            <w:left w:val="none" w:sz="0" w:space="0" w:color="auto"/>
                            <w:bottom w:val="none" w:sz="0" w:space="0" w:color="auto"/>
                            <w:right w:val="none" w:sz="0" w:space="0" w:color="auto"/>
                          </w:divBdr>
                          <w:divsChild>
                            <w:div w:id="1420251341">
                              <w:marLeft w:val="0"/>
                              <w:marRight w:val="0"/>
                              <w:marTop w:val="0"/>
                              <w:marBottom w:val="0"/>
                              <w:divBdr>
                                <w:top w:val="none" w:sz="0" w:space="0" w:color="auto"/>
                                <w:left w:val="none" w:sz="0" w:space="0" w:color="auto"/>
                                <w:bottom w:val="none" w:sz="0" w:space="0" w:color="auto"/>
                                <w:right w:val="none" w:sz="0" w:space="0" w:color="auto"/>
                              </w:divBdr>
                              <w:divsChild>
                                <w:div w:id="1946620137">
                                  <w:marLeft w:val="0"/>
                                  <w:marRight w:val="0"/>
                                  <w:marTop w:val="0"/>
                                  <w:marBottom w:val="0"/>
                                  <w:divBdr>
                                    <w:top w:val="none" w:sz="0" w:space="0" w:color="auto"/>
                                    <w:left w:val="none" w:sz="0" w:space="0" w:color="auto"/>
                                    <w:bottom w:val="none" w:sz="0" w:space="0" w:color="auto"/>
                                    <w:right w:val="none" w:sz="0" w:space="0" w:color="auto"/>
                                  </w:divBdr>
                                  <w:divsChild>
                                    <w:div w:id="1035932593">
                                      <w:marLeft w:val="0"/>
                                      <w:marRight w:val="0"/>
                                      <w:marTop w:val="0"/>
                                      <w:marBottom w:val="0"/>
                                      <w:divBdr>
                                        <w:top w:val="none" w:sz="0" w:space="0" w:color="auto"/>
                                        <w:left w:val="none" w:sz="0" w:space="0" w:color="auto"/>
                                        <w:bottom w:val="none" w:sz="0" w:space="0" w:color="auto"/>
                                        <w:right w:val="none" w:sz="0" w:space="0" w:color="auto"/>
                                      </w:divBdr>
                                      <w:divsChild>
                                        <w:div w:id="947540642">
                                          <w:marLeft w:val="0"/>
                                          <w:marRight w:val="0"/>
                                          <w:marTop w:val="0"/>
                                          <w:marBottom w:val="0"/>
                                          <w:divBdr>
                                            <w:top w:val="none" w:sz="0" w:space="0" w:color="auto"/>
                                            <w:left w:val="none" w:sz="0" w:space="0" w:color="auto"/>
                                            <w:bottom w:val="none" w:sz="0" w:space="0" w:color="auto"/>
                                            <w:right w:val="none" w:sz="0" w:space="0" w:color="auto"/>
                                          </w:divBdr>
                                          <w:divsChild>
                                            <w:div w:id="1157570964">
                                              <w:marLeft w:val="0"/>
                                              <w:marRight w:val="0"/>
                                              <w:marTop w:val="0"/>
                                              <w:marBottom w:val="0"/>
                                              <w:divBdr>
                                                <w:top w:val="none" w:sz="0" w:space="0" w:color="auto"/>
                                                <w:left w:val="none" w:sz="0" w:space="0" w:color="auto"/>
                                                <w:bottom w:val="none" w:sz="0" w:space="0" w:color="auto"/>
                                                <w:right w:val="none" w:sz="0" w:space="0" w:color="auto"/>
                                              </w:divBdr>
                                              <w:divsChild>
                                                <w:div w:id="1210335542">
                                                  <w:marLeft w:val="0"/>
                                                  <w:marRight w:val="0"/>
                                                  <w:marTop w:val="0"/>
                                                  <w:marBottom w:val="0"/>
                                                  <w:divBdr>
                                                    <w:top w:val="none" w:sz="0" w:space="0" w:color="auto"/>
                                                    <w:left w:val="none" w:sz="0" w:space="0" w:color="auto"/>
                                                    <w:bottom w:val="none" w:sz="0" w:space="0" w:color="auto"/>
                                                    <w:right w:val="none" w:sz="0" w:space="0" w:color="auto"/>
                                                  </w:divBdr>
                                                  <w:divsChild>
                                                    <w:div w:id="840974572">
                                                      <w:marLeft w:val="0"/>
                                                      <w:marRight w:val="0"/>
                                                      <w:marTop w:val="0"/>
                                                      <w:marBottom w:val="0"/>
                                                      <w:divBdr>
                                                        <w:top w:val="none" w:sz="0" w:space="0" w:color="auto"/>
                                                        <w:left w:val="none" w:sz="0" w:space="0" w:color="auto"/>
                                                        <w:bottom w:val="none" w:sz="0" w:space="0" w:color="auto"/>
                                                        <w:right w:val="none" w:sz="0" w:space="0" w:color="auto"/>
                                                      </w:divBdr>
                                                      <w:divsChild>
                                                        <w:div w:id="1486242175">
                                                          <w:marLeft w:val="0"/>
                                                          <w:marRight w:val="0"/>
                                                          <w:marTop w:val="0"/>
                                                          <w:marBottom w:val="0"/>
                                                          <w:divBdr>
                                                            <w:top w:val="none" w:sz="0" w:space="0" w:color="auto"/>
                                                            <w:left w:val="none" w:sz="0" w:space="0" w:color="auto"/>
                                                            <w:bottom w:val="none" w:sz="0" w:space="0" w:color="auto"/>
                                                            <w:right w:val="none" w:sz="0" w:space="0" w:color="auto"/>
                                                          </w:divBdr>
                                                          <w:divsChild>
                                                            <w:div w:id="827598459">
                                                              <w:marLeft w:val="0"/>
                                                              <w:marRight w:val="0"/>
                                                              <w:marTop w:val="0"/>
                                                              <w:marBottom w:val="0"/>
                                                              <w:divBdr>
                                                                <w:top w:val="none" w:sz="0" w:space="0" w:color="auto"/>
                                                                <w:left w:val="none" w:sz="0" w:space="0" w:color="auto"/>
                                                                <w:bottom w:val="none" w:sz="0" w:space="0" w:color="auto"/>
                                                                <w:right w:val="none" w:sz="0" w:space="0" w:color="auto"/>
                                                              </w:divBdr>
                                                              <w:divsChild>
                                                                <w:div w:id="1350788811">
                                                                  <w:marLeft w:val="0"/>
                                                                  <w:marRight w:val="0"/>
                                                                  <w:marTop w:val="0"/>
                                                                  <w:marBottom w:val="0"/>
                                                                  <w:divBdr>
                                                                    <w:top w:val="none" w:sz="0" w:space="0" w:color="auto"/>
                                                                    <w:left w:val="none" w:sz="0" w:space="0" w:color="auto"/>
                                                                    <w:bottom w:val="none" w:sz="0" w:space="0" w:color="auto"/>
                                                                    <w:right w:val="none" w:sz="0" w:space="0" w:color="auto"/>
                                                                  </w:divBdr>
                                                                  <w:divsChild>
                                                                    <w:div w:id="1471022723">
                                                                      <w:marLeft w:val="0"/>
                                                                      <w:marRight w:val="0"/>
                                                                      <w:marTop w:val="0"/>
                                                                      <w:marBottom w:val="0"/>
                                                                      <w:divBdr>
                                                                        <w:top w:val="none" w:sz="0" w:space="0" w:color="auto"/>
                                                                        <w:left w:val="none" w:sz="0" w:space="0" w:color="auto"/>
                                                                        <w:bottom w:val="none" w:sz="0" w:space="0" w:color="auto"/>
                                                                        <w:right w:val="none" w:sz="0" w:space="0" w:color="auto"/>
                                                                      </w:divBdr>
                                                                      <w:divsChild>
                                                                        <w:div w:id="550044831">
                                                                          <w:marLeft w:val="0"/>
                                                                          <w:marRight w:val="0"/>
                                                                          <w:marTop w:val="0"/>
                                                                          <w:marBottom w:val="0"/>
                                                                          <w:divBdr>
                                                                            <w:top w:val="none" w:sz="0" w:space="0" w:color="auto"/>
                                                                            <w:left w:val="none" w:sz="0" w:space="0" w:color="auto"/>
                                                                            <w:bottom w:val="none" w:sz="0" w:space="0" w:color="auto"/>
                                                                            <w:right w:val="none" w:sz="0" w:space="0" w:color="auto"/>
                                                                          </w:divBdr>
                                                                          <w:divsChild>
                                                                            <w:div w:id="71508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93100057">
                  <w:marLeft w:val="0"/>
                  <w:marRight w:val="0"/>
                  <w:marTop w:val="0"/>
                  <w:marBottom w:val="0"/>
                  <w:divBdr>
                    <w:top w:val="none" w:sz="0" w:space="0" w:color="auto"/>
                    <w:left w:val="none" w:sz="0" w:space="0" w:color="auto"/>
                    <w:bottom w:val="none" w:sz="0" w:space="0" w:color="auto"/>
                    <w:right w:val="none" w:sz="0" w:space="0" w:color="auto"/>
                  </w:divBdr>
                  <w:divsChild>
                    <w:div w:id="693923224">
                      <w:marLeft w:val="0"/>
                      <w:marRight w:val="0"/>
                      <w:marTop w:val="0"/>
                      <w:marBottom w:val="0"/>
                      <w:divBdr>
                        <w:top w:val="none" w:sz="0" w:space="0" w:color="auto"/>
                        <w:left w:val="none" w:sz="0" w:space="0" w:color="auto"/>
                        <w:bottom w:val="none" w:sz="0" w:space="0" w:color="auto"/>
                        <w:right w:val="none" w:sz="0" w:space="0" w:color="auto"/>
                      </w:divBdr>
                      <w:divsChild>
                        <w:div w:id="793014983">
                          <w:marLeft w:val="0"/>
                          <w:marRight w:val="0"/>
                          <w:marTop w:val="0"/>
                          <w:marBottom w:val="0"/>
                          <w:divBdr>
                            <w:top w:val="none" w:sz="0" w:space="0" w:color="auto"/>
                            <w:left w:val="none" w:sz="0" w:space="0" w:color="auto"/>
                            <w:bottom w:val="none" w:sz="0" w:space="0" w:color="auto"/>
                            <w:right w:val="none" w:sz="0" w:space="0" w:color="auto"/>
                          </w:divBdr>
                          <w:divsChild>
                            <w:div w:id="1598438045">
                              <w:marLeft w:val="0"/>
                              <w:marRight w:val="0"/>
                              <w:marTop w:val="0"/>
                              <w:marBottom w:val="0"/>
                              <w:divBdr>
                                <w:top w:val="none" w:sz="0" w:space="0" w:color="auto"/>
                                <w:left w:val="none" w:sz="0" w:space="0" w:color="auto"/>
                                <w:bottom w:val="none" w:sz="0" w:space="0" w:color="auto"/>
                                <w:right w:val="none" w:sz="0" w:space="0" w:color="auto"/>
                              </w:divBdr>
                              <w:divsChild>
                                <w:div w:id="148493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816">
                          <w:marLeft w:val="0"/>
                          <w:marRight w:val="0"/>
                          <w:marTop w:val="600"/>
                          <w:marBottom w:val="0"/>
                          <w:divBdr>
                            <w:top w:val="none" w:sz="0" w:space="0" w:color="auto"/>
                            <w:left w:val="none" w:sz="0" w:space="0" w:color="auto"/>
                            <w:bottom w:val="none" w:sz="0" w:space="0" w:color="auto"/>
                            <w:right w:val="none" w:sz="0" w:space="0" w:color="auto"/>
                          </w:divBdr>
                          <w:divsChild>
                            <w:div w:id="1605725256">
                              <w:marLeft w:val="0"/>
                              <w:marRight w:val="0"/>
                              <w:marTop w:val="0"/>
                              <w:marBottom w:val="0"/>
                              <w:divBdr>
                                <w:top w:val="none" w:sz="0" w:space="0" w:color="auto"/>
                                <w:left w:val="none" w:sz="0" w:space="0" w:color="auto"/>
                                <w:bottom w:val="none" w:sz="0" w:space="0" w:color="auto"/>
                                <w:right w:val="none" w:sz="0" w:space="0" w:color="auto"/>
                              </w:divBdr>
                              <w:divsChild>
                                <w:div w:id="1845128876">
                                  <w:marLeft w:val="180"/>
                                  <w:marRight w:val="0"/>
                                  <w:marTop w:val="0"/>
                                  <w:marBottom w:val="0"/>
                                  <w:divBdr>
                                    <w:top w:val="single" w:sz="12" w:space="0" w:color="FEF6F6"/>
                                    <w:left w:val="single" w:sz="12" w:space="0" w:color="FEF6F6"/>
                                    <w:bottom w:val="single" w:sz="12" w:space="0" w:color="FEF6F6"/>
                                    <w:right w:val="single" w:sz="12" w:space="0" w:color="FEF6F6"/>
                                  </w:divBdr>
                                </w:div>
                                <w:div w:id="1401558100">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322178">
                  <w:marLeft w:val="0"/>
                  <w:marRight w:val="0"/>
                  <w:marTop w:val="0"/>
                  <w:marBottom w:val="0"/>
                  <w:divBdr>
                    <w:top w:val="none" w:sz="0" w:space="0" w:color="auto"/>
                    <w:left w:val="none" w:sz="0" w:space="0" w:color="auto"/>
                    <w:bottom w:val="none" w:sz="0" w:space="0" w:color="auto"/>
                    <w:right w:val="none" w:sz="0" w:space="0" w:color="auto"/>
                  </w:divBdr>
                  <w:divsChild>
                    <w:div w:id="1592854048">
                      <w:marLeft w:val="0"/>
                      <w:marRight w:val="0"/>
                      <w:marTop w:val="0"/>
                      <w:marBottom w:val="0"/>
                      <w:divBdr>
                        <w:top w:val="none" w:sz="0" w:space="0" w:color="auto"/>
                        <w:left w:val="none" w:sz="0" w:space="0" w:color="auto"/>
                        <w:bottom w:val="none" w:sz="0" w:space="0" w:color="auto"/>
                        <w:right w:val="none" w:sz="0" w:space="0" w:color="auto"/>
                      </w:divBdr>
                      <w:divsChild>
                        <w:div w:id="1298950571">
                          <w:marLeft w:val="0"/>
                          <w:marRight w:val="0"/>
                          <w:marTop w:val="0"/>
                          <w:marBottom w:val="0"/>
                          <w:divBdr>
                            <w:top w:val="none" w:sz="0" w:space="0" w:color="auto"/>
                            <w:left w:val="none" w:sz="0" w:space="0" w:color="auto"/>
                            <w:bottom w:val="none" w:sz="0" w:space="0" w:color="auto"/>
                            <w:right w:val="none" w:sz="0" w:space="0" w:color="auto"/>
                          </w:divBdr>
                          <w:divsChild>
                            <w:div w:id="619454225">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490517107">
                          <w:marLeft w:val="0"/>
                          <w:marRight w:val="0"/>
                          <w:marTop w:val="0"/>
                          <w:marBottom w:val="0"/>
                          <w:divBdr>
                            <w:top w:val="none" w:sz="0" w:space="0" w:color="auto"/>
                            <w:left w:val="none" w:sz="0" w:space="0" w:color="auto"/>
                            <w:bottom w:val="none" w:sz="0" w:space="0" w:color="auto"/>
                            <w:right w:val="none" w:sz="0" w:space="0" w:color="auto"/>
                          </w:divBdr>
                          <w:divsChild>
                            <w:div w:id="1207182244">
                              <w:marLeft w:val="0"/>
                              <w:marRight w:val="0"/>
                              <w:marTop w:val="0"/>
                              <w:marBottom w:val="0"/>
                              <w:divBdr>
                                <w:top w:val="none" w:sz="0" w:space="0" w:color="auto"/>
                                <w:left w:val="none" w:sz="0" w:space="0" w:color="auto"/>
                                <w:bottom w:val="none" w:sz="0" w:space="0" w:color="auto"/>
                                <w:right w:val="none" w:sz="0" w:space="0" w:color="auto"/>
                              </w:divBdr>
                              <w:divsChild>
                                <w:div w:id="2020692563">
                                  <w:marLeft w:val="0"/>
                                  <w:marRight w:val="0"/>
                                  <w:marTop w:val="0"/>
                                  <w:marBottom w:val="0"/>
                                  <w:divBdr>
                                    <w:top w:val="none" w:sz="0" w:space="0" w:color="auto"/>
                                    <w:left w:val="none" w:sz="0" w:space="0" w:color="auto"/>
                                    <w:bottom w:val="none" w:sz="0" w:space="0" w:color="auto"/>
                                    <w:right w:val="none" w:sz="0" w:space="0" w:color="auto"/>
                                  </w:divBdr>
                                  <w:divsChild>
                                    <w:div w:id="376128810">
                                      <w:marLeft w:val="0"/>
                                      <w:marRight w:val="0"/>
                                      <w:marTop w:val="0"/>
                                      <w:marBottom w:val="0"/>
                                      <w:divBdr>
                                        <w:top w:val="none" w:sz="0" w:space="0" w:color="auto"/>
                                        <w:left w:val="none" w:sz="0" w:space="0" w:color="auto"/>
                                        <w:bottom w:val="none" w:sz="0" w:space="0" w:color="auto"/>
                                        <w:right w:val="none" w:sz="0" w:space="0" w:color="auto"/>
                                      </w:divBdr>
                                      <w:divsChild>
                                        <w:div w:id="582766661">
                                          <w:marLeft w:val="0"/>
                                          <w:marRight w:val="0"/>
                                          <w:marTop w:val="0"/>
                                          <w:marBottom w:val="0"/>
                                          <w:divBdr>
                                            <w:top w:val="none" w:sz="0" w:space="0" w:color="auto"/>
                                            <w:left w:val="none" w:sz="0" w:space="0" w:color="auto"/>
                                            <w:bottom w:val="none" w:sz="0" w:space="0" w:color="auto"/>
                                            <w:right w:val="none" w:sz="0" w:space="0" w:color="auto"/>
                                          </w:divBdr>
                                          <w:divsChild>
                                            <w:div w:id="2048331401">
                                              <w:marLeft w:val="0"/>
                                              <w:marRight w:val="0"/>
                                              <w:marTop w:val="0"/>
                                              <w:marBottom w:val="0"/>
                                              <w:divBdr>
                                                <w:top w:val="none" w:sz="0" w:space="0" w:color="auto"/>
                                                <w:left w:val="none" w:sz="0" w:space="0" w:color="auto"/>
                                                <w:bottom w:val="none" w:sz="0" w:space="0" w:color="auto"/>
                                                <w:right w:val="none" w:sz="0" w:space="0" w:color="auto"/>
                                              </w:divBdr>
                                              <w:divsChild>
                                                <w:div w:id="1623488460">
                                                  <w:marLeft w:val="0"/>
                                                  <w:marRight w:val="0"/>
                                                  <w:marTop w:val="0"/>
                                                  <w:marBottom w:val="0"/>
                                                  <w:divBdr>
                                                    <w:top w:val="none" w:sz="0" w:space="0" w:color="auto"/>
                                                    <w:left w:val="none" w:sz="0" w:space="0" w:color="auto"/>
                                                    <w:bottom w:val="none" w:sz="0" w:space="0" w:color="auto"/>
                                                    <w:right w:val="none" w:sz="0" w:space="0" w:color="auto"/>
                                                  </w:divBdr>
                                                  <w:divsChild>
                                                    <w:div w:id="1162430848">
                                                      <w:marLeft w:val="0"/>
                                                      <w:marRight w:val="0"/>
                                                      <w:marTop w:val="0"/>
                                                      <w:marBottom w:val="75"/>
                                                      <w:divBdr>
                                                        <w:top w:val="single" w:sz="2" w:space="8" w:color="FF3860"/>
                                                        <w:left w:val="single" w:sz="48" w:space="0" w:color="FF3860"/>
                                                        <w:bottom w:val="single" w:sz="2" w:space="8" w:color="FF3860"/>
                                                        <w:right w:val="single" w:sz="2" w:space="0" w:color="FF3860"/>
                                                      </w:divBdr>
                                                      <w:divsChild>
                                                        <w:div w:id="20963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190003">
                          <w:marLeft w:val="0"/>
                          <w:marRight w:val="0"/>
                          <w:marTop w:val="120"/>
                          <w:marBottom w:val="0"/>
                          <w:divBdr>
                            <w:top w:val="none" w:sz="0" w:space="0" w:color="auto"/>
                            <w:left w:val="none" w:sz="0" w:space="0" w:color="auto"/>
                            <w:bottom w:val="none" w:sz="0" w:space="0" w:color="auto"/>
                            <w:right w:val="none" w:sz="0" w:space="0" w:color="auto"/>
                          </w:divBdr>
                          <w:divsChild>
                            <w:div w:id="201440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33401">
                      <w:marLeft w:val="2610"/>
                      <w:marRight w:val="0"/>
                      <w:marTop w:val="0"/>
                      <w:marBottom w:val="120"/>
                      <w:divBdr>
                        <w:top w:val="none" w:sz="0" w:space="0" w:color="auto"/>
                        <w:left w:val="none" w:sz="0" w:space="0" w:color="auto"/>
                        <w:bottom w:val="none" w:sz="0" w:space="0" w:color="auto"/>
                        <w:right w:val="none" w:sz="0" w:space="0" w:color="auto"/>
                      </w:divBdr>
                      <w:divsChild>
                        <w:div w:id="1596785821">
                          <w:marLeft w:val="0"/>
                          <w:marRight w:val="300"/>
                          <w:marTop w:val="0"/>
                          <w:marBottom w:val="0"/>
                          <w:divBdr>
                            <w:top w:val="none" w:sz="0" w:space="0" w:color="auto"/>
                            <w:left w:val="none" w:sz="0" w:space="0" w:color="auto"/>
                            <w:bottom w:val="none" w:sz="0" w:space="0" w:color="auto"/>
                            <w:right w:val="none" w:sz="0" w:space="0" w:color="auto"/>
                          </w:divBdr>
                          <w:divsChild>
                            <w:div w:id="1468087036">
                              <w:marLeft w:val="0"/>
                              <w:marRight w:val="0"/>
                              <w:marTop w:val="0"/>
                              <w:marBottom w:val="0"/>
                              <w:divBdr>
                                <w:top w:val="none" w:sz="0" w:space="0" w:color="auto"/>
                                <w:left w:val="none" w:sz="0" w:space="0" w:color="auto"/>
                                <w:bottom w:val="none" w:sz="0" w:space="0" w:color="auto"/>
                                <w:right w:val="none" w:sz="0" w:space="0" w:color="auto"/>
                              </w:divBdr>
                              <w:divsChild>
                                <w:div w:id="601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62248">
                          <w:marLeft w:val="0"/>
                          <w:marRight w:val="0"/>
                          <w:marTop w:val="0"/>
                          <w:marBottom w:val="0"/>
                          <w:divBdr>
                            <w:top w:val="none" w:sz="0" w:space="0" w:color="auto"/>
                            <w:left w:val="none" w:sz="0" w:space="0" w:color="auto"/>
                            <w:bottom w:val="none" w:sz="0" w:space="0" w:color="auto"/>
                            <w:right w:val="none" w:sz="0" w:space="0" w:color="auto"/>
                          </w:divBdr>
                        </w:div>
                      </w:divsChild>
                    </w:div>
                    <w:div w:id="1117682768">
                      <w:marLeft w:val="0"/>
                      <w:marRight w:val="0"/>
                      <w:marTop w:val="0"/>
                      <w:marBottom w:val="375"/>
                      <w:divBdr>
                        <w:top w:val="none" w:sz="0" w:space="0" w:color="auto"/>
                        <w:left w:val="none" w:sz="0" w:space="0" w:color="auto"/>
                        <w:bottom w:val="none" w:sz="0" w:space="0" w:color="auto"/>
                        <w:right w:val="none" w:sz="0" w:space="0" w:color="auto"/>
                      </w:divBdr>
                      <w:divsChild>
                        <w:div w:id="1325427755">
                          <w:marLeft w:val="0"/>
                          <w:marRight w:val="0"/>
                          <w:marTop w:val="0"/>
                          <w:marBottom w:val="0"/>
                          <w:divBdr>
                            <w:top w:val="none" w:sz="0" w:space="0" w:color="auto"/>
                            <w:left w:val="none" w:sz="0" w:space="0" w:color="auto"/>
                            <w:bottom w:val="none" w:sz="0" w:space="0" w:color="auto"/>
                            <w:right w:val="none" w:sz="0" w:space="0" w:color="auto"/>
                          </w:divBdr>
                        </w:div>
                        <w:div w:id="668943847">
                          <w:marLeft w:val="0"/>
                          <w:marRight w:val="0"/>
                          <w:marTop w:val="0"/>
                          <w:marBottom w:val="0"/>
                          <w:divBdr>
                            <w:top w:val="none" w:sz="0" w:space="0" w:color="auto"/>
                            <w:left w:val="none" w:sz="0" w:space="0" w:color="auto"/>
                            <w:bottom w:val="none" w:sz="0" w:space="0" w:color="auto"/>
                            <w:right w:val="none" w:sz="0" w:space="0" w:color="auto"/>
                          </w:divBdr>
                          <w:divsChild>
                            <w:div w:id="1153764801">
                              <w:marLeft w:val="0"/>
                              <w:marRight w:val="0"/>
                              <w:marTop w:val="0"/>
                              <w:marBottom w:val="0"/>
                              <w:divBdr>
                                <w:top w:val="none" w:sz="0" w:space="0" w:color="auto"/>
                                <w:left w:val="none" w:sz="0" w:space="0" w:color="auto"/>
                                <w:bottom w:val="none" w:sz="0" w:space="0" w:color="auto"/>
                                <w:right w:val="none" w:sz="0" w:space="0" w:color="auto"/>
                              </w:divBdr>
                            </w:div>
                            <w:div w:id="794523370">
                              <w:marLeft w:val="0"/>
                              <w:marRight w:val="0"/>
                              <w:marTop w:val="0"/>
                              <w:marBottom w:val="0"/>
                              <w:divBdr>
                                <w:top w:val="none" w:sz="0" w:space="0" w:color="auto"/>
                                <w:left w:val="none" w:sz="0" w:space="0" w:color="auto"/>
                                <w:bottom w:val="none" w:sz="0" w:space="0" w:color="auto"/>
                                <w:right w:val="none" w:sz="0" w:space="0" w:color="auto"/>
                              </w:divBdr>
                            </w:div>
                            <w:div w:id="3263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1664">
                  <w:marLeft w:val="0"/>
                  <w:marRight w:val="0"/>
                  <w:marTop w:val="0"/>
                  <w:marBottom w:val="0"/>
                  <w:divBdr>
                    <w:top w:val="none" w:sz="0" w:space="0" w:color="auto"/>
                    <w:left w:val="none" w:sz="0" w:space="0" w:color="auto"/>
                    <w:bottom w:val="none" w:sz="0" w:space="0" w:color="auto"/>
                    <w:right w:val="none" w:sz="0" w:space="0" w:color="auto"/>
                  </w:divBdr>
                  <w:divsChild>
                    <w:div w:id="600262939">
                      <w:marLeft w:val="0"/>
                      <w:marRight w:val="0"/>
                      <w:marTop w:val="0"/>
                      <w:marBottom w:val="0"/>
                      <w:divBdr>
                        <w:top w:val="single" w:sz="6" w:space="15" w:color="DEDEDE"/>
                        <w:left w:val="single" w:sz="6" w:space="18" w:color="DEDEDE"/>
                        <w:bottom w:val="single" w:sz="6" w:space="13" w:color="DEDEDE"/>
                        <w:right w:val="single" w:sz="6" w:space="18" w:color="DEDEDE"/>
                      </w:divBdr>
                      <w:divsChild>
                        <w:div w:id="731465535">
                          <w:marLeft w:val="0"/>
                          <w:marRight w:val="0"/>
                          <w:marTop w:val="0"/>
                          <w:marBottom w:val="0"/>
                          <w:divBdr>
                            <w:top w:val="none" w:sz="0" w:space="0" w:color="auto"/>
                            <w:left w:val="none" w:sz="0" w:space="0" w:color="auto"/>
                            <w:bottom w:val="none" w:sz="0" w:space="0" w:color="auto"/>
                            <w:right w:val="none" w:sz="0" w:space="0" w:color="auto"/>
                          </w:divBdr>
                        </w:div>
                        <w:div w:id="1328168703">
                          <w:marLeft w:val="0"/>
                          <w:marRight w:val="0"/>
                          <w:marTop w:val="240"/>
                          <w:marBottom w:val="0"/>
                          <w:divBdr>
                            <w:top w:val="none" w:sz="0" w:space="0" w:color="auto"/>
                            <w:left w:val="none" w:sz="0" w:space="0" w:color="auto"/>
                            <w:bottom w:val="none" w:sz="0" w:space="0" w:color="auto"/>
                            <w:right w:val="none" w:sz="0" w:space="0" w:color="auto"/>
                          </w:divBdr>
                        </w:div>
                        <w:div w:id="132500903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075071">
      <w:bodyDiv w:val="1"/>
      <w:marLeft w:val="0"/>
      <w:marRight w:val="0"/>
      <w:marTop w:val="0"/>
      <w:marBottom w:val="0"/>
      <w:divBdr>
        <w:top w:val="none" w:sz="0" w:space="0" w:color="auto"/>
        <w:left w:val="none" w:sz="0" w:space="0" w:color="auto"/>
        <w:bottom w:val="none" w:sz="0" w:space="0" w:color="auto"/>
        <w:right w:val="none" w:sz="0" w:space="0" w:color="auto"/>
      </w:divBdr>
    </w:div>
    <w:div w:id="2118211137">
      <w:bodyDiv w:val="1"/>
      <w:marLeft w:val="0"/>
      <w:marRight w:val="0"/>
      <w:marTop w:val="0"/>
      <w:marBottom w:val="0"/>
      <w:divBdr>
        <w:top w:val="none" w:sz="0" w:space="0" w:color="auto"/>
        <w:left w:val="none" w:sz="0" w:space="0" w:color="auto"/>
        <w:bottom w:val="none" w:sz="0" w:space="0" w:color="auto"/>
        <w:right w:val="none" w:sz="0" w:space="0" w:color="auto"/>
      </w:divBdr>
    </w:div>
    <w:div w:id="2118525830">
      <w:bodyDiv w:val="1"/>
      <w:marLeft w:val="0"/>
      <w:marRight w:val="0"/>
      <w:marTop w:val="0"/>
      <w:marBottom w:val="0"/>
      <w:divBdr>
        <w:top w:val="none" w:sz="0" w:space="0" w:color="auto"/>
        <w:left w:val="none" w:sz="0" w:space="0" w:color="auto"/>
        <w:bottom w:val="none" w:sz="0" w:space="0" w:color="auto"/>
        <w:right w:val="none" w:sz="0" w:space="0" w:color="auto"/>
      </w:divBdr>
      <w:divsChild>
        <w:div w:id="1867138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6296938?seq=1" TargetMode="External"/><Relationship Id="rId13" Type="http://schemas.openxmlformats.org/officeDocument/2006/relationships/hyperlink" Target="https://www.jstor.org/stable/412879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r.info/2013/10/15/assessing-al-qaeda-from-the-teachings-of-ibn-taymiyy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j.ctt13x1t4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stor.org/stable/162162" TargetMode="External"/><Relationship Id="rId4" Type="http://schemas.openxmlformats.org/officeDocument/2006/relationships/settings" Target="settings.xml"/><Relationship Id="rId9" Type="http://schemas.openxmlformats.org/officeDocument/2006/relationships/hyperlink" Target="https://carnegieendowment.org/2016/06/13/sectarianism-of-islamic-state-ideological-roots-and-political-context-pub-6374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ir.info/2013/10/15/assessing-al-qaeda-from-the-teachings-of-ibn-taymiyya/" TargetMode="External"/><Relationship Id="rId2" Type="http://schemas.openxmlformats.org/officeDocument/2006/relationships/hyperlink" Target="https://www.jstor.org/stable/41287947" TargetMode="External"/><Relationship Id="rId1" Type="http://schemas.openxmlformats.org/officeDocument/2006/relationships/hyperlink" Target="https://www.jstor.org/stable/162162" TargetMode="External"/><Relationship Id="rId6" Type="http://schemas.openxmlformats.org/officeDocument/2006/relationships/hyperlink" Target="https://www.jstor.org/stable/j.ctt13x1t4p" TargetMode="External"/><Relationship Id="rId5" Type="http://schemas.openxmlformats.org/officeDocument/2006/relationships/hyperlink" Target="https://carnegieendowment.org/2016/06/13/sectarianism-of-islamic-state-ideological-roots-and-political-context-pub-63746" TargetMode="External"/><Relationship Id="rId4" Type="http://schemas.openxmlformats.org/officeDocument/2006/relationships/hyperlink" Target="https://www.jstor.org/stable/26296938?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97CEB-221B-9940-9B37-9220C104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7</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Haider</dc:creator>
  <cp:keywords/>
  <dc:description/>
  <cp:lastModifiedBy>Syed Haider</cp:lastModifiedBy>
  <cp:revision>46</cp:revision>
  <dcterms:created xsi:type="dcterms:W3CDTF">2022-04-26T16:11:00Z</dcterms:created>
  <dcterms:modified xsi:type="dcterms:W3CDTF">2022-04-30T19:50:00Z</dcterms:modified>
</cp:coreProperties>
</file>