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C314F7" w14:textId="676D0192" w:rsidR="00614670" w:rsidRDefault="00A7223E" w:rsidP="00614670">
      <w:pPr>
        <w:spacing w:line="360" w:lineRule="auto"/>
        <w:jc w:val="center"/>
        <w:rPr>
          <w:rFonts w:ascii="Arial" w:hAnsi="Arial" w:cs="Arial"/>
          <w:b/>
          <w:bCs/>
          <w:sz w:val="32"/>
          <w:szCs w:val="32"/>
          <w:u w:val="single"/>
        </w:rPr>
      </w:pPr>
      <w:r w:rsidRPr="00614670">
        <w:rPr>
          <w:rFonts w:ascii="Arial" w:hAnsi="Arial" w:cs="Arial"/>
          <w:b/>
          <w:bCs/>
          <w:sz w:val="32"/>
          <w:szCs w:val="32"/>
          <w:u w:val="single"/>
        </w:rPr>
        <w:t>A Critical Report on Health, Wellbeing, and Sustainability Policies: Analysing Global Goals and Local Realities in Wales</w:t>
      </w:r>
    </w:p>
    <w:p w14:paraId="5BE22510" w14:textId="0DB4CDA7" w:rsidR="00614670" w:rsidRDefault="00614670" w:rsidP="00614670">
      <w:pPr>
        <w:spacing w:line="360" w:lineRule="auto"/>
        <w:jc w:val="center"/>
        <w:rPr>
          <w:rFonts w:ascii="Arial" w:hAnsi="Arial" w:cs="Arial"/>
          <w:b/>
          <w:bCs/>
          <w:sz w:val="32"/>
          <w:szCs w:val="32"/>
          <w:u w:val="single"/>
        </w:rPr>
      </w:pPr>
    </w:p>
    <w:p w14:paraId="6C42364A" w14:textId="43299EAF" w:rsidR="00614670" w:rsidRDefault="00614670" w:rsidP="00614670">
      <w:pPr>
        <w:spacing w:line="360" w:lineRule="auto"/>
        <w:jc w:val="center"/>
        <w:rPr>
          <w:rFonts w:ascii="Arial" w:hAnsi="Arial" w:cs="Arial"/>
          <w:b/>
          <w:bCs/>
          <w:sz w:val="32"/>
          <w:szCs w:val="32"/>
          <w:u w:val="single"/>
        </w:rPr>
      </w:pPr>
    </w:p>
    <w:p w14:paraId="2EB96555" w14:textId="19714BD7" w:rsidR="00614670" w:rsidRDefault="00614670" w:rsidP="00614670">
      <w:pPr>
        <w:spacing w:line="360" w:lineRule="auto"/>
        <w:jc w:val="center"/>
        <w:rPr>
          <w:rFonts w:ascii="Arial" w:hAnsi="Arial" w:cs="Arial"/>
          <w:b/>
          <w:bCs/>
          <w:sz w:val="32"/>
          <w:szCs w:val="32"/>
          <w:u w:val="single"/>
        </w:rPr>
      </w:pPr>
    </w:p>
    <w:p w14:paraId="2A774868" w14:textId="3D217454" w:rsidR="00614670" w:rsidRPr="00614670" w:rsidRDefault="00614670" w:rsidP="00614670">
      <w:pPr>
        <w:spacing w:line="360" w:lineRule="auto"/>
        <w:jc w:val="center"/>
        <w:rPr>
          <w:rFonts w:ascii="Arial" w:hAnsi="Arial" w:cs="Arial"/>
          <w:b/>
          <w:bCs/>
          <w:sz w:val="32"/>
          <w:szCs w:val="32"/>
        </w:rPr>
      </w:pPr>
    </w:p>
    <w:p w14:paraId="28078C5C" w14:textId="78CAAB8B" w:rsidR="00614670" w:rsidRPr="00614670" w:rsidRDefault="00614670" w:rsidP="00614670">
      <w:pPr>
        <w:spacing w:line="360" w:lineRule="auto"/>
        <w:jc w:val="center"/>
        <w:rPr>
          <w:rFonts w:ascii="Arial" w:hAnsi="Arial" w:cs="Arial"/>
          <w:b/>
          <w:bCs/>
          <w:sz w:val="32"/>
          <w:szCs w:val="32"/>
          <w:lang w:val="en-US"/>
        </w:rPr>
      </w:pPr>
      <w:r w:rsidRPr="00614670">
        <w:rPr>
          <w:rFonts w:ascii="Arial" w:hAnsi="Arial" w:cs="Arial"/>
          <w:b/>
          <w:bCs/>
          <w:sz w:val="32"/>
          <w:szCs w:val="32"/>
          <w:lang w:val="en-US"/>
        </w:rPr>
        <w:t>Name: Tayyaba Hasan</w:t>
      </w:r>
    </w:p>
    <w:p w14:paraId="062CCA0F" w14:textId="06F5BB0A" w:rsidR="00614670" w:rsidRPr="00614670" w:rsidRDefault="00614670" w:rsidP="00614670">
      <w:pPr>
        <w:spacing w:line="360" w:lineRule="auto"/>
        <w:jc w:val="center"/>
        <w:rPr>
          <w:rFonts w:ascii="Arial" w:hAnsi="Arial" w:cs="Arial"/>
          <w:b/>
          <w:bCs/>
          <w:sz w:val="32"/>
          <w:szCs w:val="32"/>
          <w:lang w:val="en-US"/>
        </w:rPr>
      </w:pPr>
      <w:r w:rsidRPr="00614670">
        <w:rPr>
          <w:rFonts w:ascii="Arial" w:hAnsi="Arial" w:cs="Arial"/>
          <w:b/>
          <w:bCs/>
          <w:sz w:val="32"/>
          <w:szCs w:val="32"/>
          <w:lang w:val="en-US"/>
        </w:rPr>
        <w:t>Student Number: 2214474</w:t>
      </w:r>
    </w:p>
    <w:p w14:paraId="7F504423" w14:textId="70E7480F" w:rsidR="00614670" w:rsidRPr="00614670" w:rsidRDefault="00614670" w:rsidP="00614670">
      <w:pPr>
        <w:spacing w:line="360" w:lineRule="auto"/>
        <w:jc w:val="center"/>
        <w:rPr>
          <w:rFonts w:ascii="Arial" w:hAnsi="Arial" w:cs="Arial"/>
          <w:b/>
          <w:bCs/>
          <w:sz w:val="32"/>
          <w:szCs w:val="32"/>
          <w:lang w:val="en-US"/>
        </w:rPr>
      </w:pPr>
      <w:r w:rsidRPr="00614670">
        <w:rPr>
          <w:rFonts w:ascii="Arial" w:hAnsi="Arial" w:cs="Arial"/>
          <w:b/>
          <w:bCs/>
          <w:sz w:val="32"/>
          <w:szCs w:val="32"/>
          <w:lang w:val="en-US"/>
        </w:rPr>
        <w:t>Module code: BMHP6030</w:t>
      </w:r>
    </w:p>
    <w:p w14:paraId="47789D59" w14:textId="4DC40647" w:rsidR="00614670" w:rsidRPr="00614670" w:rsidRDefault="00614670" w:rsidP="00614670">
      <w:pPr>
        <w:spacing w:line="360" w:lineRule="auto"/>
        <w:jc w:val="center"/>
        <w:rPr>
          <w:rFonts w:ascii="Arial" w:hAnsi="Arial" w:cs="Arial"/>
          <w:b/>
          <w:bCs/>
          <w:sz w:val="32"/>
          <w:szCs w:val="32"/>
          <w:lang w:val="en-US"/>
        </w:rPr>
      </w:pPr>
      <w:r w:rsidRPr="00614670">
        <w:rPr>
          <w:rFonts w:ascii="Arial" w:hAnsi="Arial" w:cs="Arial"/>
          <w:b/>
          <w:bCs/>
          <w:sz w:val="32"/>
          <w:szCs w:val="32"/>
          <w:lang w:val="en-US"/>
        </w:rPr>
        <w:t>Lecturer name: Parese Ahmed</w:t>
      </w:r>
    </w:p>
    <w:p w14:paraId="20EEDA34" w14:textId="0635D1CA" w:rsidR="00614670" w:rsidRDefault="00614670" w:rsidP="00614670">
      <w:pPr>
        <w:spacing w:line="360" w:lineRule="auto"/>
        <w:jc w:val="center"/>
        <w:rPr>
          <w:rFonts w:ascii="Arial" w:hAnsi="Arial" w:cs="Arial"/>
          <w:b/>
          <w:bCs/>
          <w:sz w:val="32"/>
          <w:szCs w:val="32"/>
          <w:u w:val="single"/>
        </w:rPr>
      </w:pPr>
    </w:p>
    <w:p w14:paraId="59BDDE24" w14:textId="63FFE7EA" w:rsidR="00614670" w:rsidRDefault="00614670" w:rsidP="00614670">
      <w:pPr>
        <w:spacing w:line="360" w:lineRule="auto"/>
        <w:jc w:val="center"/>
        <w:rPr>
          <w:rFonts w:ascii="Arial" w:hAnsi="Arial" w:cs="Arial"/>
          <w:b/>
          <w:bCs/>
          <w:sz w:val="32"/>
          <w:szCs w:val="32"/>
          <w:u w:val="single"/>
        </w:rPr>
      </w:pPr>
    </w:p>
    <w:p w14:paraId="6B70D7DE" w14:textId="63165403" w:rsidR="00614670" w:rsidRDefault="00614670" w:rsidP="00614670">
      <w:pPr>
        <w:spacing w:line="360" w:lineRule="auto"/>
        <w:jc w:val="center"/>
        <w:rPr>
          <w:rFonts w:ascii="Arial" w:hAnsi="Arial" w:cs="Arial"/>
          <w:b/>
          <w:bCs/>
          <w:sz w:val="32"/>
          <w:szCs w:val="32"/>
          <w:u w:val="single"/>
        </w:rPr>
      </w:pPr>
    </w:p>
    <w:p w14:paraId="6AA1D460" w14:textId="5D5D462F" w:rsidR="00614670" w:rsidRDefault="00614670" w:rsidP="00614670">
      <w:pPr>
        <w:spacing w:line="360" w:lineRule="auto"/>
        <w:jc w:val="center"/>
        <w:rPr>
          <w:rFonts w:ascii="Arial" w:hAnsi="Arial" w:cs="Arial"/>
          <w:b/>
          <w:bCs/>
          <w:sz w:val="32"/>
          <w:szCs w:val="32"/>
          <w:u w:val="single"/>
        </w:rPr>
      </w:pPr>
    </w:p>
    <w:p w14:paraId="5E5A54B6" w14:textId="4A70A993" w:rsidR="00614670" w:rsidRDefault="00614670" w:rsidP="00614670">
      <w:pPr>
        <w:spacing w:line="360" w:lineRule="auto"/>
        <w:jc w:val="center"/>
        <w:rPr>
          <w:rFonts w:ascii="Arial" w:hAnsi="Arial" w:cs="Arial"/>
          <w:b/>
          <w:bCs/>
          <w:sz w:val="32"/>
          <w:szCs w:val="32"/>
          <w:u w:val="single"/>
        </w:rPr>
      </w:pPr>
    </w:p>
    <w:p w14:paraId="5F2655FA" w14:textId="7431B538" w:rsidR="00614670" w:rsidRDefault="00614670" w:rsidP="00614670">
      <w:pPr>
        <w:spacing w:line="360" w:lineRule="auto"/>
        <w:jc w:val="center"/>
        <w:rPr>
          <w:rFonts w:ascii="Arial" w:hAnsi="Arial" w:cs="Arial"/>
          <w:b/>
          <w:bCs/>
          <w:sz w:val="32"/>
          <w:szCs w:val="32"/>
          <w:u w:val="single"/>
        </w:rPr>
      </w:pPr>
    </w:p>
    <w:p w14:paraId="320226F9" w14:textId="77777777" w:rsidR="00614670" w:rsidRDefault="00614670" w:rsidP="00614670">
      <w:pPr>
        <w:spacing w:line="360" w:lineRule="auto"/>
        <w:jc w:val="center"/>
        <w:rPr>
          <w:rFonts w:ascii="Arial" w:hAnsi="Arial" w:cs="Arial"/>
          <w:b/>
          <w:bCs/>
          <w:sz w:val="32"/>
          <w:szCs w:val="32"/>
          <w:u w:val="single"/>
        </w:rPr>
      </w:pPr>
    </w:p>
    <w:p w14:paraId="60C25697" w14:textId="77777777" w:rsidR="00614670" w:rsidRPr="00614670" w:rsidRDefault="00614670" w:rsidP="00614670">
      <w:pPr>
        <w:spacing w:line="360" w:lineRule="auto"/>
        <w:jc w:val="center"/>
        <w:rPr>
          <w:rFonts w:ascii="Arial" w:hAnsi="Arial" w:cs="Arial"/>
          <w:b/>
          <w:bCs/>
          <w:sz w:val="32"/>
          <w:szCs w:val="32"/>
          <w:u w:val="single"/>
        </w:rPr>
      </w:pPr>
    </w:p>
    <w:sdt>
      <w:sdtPr>
        <w:rPr>
          <w:rFonts w:ascii="Arial" w:eastAsiaTheme="minorHAnsi" w:hAnsi="Arial" w:cs="Arial"/>
          <w:color w:val="auto"/>
          <w:kern w:val="2"/>
          <w:sz w:val="22"/>
          <w:szCs w:val="22"/>
          <w:lang w:val="en-GB"/>
          <w14:ligatures w14:val="standardContextual"/>
        </w:rPr>
        <w:id w:val="823849216"/>
        <w:docPartObj>
          <w:docPartGallery w:val="Table of Contents"/>
          <w:docPartUnique/>
        </w:docPartObj>
      </w:sdtPr>
      <w:sdtEndPr>
        <w:rPr>
          <w:b/>
          <w:bCs/>
          <w:noProof/>
        </w:rPr>
      </w:sdtEndPr>
      <w:sdtContent>
        <w:p w14:paraId="37F373AF" w14:textId="1FA859E3" w:rsidR="00BE2D20" w:rsidRPr="00BE2D20" w:rsidRDefault="00BE2D20" w:rsidP="00BE2D20">
          <w:pPr>
            <w:pStyle w:val="TOCHeading"/>
            <w:spacing w:line="360" w:lineRule="auto"/>
            <w:jc w:val="both"/>
            <w:rPr>
              <w:rFonts w:ascii="Arial" w:hAnsi="Arial" w:cs="Arial"/>
              <w:sz w:val="22"/>
              <w:szCs w:val="22"/>
            </w:rPr>
          </w:pPr>
          <w:r w:rsidRPr="00BE2D20">
            <w:rPr>
              <w:rFonts w:ascii="Arial" w:hAnsi="Arial" w:cs="Arial"/>
              <w:sz w:val="22"/>
              <w:szCs w:val="22"/>
            </w:rPr>
            <w:t>Table of Contents</w:t>
          </w:r>
        </w:p>
        <w:p w14:paraId="70B85DF6" w14:textId="74F5BD2D" w:rsidR="00BE2D20" w:rsidRPr="00BE2D20" w:rsidRDefault="00BE2D20" w:rsidP="00BE2D20">
          <w:pPr>
            <w:pStyle w:val="TOC1"/>
            <w:tabs>
              <w:tab w:val="right" w:leader="dot" w:pos="9350"/>
            </w:tabs>
            <w:spacing w:line="360" w:lineRule="auto"/>
            <w:jc w:val="both"/>
            <w:rPr>
              <w:rFonts w:ascii="Arial" w:hAnsi="Arial" w:cs="Arial"/>
              <w:noProof/>
            </w:rPr>
          </w:pPr>
          <w:r w:rsidRPr="00BE2D20">
            <w:rPr>
              <w:rFonts w:ascii="Arial" w:hAnsi="Arial" w:cs="Arial"/>
            </w:rPr>
            <w:fldChar w:fldCharType="begin"/>
          </w:r>
          <w:r w:rsidRPr="00BE2D20">
            <w:rPr>
              <w:rFonts w:ascii="Arial" w:hAnsi="Arial" w:cs="Arial"/>
            </w:rPr>
            <w:instrText xml:space="preserve"> TOC \o "1-3" \h \z \u </w:instrText>
          </w:r>
          <w:r w:rsidRPr="00BE2D20">
            <w:rPr>
              <w:rFonts w:ascii="Arial" w:hAnsi="Arial" w:cs="Arial"/>
            </w:rPr>
            <w:fldChar w:fldCharType="separate"/>
          </w:r>
          <w:hyperlink w:anchor="_Toc214161550" w:history="1">
            <w:r w:rsidRPr="00BE2D20">
              <w:rPr>
                <w:rStyle w:val="Hyperlink"/>
                <w:rFonts w:ascii="Arial" w:eastAsia="Times New Roman" w:hAnsi="Arial" w:cs="Arial"/>
                <w:noProof/>
              </w:rPr>
              <w:t>1. Introduction</w:t>
            </w:r>
            <w:r w:rsidRPr="00BE2D20">
              <w:rPr>
                <w:rFonts w:ascii="Arial" w:hAnsi="Arial" w:cs="Arial"/>
                <w:noProof/>
                <w:webHidden/>
              </w:rPr>
              <w:tab/>
            </w:r>
            <w:r w:rsidRPr="00BE2D20">
              <w:rPr>
                <w:rFonts w:ascii="Arial" w:hAnsi="Arial" w:cs="Arial"/>
                <w:noProof/>
                <w:webHidden/>
              </w:rPr>
              <w:fldChar w:fldCharType="begin"/>
            </w:r>
            <w:r w:rsidRPr="00BE2D20">
              <w:rPr>
                <w:rFonts w:ascii="Arial" w:hAnsi="Arial" w:cs="Arial"/>
                <w:noProof/>
                <w:webHidden/>
              </w:rPr>
              <w:instrText xml:space="preserve"> PAGEREF _Toc214161550 \h </w:instrText>
            </w:r>
            <w:r w:rsidRPr="00BE2D20">
              <w:rPr>
                <w:rFonts w:ascii="Arial" w:hAnsi="Arial" w:cs="Arial"/>
                <w:noProof/>
                <w:webHidden/>
              </w:rPr>
            </w:r>
            <w:r w:rsidRPr="00BE2D20">
              <w:rPr>
                <w:rFonts w:ascii="Arial" w:hAnsi="Arial" w:cs="Arial"/>
                <w:noProof/>
                <w:webHidden/>
              </w:rPr>
              <w:fldChar w:fldCharType="separate"/>
            </w:r>
            <w:r w:rsidRPr="00BE2D20">
              <w:rPr>
                <w:rFonts w:ascii="Arial" w:hAnsi="Arial" w:cs="Arial"/>
                <w:noProof/>
                <w:webHidden/>
              </w:rPr>
              <w:t>3</w:t>
            </w:r>
            <w:r w:rsidRPr="00BE2D20">
              <w:rPr>
                <w:rFonts w:ascii="Arial" w:hAnsi="Arial" w:cs="Arial"/>
                <w:noProof/>
                <w:webHidden/>
              </w:rPr>
              <w:fldChar w:fldCharType="end"/>
            </w:r>
          </w:hyperlink>
        </w:p>
        <w:p w14:paraId="6BF9A691" w14:textId="2C95D40F" w:rsidR="00BE2D20" w:rsidRPr="00BE2D20" w:rsidRDefault="00BE2D20" w:rsidP="00BE2D20">
          <w:pPr>
            <w:pStyle w:val="TOC1"/>
            <w:tabs>
              <w:tab w:val="right" w:leader="dot" w:pos="9350"/>
            </w:tabs>
            <w:spacing w:line="360" w:lineRule="auto"/>
            <w:jc w:val="both"/>
            <w:rPr>
              <w:rFonts w:ascii="Arial" w:hAnsi="Arial" w:cs="Arial"/>
              <w:noProof/>
            </w:rPr>
          </w:pPr>
          <w:hyperlink w:anchor="_Toc214161551" w:history="1">
            <w:r w:rsidRPr="00BE2D20">
              <w:rPr>
                <w:rStyle w:val="Hyperlink"/>
                <w:rFonts w:ascii="Arial" w:eastAsia="Times New Roman" w:hAnsi="Arial" w:cs="Arial"/>
                <w:noProof/>
              </w:rPr>
              <w:t>2. The Global Framework: SDG 3 and SDG 11 Analysis</w:t>
            </w:r>
            <w:r w:rsidRPr="00BE2D20">
              <w:rPr>
                <w:rFonts w:ascii="Arial" w:hAnsi="Arial" w:cs="Arial"/>
                <w:noProof/>
                <w:webHidden/>
              </w:rPr>
              <w:tab/>
            </w:r>
            <w:r w:rsidRPr="00BE2D20">
              <w:rPr>
                <w:rFonts w:ascii="Arial" w:hAnsi="Arial" w:cs="Arial"/>
                <w:noProof/>
                <w:webHidden/>
              </w:rPr>
              <w:fldChar w:fldCharType="begin"/>
            </w:r>
            <w:r w:rsidRPr="00BE2D20">
              <w:rPr>
                <w:rFonts w:ascii="Arial" w:hAnsi="Arial" w:cs="Arial"/>
                <w:noProof/>
                <w:webHidden/>
              </w:rPr>
              <w:instrText xml:space="preserve"> PAGEREF _Toc214161551 \h </w:instrText>
            </w:r>
            <w:r w:rsidRPr="00BE2D20">
              <w:rPr>
                <w:rFonts w:ascii="Arial" w:hAnsi="Arial" w:cs="Arial"/>
                <w:noProof/>
                <w:webHidden/>
              </w:rPr>
            </w:r>
            <w:r w:rsidRPr="00BE2D20">
              <w:rPr>
                <w:rFonts w:ascii="Arial" w:hAnsi="Arial" w:cs="Arial"/>
                <w:noProof/>
                <w:webHidden/>
              </w:rPr>
              <w:fldChar w:fldCharType="separate"/>
            </w:r>
            <w:r w:rsidRPr="00BE2D20">
              <w:rPr>
                <w:rFonts w:ascii="Arial" w:hAnsi="Arial" w:cs="Arial"/>
                <w:noProof/>
                <w:webHidden/>
              </w:rPr>
              <w:t>3</w:t>
            </w:r>
            <w:r w:rsidRPr="00BE2D20">
              <w:rPr>
                <w:rFonts w:ascii="Arial" w:hAnsi="Arial" w:cs="Arial"/>
                <w:noProof/>
                <w:webHidden/>
              </w:rPr>
              <w:fldChar w:fldCharType="end"/>
            </w:r>
          </w:hyperlink>
        </w:p>
        <w:p w14:paraId="637800C9" w14:textId="4F871653" w:rsidR="00BE2D20" w:rsidRPr="00BE2D20" w:rsidRDefault="00BE2D20" w:rsidP="00BE2D20">
          <w:pPr>
            <w:pStyle w:val="TOC2"/>
            <w:tabs>
              <w:tab w:val="right" w:leader="dot" w:pos="9350"/>
            </w:tabs>
            <w:spacing w:line="360" w:lineRule="auto"/>
            <w:jc w:val="both"/>
            <w:rPr>
              <w:rFonts w:ascii="Arial" w:hAnsi="Arial" w:cs="Arial"/>
              <w:noProof/>
            </w:rPr>
          </w:pPr>
          <w:hyperlink w:anchor="_Toc214161552" w:history="1">
            <w:r w:rsidRPr="00BE2D20">
              <w:rPr>
                <w:rStyle w:val="Hyperlink"/>
                <w:rFonts w:ascii="Arial" w:eastAsia="Times New Roman" w:hAnsi="Arial" w:cs="Arial"/>
                <w:noProof/>
              </w:rPr>
              <w:t>2.1. SDG 3: Good Health and Well-being</w:t>
            </w:r>
            <w:r w:rsidRPr="00BE2D20">
              <w:rPr>
                <w:rFonts w:ascii="Arial" w:hAnsi="Arial" w:cs="Arial"/>
                <w:noProof/>
                <w:webHidden/>
              </w:rPr>
              <w:tab/>
            </w:r>
            <w:r w:rsidRPr="00BE2D20">
              <w:rPr>
                <w:rFonts w:ascii="Arial" w:hAnsi="Arial" w:cs="Arial"/>
                <w:noProof/>
                <w:webHidden/>
              </w:rPr>
              <w:fldChar w:fldCharType="begin"/>
            </w:r>
            <w:r w:rsidRPr="00BE2D20">
              <w:rPr>
                <w:rFonts w:ascii="Arial" w:hAnsi="Arial" w:cs="Arial"/>
                <w:noProof/>
                <w:webHidden/>
              </w:rPr>
              <w:instrText xml:space="preserve"> PAGEREF _Toc214161552 \h </w:instrText>
            </w:r>
            <w:r w:rsidRPr="00BE2D20">
              <w:rPr>
                <w:rFonts w:ascii="Arial" w:hAnsi="Arial" w:cs="Arial"/>
                <w:noProof/>
                <w:webHidden/>
              </w:rPr>
            </w:r>
            <w:r w:rsidRPr="00BE2D20">
              <w:rPr>
                <w:rFonts w:ascii="Arial" w:hAnsi="Arial" w:cs="Arial"/>
                <w:noProof/>
                <w:webHidden/>
              </w:rPr>
              <w:fldChar w:fldCharType="separate"/>
            </w:r>
            <w:r w:rsidRPr="00BE2D20">
              <w:rPr>
                <w:rFonts w:ascii="Arial" w:hAnsi="Arial" w:cs="Arial"/>
                <w:noProof/>
                <w:webHidden/>
              </w:rPr>
              <w:t>3</w:t>
            </w:r>
            <w:r w:rsidRPr="00BE2D20">
              <w:rPr>
                <w:rFonts w:ascii="Arial" w:hAnsi="Arial" w:cs="Arial"/>
                <w:noProof/>
                <w:webHidden/>
              </w:rPr>
              <w:fldChar w:fldCharType="end"/>
            </w:r>
          </w:hyperlink>
        </w:p>
        <w:p w14:paraId="0DC2FF75" w14:textId="23C07F68" w:rsidR="00BE2D20" w:rsidRPr="00BE2D20" w:rsidRDefault="00BE2D20" w:rsidP="00BE2D20">
          <w:pPr>
            <w:pStyle w:val="TOC2"/>
            <w:tabs>
              <w:tab w:val="right" w:leader="dot" w:pos="9350"/>
            </w:tabs>
            <w:spacing w:line="360" w:lineRule="auto"/>
            <w:jc w:val="both"/>
            <w:rPr>
              <w:rFonts w:ascii="Arial" w:hAnsi="Arial" w:cs="Arial"/>
              <w:noProof/>
            </w:rPr>
          </w:pPr>
          <w:hyperlink w:anchor="_Toc214161553" w:history="1">
            <w:r w:rsidRPr="00BE2D20">
              <w:rPr>
                <w:rStyle w:val="Hyperlink"/>
                <w:rFonts w:ascii="Arial" w:eastAsia="Times New Roman" w:hAnsi="Arial" w:cs="Arial"/>
                <w:noProof/>
              </w:rPr>
              <w:t>2.2. SDG 11: Sustainable Cities and Communities</w:t>
            </w:r>
            <w:r w:rsidRPr="00BE2D20">
              <w:rPr>
                <w:rFonts w:ascii="Arial" w:hAnsi="Arial" w:cs="Arial"/>
                <w:noProof/>
                <w:webHidden/>
              </w:rPr>
              <w:tab/>
            </w:r>
            <w:r w:rsidRPr="00BE2D20">
              <w:rPr>
                <w:rFonts w:ascii="Arial" w:hAnsi="Arial" w:cs="Arial"/>
                <w:noProof/>
                <w:webHidden/>
              </w:rPr>
              <w:fldChar w:fldCharType="begin"/>
            </w:r>
            <w:r w:rsidRPr="00BE2D20">
              <w:rPr>
                <w:rFonts w:ascii="Arial" w:hAnsi="Arial" w:cs="Arial"/>
                <w:noProof/>
                <w:webHidden/>
              </w:rPr>
              <w:instrText xml:space="preserve"> PAGEREF _Toc214161553 \h </w:instrText>
            </w:r>
            <w:r w:rsidRPr="00BE2D20">
              <w:rPr>
                <w:rFonts w:ascii="Arial" w:hAnsi="Arial" w:cs="Arial"/>
                <w:noProof/>
                <w:webHidden/>
              </w:rPr>
            </w:r>
            <w:r w:rsidRPr="00BE2D20">
              <w:rPr>
                <w:rFonts w:ascii="Arial" w:hAnsi="Arial" w:cs="Arial"/>
                <w:noProof/>
                <w:webHidden/>
              </w:rPr>
              <w:fldChar w:fldCharType="separate"/>
            </w:r>
            <w:r w:rsidRPr="00BE2D20">
              <w:rPr>
                <w:rFonts w:ascii="Arial" w:hAnsi="Arial" w:cs="Arial"/>
                <w:noProof/>
                <w:webHidden/>
              </w:rPr>
              <w:t>4</w:t>
            </w:r>
            <w:r w:rsidRPr="00BE2D20">
              <w:rPr>
                <w:rFonts w:ascii="Arial" w:hAnsi="Arial" w:cs="Arial"/>
                <w:noProof/>
                <w:webHidden/>
              </w:rPr>
              <w:fldChar w:fldCharType="end"/>
            </w:r>
          </w:hyperlink>
        </w:p>
        <w:p w14:paraId="0CCED637" w14:textId="73E67924" w:rsidR="00BE2D20" w:rsidRPr="00BE2D20" w:rsidRDefault="00BE2D20" w:rsidP="00BE2D20">
          <w:pPr>
            <w:pStyle w:val="TOC2"/>
            <w:tabs>
              <w:tab w:val="right" w:leader="dot" w:pos="9350"/>
            </w:tabs>
            <w:spacing w:line="360" w:lineRule="auto"/>
            <w:jc w:val="both"/>
            <w:rPr>
              <w:rFonts w:ascii="Arial" w:hAnsi="Arial" w:cs="Arial"/>
              <w:noProof/>
            </w:rPr>
          </w:pPr>
          <w:hyperlink w:anchor="_Toc214161554" w:history="1">
            <w:r w:rsidRPr="00BE2D20">
              <w:rPr>
                <w:rStyle w:val="Hyperlink"/>
                <w:rFonts w:ascii="Arial" w:eastAsia="Times New Roman" w:hAnsi="Arial" w:cs="Arial"/>
                <w:noProof/>
              </w:rPr>
              <w:t>2.3. The interrelationship between SDG 3 and SDG 11</w:t>
            </w:r>
            <w:r w:rsidRPr="00BE2D20">
              <w:rPr>
                <w:rFonts w:ascii="Arial" w:hAnsi="Arial" w:cs="Arial"/>
                <w:noProof/>
                <w:webHidden/>
              </w:rPr>
              <w:tab/>
            </w:r>
            <w:r w:rsidRPr="00BE2D20">
              <w:rPr>
                <w:rFonts w:ascii="Arial" w:hAnsi="Arial" w:cs="Arial"/>
                <w:noProof/>
                <w:webHidden/>
              </w:rPr>
              <w:fldChar w:fldCharType="begin"/>
            </w:r>
            <w:r w:rsidRPr="00BE2D20">
              <w:rPr>
                <w:rFonts w:ascii="Arial" w:hAnsi="Arial" w:cs="Arial"/>
                <w:noProof/>
                <w:webHidden/>
              </w:rPr>
              <w:instrText xml:space="preserve"> PAGEREF _Toc214161554 \h </w:instrText>
            </w:r>
            <w:r w:rsidRPr="00BE2D20">
              <w:rPr>
                <w:rFonts w:ascii="Arial" w:hAnsi="Arial" w:cs="Arial"/>
                <w:noProof/>
                <w:webHidden/>
              </w:rPr>
            </w:r>
            <w:r w:rsidRPr="00BE2D20">
              <w:rPr>
                <w:rFonts w:ascii="Arial" w:hAnsi="Arial" w:cs="Arial"/>
                <w:noProof/>
                <w:webHidden/>
              </w:rPr>
              <w:fldChar w:fldCharType="separate"/>
            </w:r>
            <w:r w:rsidRPr="00BE2D20">
              <w:rPr>
                <w:rFonts w:ascii="Arial" w:hAnsi="Arial" w:cs="Arial"/>
                <w:noProof/>
                <w:webHidden/>
              </w:rPr>
              <w:t>4</w:t>
            </w:r>
            <w:r w:rsidRPr="00BE2D20">
              <w:rPr>
                <w:rFonts w:ascii="Arial" w:hAnsi="Arial" w:cs="Arial"/>
                <w:noProof/>
                <w:webHidden/>
              </w:rPr>
              <w:fldChar w:fldCharType="end"/>
            </w:r>
          </w:hyperlink>
        </w:p>
        <w:p w14:paraId="75FCC3FC" w14:textId="18B6D8BD" w:rsidR="00BE2D20" w:rsidRPr="00BE2D20" w:rsidRDefault="00BE2D20" w:rsidP="00BE2D20">
          <w:pPr>
            <w:pStyle w:val="TOC1"/>
            <w:tabs>
              <w:tab w:val="right" w:leader="dot" w:pos="9350"/>
            </w:tabs>
            <w:spacing w:line="360" w:lineRule="auto"/>
            <w:jc w:val="both"/>
            <w:rPr>
              <w:rFonts w:ascii="Arial" w:hAnsi="Arial" w:cs="Arial"/>
              <w:noProof/>
            </w:rPr>
          </w:pPr>
          <w:hyperlink w:anchor="_Toc214161555" w:history="1">
            <w:r w:rsidRPr="00BE2D20">
              <w:rPr>
                <w:rStyle w:val="Hyperlink"/>
                <w:rFonts w:ascii="Arial" w:eastAsia="Times New Roman" w:hAnsi="Arial" w:cs="Arial"/>
                <w:noProof/>
              </w:rPr>
              <w:t>3. The National and Local Context: Policy Landscape in Wales</w:t>
            </w:r>
            <w:r w:rsidRPr="00BE2D20">
              <w:rPr>
                <w:rFonts w:ascii="Arial" w:hAnsi="Arial" w:cs="Arial"/>
                <w:noProof/>
                <w:webHidden/>
              </w:rPr>
              <w:tab/>
            </w:r>
            <w:r w:rsidRPr="00BE2D20">
              <w:rPr>
                <w:rFonts w:ascii="Arial" w:hAnsi="Arial" w:cs="Arial"/>
                <w:noProof/>
                <w:webHidden/>
              </w:rPr>
              <w:fldChar w:fldCharType="begin"/>
            </w:r>
            <w:r w:rsidRPr="00BE2D20">
              <w:rPr>
                <w:rFonts w:ascii="Arial" w:hAnsi="Arial" w:cs="Arial"/>
                <w:noProof/>
                <w:webHidden/>
              </w:rPr>
              <w:instrText xml:space="preserve"> PAGEREF _Toc214161555 \h </w:instrText>
            </w:r>
            <w:r w:rsidRPr="00BE2D20">
              <w:rPr>
                <w:rFonts w:ascii="Arial" w:hAnsi="Arial" w:cs="Arial"/>
                <w:noProof/>
                <w:webHidden/>
              </w:rPr>
            </w:r>
            <w:r w:rsidRPr="00BE2D20">
              <w:rPr>
                <w:rFonts w:ascii="Arial" w:hAnsi="Arial" w:cs="Arial"/>
                <w:noProof/>
                <w:webHidden/>
              </w:rPr>
              <w:fldChar w:fldCharType="separate"/>
            </w:r>
            <w:r w:rsidRPr="00BE2D20">
              <w:rPr>
                <w:rFonts w:ascii="Arial" w:hAnsi="Arial" w:cs="Arial"/>
                <w:noProof/>
                <w:webHidden/>
              </w:rPr>
              <w:t>4</w:t>
            </w:r>
            <w:r w:rsidRPr="00BE2D20">
              <w:rPr>
                <w:rFonts w:ascii="Arial" w:hAnsi="Arial" w:cs="Arial"/>
                <w:noProof/>
                <w:webHidden/>
              </w:rPr>
              <w:fldChar w:fldCharType="end"/>
            </w:r>
          </w:hyperlink>
        </w:p>
        <w:p w14:paraId="7CF789BD" w14:textId="470C3168" w:rsidR="00BE2D20" w:rsidRPr="00BE2D20" w:rsidRDefault="00BE2D20" w:rsidP="00BE2D20">
          <w:pPr>
            <w:pStyle w:val="TOC2"/>
            <w:tabs>
              <w:tab w:val="right" w:leader="dot" w:pos="9350"/>
            </w:tabs>
            <w:spacing w:line="360" w:lineRule="auto"/>
            <w:jc w:val="both"/>
            <w:rPr>
              <w:rFonts w:ascii="Arial" w:hAnsi="Arial" w:cs="Arial"/>
              <w:noProof/>
            </w:rPr>
          </w:pPr>
          <w:hyperlink w:anchor="_Toc214161556" w:history="1">
            <w:r w:rsidRPr="00BE2D20">
              <w:rPr>
                <w:rStyle w:val="Hyperlink"/>
                <w:rFonts w:ascii="Arial" w:eastAsia="Times New Roman" w:hAnsi="Arial" w:cs="Arial"/>
                <w:noProof/>
              </w:rPr>
              <w:t>3.1. Well-being of Future Generations (Wales) Act of 2015</w:t>
            </w:r>
            <w:r w:rsidRPr="00BE2D20">
              <w:rPr>
                <w:rFonts w:ascii="Arial" w:hAnsi="Arial" w:cs="Arial"/>
                <w:noProof/>
                <w:webHidden/>
              </w:rPr>
              <w:tab/>
            </w:r>
            <w:r w:rsidRPr="00BE2D20">
              <w:rPr>
                <w:rFonts w:ascii="Arial" w:hAnsi="Arial" w:cs="Arial"/>
                <w:noProof/>
                <w:webHidden/>
              </w:rPr>
              <w:fldChar w:fldCharType="begin"/>
            </w:r>
            <w:r w:rsidRPr="00BE2D20">
              <w:rPr>
                <w:rFonts w:ascii="Arial" w:hAnsi="Arial" w:cs="Arial"/>
                <w:noProof/>
                <w:webHidden/>
              </w:rPr>
              <w:instrText xml:space="preserve"> PAGEREF _Toc214161556 \h </w:instrText>
            </w:r>
            <w:r w:rsidRPr="00BE2D20">
              <w:rPr>
                <w:rFonts w:ascii="Arial" w:hAnsi="Arial" w:cs="Arial"/>
                <w:noProof/>
                <w:webHidden/>
              </w:rPr>
            </w:r>
            <w:r w:rsidRPr="00BE2D20">
              <w:rPr>
                <w:rFonts w:ascii="Arial" w:hAnsi="Arial" w:cs="Arial"/>
                <w:noProof/>
                <w:webHidden/>
              </w:rPr>
              <w:fldChar w:fldCharType="separate"/>
            </w:r>
            <w:r w:rsidRPr="00BE2D20">
              <w:rPr>
                <w:rFonts w:ascii="Arial" w:hAnsi="Arial" w:cs="Arial"/>
                <w:noProof/>
                <w:webHidden/>
              </w:rPr>
              <w:t>4</w:t>
            </w:r>
            <w:r w:rsidRPr="00BE2D20">
              <w:rPr>
                <w:rFonts w:ascii="Arial" w:hAnsi="Arial" w:cs="Arial"/>
                <w:noProof/>
                <w:webHidden/>
              </w:rPr>
              <w:fldChar w:fldCharType="end"/>
            </w:r>
          </w:hyperlink>
        </w:p>
        <w:p w14:paraId="3F6C06C7" w14:textId="61A77253" w:rsidR="00BE2D20" w:rsidRPr="00BE2D20" w:rsidRDefault="00BE2D20" w:rsidP="00BE2D20">
          <w:pPr>
            <w:pStyle w:val="TOC2"/>
            <w:tabs>
              <w:tab w:val="right" w:leader="dot" w:pos="9350"/>
            </w:tabs>
            <w:spacing w:line="360" w:lineRule="auto"/>
            <w:jc w:val="both"/>
            <w:rPr>
              <w:rFonts w:ascii="Arial" w:hAnsi="Arial" w:cs="Arial"/>
              <w:noProof/>
            </w:rPr>
          </w:pPr>
          <w:hyperlink w:anchor="_Toc214161557" w:history="1">
            <w:r w:rsidRPr="00BE2D20">
              <w:rPr>
                <w:rStyle w:val="Hyperlink"/>
                <w:rFonts w:ascii="Arial" w:eastAsia="Times New Roman" w:hAnsi="Arial" w:cs="Arial"/>
                <w:noProof/>
              </w:rPr>
              <w:t>3.2. National Projects: The Foundational Economy and "Cymru Can"</w:t>
            </w:r>
            <w:r w:rsidRPr="00BE2D20">
              <w:rPr>
                <w:rFonts w:ascii="Arial" w:hAnsi="Arial" w:cs="Arial"/>
                <w:noProof/>
                <w:webHidden/>
              </w:rPr>
              <w:tab/>
            </w:r>
            <w:r w:rsidRPr="00BE2D20">
              <w:rPr>
                <w:rFonts w:ascii="Arial" w:hAnsi="Arial" w:cs="Arial"/>
                <w:noProof/>
                <w:webHidden/>
              </w:rPr>
              <w:fldChar w:fldCharType="begin"/>
            </w:r>
            <w:r w:rsidRPr="00BE2D20">
              <w:rPr>
                <w:rFonts w:ascii="Arial" w:hAnsi="Arial" w:cs="Arial"/>
                <w:noProof/>
                <w:webHidden/>
              </w:rPr>
              <w:instrText xml:space="preserve"> PAGEREF _Toc214161557 \h </w:instrText>
            </w:r>
            <w:r w:rsidRPr="00BE2D20">
              <w:rPr>
                <w:rFonts w:ascii="Arial" w:hAnsi="Arial" w:cs="Arial"/>
                <w:noProof/>
                <w:webHidden/>
              </w:rPr>
            </w:r>
            <w:r w:rsidRPr="00BE2D20">
              <w:rPr>
                <w:rFonts w:ascii="Arial" w:hAnsi="Arial" w:cs="Arial"/>
                <w:noProof/>
                <w:webHidden/>
              </w:rPr>
              <w:fldChar w:fldCharType="separate"/>
            </w:r>
            <w:r w:rsidRPr="00BE2D20">
              <w:rPr>
                <w:rFonts w:ascii="Arial" w:hAnsi="Arial" w:cs="Arial"/>
                <w:noProof/>
                <w:webHidden/>
              </w:rPr>
              <w:t>5</w:t>
            </w:r>
            <w:r w:rsidRPr="00BE2D20">
              <w:rPr>
                <w:rFonts w:ascii="Arial" w:hAnsi="Arial" w:cs="Arial"/>
                <w:noProof/>
                <w:webHidden/>
              </w:rPr>
              <w:fldChar w:fldCharType="end"/>
            </w:r>
          </w:hyperlink>
        </w:p>
        <w:p w14:paraId="2E4CE885" w14:textId="4BBCF1EF" w:rsidR="00BE2D20" w:rsidRPr="00BE2D20" w:rsidRDefault="00BE2D20" w:rsidP="00BE2D20">
          <w:pPr>
            <w:pStyle w:val="TOC1"/>
            <w:tabs>
              <w:tab w:val="right" w:leader="dot" w:pos="9350"/>
            </w:tabs>
            <w:spacing w:line="360" w:lineRule="auto"/>
            <w:jc w:val="both"/>
            <w:rPr>
              <w:rFonts w:ascii="Arial" w:hAnsi="Arial" w:cs="Arial"/>
              <w:noProof/>
            </w:rPr>
          </w:pPr>
          <w:hyperlink w:anchor="_Toc214161558" w:history="1">
            <w:r w:rsidRPr="00BE2D20">
              <w:rPr>
                <w:rStyle w:val="Hyperlink"/>
                <w:rFonts w:ascii="Arial" w:eastAsia="Times New Roman" w:hAnsi="Arial" w:cs="Arial"/>
                <w:noProof/>
              </w:rPr>
              <w:t>4. Efficiency and Effectiveness: Evaluation From Policy to Results</w:t>
            </w:r>
            <w:r w:rsidRPr="00BE2D20">
              <w:rPr>
                <w:rFonts w:ascii="Arial" w:hAnsi="Arial" w:cs="Arial"/>
                <w:noProof/>
                <w:webHidden/>
              </w:rPr>
              <w:tab/>
            </w:r>
            <w:r w:rsidRPr="00BE2D20">
              <w:rPr>
                <w:rFonts w:ascii="Arial" w:hAnsi="Arial" w:cs="Arial"/>
                <w:noProof/>
                <w:webHidden/>
              </w:rPr>
              <w:fldChar w:fldCharType="begin"/>
            </w:r>
            <w:r w:rsidRPr="00BE2D20">
              <w:rPr>
                <w:rFonts w:ascii="Arial" w:hAnsi="Arial" w:cs="Arial"/>
                <w:noProof/>
                <w:webHidden/>
              </w:rPr>
              <w:instrText xml:space="preserve"> PAGEREF _Toc214161558 \h </w:instrText>
            </w:r>
            <w:r w:rsidRPr="00BE2D20">
              <w:rPr>
                <w:rFonts w:ascii="Arial" w:hAnsi="Arial" w:cs="Arial"/>
                <w:noProof/>
                <w:webHidden/>
              </w:rPr>
            </w:r>
            <w:r w:rsidRPr="00BE2D20">
              <w:rPr>
                <w:rFonts w:ascii="Arial" w:hAnsi="Arial" w:cs="Arial"/>
                <w:noProof/>
                <w:webHidden/>
              </w:rPr>
              <w:fldChar w:fldCharType="separate"/>
            </w:r>
            <w:r w:rsidRPr="00BE2D20">
              <w:rPr>
                <w:rFonts w:ascii="Arial" w:hAnsi="Arial" w:cs="Arial"/>
                <w:noProof/>
                <w:webHidden/>
              </w:rPr>
              <w:t>5</w:t>
            </w:r>
            <w:r w:rsidRPr="00BE2D20">
              <w:rPr>
                <w:rFonts w:ascii="Arial" w:hAnsi="Arial" w:cs="Arial"/>
                <w:noProof/>
                <w:webHidden/>
              </w:rPr>
              <w:fldChar w:fldCharType="end"/>
            </w:r>
          </w:hyperlink>
        </w:p>
        <w:p w14:paraId="57810331" w14:textId="0E337CCA" w:rsidR="00BE2D20" w:rsidRPr="00BE2D20" w:rsidRDefault="00BE2D20" w:rsidP="00BE2D20">
          <w:pPr>
            <w:pStyle w:val="TOC2"/>
            <w:tabs>
              <w:tab w:val="right" w:leader="dot" w:pos="9350"/>
            </w:tabs>
            <w:spacing w:line="360" w:lineRule="auto"/>
            <w:jc w:val="both"/>
            <w:rPr>
              <w:rFonts w:ascii="Arial" w:hAnsi="Arial" w:cs="Arial"/>
              <w:noProof/>
            </w:rPr>
          </w:pPr>
          <w:hyperlink w:anchor="_Toc214161559" w:history="1">
            <w:r w:rsidRPr="00BE2D20">
              <w:rPr>
                <w:rStyle w:val="Hyperlink"/>
                <w:rFonts w:ascii="Arial" w:eastAsia="Times New Roman" w:hAnsi="Arial" w:cs="Arial"/>
                <w:noProof/>
              </w:rPr>
              <w:t>4.1. Welsh Approach Strengths</w:t>
            </w:r>
            <w:r w:rsidRPr="00BE2D20">
              <w:rPr>
                <w:rFonts w:ascii="Arial" w:hAnsi="Arial" w:cs="Arial"/>
                <w:noProof/>
                <w:webHidden/>
              </w:rPr>
              <w:tab/>
            </w:r>
            <w:r w:rsidRPr="00BE2D20">
              <w:rPr>
                <w:rFonts w:ascii="Arial" w:hAnsi="Arial" w:cs="Arial"/>
                <w:noProof/>
                <w:webHidden/>
              </w:rPr>
              <w:fldChar w:fldCharType="begin"/>
            </w:r>
            <w:r w:rsidRPr="00BE2D20">
              <w:rPr>
                <w:rFonts w:ascii="Arial" w:hAnsi="Arial" w:cs="Arial"/>
                <w:noProof/>
                <w:webHidden/>
              </w:rPr>
              <w:instrText xml:space="preserve"> PAGEREF _Toc214161559 \h </w:instrText>
            </w:r>
            <w:r w:rsidRPr="00BE2D20">
              <w:rPr>
                <w:rFonts w:ascii="Arial" w:hAnsi="Arial" w:cs="Arial"/>
                <w:noProof/>
                <w:webHidden/>
              </w:rPr>
            </w:r>
            <w:r w:rsidRPr="00BE2D20">
              <w:rPr>
                <w:rFonts w:ascii="Arial" w:hAnsi="Arial" w:cs="Arial"/>
                <w:noProof/>
                <w:webHidden/>
              </w:rPr>
              <w:fldChar w:fldCharType="separate"/>
            </w:r>
            <w:r w:rsidRPr="00BE2D20">
              <w:rPr>
                <w:rFonts w:ascii="Arial" w:hAnsi="Arial" w:cs="Arial"/>
                <w:noProof/>
                <w:webHidden/>
              </w:rPr>
              <w:t>5</w:t>
            </w:r>
            <w:r w:rsidRPr="00BE2D20">
              <w:rPr>
                <w:rFonts w:ascii="Arial" w:hAnsi="Arial" w:cs="Arial"/>
                <w:noProof/>
                <w:webHidden/>
              </w:rPr>
              <w:fldChar w:fldCharType="end"/>
            </w:r>
          </w:hyperlink>
        </w:p>
        <w:p w14:paraId="0B645694" w14:textId="6CF14830" w:rsidR="00BE2D20" w:rsidRPr="00BE2D20" w:rsidRDefault="00BE2D20" w:rsidP="00BE2D20">
          <w:pPr>
            <w:pStyle w:val="TOC2"/>
            <w:tabs>
              <w:tab w:val="right" w:leader="dot" w:pos="9350"/>
            </w:tabs>
            <w:spacing w:line="360" w:lineRule="auto"/>
            <w:jc w:val="both"/>
            <w:rPr>
              <w:rFonts w:ascii="Arial" w:hAnsi="Arial" w:cs="Arial"/>
              <w:noProof/>
            </w:rPr>
          </w:pPr>
          <w:hyperlink w:anchor="_Toc214161560" w:history="1">
            <w:r w:rsidRPr="00BE2D20">
              <w:rPr>
                <w:rStyle w:val="Hyperlink"/>
                <w:rFonts w:ascii="Arial" w:eastAsia="Times New Roman" w:hAnsi="Arial" w:cs="Arial"/>
                <w:noProof/>
              </w:rPr>
              <w:t>4.2. Challenges and Limitations</w:t>
            </w:r>
            <w:r w:rsidRPr="00BE2D20">
              <w:rPr>
                <w:rFonts w:ascii="Arial" w:hAnsi="Arial" w:cs="Arial"/>
                <w:noProof/>
                <w:webHidden/>
              </w:rPr>
              <w:tab/>
            </w:r>
            <w:r w:rsidRPr="00BE2D20">
              <w:rPr>
                <w:rFonts w:ascii="Arial" w:hAnsi="Arial" w:cs="Arial"/>
                <w:noProof/>
                <w:webHidden/>
              </w:rPr>
              <w:fldChar w:fldCharType="begin"/>
            </w:r>
            <w:r w:rsidRPr="00BE2D20">
              <w:rPr>
                <w:rFonts w:ascii="Arial" w:hAnsi="Arial" w:cs="Arial"/>
                <w:noProof/>
                <w:webHidden/>
              </w:rPr>
              <w:instrText xml:space="preserve"> PAGEREF _Toc214161560 \h </w:instrText>
            </w:r>
            <w:r w:rsidRPr="00BE2D20">
              <w:rPr>
                <w:rFonts w:ascii="Arial" w:hAnsi="Arial" w:cs="Arial"/>
                <w:noProof/>
                <w:webHidden/>
              </w:rPr>
            </w:r>
            <w:r w:rsidRPr="00BE2D20">
              <w:rPr>
                <w:rFonts w:ascii="Arial" w:hAnsi="Arial" w:cs="Arial"/>
                <w:noProof/>
                <w:webHidden/>
              </w:rPr>
              <w:fldChar w:fldCharType="separate"/>
            </w:r>
            <w:r w:rsidRPr="00BE2D20">
              <w:rPr>
                <w:rFonts w:ascii="Arial" w:hAnsi="Arial" w:cs="Arial"/>
                <w:noProof/>
                <w:webHidden/>
              </w:rPr>
              <w:t>5</w:t>
            </w:r>
            <w:r w:rsidRPr="00BE2D20">
              <w:rPr>
                <w:rFonts w:ascii="Arial" w:hAnsi="Arial" w:cs="Arial"/>
                <w:noProof/>
                <w:webHidden/>
              </w:rPr>
              <w:fldChar w:fldCharType="end"/>
            </w:r>
          </w:hyperlink>
        </w:p>
        <w:p w14:paraId="235A3533" w14:textId="73852B87" w:rsidR="00BE2D20" w:rsidRPr="00BE2D20" w:rsidRDefault="00BE2D20" w:rsidP="00BE2D20">
          <w:pPr>
            <w:pStyle w:val="TOC1"/>
            <w:tabs>
              <w:tab w:val="right" w:leader="dot" w:pos="9350"/>
            </w:tabs>
            <w:spacing w:line="360" w:lineRule="auto"/>
            <w:jc w:val="both"/>
            <w:rPr>
              <w:rFonts w:ascii="Arial" w:hAnsi="Arial" w:cs="Arial"/>
              <w:noProof/>
            </w:rPr>
          </w:pPr>
          <w:hyperlink w:anchor="_Toc214161561" w:history="1">
            <w:r w:rsidRPr="00BE2D20">
              <w:rPr>
                <w:rStyle w:val="Hyperlink"/>
                <w:rFonts w:ascii="Arial" w:eastAsia="Times New Roman" w:hAnsi="Arial" w:cs="Arial"/>
                <w:noProof/>
              </w:rPr>
              <w:t>5. Improvement Recommendations</w:t>
            </w:r>
            <w:r w:rsidRPr="00BE2D20">
              <w:rPr>
                <w:rFonts w:ascii="Arial" w:hAnsi="Arial" w:cs="Arial"/>
                <w:noProof/>
                <w:webHidden/>
              </w:rPr>
              <w:tab/>
            </w:r>
            <w:r w:rsidRPr="00BE2D20">
              <w:rPr>
                <w:rFonts w:ascii="Arial" w:hAnsi="Arial" w:cs="Arial"/>
                <w:noProof/>
                <w:webHidden/>
              </w:rPr>
              <w:fldChar w:fldCharType="begin"/>
            </w:r>
            <w:r w:rsidRPr="00BE2D20">
              <w:rPr>
                <w:rFonts w:ascii="Arial" w:hAnsi="Arial" w:cs="Arial"/>
                <w:noProof/>
                <w:webHidden/>
              </w:rPr>
              <w:instrText xml:space="preserve"> PAGEREF _Toc214161561 \h </w:instrText>
            </w:r>
            <w:r w:rsidRPr="00BE2D20">
              <w:rPr>
                <w:rFonts w:ascii="Arial" w:hAnsi="Arial" w:cs="Arial"/>
                <w:noProof/>
                <w:webHidden/>
              </w:rPr>
            </w:r>
            <w:r w:rsidRPr="00BE2D20">
              <w:rPr>
                <w:rFonts w:ascii="Arial" w:hAnsi="Arial" w:cs="Arial"/>
                <w:noProof/>
                <w:webHidden/>
              </w:rPr>
              <w:fldChar w:fldCharType="separate"/>
            </w:r>
            <w:r w:rsidRPr="00BE2D20">
              <w:rPr>
                <w:rFonts w:ascii="Arial" w:hAnsi="Arial" w:cs="Arial"/>
                <w:noProof/>
                <w:webHidden/>
              </w:rPr>
              <w:t>6</w:t>
            </w:r>
            <w:r w:rsidRPr="00BE2D20">
              <w:rPr>
                <w:rFonts w:ascii="Arial" w:hAnsi="Arial" w:cs="Arial"/>
                <w:noProof/>
                <w:webHidden/>
              </w:rPr>
              <w:fldChar w:fldCharType="end"/>
            </w:r>
          </w:hyperlink>
        </w:p>
        <w:p w14:paraId="56B7994D" w14:textId="72580DDA" w:rsidR="00BE2D20" w:rsidRPr="00BE2D20" w:rsidRDefault="00BE2D20" w:rsidP="00BE2D20">
          <w:pPr>
            <w:pStyle w:val="TOC1"/>
            <w:tabs>
              <w:tab w:val="right" w:leader="dot" w:pos="9350"/>
            </w:tabs>
            <w:spacing w:line="360" w:lineRule="auto"/>
            <w:jc w:val="both"/>
            <w:rPr>
              <w:rFonts w:ascii="Arial" w:hAnsi="Arial" w:cs="Arial"/>
              <w:noProof/>
            </w:rPr>
          </w:pPr>
          <w:hyperlink w:anchor="_Toc214161562" w:history="1">
            <w:r w:rsidRPr="00BE2D20">
              <w:rPr>
                <w:rStyle w:val="Hyperlink"/>
                <w:rFonts w:ascii="Arial" w:eastAsia="Times New Roman" w:hAnsi="Arial" w:cs="Arial"/>
                <w:noProof/>
              </w:rPr>
              <w:t>6. Conclusion</w:t>
            </w:r>
            <w:r w:rsidRPr="00BE2D20">
              <w:rPr>
                <w:rFonts w:ascii="Arial" w:hAnsi="Arial" w:cs="Arial"/>
                <w:noProof/>
                <w:webHidden/>
              </w:rPr>
              <w:tab/>
            </w:r>
            <w:r w:rsidRPr="00BE2D20">
              <w:rPr>
                <w:rFonts w:ascii="Arial" w:hAnsi="Arial" w:cs="Arial"/>
                <w:noProof/>
                <w:webHidden/>
              </w:rPr>
              <w:fldChar w:fldCharType="begin"/>
            </w:r>
            <w:r w:rsidRPr="00BE2D20">
              <w:rPr>
                <w:rFonts w:ascii="Arial" w:hAnsi="Arial" w:cs="Arial"/>
                <w:noProof/>
                <w:webHidden/>
              </w:rPr>
              <w:instrText xml:space="preserve"> PAGEREF _Toc214161562 \h </w:instrText>
            </w:r>
            <w:r w:rsidRPr="00BE2D20">
              <w:rPr>
                <w:rFonts w:ascii="Arial" w:hAnsi="Arial" w:cs="Arial"/>
                <w:noProof/>
                <w:webHidden/>
              </w:rPr>
            </w:r>
            <w:r w:rsidRPr="00BE2D20">
              <w:rPr>
                <w:rFonts w:ascii="Arial" w:hAnsi="Arial" w:cs="Arial"/>
                <w:noProof/>
                <w:webHidden/>
              </w:rPr>
              <w:fldChar w:fldCharType="separate"/>
            </w:r>
            <w:r w:rsidRPr="00BE2D20">
              <w:rPr>
                <w:rFonts w:ascii="Arial" w:hAnsi="Arial" w:cs="Arial"/>
                <w:noProof/>
                <w:webHidden/>
              </w:rPr>
              <w:t>7</w:t>
            </w:r>
            <w:r w:rsidRPr="00BE2D20">
              <w:rPr>
                <w:rFonts w:ascii="Arial" w:hAnsi="Arial" w:cs="Arial"/>
                <w:noProof/>
                <w:webHidden/>
              </w:rPr>
              <w:fldChar w:fldCharType="end"/>
            </w:r>
          </w:hyperlink>
        </w:p>
        <w:p w14:paraId="5C810C84" w14:textId="092203D5" w:rsidR="00BE2D20" w:rsidRPr="00BE2D20" w:rsidRDefault="00BE2D20" w:rsidP="00BE2D20">
          <w:pPr>
            <w:pStyle w:val="TOC1"/>
            <w:tabs>
              <w:tab w:val="right" w:leader="dot" w:pos="9350"/>
            </w:tabs>
            <w:spacing w:line="360" w:lineRule="auto"/>
            <w:jc w:val="both"/>
            <w:rPr>
              <w:rFonts w:ascii="Arial" w:hAnsi="Arial" w:cs="Arial"/>
              <w:noProof/>
            </w:rPr>
          </w:pPr>
          <w:hyperlink w:anchor="_Toc214161563" w:history="1">
            <w:r w:rsidRPr="00BE2D20">
              <w:rPr>
                <w:rStyle w:val="Hyperlink"/>
                <w:rFonts w:ascii="Arial" w:hAnsi="Arial" w:cs="Arial"/>
                <w:noProof/>
              </w:rPr>
              <w:t>References</w:t>
            </w:r>
            <w:r w:rsidRPr="00BE2D20">
              <w:rPr>
                <w:rFonts w:ascii="Arial" w:hAnsi="Arial" w:cs="Arial"/>
                <w:noProof/>
                <w:webHidden/>
              </w:rPr>
              <w:tab/>
            </w:r>
            <w:r w:rsidRPr="00BE2D20">
              <w:rPr>
                <w:rFonts w:ascii="Arial" w:hAnsi="Arial" w:cs="Arial"/>
                <w:noProof/>
                <w:webHidden/>
              </w:rPr>
              <w:fldChar w:fldCharType="begin"/>
            </w:r>
            <w:r w:rsidRPr="00BE2D20">
              <w:rPr>
                <w:rFonts w:ascii="Arial" w:hAnsi="Arial" w:cs="Arial"/>
                <w:noProof/>
                <w:webHidden/>
              </w:rPr>
              <w:instrText xml:space="preserve"> PAGEREF _Toc214161563 \h </w:instrText>
            </w:r>
            <w:r w:rsidRPr="00BE2D20">
              <w:rPr>
                <w:rFonts w:ascii="Arial" w:hAnsi="Arial" w:cs="Arial"/>
                <w:noProof/>
                <w:webHidden/>
              </w:rPr>
            </w:r>
            <w:r w:rsidRPr="00BE2D20">
              <w:rPr>
                <w:rFonts w:ascii="Arial" w:hAnsi="Arial" w:cs="Arial"/>
                <w:noProof/>
                <w:webHidden/>
              </w:rPr>
              <w:fldChar w:fldCharType="separate"/>
            </w:r>
            <w:r w:rsidRPr="00BE2D20">
              <w:rPr>
                <w:rFonts w:ascii="Arial" w:hAnsi="Arial" w:cs="Arial"/>
                <w:noProof/>
                <w:webHidden/>
              </w:rPr>
              <w:t>8</w:t>
            </w:r>
            <w:r w:rsidRPr="00BE2D20">
              <w:rPr>
                <w:rFonts w:ascii="Arial" w:hAnsi="Arial" w:cs="Arial"/>
                <w:noProof/>
                <w:webHidden/>
              </w:rPr>
              <w:fldChar w:fldCharType="end"/>
            </w:r>
          </w:hyperlink>
        </w:p>
        <w:p w14:paraId="11A9D6AC" w14:textId="78F9BBD9" w:rsidR="00BE2D20" w:rsidRPr="00BE2D20" w:rsidRDefault="00BE2D20" w:rsidP="00BE2D20">
          <w:pPr>
            <w:spacing w:line="360" w:lineRule="auto"/>
            <w:jc w:val="both"/>
            <w:rPr>
              <w:rFonts w:ascii="Arial" w:hAnsi="Arial" w:cs="Arial"/>
            </w:rPr>
          </w:pPr>
          <w:r w:rsidRPr="00BE2D20">
            <w:rPr>
              <w:rFonts w:ascii="Arial" w:hAnsi="Arial" w:cs="Arial"/>
              <w:b/>
              <w:bCs/>
              <w:noProof/>
            </w:rPr>
            <w:fldChar w:fldCharType="end"/>
          </w:r>
        </w:p>
      </w:sdtContent>
    </w:sdt>
    <w:p w14:paraId="4A8D4D94" w14:textId="77777777" w:rsidR="00BE2D20" w:rsidRPr="00BE2D20" w:rsidRDefault="00BE2D20" w:rsidP="00BE2D20">
      <w:pPr>
        <w:spacing w:line="360" w:lineRule="auto"/>
        <w:jc w:val="both"/>
        <w:rPr>
          <w:rFonts w:ascii="Arial" w:hAnsi="Arial" w:cs="Arial"/>
        </w:rPr>
      </w:pPr>
    </w:p>
    <w:p w14:paraId="5D4ED4B7" w14:textId="77777777" w:rsidR="0075702B" w:rsidRPr="00BE2D20" w:rsidRDefault="0075702B" w:rsidP="00BE2D20">
      <w:pPr>
        <w:spacing w:line="360" w:lineRule="auto"/>
        <w:jc w:val="both"/>
        <w:rPr>
          <w:rFonts w:ascii="Arial" w:eastAsia="Times New Roman" w:hAnsi="Arial" w:cs="Arial"/>
          <w:b/>
          <w:bCs/>
          <w:color w:val="0F1115"/>
          <w:kern w:val="0"/>
          <w14:ligatures w14:val="none"/>
        </w:rPr>
      </w:pPr>
      <w:r w:rsidRPr="00BE2D20">
        <w:rPr>
          <w:rFonts w:ascii="Arial" w:eastAsia="Times New Roman" w:hAnsi="Arial" w:cs="Arial"/>
          <w:b/>
          <w:bCs/>
          <w:color w:val="0F1115"/>
          <w:kern w:val="0"/>
          <w14:ligatures w14:val="none"/>
        </w:rPr>
        <w:br w:type="page"/>
      </w:r>
    </w:p>
    <w:p w14:paraId="65F4D1B2" w14:textId="77777777" w:rsidR="008466D2" w:rsidRPr="00BE2D20" w:rsidRDefault="008466D2" w:rsidP="00BE2D20">
      <w:pPr>
        <w:pStyle w:val="Heading1"/>
        <w:spacing w:line="360" w:lineRule="auto"/>
        <w:jc w:val="both"/>
        <w:rPr>
          <w:rFonts w:ascii="Arial" w:eastAsia="Times New Roman" w:hAnsi="Arial" w:cs="Arial"/>
          <w:sz w:val="22"/>
          <w:szCs w:val="22"/>
        </w:rPr>
      </w:pPr>
      <w:bookmarkStart w:id="0" w:name="_Toc214161550"/>
      <w:r w:rsidRPr="00BE2D20">
        <w:rPr>
          <w:rFonts w:ascii="Arial" w:eastAsia="Times New Roman" w:hAnsi="Arial" w:cs="Arial"/>
          <w:sz w:val="22"/>
          <w:szCs w:val="22"/>
        </w:rPr>
        <w:t>1. Introduction</w:t>
      </w:r>
      <w:bookmarkEnd w:id="0"/>
    </w:p>
    <w:p w14:paraId="117A66D0" w14:textId="506DF4F1" w:rsidR="008466D2" w:rsidRPr="00BE2D20" w:rsidRDefault="008466D2" w:rsidP="00BE2D20">
      <w:pPr>
        <w:spacing w:line="360" w:lineRule="auto"/>
        <w:jc w:val="both"/>
        <w:rPr>
          <w:rFonts w:ascii="Arial" w:eastAsia="Times New Roman" w:hAnsi="Arial" w:cs="Arial"/>
          <w:kern w:val="0"/>
          <w14:ligatures w14:val="none"/>
        </w:rPr>
      </w:pPr>
      <w:r w:rsidRPr="008466D2">
        <w:rPr>
          <w:rFonts w:ascii="Arial" w:eastAsia="Times New Roman" w:hAnsi="Arial" w:cs="Arial"/>
          <w:kern w:val="0"/>
          <w14:ligatures w14:val="none"/>
        </w:rPr>
        <w:t>Health and wellbeing are pursued in an inseparable way and preconditioned by the sustainability principles</w:t>
      </w:r>
      <w:r w:rsidR="002A53AA" w:rsidRPr="00BE2D20">
        <w:rPr>
          <w:rFonts w:ascii="Arial" w:eastAsia="Times New Roman" w:hAnsi="Arial" w:cs="Arial"/>
          <w:kern w:val="0"/>
          <w:lang w:val="en-US"/>
          <w14:ligatures w14:val="none"/>
        </w:rPr>
        <w:t xml:space="preserve"> </w:t>
      </w:r>
      <w:r w:rsidR="002A53AA" w:rsidRPr="00BE2D20">
        <w:rPr>
          <w:rFonts w:ascii="Arial" w:eastAsia="Times New Roman" w:hAnsi="Arial" w:cs="Arial"/>
          <w:kern w:val="0"/>
          <w14:ligatures w14:val="none"/>
        </w:rPr>
        <w:t>(Helne &amp; Hirvilammi, 2015)</w:t>
      </w:r>
      <w:r w:rsidR="002A53AA" w:rsidRPr="00BE2D20">
        <w:rPr>
          <w:rFonts w:ascii="Arial" w:eastAsia="Times New Roman" w:hAnsi="Arial" w:cs="Arial"/>
          <w:kern w:val="0"/>
          <w:lang w:val="en-US"/>
          <w14:ligatures w14:val="none"/>
        </w:rPr>
        <w:t>.</w:t>
      </w:r>
      <w:r w:rsidRPr="008466D2">
        <w:rPr>
          <w:rFonts w:ascii="Arial" w:eastAsia="Times New Roman" w:hAnsi="Arial" w:cs="Arial"/>
          <w:kern w:val="0"/>
          <w14:ligatures w14:val="none"/>
        </w:rPr>
        <w:t xml:space="preserve"> International frameworks, such as the United Nations Sustainable Development Goals (SDGs), serve as a universal roadmap for an integrated effort</w:t>
      </w:r>
      <w:r w:rsidR="002A53AA" w:rsidRPr="00BE2D20">
        <w:rPr>
          <w:rFonts w:ascii="Arial" w:eastAsia="Times New Roman" w:hAnsi="Arial" w:cs="Arial"/>
          <w:kern w:val="0"/>
          <w:lang w:val="en-US"/>
          <w14:ligatures w14:val="none"/>
        </w:rPr>
        <w:t xml:space="preserve"> </w:t>
      </w:r>
      <w:r w:rsidR="002A53AA" w:rsidRPr="00BE2D20">
        <w:rPr>
          <w:rFonts w:ascii="Arial" w:eastAsia="Times New Roman" w:hAnsi="Arial" w:cs="Arial"/>
          <w:kern w:val="0"/>
          <w14:ligatures w14:val="none"/>
        </w:rPr>
        <w:t>(Shayan et al., 2022)</w:t>
      </w:r>
      <w:r w:rsidR="002A53AA" w:rsidRPr="00BE2D20">
        <w:rPr>
          <w:rFonts w:ascii="Arial" w:eastAsia="Times New Roman" w:hAnsi="Arial" w:cs="Arial"/>
          <w:kern w:val="0"/>
          <w:lang w:val="en-US"/>
          <w14:ligatures w14:val="none"/>
        </w:rPr>
        <w:t>.</w:t>
      </w:r>
      <w:r w:rsidRPr="008466D2">
        <w:rPr>
          <w:rFonts w:ascii="Arial" w:eastAsia="Times New Roman" w:hAnsi="Arial" w:cs="Arial"/>
          <w:kern w:val="0"/>
          <w14:ligatures w14:val="none"/>
        </w:rPr>
        <w:t xml:space="preserve"> But the success of such purposes is ultimately assessed on how well such goals are translated into national and local action. This report critically reviews the effect of health, wellbeing, and sustainability policy on the citizens and, in particular, the case of Wales as a devolved country and a country with an </w:t>
      </w:r>
      <w:r w:rsidRPr="00BE2D20">
        <w:rPr>
          <w:rFonts w:ascii="Arial" w:eastAsia="Times New Roman" w:hAnsi="Arial" w:cs="Arial"/>
          <w:kern w:val="0"/>
          <w14:ligatures w14:val="none"/>
        </w:rPr>
        <w:t>unprecedented legislative undertaking</w:t>
      </w:r>
      <w:r w:rsidRPr="008466D2">
        <w:rPr>
          <w:rFonts w:ascii="Arial" w:eastAsia="Times New Roman" w:hAnsi="Arial" w:cs="Arial"/>
          <w:kern w:val="0"/>
          <w14:ligatures w14:val="none"/>
        </w:rPr>
        <w:t>.</w:t>
      </w:r>
      <w:r w:rsidR="002A53AA" w:rsidRPr="00BE2D20">
        <w:rPr>
          <w:rFonts w:ascii="Arial" w:eastAsia="Times New Roman" w:hAnsi="Arial" w:cs="Arial"/>
          <w:kern w:val="0"/>
          <w:lang w:val="en-US"/>
          <w14:ligatures w14:val="none"/>
        </w:rPr>
        <w:t xml:space="preserve"> </w:t>
      </w:r>
      <w:r w:rsidRPr="008466D2">
        <w:rPr>
          <w:rFonts w:ascii="Arial" w:eastAsia="Times New Roman" w:hAnsi="Arial" w:cs="Arial"/>
          <w:kern w:val="0"/>
          <w14:ligatures w14:val="none"/>
        </w:rPr>
        <w:t xml:space="preserve">The report will first examine SDG 3 (Good Health and Well-being) and SDG 11 (Sustainable Cities and Communities) to demonstrate their synergistic nature. It will then examine how the key Welsh policies most notably the Well-being of Future Generations (Wales) Act of 2015, operationalise these global ambitions. This report will assess the benefits and recurring issues of enhancing citizen health and wellbeing by drawing on academic sources, government publications, and empirical studies. Lastly, </w:t>
      </w:r>
      <w:r w:rsidRPr="00BE2D20">
        <w:rPr>
          <w:rFonts w:ascii="Arial" w:eastAsia="Times New Roman" w:hAnsi="Arial" w:cs="Arial"/>
          <w:kern w:val="0"/>
          <w14:ligatures w14:val="none"/>
        </w:rPr>
        <w:t>evidence-based</w:t>
      </w:r>
      <w:r w:rsidRPr="008466D2">
        <w:rPr>
          <w:rFonts w:ascii="Arial" w:eastAsia="Times New Roman" w:hAnsi="Arial" w:cs="Arial"/>
          <w:kern w:val="0"/>
          <w14:ligatures w14:val="none"/>
        </w:rPr>
        <w:t xml:space="preserve"> suggestions will be given to enhance the current efforts with the argument that the Welsh situation would provide a critical case study in the attempt to fill the gap between global sustainability ambitions and localised, tangible results.</w:t>
      </w:r>
    </w:p>
    <w:p w14:paraId="0535BC41" w14:textId="77777777" w:rsidR="00B463AD" w:rsidRPr="00BE2D20" w:rsidRDefault="00B463AD" w:rsidP="00BE2D20">
      <w:pPr>
        <w:spacing w:after="120" w:line="360" w:lineRule="auto"/>
        <w:jc w:val="both"/>
        <w:rPr>
          <w:rFonts w:ascii="Arial" w:eastAsia="Times New Roman" w:hAnsi="Arial" w:cs="Arial"/>
          <w:kern w:val="0"/>
          <w14:ligatures w14:val="none"/>
        </w:rPr>
      </w:pPr>
    </w:p>
    <w:p w14:paraId="3F40C675" w14:textId="6BF2E363" w:rsidR="00B463AD" w:rsidRPr="00BE2D20" w:rsidRDefault="00B463AD" w:rsidP="00BE2D20">
      <w:pPr>
        <w:pStyle w:val="Heading1"/>
        <w:spacing w:line="360" w:lineRule="auto"/>
        <w:jc w:val="both"/>
        <w:rPr>
          <w:rFonts w:ascii="Arial" w:eastAsia="Times New Roman" w:hAnsi="Arial" w:cs="Arial"/>
          <w:sz w:val="22"/>
          <w:szCs w:val="22"/>
        </w:rPr>
      </w:pPr>
      <w:bookmarkStart w:id="1" w:name="_Toc214161551"/>
      <w:r w:rsidRPr="00BE2D20">
        <w:rPr>
          <w:rFonts w:ascii="Arial" w:eastAsia="Times New Roman" w:hAnsi="Arial" w:cs="Arial"/>
          <w:sz w:val="22"/>
          <w:szCs w:val="22"/>
        </w:rPr>
        <w:t>2. The Global Framework: SDG 3 and SDG 11 Analysis</w:t>
      </w:r>
      <w:bookmarkEnd w:id="1"/>
    </w:p>
    <w:p w14:paraId="600A4838" w14:textId="77777777" w:rsidR="00B463AD" w:rsidRPr="00BE2D20" w:rsidRDefault="00B463AD" w:rsidP="00BE2D20">
      <w:pPr>
        <w:spacing w:line="360" w:lineRule="auto"/>
        <w:jc w:val="both"/>
        <w:rPr>
          <w:rFonts w:ascii="Arial" w:hAnsi="Arial" w:cs="Arial"/>
        </w:rPr>
      </w:pPr>
    </w:p>
    <w:p w14:paraId="330A3A64" w14:textId="77777777" w:rsidR="00B463AD" w:rsidRPr="00BE2D20" w:rsidRDefault="00B463AD" w:rsidP="00BE2D20">
      <w:pPr>
        <w:pStyle w:val="Heading2"/>
        <w:spacing w:line="360" w:lineRule="auto"/>
        <w:jc w:val="both"/>
        <w:rPr>
          <w:rFonts w:ascii="Arial" w:eastAsia="Times New Roman" w:hAnsi="Arial" w:cs="Arial"/>
          <w:sz w:val="22"/>
          <w:szCs w:val="22"/>
        </w:rPr>
      </w:pPr>
      <w:bookmarkStart w:id="2" w:name="_Toc214161552"/>
      <w:r w:rsidRPr="00BE2D20">
        <w:rPr>
          <w:rFonts w:ascii="Arial" w:eastAsia="Times New Roman" w:hAnsi="Arial" w:cs="Arial"/>
          <w:sz w:val="22"/>
          <w:szCs w:val="22"/>
        </w:rPr>
        <w:t>2.1. SDG 3: Good Health and Well-being</w:t>
      </w:r>
      <w:bookmarkEnd w:id="2"/>
      <w:r w:rsidRPr="00BE2D20">
        <w:rPr>
          <w:rFonts w:ascii="Arial" w:eastAsia="Times New Roman" w:hAnsi="Arial" w:cs="Arial"/>
          <w:sz w:val="22"/>
          <w:szCs w:val="22"/>
        </w:rPr>
        <w:t xml:space="preserve"> </w:t>
      </w:r>
    </w:p>
    <w:p w14:paraId="2A6ED789" w14:textId="1999B56F" w:rsidR="00B463AD" w:rsidRPr="00BE2D20" w:rsidRDefault="00B463AD" w:rsidP="00BE2D20">
      <w:pPr>
        <w:spacing w:line="360" w:lineRule="auto"/>
        <w:jc w:val="both"/>
        <w:rPr>
          <w:rFonts w:ascii="Arial" w:eastAsia="Times New Roman" w:hAnsi="Arial" w:cs="Arial"/>
          <w:kern w:val="0"/>
          <w14:ligatures w14:val="none"/>
        </w:rPr>
      </w:pPr>
      <w:r w:rsidRPr="00B463AD">
        <w:rPr>
          <w:rFonts w:ascii="Arial" w:eastAsia="Times New Roman" w:hAnsi="Arial" w:cs="Arial"/>
          <w:kern w:val="0"/>
          <w14:ligatures w14:val="none"/>
        </w:rPr>
        <w:t>SDG 3 is a comprehensive and ambitious agenda that does not focus on the absence of disease</w:t>
      </w:r>
      <w:r w:rsidR="0034186C" w:rsidRPr="00BE2D20">
        <w:rPr>
          <w:rFonts w:ascii="Arial" w:eastAsia="Times New Roman" w:hAnsi="Arial" w:cs="Arial"/>
          <w:kern w:val="0"/>
          <w:lang w:val="en-US"/>
          <w14:ligatures w14:val="none"/>
        </w:rPr>
        <w:t xml:space="preserve"> </w:t>
      </w:r>
      <w:r w:rsidR="0034186C" w:rsidRPr="00BE2D20">
        <w:rPr>
          <w:rFonts w:ascii="Arial" w:eastAsia="Times New Roman" w:hAnsi="Arial" w:cs="Arial"/>
          <w:kern w:val="0"/>
          <w14:ligatures w14:val="none"/>
        </w:rPr>
        <w:t>(Singh Thakur et al., 2021)</w:t>
      </w:r>
      <w:r w:rsidR="0034186C" w:rsidRPr="00BE2D20">
        <w:rPr>
          <w:rFonts w:ascii="Arial" w:eastAsia="Times New Roman" w:hAnsi="Arial" w:cs="Arial"/>
          <w:kern w:val="0"/>
          <w:lang w:val="en-US"/>
          <w14:ligatures w14:val="none"/>
        </w:rPr>
        <w:t>.</w:t>
      </w:r>
      <w:r w:rsidRPr="00B463AD">
        <w:rPr>
          <w:rFonts w:ascii="Arial" w:eastAsia="Times New Roman" w:hAnsi="Arial" w:cs="Arial"/>
          <w:kern w:val="0"/>
          <w14:ligatures w14:val="none"/>
        </w:rPr>
        <w:t xml:space="preserve"> The targets it has aimed at a broad range of health issues, such as decreasing maternal mortality (3.1), halting preventable deaths of newborns and children (3.2), countering communicable diseases (3.3), and enhancing the prevention and treatment of substance abuse (3.5)</w:t>
      </w:r>
      <w:r w:rsidR="00D11A6D" w:rsidRPr="00BE2D20">
        <w:rPr>
          <w:rFonts w:ascii="Arial" w:eastAsia="Times New Roman" w:hAnsi="Arial" w:cs="Arial"/>
          <w:kern w:val="0"/>
          <w:lang w:val="en-US"/>
          <w14:ligatures w14:val="none"/>
        </w:rPr>
        <w:t xml:space="preserve"> </w:t>
      </w:r>
      <w:r w:rsidR="00D11A6D" w:rsidRPr="00BE2D20">
        <w:rPr>
          <w:rFonts w:ascii="Arial" w:eastAsia="Times New Roman" w:hAnsi="Arial" w:cs="Arial"/>
          <w:kern w:val="0"/>
          <w14:ligatures w14:val="none"/>
        </w:rPr>
        <w:t>(WHO, 2022)</w:t>
      </w:r>
      <w:r w:rsidRPr="00B463AD">
        <w:rPr>
          <w:rFonts w:ascii="Arial" w:eastAsia="Times New Roman" w:hAnsi="Arial" w:cs="Arial"/>
          <w:kern w:val="0"/>
          <w14:ligatures w14:val="none"/>
        </w:rPr>
        <w:t>. Importantly, target 3.4 is aimed at lowering the premature death rate caused by non-communicable diseases (NCDs) by prevention, treatment, and mental health and wellbeing promotion. Such a wide definition recognizes that health is a condition of total physical, mental, and social wellbeing and is affected by a complex of social determinants (Marmot, 2020).</w:t>
      </w:r>
    </w:p>
    <w:p w14:paraId="38D22064" w14:textId="70317797" w:rsidR="000B38EA" w:rsidRPr="00BE2D20" w:rsidRDefault="000B38EA" w:rsidP="00BE2D20">
      <w:pPr>
        <w:spacing w:line="360" w:lineRule="auto"/>
        <w:jc w:val="both"/>
        <w:rPr>
          <w:rFonts w:ascii="Arial" w:eastAsia="Times New Roman" w:hAnsi="Arial" w:cs="Arial"/>
          <w:kern w:val="0"/>
          <w14:ligatures w14:val="none"/>
        </w:rPr>
      </w:pPr>
    </w:p>
    <w:p w14:paraId="34C5BED6" w14:textId="34414C6E" w:rsidR="000B38EA" w:rsidRPr="00BE2D20" w:rsidRDefault="000B38EA" w:rsidP="00BE2D20">
      <w:pPr>
        <w:spacing w:line="360" w:lineRule="auto"/>
        <w:jc w:val="center"/>
        <w:rPr>
          <w:rFonts w:ascii="Arial" w:eastAsia="Times New Roman" w:hAnsi="Arial" w:cs="Arial"/>
          <w:kern w:val="0"/>
          <w14:ligatures w14:val="none"/>
        </w:rPr>
      </w:pPr>
      <w:r w:rsidRPr="00BE2D20">
        <w:rPr>
          <w:rFonts w:ascii="Arial" w:hAnsi="Arial" w:cs="Arial"/>
          <w:noProof/>
        </w:rPr>
        <w:drawing>
          <wp:inline distT="0" distB="0" distL="0" distR="0" wp14:anchorId="2953FF90" wp14:editId="1033F4C1">
            <wp:extent cx="2805190" cy="1577619"/>
            <wp:effectExtent l="0" t="0" r="0" b="3810"/>
            <wp:docPr id="1" name="Picture 1" descr="SDG Target #3.1 — Dom Bill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DG Target #3.1 — Dom Billing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11671" cy="1581264"/>
                    </a:xfrm>
                    <a:prstGeom prst="rect">
                      <a:avLst/>
                    </a:prstGeom>
                    <a:noFill/>
                    <a:ln>
                      <a:noFill/>
                    </a:ln>
                  </pic:spPr>
                </pic:pic>
              </a:graphicData>
            </a:graphic>
          </wp:inline>
        </w:drawing>
      </w:r>
    </w:p>
    <w:p w14:paraId="481DFA44" w14:textId="570E5B7B" w:rsidR="000B38EA" w:rsidRPr="00B463AD" w:rsidRDefault="00DF6195" w:rsidP="00BE2D20">
      <w:pPr>
        <w:spacing w:line="360" w:lineRule="auto"/>
        <w:jc w:val="center"/>
        <w:rPr>
          <w:rFonts w:ascii="Arial" w:eastAsia="Times New Roman" w:hAnsi="Arial" w:cs="Arial"/>
          <w:b/>
          <w:bCs/>
          <w:i/>
          <w:iCs/>
          <w:kern w:val="0"/>
          <w14:ligatures w14:val="none"/>
        </w:rPr>
      </w:pPr>
      <w:r w:rsidRPr="00BE2D20">
        <w:rPr>
          <w:rFonts w:ascii="Arial" w:eastAsia="Times New Roman" w:hAnsi="Arial" w:cs="Arial"/>
          <w:b/>
          <w:bCs/>
          <w:i/>
          <w:iCs/>
          <w:kern w:val="0"/>
          <w:lang w:val="en-US"/>
          <w14:ligatures w14:val="none"/>
        </w:rPr>
        <w:t xml:space="preserve">Source: </w:t>
      </w:r>
      <w:r w:rsidR="00717E79" w:rsidRPr="00BE2D20">
        <w:rPr>
          <w:rFonts w:ascii="Arial" w:eastAsia="Times New Roman" w:hAnsi="Arial" w:cs="Arial"/>
          <w:b/>
          <w:bCs/>
          <w:i/>
          <w:iCs/>
          <w:kern w:val="0"/>
          <w14:ligatures w14:val="none"/>
        </w:rPr>
        <w:t>(Billings, 2023)</w:t>
      </w:r>
    </w:p>
    <w:p w14:paraId="0330B339" w14:textId="77777777" w:rsidR="00B463AD" w:rsidRPr="00BE2D20" w:rsidRDefault="00B463AD" w:rsidP="00BE2D20">
      <w:pPr>
        <w:spacing w:after="120" w:line="360" w:lineRule="auto"/>
        <w:jc w:val="both"/>
        <w:rPr>
          <w:rFonts w:ascii="Arial" w:eastAsia="Times New Roman" w:hAnsi="Arial" w:cs="Arial"/>
          <w:kern w:val="0"/>
          <w14:ligatures w14:val="none"/>
        </w:rPr>
      </w:pPr>
    </w:p>
    <w:p w14:paraId="794F6800" w14:textId="3664AB9E" w:rsidR="00B463AD" w:rsidRPr="00BE2D20" w:rsidRDefault="00B463AD" w:rsidP="00BE2D20">
      <w:pPr>
        <w:pStyle w:val="Heading2"/>
        <w:spacing w:line="360" w:lineRule="auto"/>
        <w:jc w:val="both"/>
        <w:rPr>
          <w:rFonts w:ascii="Arial" w:eastAsia="Times New Roman" w:hAnsi="Arial" w:cs="Arial"/>
          <w:sz w:val="22"/>
          <w:szCs w:val="22"/>
        </w:rPr>
      </w:pPr>
      <w:bookmarkStart w:id="3" w:name="_Toc214161553"/>
      <w:r w:rsidRPr="00BE2D20">
        <w:rPr>
          <w:rFonts w:ascii="Arial" w:eastAsia="Times New Roman" w:hAnsi="Arial" w:cs="Arial"/>
          <w:sz w:val="22"/>
          <w:szCs w:val="22"/>
        </w:rPr>
        <w:t>2.2. SDG 11: Sustainable Cities and Communities</w:t>
      </w:r>
      <w:bookmarkEnd w:id="3"/>
    </w:p>
    <w:p w14:paraId="7655C1E8" w14:textId="1223F3E3" w:rsidR="00B463AD" w:rsidRPr="00B463AD" w:rsidRDefault="00B463AD" w:rsidP="00BE2D20">
      <w:pPr>
        <w:spacing w:line="360" w:lineRule="auto"/>
        <w:jc w:val="both"/>
        <w:rPr>
          <w:rFonts w:ascii="Arial" w:eastAsia="Times New Roman" w:hAnsi="Arial" w:cs="Arial"/>
          <w:kern w:val="0"/>
          <w:lang w:val="en-US"/>
          <w14:ligatures w14:val="none"/>
        </w:rPr>
      </w:pPr>
      <w:r w:rsidRPr="00B463AD">
        <w:rPr>
          <w:rFonts w:ascii="Arial" w:eastAsia="Times New Roman" w:hAnsi="Arial" w:cs="Arial"/>
          <w:kern w:val="0"/>
          <w14:ligatures w14:val="none"/>
        </w:rPr>
        <w:t xml:space="preserve">Whereas SDG 3 identifies the what of health, SDG 11 identifies the where. It seeks to ensure that cities and human settlements become inclusive, safe, resilient, and sustainable. The health outcomes are directly based on specific targets: the availability of safe and affordable housing (11.1), the creation of sustainable transport systems (11.2), and, above all, the accessibility of safe, inclusive, and available green and public space to everyone (11.7) </w:t>
      </w:r>
      <w:r w:rsidR="00264C34" w:rsidRPr="00BE2D20">
        <w:rPr>
          <w:rFonts w:ascii="Arial" w:eastAsia="Times New Roman" w:hAnsi="Arial" w:cs="Arial"/>
          <w:kern w:val="0"/>
          <w14:ligatures w14:val="none"/>
        </w:rPr>
        <w:t>(UNICEF, 2025)</w:t>
      </w:r>
      <w:r w:rsidR="00264C34" w:rsidRPr="00BE2D20">
        <w:rPr>
          <w:rFonts w:ascii="Arial" w:eastAsia="Times New Roman" w:hAnsi="Arial" w:cs="Arial"/>
          <w:kern w:val="0"/>
          <w:lang w:val="en-US"/>
          <w14:ligatures w14:val="none"/>
        </w:rPr>
        <w:t xml:space="preserve">. </w:t>
      </w:r>
      <w:r w:rsidRPr="00B463AD">
        <w:rPr>
          <w:rFonts w:ascii="Arial" w:eastAsia="Times New Roman" w:hAnsi="Arial" w:cs="Arial"/>
          <w:kern w:val="0"/>
          <w14:ligatures w14:val="none"/>
        </w:rPr>
        <w:t xml:space="preserve">The developed environment is a key factor of health due to the principles of SDG 11. It affects the quality of air, the proportion of physical exercise, social solidarity, and mental health, which in turn directly impact the incidence of NCDs, respiratory diseases, and stress-related disorders </w:t>
      </w:r>
      <w:r w:rsidR="00592A2E" w:rsidRPr="00BE2D20">
        <w:rPr>
          <w:rFonts w:ascii="Arial" w:eastAsia="Times New Roman" w:hAnsi="Arial" w:cs="Arial"/>
          <w:kern w:val="0"/>
          <w14:ligatures w14:val="none"/>
        </w:rPr>
        <w:t>(Hahad et al., 2021)</w:t>
      </w:r>
      <w:r w:rsidR="00592A2E" w:rsidRPr="00BE2D20">
        <w:rPr>
          <w:rFonts w:ascii="Arial" w:eastAsia="Times New Roman" w:hAnsi="Arial" w:cs="Arial"/>
          <w:kern w:val="0"/>
          <w:lang w:val="en-US"/>
          <w14:ligatures w14:val="none"/>
        </w:rPr>
        <w:t>.</w:t>
      </w:r>
    </w:p>
    <w:p w14:paraId="7FC262EC" w14:textId="77777777" w:rsidR="00B463AD" w:rsidRPr="00BE2D20" w:rsidRDefault="00B463AD" w:rsidP="00BE2D20">
      <w:pPr>
        <w:spacing w:after="120" w:line="360" w:lineRule="auto"/>
        <w:jc w:val="both"/>
        <w:rPr>
          <w:rFonts w:ascii="Arial" w:eastAsia="Times New Roman" w:hAnsi="Arial" w:cs="Arial"/>
          <w:kern w:val="0"/>
          <w14:ligatures w14:val="none"/>
        </w:rPr>
      </w:pPr>
    </w:p>
    <w:p w14:paraId="438F155C" w14:textId="63333DBE" w:rsidR="00B463AD" w:rsidRPr="00BE2D20" w:rsidRDefault="00B463AD" w:rsidP="00BE2D20">
      <w:pPr>
        <w:pStyle w:val="Heading2"/>
        <w:spacing w:line="360" w:lineRule="auto"/>
        <w:jc w:val="both"/>
        <w:rPr>
          <w:rFonts w:ascii="Arial" w:eastAsia="Times New Roman" w:hAnsi="Arial" w:cs="Arial"/>
          <w:sz w:val="22"/>
          <w:szCs w:val="22"/>
        </w:rPr>
      </w:pPr>
      <w:bookmarkStart w:id="4" w:name="_Toc214161554"/>
      <w:r w:rsidRPr="00BE2D20">
        <w:rPr>
          <w:rFonts w:ascii="Arial" w:eastAsia="Times New Roman" w:hAnsi="Arial" w:cs="Arial"/>
          <w:sz w:val="22"/>
          <w:szCs w:val="22"/>
        </w:rPr>
        <w:t>2.3. The interrelationship between SDG 3 and SDG 11</w:t>
      </w:r>
      <w:bookmarkEnd w:id="4"/>
    </w:p>
    <w:p w14:paraId="47B142D5" w14:textId="4F443F5C" w:rsidR="00B463AD" w:rsidRPr="00BE2D20" w:rsidRDefault="00B463AD" w:rsidP="00BE2D20">
      <w:pPr>
        <w:spacing w:line="360" w:lineRule="auto"/>
        <w:jc w:val="both"/>
        <w:rPr>
          <w:rFonts w:ascii="Arial" w:eastAsia="Times New Roman" w:hAnsi="Arial" w:cs="Arial"/>
          <w:kern w:val="0"/>
          <w14:ligatures w14:val="none"/>
        </w:rPr>
      </w:pPr>
      <w:r w:rsidRPr="00B463AD">
        <w:rPr>
          <w:rFonts w:ascii="Arial" w:eastAsia="Times New Roman" w:hAnsi="Arial" w:cs="Arial"/>
          <w:kern w:val="0"/>
          <w14:ligatures w14:val="none"/>
        </w:rPr>
        <w:t>In relation to these two objectives, their synergy is undeniable. A neighbourhood lacking proper air quality, subpar housing, and a lack of greenery (not fulfilling SDG 11) will inevitably have higher rates of asthma, cardiovascular disease, unhealthy mental health, and social isolation (weakening SDG 3)</w:t>
      </w:r>
      <w:r w:rsidR="0019544A" w:rsidRPr="00BE2D20">
        <w:rPr>
          <w:rFonts w:ascii="Arial" w:eastAsia="Times New Roman" w:hAnsi="Arial" w:cs="Arial"/>
          <w:kern w:val="0"/>
          <w:lang w:val="en-US"/>
          <w14:ligatures w14:val="none"/>
        </w:rPr>
        <w:t xml:space="preserve"> </w:t>
      </w:r>
      <w:r w:rsidR="0019544A" w:rsidRPr="00BE2D20">
        <w:rPr>
          <w:rFonts w:ascii="Arial" w:eastAsia="Times New Roman" w:hAnsi="Arial" w:cs="Arial"/>
          <w:kern w:val="0"/>
          <w14:ligatures w14:val="none"/>
        </w:rPr>
        <w:t>(Arriazu-Ramos et al., 2025)</w:t>
      </w:r>
      <w:r w:rsidR="0019544A" w:rsidRPr="00BE2D20">
        <w:rPr>
          <w:rFonts w:ascii="Arial" w:eastAsia="Times New Roman" w:hAnsi="Arial" w:cs="Arial"/>
          <w:kern w:val="0"/>
          <w:lang w:val="en-US"/>
          <w14:ligatures w14:val="none"/>
        </w:rPr>
        <w:t>.</w:t>
      </w:r>
      <w:r w:rsidRPr="00B463AD">
        <w:rPr>
          <w:rFonts w:ascii="Arial" w:eastAsia="Times New Roman" w:hAnsi="Arial" w:cs="Arial"/>
          <w:kern w:val="0"/>
          <w14:ligatures w14:val="none"/>
        </w:rPr>
        <w:t xml:space="preserve"> On the other hand, the environment that inherently encourages physical and mental well-being is provided by sustainable urban planning, which emphasizes active travel, green infrastructure, and a sense of community</w:t>
      </w:r>
      <w:r w:rsidR="000A73AD" w:rsidRPr="00BE2D20">
        <w:rPr>
          <w:rFonts w:ascii="Arial" w:eastAsia="Times New Roman" w:hAnsi="Arial" w:cs="Arial"/>
          <w:kern w:val="0"/>
          <w:lang w:val="en-US"/>
          <w14:ligatures w14:val="none"/>
        </w:rPr>
        <w:t xml:space="preserve"> </w:t>
      </w:r>
      <w:r w:rsidR="000A73AD" w:rsidRPr="00BE2D20">
        <w:rPr>
          <w:rFonts w:ascii="Arial" w:eastAsia="Times New Roman" w:hAnsi="Arial" w:cs="Arial"/>
          <w:kern w:val="0"/>
          <w14:ligatures w14:val="none"/>
        </w:rPr>
        <w:t>(Adesina et al., 2024)</w:t>
      </w:r>
      <w:r w:rsidRPr="00B463AD">
        <w:rPr>
          <w:rFonts w:ascii="Arial" w:eastAsia="Times New Roman" w:hAnsi="Arial" w:cs="Arial"/>
          <w:kern w:val="0"/>
          <w14:ligatures w14:val="none"/>
        </w:rPr>
        <w:t>. This interdependence highlights the fact that health is not exclusively produced within the healthcare structure, but rather it is mostly influenced by the circumstances under which individuals are born, grow, live, work, and age, which is the fundamental thesis of the social determinants of health model.</w:t>
      </w:r>
    </w:p>
    <w:p w14:paraId="55899FFE" w14:textId="1BCBA745" w:rsidR="00B463AD" w:rsidRPr="00BE2D20" w:rsidRDefault="00B463AD" w:rsidP="00BE2D20">
      <w:pPr>
        <w:spacing w:after="120" w:line="360" w:lineRule="auto"/>
        <w:jc w:val="both"/>
        <w:rPr>
          <w:rFonts w:ascii="Arial" w:eastAsia="Times New Roman" w:hAnsi="Arial" w:cs="Arial"/>
          <w:kern w:val="0"/>
          <w14:ligatures w14:val="none"/>
        </w:rPr>
      </w:pPr>
    </w:p>
    <w:p w14:paraId="7CC5A04C" w14:textId="37BB3E43" w:rsidR="00CF2AC5" w:rsidRPr="00BE2D20" w:rsidRDefault="00CF2AC5" w:rsidP="00BE2D20">
      <w:pPr>
        <w:pStyle w:val="Heading1"/>
        <w:spacing w:line="360" w:lineRule="auto"/>
        <w:jc w:val="both"/>
        <w:rPr>
          <w:rFonts w:ascii="Arial" w:eastAsia="Times New Roman" w:hAnsi="Arial" w:cs="Arial"/>
          <w:sz w:val="22"/>
          <w:szCs w:val="22"/>
        </w:rPr>
      </w:pPr>
      <w:bookmarkStart w:id="5" w:name="_Toc214161555"/>
      <w:r w:rsidRPr="00BE2D20">
        <w:rPr>
          <w:rFonts w:ascii="Arial" w:eastAsia="Times New Roman" w:hAnsi="Arial" w:cs="Arial"/>
          <w:sz w:val="22"/>
          <w:szCs w:val="22"/>
        </w:rPr>
        <w:t>3. The National and Local Context: Policy Landscape in Wales</w:t>
      </w:r>
      <w:bookmarkEnd w:id="5"/>
    </w:p>
    <w:p w14:paraId="44A37E58" w14:textId="77777777" w:rsidR="00CF2AC5" w:rsidRPr="00CF2AC5" w:rsidRDefault="00CF2AC5" w:rsidP="00BE2D20">
      <w:pPr>
        <w:spacing w:after="120" w:line="360" w:lineRule="auto"/>
        <w:jc w:val="both"/>
        <w:rPr>
          <w:rFonts w:ascii="Arial" w:eastAsia="Times New Roman" w:hAnsi="Arial" w:cs="Arial"/>
          <w:kern w:val="0"/>
          <w14:ligatures w14:val="none"/>
        </w:rPr>
      </w:pPr>
      <w:r w:rsidRPr="00CF2AC5">
        <w:rPr>
          <w:rFonts w:ascii="Arial" w:eastAsia="Times New Roman" w:hAnsi="Arial" w:cs="Arial"/>
          <w:kern w:val="0"/>
          <w14:ligatures w14:val="none"/>
        </w:rPr>
        <w:t>Wales is now a world leader in enacting laws that support sustainability and wellbeing, providing the country with a strong national foundation to implement the SDGs.</w:t>
      </w:r>
    </w:p>
    <w:p w14:paraId="7E7F7593" w14:textId="77777777" w:rsidR="00CF2AC5" w:rsidRPr="00BE2D20" w:rsidRDefault="00CF2AC5" w:rsidP="00BE2D20">
      <w:pPr>
        <w:spacing w:after="120" w:line="360" w:lineRule="auto"/>
        <w:jc w:val="both"/>
        <w:rPr>
          <w:rFonts w:ascii="Arial" w:eastAsia="Times New Roman" w:hAnsi="Arial" w:cs="Arial"/>
          <w:kern w:val="0"/>
          <w14:ligatures w14:val="none"/>
        </w:rPr>
      </w:pPr>
    </w:p>
    <w:p w14:paraId="4F32BDD3" w14:textId="514A9FE3" w:rsidR="00CF2AC5" w:rsidRPr="00BE2D20" w:rsidRDefault="00CF2AC5" w:rsidP="00BE2D20">
      <w:pPr>
        <w:pStyle w:val="Heading2"/>
        <w:spacing w:line="360" w:lineRule="auto"/>
        <w:jc w:val="both"/>
        <w:rPr>
          <w:rFonts w:ascii="Arial" w:eastAsia="Times New Roman" w:hAnsi="Arial" w:cs="Arial"/>
          <w:sz w:val="22"/>
          <w:szCs w:val="22"/>
        </w:rPr>
      </w:pPr>
      <w:bookmarkStart w:id="6" w:name="_Toc214161556"/>
      <w:r w:rsidRPr="00BE2D20">
        <w:rPr>
          <w:rFonts w:ascii="Arial" w:eastAsia="Times New Roman" w:hAnsi="Arial" w:cs="Arial"/>
          <w:sz w:val="22"/>
          <w:szCs w:val="22"/>
        </w:rPr>
        <w:t>3.1. Well-being of Future Generations (Wales) Act of 2015</w:t>
      </w:r>
      <w:bookmarkEnd w:id="6"/>
    </w:p>
    <w:p w14:paraId="68A928E8" w14:textId="77777777" w:rsidR="00CF2AC5" w:rsidRPr="00CF2AC5" w:rsidRDefault="00CF2AC5" w:rsidP="00BE2D20">
      <w:pPr>
        <w:spacing w:after="120" w:line="360" w:lineRule="auto"/>
        <w:jc w:val="both"/>
        <w:rPr>
          <w:rFonts w:ascii="Arial" w:eastAsia="Times New Roman" w:hAnsi="Arial" w:cs="Arial"/>
          <w:kern w:val="0"/>
          <w14:ligatures w14:val="none"/>
        </w:rPr>
      </w:pPr>
      <w:r w:rsidRPr="00CF2AC5">
        <w:rPr>
          <w:rFonts w:ascii="Arial" w:eastAsia="Times New Roman" w:hAnsi="Arial" w:cs="Arial"/>
          <w:kern w:val="0"/>
          <w14:ligatures w14:val="none"/>
        </w:rPr>
        <w:t>This historic Act is the framework of the approach in Wales. It imposes on public bodies (legally) seven well-being goals that are a direct reflection and localisation of the SDGs (Welsh Government, 2015). The ones that are most applicable in this examination are:</w:t>
      </w:r>
    </w:p>
    <w:p w14:paraId="3C9343A4" w14:textId="77777777" w:rsidR="00CF2AC5" w:rsidRPr="00BE2D20" w:rsidRDefault="00CF2AC5" w:rsidP="00BE2D20">
      <w:pPr>
        <w:pStyle w:val="ListParagraph"/>
        <w:numPr>
          <w:ilvl w:val="0"/>
          <w:numId w:val="1"/>
        </w:numPr>
        <w:spacing w:after="120" w:line="360" w:lineRule="auto"/>
        <w:jc w:val="both"/>
        <w:rPr>
          <w:rFonts w:ascii="Arial" w:eastAsia="Times New Roman" w:hAnsi="Arial" w:cs="Arial"/>
          <w:kern w:val="0"/>
          <w14:ligatures w14:val="none"/>
        </w:rPr>
      </w:pPr>
      <w:r w:rsidRPr="00BE2D20">
        <w:rPr>
          <w:rFonts w:ascii="Arial" w:eastAsia="Times New Roman" w:hAnsi="Arial" w:cs="Arial"/>
          <w:b/>
          <w:bCs/>
          <w:kern w:val="0"/>
          <w14:ligatures w14:val="none"/>
        </w:rPr>
        <w:t>A Healthier Wales:</w:t>
      </w:r>
      <w:r w:rsidRPr="00BE2D20">
        <w:rPr>
          <w:rFonts w:ascii="Arial" w:eastAsia="Times New Roman" w:hAnsi="Arial" w:cs="Arial"/>
          <w:kern w:val="0"/>
          <w14:ligatures w14:val="none"/>
        </w:rPr>
        <w:t xml:space="preserve"> A society where the physical and mental health of people is maximised.</w:t>
      </w:r>
    </w:p>
    <w:p w14:paraId="7896D1FA" w14:textId="77777777" w:rsidR="00CF2AC5" w:rsidRPr="00BE2D20" w:rsidRDefault="00CF2AC5" w:rsidP="00BE2D20">
      <w:pPr>
        <w:pStyle w:val="ListParagraph"/>
        <w:numPr>
          <w:ilvl w:val="0"/>
          <w:numId w:val="1"/>
        </w:numPr>
        <w:spacing w:after="120" w:line="360" w:lineRule="auto"/>
        <w:jc w:val="both"/>
        <w:rPr>
          <w:rFonts w:ascii="Arial" w:eastAsia="Times New Roman" w:hAnsi="Arial" w:cs="Arial"/>
          <w:kern w:val="0"/>
          <w14:ligatures w14:val="none"/>
        </w:rPr>
      </w:pPr>
      <w:r w:rsidRPr="00BE2D20">
        <w:rPr>
          <w:rFonts w:ascii="Arial" w:eastAsia="Times New Roman" w:hAnsi="Arial" w:cs="Arial"/>
          <w:b/>
          <w:bCs/>
          <w:kern w:val="0"/>
          <w14:ligatures w14:val="none"/>
        </w:rPr>
        <w:t>A Wales of Cohesive Communities:</w:t>
      </w:r>
      <w:r w:rsidRPr="00BE2D20">
        <w:rPr>
          <w:rFonts w:ascii="Arial" w:eastAsia="Times New Roman" w:hAnsi="Arial" w:cs="Arial"/>
          <w:kern w:val="0"/>
          <w14:ligatures w14:val="none"/>
        </w:rPr>
        <w:t xml:space="preserve"> Beautiful, feasible, secure, and connected communities.</w:t>
      </w:r>
    </w:p>
    <w:p w14:paraId="4D025722" w14:textId="77777777" w:rsidR="00CF2AC5" w:rsidRPr="00BE2D20" w:rsidRDefault="00CF2AC5" w:rsidP="00BE2D20">
      <w:pPr>
        <w:pStyle w:val="ListParagraph"/>
        <w:numPr>
          <w:ilvl w:val="0"/>
          <w:numId w:val="1"/>
        </w:numPr>
        <w:spacing w:after="120" w:line="360" w:lineRule="auto"/>
        <w:jc w:val="both"/>
        <w:rPr>
          <w:rFonts w:ascii="Arial" w:eastAsia="Times New Roman" w:hAnsi="Arial" w:cs="Arial"/>
          <w:kern w:val="0"/>
          <w14:ligatures w14:val="none"/>
        </w:rPr>
      </w:pPr>
      <w:r w:rsidRPr="00BE2D20">
        <w:rPr>
          <w:rFonts w:ascii="Arial" w:eastAsia="Times New Roman" w:hAnsi="Arial" w:cs="Arial"/>
          <w:b/>
          <w:bCs/>
          <w:kern w:val="0"/>
          <w14:ligatures w14:val="none"/>
        </w:rPr>
        <w:t>A Globally Responsible Wales:</w:t>
      </w:r>
      <w:r w:rsidRPr="00BE2D20">
        <w:rPr>
          <w:rFonts w:ascii="Arial" w:eastAsia="Times New Roman" w:hAnsi="Arial" w:cs="Arial"/>
          <w:kern w:val="0"/>
          <w14:ligatures w14:val="none"/>
        </w:rPr>
        <w:t xml:space="preserve"> Making sustainable development the organising principle.</w:t>
      </w:r>
    </w:p>
    <w:p w14:paraId="6DD5A22B" w14:textId="76725E61" w:rsidR="00CF2AC5" w:rsidRPr="00BE2D20" w:rsidRDefault="00CF2AC5" w:rsidP="00BE2D20">
      <w:pPr>
        <w:spacing w:after="120" w:line="360" w:lineRule="auto"/>
        <w:jc w:val="both"/>
        <w:rPr>
          <w:rFonts w:ascii="Arial" w:eastAsia="Times New Roman" w:hAnsi="Arial" w:cs="Arial"/>
          <w:kern w:val="0"/>
          <w14:ligatures w14:val="none"/>
        </w:rPr>
      </w:pPr>
      <w:r w:rsidRPr="00CF2AC5">
        <w:rPr>
          <w:rFonts w:ascii="Arial" w:eastAsia="Times New Roman" w:hAnsi="Arial" w:cs="Arial"/>
          <w:kern w:val="0"/>
          <w14:ligatures w14:val="none"/>
        </w:rPr>
        <w:t>The Act requires a principle of sustainable development, which requires public bodies to think in the long term, combine concepts of health, social, economic, and environmental considerations, and collaborate. This is operationalized in the form of Public Services Boards (PSBs), which generate local Well-being Plans. These plans theoretically ensure a joined-up approach between national policy and local delivery.</w:t>
      </w:r>
    </w:p>
    <w:p w14:paraId="1C9B9F1C" w14:textId="1933AFFE" w:rsidR="00CF2AC5" w:rsidRPr="00BE2D20" w:rsidRDefault="00CF2AC5" w:rsidP="00BE2D20">
      <w:pPr>
        <w:spacing w:after="120" w:line="360" w:lineRule="auto"/>
        <w:jc w:val="both"/>
        <w:rPr>
          <w:rFonts w:ascii="Arial" w:eastAsia="Times New Roman" w:hAnsi="Arial" w:cs="Arial"/>
          <w:kern w:val="0"/>
          <w14:ligatures w14:val="none"/>
        </w:rPr>
      </w:pPr>
    </w:p>
    <w:p w14:paraId="05BD3493" w14:textId="77777777" w:rsidR="0030575E" w:rsidRPr="00BE2D20" w:rsidRDefault="0030575E" w:rsidP="00BE2D20">
      <w:pPr>
        <w:pStyle w:val="Heading2"/>
        <w:spacing w:line="360" w:lineRule="auto"/>
        <w:jc w:val="both"/>
        <w:rPr>
          <w:rFonts w:ascii="Arial" w:eastAsia="Times New Roman" w:hAnsi="Arial" w:cs="Arial"/>
          <w:sz w:val="22"/>
          <w:szCs w:val="22"/>
        </w:rPr>
      </w:pPr>
      <w:bookmarkStart w:id="7" w:name="_Toc214161557"/>
      <w:r w:rsidRPr="00BE2D20">
        <w:rPr>
          <w:rFonts w:ascii="Arial" w:eastAsia="Times New Roman" w:hAnsi="Arial" w:cs="Arial"/>
          <w:sz w:val="22"/>
          <w:szCs w:val="22"/>
        </w:rPr>
        <w:t>3.2. National Projects: The Foundational Economy and "Cymru Can"</w:t>
      </w:r>
      <w:bookmarkEnd w:id="7"/>
      <w:r w:rsidRPr="00BE2D20">
        <w:rPr>
          <w:rFonts w:ascii="Arial" w:eastAsia="Times New Roman" w:hAnsi="Arial" w:cs="Arial"/>
          <w:sz w:val="22"/>
          <w:szCs w:val="22"/>
        </w:rPr>
        <w:t xml:space="preserve"> </w:t>
      </w:r>
    </w:p>
    <w:p w14:paraId="469698F5" w14:textId="446A6610" w:rsidR="0030575E" w:rsidRPr="0030575E" w:rsidRDefault="0030575E" w:rsidP="00BE2D20">
      <w:pPr>
        <w:spacing w:line="360" w:lineRule="auto"/>
        <w:jc w:val="both"/>
        <w:rPr>
          <w:rFonts w:ascii="Arial" w:eastAsia="Times New Roman" w:hAnsi="Arial" w:cs="Arial"/>
          <w:kern w:val="0"/>
          <w14:ligatures w14:val="none"/>
        </w:rPr>
      </w:pPr>
      <w:r w:rsidRPr="0030575E">
        <w:rPr>
          <w:rFonts w:ascii="Arial" w:eastAsia="Times New Roman" w:hAnsi="Arial" w:cs="Arial"/>
          <w:kern w:val="0"/>
          <w14:ligatures w14:val="none"/>
        </w:rPr>
        <w:t xml:space="preserve">Among the initiatives that will help achieve the goals of the Future Generations Act are targeted initiatives. The Foundational Economy approach centers around the segments of the economy that supply a foundational amount of goods and services (e.g., food, retail, care, utilities) </w:t>
      </w:r>
      <w:r w:rsidR="00146803" w:rsidRPr="00BE2D20">
        <w:rPr>
          <w:rFonts w:ascii="Arial" w:eastAsia="Times New Roman" w:hAnsi="Arial" w:cs="Arial"/>
          <w:kern w:val="0"/>
          <w14:ligatures w14:val="none"/>
        </w:rPr>
        <w:t>(Riepl et al., 2025)</w:t>
      </w:r>
      <w:r w:rsidR="00146803" w:rsidRPr="00BE2D20">
        <w:rPr>
          <w:rFonts w:ascii="Arial" w:eastAsia="Times New Roman" w:hAnsi="Arial" w:cs="Arial"/>
          <w:kern w:val="0"/>
          <w:lang w:val="en-US"/>
          <w14:ligatures w14:val="none"/>
        </w:rPr>
        <w:t xml:space="preserve">. </w:t>
      </w:r>
      <w:r w:rsidRPr="0030575E">
        <w:rPr>
          <w:rFonts w:ascii="Arial" w:eastAsia="Times New Roman" w:hAnsi="Arial" w:cs="Arial"/>
          <w:kern w:val="0"/>
          <w14:ligatures w14:val="none"/>
        </w:rPr>
        <w:t>The fortification of these areas creates resilience within the community, offers safe jobs locally (a major predictor of health), and minimizes environmental impacts through the long supply chain.</w:t>
      </w:r>
    </w:p>
    <w:p w14:paraId="1A76D9A1" w14:textId="0F83FE68" w:rsidR="0030575E" w:rsidRPr="00BE2D20" w:rsidRDefault="0030575E" w:rsidP="00BE2D20">
      <w:pPr>
        <w:spacing w:line="360" w:lineRule="auto"/>
        <w:jc w:val="both"/>
        <w:rPr>
          <w:rFonts w:ascii="Arial" w:eastAsia="Times New Roman" w:hAnsi="Arial" w:cs="Arial"/>
          <w:kern w:val="0"/>
          <w:lang w:val="en-US"/>
          <w14:ligatures w14:val="none"/>
        </w:rPr>
      </w:pPr>
      <w:r w:rsidRPr="0030575E">
        <w:rPr>
          <w:rFonts w:ascii="Arial" w:eastAsia="Times New Roman" w:hAnsi="Arial" w:cs="Arial"/>
          <w:kern w:val="0"/>
          <w14:ligatures w14:val="none"/>
        </w:rPr>
        <w:t>The Cymru Can strategy by the Welsh Government is called Our Plan to Prevent and Reduce Obesity and directly connects the environment and health</w:t>
      </w:r>
      <w:r w:rsidR="00880C3D" w:rsidRPr="00BE2D20">
        <w:rPr>
          <w:rFonts w:ascii="Arial" w:eastAsia="Times New Roman" w:hAnsi="Arial" w:cs="Arial"/>
          <w:kern w:val="0"/>
          <w:lang w:val="en-US"/>
          <w14:ligatures w14:val="none"/>
        </w:rPr>
        <w:t xml:space="preserve"> </w:t>
      </w:r>
      <w:r w:rsidR="00880C3D" w:rsidRPr="00BE2D20">
        <w:rPr>
          <w:rFonts w:ascii="Arial" w:eastAsia="Times New Roman" w:hAnsi="Arial" w:cs="Arial"/>
          <w:kern w:val="0"/>
          <w14:ligatures w14:val="none"/>
        </w:rPr>
        <w:t>(Gov.Wales, 2025)</w:t>
      </w:r>
      <w:r w:rsidR="00880C3D" w:rsidRPr="00BE2D20">
        <w:rPr>
          <w:rFonts w:ascii="Arial" w:eastAsia="Times New Roman" w:hAnsi="Arial" w:cs="Arial"/>
          <w:kern w:val="0"/>
          <w:lang w:val="en-US"/>
          <w14:ligatures w14:val="none"/>
        </w:rPr>
        <w:t>.</w:t>
      </w:r>
      <w:r w:rsidRPr="0030575E">
        <w:rPr>
          <w:rFonts w:ascii="Arial" w:eastAsia="Times New Roman" w:hAnsi="Arial" w:cs="Arial"/>
          <w:kern w:val="0"/>
          <w14:ligatures w14:val="none"/>
        </w:rPr>
        <w:t xml:space="preserve"> It supports the idea of healthy places, which promotes active commuting and better access to healthy food, directly translating the integrated thinking required by the Future Generations Act to a specific public health issue</w:t>
      </w:r>
      <w:r w:rsidR="00880C3D" w:rsidRPr="00BE2D20">
        <w:rPr>
          <w:rFonts w:ascii="Arial" w:eastAsia="Times New Roman" w:hAnsi="Arial" w:cs="Arial"/>
          <w:kern w:val="0"/>
          <w:lang w:val="en-US"/>
          <w14:ligatures w14:val="none"/>
        </w:rPr>
        <w:t>.</w:t>
      </w:r>
    </w:p>
    <w:p w14:paraId="19D9A1B3" w14:textId="4D1D1004" w:rsidR="0030575E" w:rsidRPr="00BE2D20" w:rsidRDefault="0030575E" w:rsidP="00BE2D20">
      <w:pPr>
        <w:spacing w:after="120" w:line="360" w:lineRule="auto"/>
        <w:jc w:val="both"/>
        <w:rPr>
          <w:rFonts w:ascii="Arial" w:eastAsia="Times New Roman" w:hAnsi="Arial" w:cs="Arial"/>
          <w:kern w:val="0"/>
          <w14:ligatures w14:val="none"/>
        </w:rPr>
      </w:pPr>
    </w:p>
    <w:p w14:paraId="68D2C2B3" w14:textId="416E9D55" w:rsidR="000110CE" w:rsidRPr="00BE2D20" w:rsidRDefault="000110CE" w:rsidP="00BE2D20">
      <w:pPr>
        <w:pStyle w:val="Heading1"/>
        <w:spacing w:line="360" w:lineRule="auto"/>
        <w:jc w:val="both"/>
        <w:rPr>
          <w:rFonts w:ascii="Arial" w:eastAsia="Times New Roman" w:hAnsi="Arial" w:cs="Arial"/>
          <w:sz w:val="22"/>
          <w:szCs w:val="22"/>
        </w:rPr>
      </w:pPr>
      <w:bookmarkStart w:id="8" w:name="_Toc214161558"/>
      <w:r w:rsidRPr="00BE2D20">
        <w:rPr>
          <w:rFonts w:ascii="Arial" w:eastAsia="Times New Roman" w:hAnsi="Arial" w:cs="Arial"/>
          <w:sz w:val="22"/>
          <w:szCs w:val="22"/>
        </w:rPr>
        <w:t>4. Efficiency and Effectiveness: Evaluation From Policy to Results</w:t>
      </w:r>
      <w:bookmarkEnd w:id="8"/>
    </w:p>
    <w:p w14:paraId="21D3680F" w14:textId="77777777" w:rsidR="000110CE" w:rsidRPr="00BE2D20" w:rsidRDefault="000110CE" w:rsidP="00BE2D20">
      <w:pPr>
        <w:spacing w:after="120" w:line="360" w:lineRule="auto"/>
        <w:jc w:val="both"/>
        <w:rPr>
          <w:rFonts w:ascii="Arial" w:eastAsia="Times New Roman" w:hAnsi="Arial" w:cs="Arial"/>
          <w:kern w:val="0"/>
          <w14:ligatures w14:val="none"/>
        </w:rPr>
      </w:pPr>
    </w:p>
    <w:p w14:paraId="788436B1" w14:textId="464BD0F4" w:rsidR="000110CE" w:rsidRPr="00BE2D20" w:rsidRDefault="000110CE" w:rsidP="00BE2D20">
      <w:pPr>
        <w:pStyle w:val="Heading2"/>
        <w:spacing w:line="360" w:lineRule="auto"/>
        <w:jc w:val="both"/>
        <w:rPr>
          <w:rFonts w:ascii="Arial" w:eastAsia="Times New Roman" w:hAnsi="Arial" w:cs="Arial"/>
          <w:sz w:val="22"/>
          <w:szCs w:val="22"/>
        </w:rPr>
      </w:pPr>
      <w:bookmarkStart w:id="9" w:name="_Toc214161559"/>
      <w:r w:rsidRPr="00BE2D20">
        <w:rPr>
          <w:rFonts w:ascii="Arial" w:eastAsia="Times New Roman" w:hAnsi="Arial" w:cs="Arial"/>
          <w:sz w:val="22"/>
          <w:szCs w:val="22"/>
        </w:rPr>
        <w:t>4.1. Welsh Approach Strengths</w:t>
      </w:r>
      <w:bookmarkEnd w:id="9"/>
    </w:p>
    <w:p w14:paraId="20157366" w14:textId="77777777" w:rsidR="008145F1" w:rsidRPr="008145F1" w:rsidRDefault="008145F1" w:rsidP="008145F1">
      <w:pPr>
        <w:spacing w:after="120" w:line="360" w:lineRule="auto"/>
        <w:jc w:val="both"/>
        <w:rPr>
          <w:rFonts w:ascii="Arial" w:eastAsia="Times New Roman" w:hAnsi="Arial" w:cs="Arial"/>
          <w:kern w:val="0"/>
          <w:sz w:val="24"/>
          <w:szCs w:val="24"/>
          <w14:ligatures w14:val="none"/>
        </w:rPr>
      </w:pPr>
      <w:r w:rsidRPr="008145F1">
        <w:rPr>
          <w:rFonts w:ascii="Arial" w:eastAsia="Times New Roman" w:hAnsi="Arial" w:cs="Arial"/>
          <w:kern w:val="0"/>
          <w:sz w:val="24"/>
          <w:szCs w:val="24"/>
          <w14:ligatures w14:val="none"/>
        </w:rPr>
        <w:t>The Welsh model has garnered widespread acclaim due to its systemic and visionary ambition. This has led the Future Generations Act to provide a powerful statutory framework that drives a mindset change from short-term and siloed views towards long-term integrated views. The Future Generations Commissioner is an independent auditor and proponent of the principles of the Act that provides a special accountability mechanism. There are material accomplishments. It was preceded by the Active Travel (Wales) Act 2013 which has helped in a rise in investment in walking and cycling infrastructure that directly relates to SDG 11 and SDG 3 (Harker &amp; Harker, 2020). In addition, prioritizing the foundational economy has helped provide critical services in rural and disadvantaged communities, promoting social cohesion and the creation of local employment.</w:t>
      </w:r>
    </w:p>
    <w:p w14:paraId="25349BAC" w14:textId="77777777" w:rsidR="000110CE" w:rsidRPr="00BE2D20" w:rsidRDefault="000110CE" w:rsidP="00BE2D20">
      <w:pPr>
        <w:spacing w:after="120" w:line="360" w:lineRule="auto"/>
        <w:jc w:val="both"/>
        <w:rPr>
          <w:rFonts w:ascii="Arial" w:eastAsia="Times New Roman" w:hAnsi="Arial" w:cs="Arial"/>
          <w:kern w:val="0"/>
          <w14:ligatures w14:val="none"/>
        </w:rPr>
      </w:pPr>
    </w:p>
    <w:p w14:paraId="1D41024D" w14:textId="56AC25D7" w:rsidR="000110CE" w:rsidRPr="00BE2D20" w:rsidRDefault="000110CE" w:rsidP="00BE2D20">
      <w:pPr>
        <w:pStyle w:val="Heading2"/>
        <w:spacing w:line="360" w:lineRule="auto"/>
        <w:jc w:val="both"/>
        <w:rPr>
          <w:rFonts w:ascii="Arial" w:eastAsia="Times New Roman" w:hAnsi="Arial" w:cs="Arial"/>
          <w:sz w:val="22"/>
          <w:szCs w:val="22"/>
        </w:rPr>
      </w:pPr>
      <w:bookmarkStart w:id="10" w:name="_Toc214161560"/>
      <w:r w:rsidRPr="00BE2D20">
        <w:rPr>
          <w:rFonts w:ascii="Arial" w:eastAsia="Times New Roman" w:hAnsi="Arial" w:cs="Arial"/>
          <w:sz w:val="22"/>
          <w:szCs w:val="22"/>
        </w:rPr>
        <w:t>4.2. Challenges and Limitations</w:t>
      </w:r>
      <w:bookmarkEnd w:id="10"/>
    </w:p>
    <w:p w14:paraId="62021797" w14:textId="77777777" w:rsidR="000110CE" w:rsidRPr="000110CE" w:rsidRDefault="000110CE" w:rsidP="00BE2D20">
      <w:pPr>
        <w:spacing w:after="120" w:line="360" w:lineRule="auto"/>
        <w:jc w:val="both"/>
        <w:rPr>
          <w:rFonts w:ascii="Arial" w:eastAsia="Times New Roman" w:hAnsi="Arial" w:cs="Arial"/>
          <w:kern w:val="0"/>
          <w14:ligatures w14:val="none"/>
        </w:rPr>
      </w:pPr>
      <w:r w:rsidRPr="000110CE">
        <w:rPr>
          <w:rFonts w:ascii="Arial" w:eastAsia="Times New Roman" w:hAnsi="Arial" w:cs="Arial"/>
          <w:kern w:val="0"/>
          <w14:ligatures w14:val="none"/>
        </w:rPr>
        <w:t>Even with this new framework, significant issues remain regarding how to translate policy into equal health outcomes.</w:t>
      </w:r>
    </w:p>
    <w:p w14:paraId="054FF0F9" w14:textId="4E7D75E0" w:rsidR="000110CE" w:rsidRPr="000110CE" w:rsidRDefault="000110CE" w:rsidP="00BE2D20">
      <w:pPr>
        <w:spacing w:line="360" w:lineRule="auto"/>
        <w:jc w:val="both"/>
        <w:rPr>
          <w:rFonts w:ascii="Arial" w:eastAsia="Times New Roman" w:hAnsi="Arial" w:cs="Arial"/>
          <w:kern w:val="0"/>
          <w:lang w:val="en-US"/>
          <w14:ligatures w14:val="none"/>
        </w:rPr>
      </w:pPr>
      <w:r w:rsidRPr="000110CE">
        <w:rPr>
          <w:rFonts w:ascii="Arial" w:eastAsia="Times New Roman" w:hAnsi="Arial" w:cs="Arial"/>
          <w:b/>
          <w:bCs/>
          <w:kern w:val="0"/>
          <w14:ligatures w14:val="none"/>
        </w:rPr>
        <w:t>Endemic Health Inequality:</w:t>
      </w:r>
      <w:r w:rsidRPr="000110CE">
        <w:rPr>
          <w:rFonts w:ascii="Arial" w:eastAsia="Times New Roman" w:hAnsi="Arial" w:cs="Arial"/>
          <w:kern w:val="0"/>
          <w14:ligatures w14:val="none"/>
        </w:rPr>
        <w:t xml:space="preserve"> The Stark disparities in health between the most and the least deprived regions in Wales are an immeasurable failure. On average, men in the most deprived regions have a lifespan that is 10.2 years shorter than those in the least deprived regions </w:t>
      </w:r>
      <w:r w:rsidR="00DF1677" w:rsidRPr="00BE2D20">
        <w:rPr>
          <w:rFonts w:ascii="Arial" w:eastAsia="Times New Roman" w:hAnsi="Arial" w:cs="Arial"/>
          <w:kern w:val="0"/>
          <w14:ligatures w14:val="none"/>
        </w:rPr>
        <w:t>(Makahleh et al., 2025)</w:t>
      </w:r>
      <w:r w:rsidR="00DF1677" w:rsidRPr="00BE2D20">
        <w:rPr>
          <w:rFonts w:ascii="Arial" w:eastAsia="Times New Roman" w:hAnsi="Arial" w:cs="Arial"/>
          <w:kern w:val="0"/>
          <w:lang w:val="en-US"/>
          <w14:ligatures w14:val="none"/>
        </w:rPr>
        <w:t xml:space="preserve">. </w:t>
      </w:r>
      <w:r w:rsidRPr="000110CE">
        <w:rPr>
          <w:rFonts w:ascii="Arial" w:eastAsia="Times New Roman" w:hAnsi="Arial" w:cs="Arial"/>
          <w:kern w:val="0"/>
          <w14:ligatures w14:val="none"/>
        </w:rPr>
        <w:t>It implies that the high-level objectives are yet to be well-penetrated with the most vulnerable groups, which Marmot (2020) points out is the issue in the UK</w:t>
      </w:r>
      <w:r w:rsidR="00725125" w:rsidRPr="00BE2D20">
        <w:rPr>
          <w:rFonts w:ascii="Arial" w:eastAsia="Times New Roman" w:hAnsi="Arial" w:cs="Arial"/>
          <w:kern w:val="0"/>
          <w:lang w:val="en-US"/>
          <w14:ligatures w14:val="none"/>
        </w:rPr>
        <w:t>.</w:t>
      </w:r>
    </w:p>
    <w:p w14:paraId="66DC3042" w14:textId="2E1CB48A" w:rsidR="000110CE" w:rsidRPr="000110CE" w:rsidRDefault="000110CE" w:rsidP="00BE2D20">
      <w:pPr>
        <w:spacing w:line="360" w:lineRule="auto"/>
        <w:jc w:val="both"/>
        <w:rPr>
          <w:rFonts w:ascii="Arial" w:eastAsia="Times New Roman" w:hAnsi="Arial" w:cs="Arial"/>
          <w:kern w:val="0"/>
          <w14:ligatures w14:val="none"/>
        </w:rPr>
      </w:pPr>
      <w:r w:rsidRPr="000110CE">
        <w:rPr>
          <w:rFonts w:ascii="Arial" w:eastAsia="Times New Roman" w:hAnsi="Arial" w:cs="Arial"/>
          <w:b/>
          <w:bCs/>
          <w:kern w:val="0"/>
          <w14:ligatures w14:val="none"/>
        </w:rPr>
        <w:t>Implementation Gap:</w:t>
      </w:r>
      <w:r w:rsidRPr="000110CE">
        <w:rPr>
          <w:rFonts w:ascii="Arial" w:eastAsia="Times New Roman" w:hAnsi="Arial" w:cs="Arial"/>
          <w:kern w:val="0"/>
          <w14:ligatures w14:val="none"/>
        </w:rPr>
        <w:t xml:space="preserve"> A critical report by </w:t>
      </w:r>
      <w:r w:rsidR="0040258F" w:rsidRPr="00BE2D20">
        <w:rPr>
          <w:rFonts w:ascii="Arial" w:eastAsia="Times New Roman" w:hAnsi="Arial" w:cs="Arial"/>
          <w:kern w:val="0"/>
          <w14:ligatures w14:val="none"/>
        </w:rPr>
        <w:t>(Future Generations Wales, 2022)</w:t>
      </w:r>
      <w:r w:rsidR="0040258F" w:rsidRPr="00BE2D20">
        <w:rPr>
          <w:rFonts w:ascii="Arial" w:eastAsia="Times New Roman" w:hAnsi="Arial" w:cs="Arial"/>
          <w:kern w:val="0"/>
          <w:lang w:val="en-US"/>
          <w14:ligatures w14:val="none"/>
        </w:rPr>
        <w:t>,</w:t>
      </w:r>
      <w:r w:rsidRPr="000110CE">
        <w:rPr>
          <w:rFonts w:ascii="Arial" w:eastAsia="Times New Roman" w:hAnsi="Arial" w:cs="Arial"/>
          <w:kern w:val="0"/>
          <w14:ligatures w14:val="none"/>
        </w:rPr>
        <w:t xml:space="preserve"> discovered that PSBs have prepared Well-being Plans, but they typically do not specify how the plans will be implemented, financed and measured. The principle of integration is not easily practiced, and with traditional departmental silos and budget constraints, there has been no easy way to facilitate collaborative action.</w:t>
      </w:r>
    </w:p>
    <w:p w14:paraId="28344FD6" w14:textId="3C28B21E" w:rsidR="000110CE" w:rsidRPr="000110CE" w:rsidRDefault="000110CE" w:rsidP="00BE2D20">
      <w:pPr>
        <w:spacing w:line="360" w:lineRule="auto"/>
        <w:jc w:val="both"/>
        <w:rPr>
          <w:rFonts w:ascii="Arial" w:eastAsia="Times New Roman" w:hAnsi="Arial" w:cs="Arial"/>
          <w:kern w:val="0"/>
          <w14:ligatures w14:val="none"/>
        </w:rPr>
      </w:pPr>
      <w:r w:rsidRPr="000110CE">
        <w:rPr>
          <w:rFonts w:ascii="Arial" w:eastAsia="Times New Roman" w:hAnsi="Arial" w:cs="Arial"/>
          <w:b/>
          <w:bCs/>
          <w:kern w:val="0"/>
          <w14:ligatures w14:val="none"/>
        </w:rPr>
        <w:t>Poor Specialization in Urban Design:</w:t>
      </w:r>
      <w:r w:rsidRPr="000110CE">
        <w:rPr>
          <w:rFonts w:ascii="Arial" w:eastAsia="Times New Roman" w:hAnsi="Arial" w:cs="Arial"/>
          <w:kern w:val="0"/>
          <w14:ligatures w14:val="none"/>
        </w:rPr>
        <w:t xml:space="preserve"> The message of Active Travel is disseminated, but the underlying criticism of urban planning remains</w:t>
      </w:r>
      <w:r w:rsidR="007D5CBF" w:rsidRPr="00BE2D20">
        <w:rPr>
          <w:rFonts w:ascii="Arial" w:eastAsia="Times New Roman" w:hAnsi="Arial" w:cs="Arial"/>
          <w:kern w:val="0"/>
          <w:lang w:val="en-US"/>
          <w14:ligatures w14:val="none"/>
        </w:rPr>
        <w:t xml:space="preserve"> </w:t>
      </w:r>
      <w:r w:rsidR="007D5CBF" w:rsidRPr="00BE2D20">
        <w:rPr>
          <w:rFonts w:ascii="Arial" w:eastAsia="Times New Roman" w:hAnsi="Arial" w:cs="Arial"/>
          <w:kern w:val="0"/>
          <w14:ligatures w14:val="none"/>
        </w:rPr>
        <w:t>(Rahman et al., 2023)</w:t>
      </w:r>
      <w:r w:rsidR="007D5CBF" w:rsidRPr="00BE2D20">
        <w:rPr>
          <w:rFonts w:ascii="Arial" w:eastAsia="Times New Roman" w:hAnsi="Arial" w:cs="Arial"/>
          <w:kern w:val="0"/>
          <w:lang w:val="en-US"/>
          <w14:ligatures w14:val="none"/>
        </w:rPr>
        <w:t xml:space="preserve">. </w:t>
      </w:r>
      <w:r w:rsidRPr="000110CE">
        <w:rPr>
          <w:rFonts w:ascii="Arial" w:eastAsia="Times New Roman" w:hAnsi="Arial" w:cs="Arial"/>
          <w:kern w:val="0"/>
          <w14:ligatures w14:val="none"/>
        </w:rPr>
        <w:t>Poor-quality housing, absence of access to green space, and design of the area, which is car-dependent, actively discourage the SDG 11 and SDG 3, making many com</w:t>
      </w:r>
      <w:r w:rsidR="00245631" w:rsidRPr="00BE2D20">
        <w:rPr>
          <w:rFonts w:ascii="Arial" w:eastAsia="Times New Roman" w:hAnsi="Arial" w:cs="Arial"/>
          <w:kern w:val="0"/>
          <w:lang w:val="en-US"/>
          <w14:ligatures w14:val="none"/>
        </w:rPr>
        <w:t>s</w:t>
      </w:r>
      <w:r w:rsidRPr="000110CE">
        <w:rPr>
          <w:rFonts w:ascii="Arial" w:eastAsia="Times New Roman" w:hAnsi="Arial" w:cs="Arial"/>
          <w:kern w:val="0"/>
          <w14:ligatures w14:val="none"/>
        </w:rPr>
        <w:t>munities, especially those in the post-industrial South Wales Valleys, ineffective for this purpose. The limitations of the current infrastructure often exceed the feasibility of implementing new policies to effect a rapid change.</w:t>
      </w:r>
    </w:p>
    <w:p w14:paraId="79E781E1" w14:textId="038DCCA2" w:rsidR="000110CE" w:rsidRPr="00BE2D20" w:rsidRDefault="000110CE" w:rsidP="00BE2D20">
      <w:pPr>
        <w:spacing w:line="360" w:lineRule="auto"/>
        <w:jc w:val="both"/>
        <w:rPr>
          <w:rFonts w:ascii="Arial" w:eastAsia="Times New Roman" w:hAnsi="Arial" w:cs="Arial"/>
          <w:kern w:val="0"/>
          <w14:ligatures w14:val="none"/>
        </w:rPr>
      </w:pPr>
      <w:r w:rsidRPr="000110CE">
        <w:rPr>
          <w:rFonts w:ascii="Arial" w:eastAsia="Times New Roman" w:hAnsi="Arial" w:cs="Arial"/>
          <w:b/>
          <w:bCs/>
          <w:kern w:val="0"/>
          <w14:ligatures w14:val="none"/>
        </w:rPr>
        <w:t>The Shadow of Austerity:</w:t>
      </w:r>
      <w:r w:rsidRPr="000110CE">
        <w:rPr>
          <w:rFonts w:ascii="Arial" w:eastAsia="Times New Roman" w:hAnsi="Arial" w:cs="Arial"/>
          <w:kern w:val="0"/>
          <w14:ligatures w14:val="none"/>
        </w:rPr>
        <w:t xml:space="preserve"> Austerity policies have had a disastrous impact on local authority budgets across the UK, reducing their ability to invest in preventative, cross-cutting projects that the Future Generations Act envisions</w:t>
      </w:r>
      <w:r w:rsidR="007827A0" w:rsidRPr="00BE2D20">
        <w:rPr>
          <w:rFonts w:ascii="Arial" w:eastAsia="Times New Roman" w:hAnsi="Arial" w:cs="Arial"/>
          <w:kern w:val="0"/>
          <w:lang w:val="en-US"/>
          <w14:ligatures w14:val="none"/>
        </w:rPr>
        <w:t xml:space="preserve"> </w:t>
      </w:r>
      <w:r w:rsidR="007827A0" w:rsidRPr="00BE2D20">
        <w:rPr>
          <w:rFonts w:ascii="Arial" w:eastAsia="Times New Roman" w:hAnsi="Arial" w:cs="Arial"/>
          <w:kern w:val="0"/>
          <w14:ligatures w14:val="none"/>
        </w:rPr>
        <w:t>(UK Parliament , 2025)</w:t>
      </w:r>
      <w:r w:rsidRPr="000110CE">
        <w:rPr>
          <w:rFonts w:ascii="Arial" w:eastAsia="Times New Roman" w:hAnsi="Arial" w:cs="Arial"/>
          <w:kern w:val="0"/>
          <w14:ligatures w14:val="none"/>
        </w:rPr>
        <w:t>. This puts a strain on the legislative desire and the economic truth of the state services.</w:t>
      </w:r>
    </w:p>
    <w:p w14:paraId="337B13E9" w14:textId="13B79010" w:rsidR="000110CE" w:rsidRPr="00BE2D20" w:rsidRDefault="000110CE" w:rsidP="00BE2D20">
      <w:pPr>
        <w:spacing w:after="120" w:line="360" w:lineRule="auto"/>
        <w:jc w:val="both"/>
        <w:rPr>
          <w:rFonts w:ascii="Arial" w:eastAsia="Times New Roman" w:hAnsi="Arial" w:cs="Arial"/>
          <w:kern w:val="0"/>
          <w14:ligatures w14:val="none"/>
        </w:rPr>
      </w:pPr>
    </w:p>
    <w:p w14:paraId="3E1DE941" w14:textId="739C6D9B" w:rsidR="004C52E4" w:rsidRPr="00BE2D20" w:rsidRDefault="004C52E4" w:rsidP="00BE2D20">
      <w:pPr>
        <w:pStyle w:val="Heading1"/>
        <w:spacing w:line="360" w:lineRule="auto"/>
        <w:jc w:val="both"/>
        <w:rPr>
          <w:rFonts w:ascii="Arial" w:eastAsia="Times New Roman" w:hAnsi="Arial" w:cs="Arial"/>
          <w:sz w:val="22"/>
          <w:szCs w:val="22"/>
        </w:rPr>
      </w:pPr>
      <w:bookmarkStart w:id="11" w:name="_Toc214161561"/>
      <w:r w:rsidRPr="00BE2D20">
        <w:rPr>
          <w:rFonts w:ascii="Arial" w:eastAsia="Times New Roman" w:hAnsi="Arial" w:cs="Arial"/>
          <w:sz w:val="22"/>
          <w:szCs w:val="22"/>
        </w:rPr>
        <w:t>5. Improvement Recommendations</w:t>
      </w:r>
      <w:bookmarkEnd w:id="11"/>
    </w:p>
    <w:p w14:paraId="1C8A28E6" w14:textId="77777777" w:rsidR="004C52E4" w:rsidRPr="004C52E4" w:rsidRDefault="004C52E4" w:rsidP="00BE2D20">
      <w:pPr>
        <w:spacing w:after="120" w:line="360" w:lineRule="auto"/>
        <w:jc w:val="both"/>
        <w:rPr>
          <w:rFonts w:ascii="Arial" w:eastAsia="Times New Roman" w:hAnsi="Arial" w:cs="Arial"/>
          <w:kern w:val="0"/>
          <w14:ligatures w14:val="none"/>
        </w:rPr>
      </w:pPr>
      <w:r w:rsidRPr="004C52E4">
        <w:rPr>
          <w:rFonts w:ascii="Arial" w:eastAsia="Times New Roman" w:hAnsi="Arial" w:cs="Arial"/>
          <w:kern w:val="0"/>
          <w14:ligatures w14:val="none"/>
        </w:rPr>
        <w:t>In order to improve the effectiveness of health, well-being, and sustainability programmes in Wales, it is proposed to recommend the following evidence-based recommendations:</w:t>
      </w:r>
    </w:p>
    <w:p w14:paraId="7B4FC190" w14:textId="5E1B6066" w:rsidR="004C52E4" w:rsidRPr="004C52E4" w:rsidRDefault="004C52E4" w:rsidP="00BE2D20">
      <w:pPr>
        <w:spacing w:line="360" w:lineRule="auto"/>
        <w:jc w:val="both"/>
        <w:rPr>
          <w:rFonts w:ascii="Arial" w:eastAsia="Times New Roman" w:hAnsi="Arial" w:cs="Arial"/>
          <w:kern w:val="0"/>
          <w14:ligatures w14:val="none"/>
        </w:rPr>
      </w:pPr>
      <w:r w:rsidRPr="004C52E4">
        <w:rPr>
          <w:rFonts w:ascii="Arial" w:eastAsia="Times New Roman" w:hAnsi="Arial" w:cs="Arial"/>
          <w:b/>
          <w:bCs/>
          <w:kern w:val="0"/>
          <w14:ligatures w14:val="none"/>
        </w:rPr>
        <w:t>Integrate Health Impact and Equity Assessments in every key Planning Decision:</w:t>
      </w:r>
      <w:r w:rsidRPr="004C52E4">
        <w:rPr>
          <w:rFonts w:ascii="Arial" w:eastAsia="Times New Roman" w:hAnsi="Arial" w:cs="Arial"/>
          <w:kern w:val="0"/>
          <w14:ligatures w14:val="none"/>
        </w:rPr>
        <w:t xml:space="preserve"> Based on the principle of integrated thinking, health impact assessment (HIA) must be mandatory and rigorous on all important development decisions made by the public and the private sector, and with particular attention to equity</w:t>
      </w:r>
      <w:r w:rsidR="00FB0784" w:rsidRPr="00BE2D20">
        <w:rPr>
          <w:rFonts w:ascii="Arial" w:eastAsia="Times New Roman" w:hAnsi="Arial" w:cs="Arial"/>
          <w:kern w:val="0"/>
          <w:lang w:val="en-US"/>
          <w14:ligatures w14:val="none"/>
        </w:rPr>
        <w:t xml:space="preserve"> </w:t>
      </w:r>
      <w:r w:rsidR="00FB0784" w:rsidRPr="00BE2D20">
        <w:rPr>
          <w:rFonts w:ascii="Arial" w:eastAsia="Times New Roman" w:hAnsi="Arial" w:cs="Arial"/>
          <w:kern w:val="0"/>
          <w14:ligatures w14:val="none"/>
        </w:rPr>
        <w:t>(Salcito et al., 2015)</w:t>
      </w:r>
      <w:r w:rsidR="00FB0784" w:rsidRPr="00BE2D20">
        <w:rPr>
          <w:rFonts w:ascii="Arial" w:eastAsia="Times New Roman" w:hAnsi="Arial" w:cs="Arial"/>
          <w:kern w:val="0"/>
          <w:lang w:val="en-US"/>
          <w14:ligatures w14:val="none"/>
        </w:rPr>
        <w:t>.</w:t>
      </w:r>
      <w:r w:rsidRPr="004C52E4">
        <w:rPr>
          <w:rFonts w:ascii="Arial" w:eastAsia="Times New Roman" w:hAnsi="Arial" w:cs="Arial"/>
          <w:kern w:val="0"/>
          <w14:ligatures w14:val="none"/>
        </w:rPr>
        <w:t xml:space="preserve"> This would bring SDG 11 and SDG 3 together, so that new housing, transport, and commercial projects are developed in ways that will actively support, but not obstruct, population health and decrease inequalities</w:t>
      </w:r>
      <w:r w:rsidR="00FB0784" w:rsidRPr="00BE2D20">
        <w:rPr>
          <w:rFonts w:ascii="Arial" w:eastAsia="Times New Roman" w:hAnsi="Arial" w:cs="Arial"/>
          <w:kern w:val="0"/>
          <w:lang w:val="en-US"/>
          <w14:ligatures w14:val="none"/>
        </w:rPr>
        <w:t>.</w:t>
      </w:r>
    </w:p>
    <w:p w14:paraId="3DC1B27D" w14:textId="4D868FCA" w:rsidR="004C52E4" w:rsidRPr="004C52E4" w:rsidRDefault="004C52E4" w:rsidP="00BE2D20">
      <w:pPr>
        <w:spacing w:line="360" w:lineRule="auto"/>
        <w:jc w:val="both"/>
        <w:rPr>
          <w:rFonts w:ascii="Arial" w:eastAsia="Times New Roman" w:hAnsi="Arial" w:cs="Arial"/>
          <w:kern w:val="0"/>
          <w14:ligatures w14:val="none"/>
        </w:rPr>
      </w:pPr>
      <w:r w:rsidRPr="004C52E4">
        <w:rPr>
          <w:rFonts w:ascii="Arial" w:eastAsia="Times New Roman" w:hAnsi="Arial" w:cs="Arial"/>
          <w:b/>
          <w:bCs/>
          <w:kern w:val="0"/>
          <w14:ligatures w14:val="none"/>
        </w:rPr>
        <w:t xml:space="preserve">Devolve and Earmark Funding for Locally Led, Preventative Projects: </w:t>
      </w:r>
      <w:r w:rsidRPr="004C52E4">
        <w:rPr>
          <w:rFonts w:ascii="Arial" w:eastAsia="Times New Roman" w:hAnsi="Arial" w:cs="Arial"/>
          <w:kern w:val="0"/>
          <w14:ligatures w14:val="none"/>
        </w:rPr>
        <w:t>The central government should establish a targeted, ring-fenced Prevention Fund, available to PSBs and community organisations, to facilitate projects that explicitly encompass health, community cohesion, and environmental sustainability</w:t>
      </w:r>
      <w:r w:rsidR="00B32710" w:rsidRPr="00BE2D20">
        <w:rPr>
          <w:rFonts w:ascii="Arial" w:eastAsia="Times New Roman" w:hAnsi="Arial" w:cs="Arial"/>
          <w:kern w:val="0"/>
          <w:lang w:val="en-US"/>
          <w14:ligatures w14:val="none"/>
        </w:rPr>
        <w:t xml:space="preserve"> </w:t>
      </w:r>
      <w:r w:rsidR="00B32710" w:rsidRPr="00BE2D20">
        <w:rPr>
          <w:rFonts w:ascii="Arial" w:eastAsia="Times New Roman" w:hAnsi="Arial" w:cs="Arial"/>
          <w:kern w:val="0"/>
          <w14:ligatures w14:val="none"/>
        </w:rPr>
        <w:t>(Institute of Medicine, 2012)</w:t>
      </w:r>
      <w:r w:rsidR="00B32710" w:rsidRPr="00BE2D20">
        <w:rPr>
          <w:rFonts w:ascii="Arial" w:eastAsia="Times New Roman" w:hAnsi="Arial" w:cs="Arial"/>
          <w:kern w:val="0"/>
          <w:lang w:val="en-US"/>
          <w14:ligatures w14:val="none"/>
        </w:rPr>
        <w:t>.</w:t>
      </w:r>
      <w:r w:rsidRPr="004C52E4">
        <w:rPr>
          <w:rFonts w:ascii="Arial" w:eastAsia="Times New Roman" w:hAnsi="Arial" w:cs="Arial"/>
          <w:kern w:val="0"/>
          <w14:ligatures w14:val="none"/>
        </w:rPr>
        <w:t xml:space="preserve"> This might finance such projects as community food growing initiatives, regeneration of green space, or local social prescribing initiatives, filling the implementation gap by directly supplying resources to be used to achieve collaborative action at the local level.</w:t>
      </w:r>
    </w:p>
    <w:p w14:paraId="460C5B91" w14:textId="77777777" w:rsidR="00D405FF" w:rsidRPr="00D405FF" w:rsidRDefault="004C52E4" w:rsidP="00D405FF">
      <w:pPr>
        <w:spacing w:line="360" w:lineRule="auto"/>
        <w:jc w:val="both"/>
        <w:rPr>
          <w:rFonts w:ascii="Times New Roman" w:eastAsia="Times New Roman" w:hAnsi="Times New Roman" w:cs="Times New Roman"/>
          <w:kern w:val="0"/>
          <w:sz w:val="24"/>
          <w:szCs w:val="24"/>
          <w14:ligatures w14:val="none"/>
        </w:rPr>
      </w:pPr>
      <w:r w:rsidRPr="004C52E4">
        <w:rPr>
          <w:rFonts w:ascii="Arial" w:eastAsia="Times New Roman" w:hAnsi="Arial" w:cs="Arial"/>
          <w:b/>
          <w:bCs/>
          <w:kern w:val="0"/>
          <w14:ligatures w14:val="none"/>
        </w:rPr>
        <w:t xml:space="preserve">Enhance the Foundational Economy through a Health in All Policies (HiAP) Mandate: </w:t>
      </w:r>
      <w:r w:rsidRPr="00D405FF">
        <w:rPr>
          <w:rFonts w:ascii="Arial" w:eastAsia="Times New Roman" w:hAnsi="Arial" w:cs="Arial"/>
          <w:kern w:val="0"/>
          <w14:ligatures w14:val="none"/>
        </w:rPr>
        <w:t>Clarify the Connection between the Foundational Economy Approach and Public Procurement</w:t>
      </w:r>
      <w:r w:rsidR="00D16AEF" w:rsidRPr="00D405FF">
        <w:rPr>
          <w:rFonts w:ascii="Arial" w:hAnsi="Arial" w:cs="Arial"/>
        </w:rPr>
        <w:t xml:space="preserve"> </w:t>
      </w:r>
      <w:r w:rsidR="00D16AEF" w:rsidRPr="00D405FF">
        <w:rPr>
          <w:rFonts w:ascii="Arial" w:eastAsia="Times New Roman" w:hAnsi="Arial" w:cs="Arial"/>
          <w:kern w:val="0"/>
          <w14:ligatures w14:val="none"/>
        </w:rPr>
        <w:t>(Pinto et al., 2015)</w:t>
      </w:r>
      <w:r w:rsidR="00D16AEF" w:rsidRPr="00D405FF">
        <w:rPr>
          <w:rFonts w:ascii="Arial" w:eastAsia="Times New Roman" w:hAnsi="Arial" w:cs="Arial"/>
          <w:kern w:val="0"/>
          <w:lang w:val="en-US"/>
          <w14:ligatures w14:val="none"/>
        </w:rPr>
        <w:t xml:space="preserve">. </w:t>
      </w:r>
      <w:r w:rsidRPr="00D405FF">
        <w:rPr>
          <w:rFonts w:ascii="Arial" w:eastAsia="Times New Roman" w:hAnsi="Arial" w:cs="Arial"/>
          <w:kern w:val="0"/>
          <w14:ligatures w14:val="none"/>
        </w:rPr>
        <w:t xml:space="preserve">The acquisition of local and sustainable businesses that offer fair wages and good working conditions should be obligatory in all public bodies (hospitals, schools, councils). </w:t>
      </w:r>
      <w:r w:rsidR="00D405FF" w:rsidRPr="00D405FF">
        <w:rPr>
          <w:rFonts w:ascii="Arial" w:eastAsia="Times New Roman" w:hAnsi="Arial" w:cs="Arial"/>
          <w:kern w:val="0"/>
          <w:sz w:val="24"/>
          <w:szCs w:val="24"/>
          <w14:ligatures w14:val="none"/>
        </w:rPr>
        <w:t>This would create a cycle of virtue, not only enhancing the local economy (as a social determinant of health), but also generating more healthy and sustainable goods and services, which is perfectly in line with the objectives of the Future Generations Act.</w:t>
      </w:r>
    </w:p>
    <w:p w14:paraId="4AE944F2" w14:textId="6321B472" w:rsidR="004C52E4" w:rsidRPr="004C52E4" w:rsidRDefault="004C52E4" w:rsidP="00BE2D20">
      <w:pPr>
        <w:spacing w:line="360" w:lineRule="auto"/>
        <w:jc w:val="both"/>
        <w:rPr>
          <w:rFonts w:ascii="Arial" w:eastAsia="Times New Roman" w:hAnsi="Arial" w:cs="Arial"/>
          <w:kern w:val="0"/>
          <w14:ligatures w14:val="none"/>
        </w:rPr>
      </w:pPr>
    </w:p>
    <w:p w14:paraId="4BB9E382" w14:textId="77777777" w:rsidR="008E6911" w:rsidRPr="008E6911" w:rsidRDefault="008E6911" w:rsidP="008E6911">
      <w:pPr>
        <w:spacing w:after="120" w:line="360" w:lineRule="auto"/>
        <w:jc w:val="both"/>
        <w:rPr>
          <w:rFonts w:ascii="Arial" w:eastAsia="Times New Roman" w:hAnsi="Arial" w:cs="Arial"/>
          <w:kern w:val="0"/>
          <w:sz w:val="24"/>
          <w:szCs w:val="24"/>
          <w14:ligatures w14:val="none"/>
        </w:rPr>
      </w:pPr>
      <w:r w:rsidRPr="008E6911">
        <w:rPr>
          <w:rFonts w:ascii="Arial" w:eastAsia="Times New Roman" w:hAnsi="Arial" w:cs="Arial"/>
          <w:b/>
          <w:bCs/>
          <w:kern w:val="0"/>
          <w:sz w:val="24"/>
          <w:szCs w:val="24"/>
          <w14:ligatures w14:val="none"/>
        </w:rPr>
        <w:t>Enhance Data Gathering and Accountability:</w:t>
      </w:r>
      <w:r w:rsidRPr="008E6911">
        <w:rPr>
          <w:rFonts w:ascii="Arial" w:eastAsia="Times New Roman" w:hAnsi="Arial" w:cs="Arial"/>
          <w:kern w:val="0"/>
          <w:sz w:val="24"/>
          <w:szCs w:val="24"/>
          <w14:ligatures w14:val="none"/>
        </w:rPr>
        <w:t xml:space="preserve"> PSBs will be mandated to publish annual progress reports of their Well-being Plans, including clear and transparent actions of how the health disparities should be eradicated (Valeofglamorgan.gov.uk, 2024). This should be freely available in an interactive form so that communities and Future Generations Commissioner will have more control over the civil entities, allowing them to be more responsible regarding offering tangible benefits in health and well being outcomes.</w:t>
      </w:r>
    </w:p>
    <w:p w14:paraId="041E750E" w14:textId="0850E5D1" w:rsidR="000110CE" w:rsidRPr="00BE2D20" w:rsidRDefault="000110CE" w:rsidP="00BE2D20">
      <w:pPr>
        <w:spacing w:after="120" w:line="360" w:lineRule="auto"/>
        <w:jc w:val="both"/>
        <w:rPr>
          <w:rFonts w:ascii="Arial" w:eastAsia="Times New Roman" w:hAnsi="Arial" w:cs="Arial"/>
          <w:kern w:val="0"/>
          <w14:ligatures w14:val="none"/>
        </w:rPr>
      </w:pPr>
    </w:p>
    <w:p w14:paraId="5AB32842" w14:textId="77777777" w:rsidR="009254EA" w:rsidRPr="00BE2D20" w:rsidRDefault="009254EA" w:rsidP="00BE2D20">
      <w:pPr>
        <w:pStyle w:val="Heading1"/>
        <w:spacing w:line="360" w:lineRule="auto"/>
        <w:jc w:val="both"/>
        <w:rPr>
          <w:rFonts w:ascii="Arial" w:eastAsia="Times New Roman" w:hAnsi="Arial" w:cs="Arial"/>
          <w:sz w:val="22"/>
          <w:szCs w:val="22"/>
        </w:rPr>
      </w:pPr>
      <w:bookmarkStart w:id="12" w:name="_Toc214161562"/>
      <w:r w:rsidRPr="00BE2D20">
        <w:rPr>
          <w:rFonts w:ascii="Arial" w:eastAsia="Times New Roman" w:hAnsi="Arial" w:cs="Arial"/>
          <w:sz w:val="22"/>
          <w:szCs w:val="22"/>
        </w:rPr>
        <w:t>6. Conclusion</w:t>
      </w:r>
      <w:bookmarkEnd w:id="12"/>
    </w:p>
    <w:p w14:paraId="59904AC8" w14:textId="77777777" w:rsidR="00544A49" w:rsidRPr="00544A49" w:rsidRDefault="007B157E" w:rsidP="00544A49">
      <w:pPr>
        <w:spacing w:line="360" w:lineRule="auto"/>
        <w:jc w:val="both"/>
        <w:rPr>
          <w:rFonts w:ascii="Arial" w:eastAsia="Times New Roman" w:hAnsi="Arial" w:cs="Arial"/>
          <w:kern w:val="0"/>
          <w:sz w:val="24"/>
          <w:szCs w:val="24"/>
          <w14:ligatures w14:val="none"/>
        </w:rPr>
      </w:pPr>
      <w:r w:rsidRPr="007B157E">
        <w:rPr>
          <w:rFonts w:ascii="Arial" w:eastAsia="Times New Roman" w:hAnsi="Arial" w:cs="Arial"/>
          <w:kern w:val="0"/>
          <w:sz w:val="24"/>
          <w:szCs w:val="24"/>
          <w14:ligatures w14:val="none"/>
        </w:rPr>
        <w:t xml:space="preserve">The Global SDG 3 and SDG 11 goals form a critical and integrated framework for improving health and well-being. Through its Well-being of Future Generations Act, Wales has established itself as a living laboratory in which these aims can be tested. It offers a green choice to </w:t>
      </w:r>
      <w:r w:rsidRPr="00544A49">
        <w:rPr>
          <w:rFonts w:ascii="Arial" w:eastAsia="Times New Roman" w:hAnsi="Arial" w:cs="Arial"/>
          <w:kern w:val="0"/>
          <w:sz w:val="24"/>
          <w:szCs w:val="24"/>
          <w14:ligatures w14:val="none"/>
        </w:rPr>
        <w:t>short sighted</w:t>
      </w:r>
      <w:r w:rsidRPr="007B157E">
        <w:rPr>
          <w:rFonts w:ascii="Arial" w:eastAsia="Times New Roman" w:hAnsi="Arial" w:cs="Arial"/>
          <w:kern w:val="0"/>
          <w:sz w:val="24"/>
          <w:szCs w:val="24"/>
          <w14:ligatures w14:val="none"/>
        </w:rPr>
        <w:t xml:space="preserve"> policymaking in the form of the systemic/long-term approach.</w:t>
      </w:r>
      <w:r w:rsidRPr="00544A49">
        <w:rPr>
          <w:rFonts w:ascii="Arial" w:eastAsia="Times New Roman" w:hAnsi="Arial" w:cs="Arial"/>
          <w:kern w:val="0"/>
          <w:sz w:val="24"/>
          <w:szCs w:val="24"/>
          <w:lang w:val="en-US"/>
          <w14:ligatures w14:val="none"/>
        </w:rPr>
        <w:t xml:space="preserve"> </w:t>
      </w:r>
      <w:r w:rsidR="00544A49" w:rsidRPr="00544A49">
        <w:rPr>
          <w:rFonts w:ascii="Arial" w:eastAsia="Times New Roman" w:hAnsi="Arial" w:cs="Arial"/>
          <w:kern w:val="0"/>
          <w:sz w:val="24"/>
          <w:szCs w:val="24"/>
          <w14:ligatures w14:val="none"/>
        </w:rPr>
        <w:t>However, in the conversation, there is a connotation that a gulf exists between what is being spelled out in the legislation and the actual truth, particularly among the most vulnerable citizens. The working ideals of the policy, especially in terms of tackling health inequalities and its non-implementation, are also seen as a legacy of austerity, as the policy had not been revised since its implementation. Wales will be forced to change gears to realise its full growth potential and become a genuine global example, not just looking to solve the problem, but instead making the solutions work like a rocket engine. This includes making more militant fiscal investments, having more serious responsibility tools, and a high willingness to provide a living space that accommodates health (by default). The above recommendations, which include mandatory impact assessment, devolution, strategic procurement, and improving accountability, provide a solution to the aforementioned gap. The Welsh policy of being a global leader is also a key solution to improving the health and well-being of all individuals residing within the country.</w:t>
      </w:r>
    </w:p>
    <w:p w14:paraId="494F919B" w14:textId="0F91BB8B" w:rsidR="00EE64C7" w:rsidRPr="00EE64C7" w:rsidRDefault="00EE64C7" w:rsidP="00EE64C7">
      <w:pPr>
        <w:spacing w:line="360" w:lineRule="auto"/>
        <w:jc w:val="both"/>
        <w:rPr>
          <w:rFonts w:ascii="Arial" w:eastAsia="Times New Roman" w:hAnsi="Arial" w:cs="Arial"/>
          <w:kern w:val="0"/>
          <w:sz w:val="24"/>
          <w:szCs w:val="24"/>
          <w14:ligatures w14:val="none"/>
        </w:rPr>
      </w:pPr>
    </w:p>
    <w:p w14:paraId="182F1561" w14:textId="0C91CD11" w:rsidR="007B157E" w:rsidRPr="007B157E" w:rsidRDefault="007B157E" w:rsidP="00F824E2">
      <w:pPr>
        <w:spacing w:line="360" w:lineRule="auto"/>
        <w:jc w:val="both"/>
        <w:rPr>
          <w:rFonts w:ascii="Arial" w:eastAsia="Times New Roman" w:hAnsi="Arial" w:cs="Arial"/>
          <w:kern w:val="0"/>
          <w:sz w:val="24"/>
          <w:szCs w:val="24"/>
          <w14:ligatures w14:val="none"/>
        </w:rPr>
      </w:pPr>
    </w:p>
    <w:p w14:paraId="228D4756" w14:textId="77777777" w:rsidR="004C52E4" w:rsidRPr="000110CE" w:rsidRDefault="004C52E4" w:rsidP="00BE2D20">
      <w:pPr>
        <w:spacing w:after="120" w:line="360" w:lineRule="auto"/>
        <w:jc w:val="both"/>
        <w:rPr>
          <w:rFonts w:ascii="Arial" w:eastAsia="Times New Roman" w:hAnsi="Arial" w:cs="Arial"/>
          <w:kern w:val="0"/>
          <w14:ligatures w14:val="none"/>
        </w:rPr>
      </w:pPr>
    </w:p>
    <w:p w14:paraId="6EFC47EF" w14:textId="77777777" w:rsidR="0030575E" w:rsidRPr="0030575E" w:rsidRDefault="0030575E" w:rsidP="00BE2D20">
      <w:pPr>
        <w:spacing w:after="120" w:line="360" w:lineRule="auto"/>
        <w:jc w:val="both"/>
        <w:rPr>
          <w:rFonts w:ascii="Arial" w:eastAsia="Times New Roman" w:hAnsi="Arial" w:cs="Arial"/>
          <w:kern w:val="0"/>
          <w14:ligatures w14:val="none"/>
        </w:rPr>
      </w:pPr>
    </w:p>
    <w:p w14:paraId="6EF36D4D" w14:textId="77777777" w:rsidR="00CF2AC5" w:rsidRPr="00CF2AC5" w:rsidRDefault="00CF2AC5" w:rsidP="00BE2D20">
      <w:pPr>
        <w:spacing w:after="120" w:line="360" w:lineRule="auto"/>
        <w:jc w:val="both"/>
        <w:rPr>
          <w:rFonts w:ascii="Arial" w:eastAsia="Times New Roman" w:hAnsi="Arial" w:cs="Arial"/>
          <w:kern w:val="0"/>
          <w14:ligatures w14:val="none"/>
        </w:rPr>
      </w:pPr>
    </w:p>
    <w:p w14:paraId="6EDCCD4B" w14:textId="56688A7D" w:rsidR="00BE2D20" w:rsidRPr="00BE2D20" w:rsidRDefault="00BE2D20" w:rsidP="00BE2D20">
      <w:pPr>
        <w:spacing w:line="360" w:lineRule="auto"/>
        <w:jc w:val="both"/>
        <w:rPr>
          <w:rFonts w:ascii="Arial" w:eastAsia="Times New Roman" w:hAnsi="Arial" w:cs="Arial"/>
          <w:kern w:val="0"/>
          <w14:ligatures w14:val="none"/>
        </w:rPr>
      </w:pPr>
      <w:r w:rsidRPr="00BE2D20">
        <w:rPr>
          <w:rFonts w:ascii="Arial" w:eastAsia="Times New Roman" w:hAnsi="Arial" w:cs="Arial"/>
          <w:kern w:val="0"/>
          <w14:ligatures w14:val="none"/>
        </w:rPr>
        <w:br w:type="page"/>
      </w:r>
    </w:p>
    <w:p w14:paraId="6F421256" w14:textId="77777777" w:rsidR="00BE2D20" w:rsidRPr="00BE2D20" w:rsidRDefault="00BE2D20" w:rsidP="00BE2D20">
      <w:pPr>
        <w:pStyle w:val="Heading1"/>
        <w:spacing w:before="0" w:line="360" w:lineRule="auto"/>
        <w:jc w:val="both"/>
        <w:rPr>
          <w:rFonts w:ascii="Arial" w:hAnsi="Arial" w:cs="Arial"/>
          <w:sz w:val="22"/>
          <w:szCs w:val="22"/>
        </w:rPr>
      </w:pPr>
      <w:bookmarkStart w:id="13" w:name="_Toc214161563"/>
      <w:r w:rsidRPr="00BE2D20">
        <w:rPr>
          <w:rFonts w:ascii="Arial" w:hAnsi="Arial" w:cs="Arial"/>
          <w:sz w:val="22"/>
          <w:szCs w:val="22"/>
        </w:rPr>
        <w:t>References</w:t>
      </w:r>
      <w:bookmarkEnd w:id="13"/>
    </w:p>
    <w:p w14:paraId="54C65099" w14:textId="77777777" w:rsidR="00BE2D20" w:rsidRPr="00BE2D20" w:rsidRDefault="00BE2D20" w:rsidP="00BE2D20">
      <w:pPr>
        <w:pStyle w:val="NormalWeb"/>
        <w:spacing w:before="0" w:beforeAutospacing="0" w:after="0" w:afterAutospacing="0" w:line="360" w:lineRule="auto"/>
        <w:ind w:left="720" w:hanging="720"/>
        <w:jc w:val="both"/>
        <w:rPr>
          <w:rFonts w:ascii="Arial" w:hAnsi="Arial" w:cs="Arial"/>
          <w:sz w:val="22"/>
          <w:szCs w:val="22"/>
        </w:rPr>
      </w:pPr>
      <w:r w:rsidRPr="00BE2D20">
        <w:rPr>
          <w:rFonts w:ascii="Arial" w:hAnsi="Arial" w:cs="Arial"/>
          <w:sz w:val="22"/>
          <w:szCs w:val="22"/>
        </w:rPr>
        <w:t xml:space="preserve">Adesina, A., Okwandu, A. C., &amp; Sikhakhane, Q. (2024). Towards sustainable urban development: Conceptualizing green infrastructure and its impact on urban planning. </w:t>
      </w:r>
      <w:r w:rsidRPr="00BE2D20">
        <w:rPr>
          <w:rFonts w:ascii="Arial" w:hAnsi="Arial" w:cs="Arial"/>
          <w:i/>
          <w:iCs/>
          <w:sz w:val="22"/>
          <w:szCs w:val="22"/>
        </w:rPr>
        <w:t>International Journal of Applied Research in Social Sciences</w:t>
      </w:r>
      <w:r w:rsidRPr="00BE2D20">
        <w:rPr>
          <w:rFonts w:ascii="Arial" w:hAnsi="Arial" w:cs="Arial"/>
          <w:sz w:val="22"/>
          <w:szCs w:val="22"/>
        </w:rPr>
        <w:t xml:space="preserve">, </w:t>
      </w:r>
      <w:r w:rsidRPr="00BE2D20">
        <w:rPr>
          <w:rFonts w:ascii="Arial" w:hAnsi="Arial" w:cs="Arial"/>
          <w:i/>
          <w:iCs/>
          <w:sz w:val="22"/>
          <w:szCs w:val="22"/>
        </w:rPr>
        <w:t>6</w:t>
      </w:r>
      <w:r w:rsidRPr="00BE2D20">
        <w:rPr>
          <w:rFonts w:ascii="Arial" w:hAnsi="Arial" w:cs="Arial"/>
          <w:sz w:val="22"/>
          <w:szCs w:val="22"/>
        </w:rPr>
        <w:t>(7), 1274–1296. https://doi.org/10.51594/ijarss.v6i7.1266</w:t>
      </w:r>
    </w:p>
    <w:p w14:paraId="570ED206" w14:textId="77777777" w:rsidR="00BE2D20" w:rsidRPr="00BE2D20" w:rsidRDefault="00BE2D20" w:rsidP="00BE2D20">
      <w:pPr>
        <w:pStyle w:val="NormalWeb"/>
        <w:spacing w:before="0" w:beforeAutospacing="0" w:after="0" w:afterAutospacing="0" w:line="360" w:lineRule="auto"/>
        <w:ind w:left="720" w:hanging="720"/>
        <w:jc w:val="both"/>
        <w:rPr>
          <w:rFonts w:ascii="Arial" w:hAnsi="Arial" w:cs="Arial"/>
          <w:sz w:val="22"/>
          <w:szCs w:val="22"/>
        </w:rPr>
      </w:pPr>
      <w:r w:rsidRPr="00BE2D20">
        <w:rPr>
          <w:rFonts w:ascii="Arial" w:hAnsi="Arial" w:cs="Arial"/>
          <w:sz w:val="22"/>
          <w:szCs w:val="22"/>
        </w:rPr>
        <w:t xml:space="preserve">Arriazu-Ramos, A., Santamaría, J. M., Monge-Barrio, A., Bes-Rastrollo, M., Gutierrez Gabriel, S., Benito Frias, N., &amp; Sánchez-Ostiz, A. (2025). Health Impacts of Urban Environmental Parameters: A Review of Air Pollution, Heat, Noise, Green Spaces and Mobility. </w:t>
      </w:r>
      <w:r w:rsidRPr="00BE2D20">
        <w:rPr>
          <w:rFonts w:ascii="Arial" w:hAnsi="Arial" w:cs="Arial"/>
          <w:i/>
          <w:iCs/>
          <w:sz w:val="22"/>
          <w:szCs w:val="22"/>
        </w:rPr>
        <w:t>Sustainability</w:t>
      </w:r>
      <w:r w:rsidRPr="00BE2D20">
        <w:rPr>
          <w:rFonts w:ascii="Arial" w:hAnsi="Arial" w:cs="Arial"/>
          <w:sz w:val="22"/>
          <w:szCs w:val="22"/>
        </w:rPr>
        <w:t xml:space="preserve">, </w:t>
      </w:r>
      <w:r w:rsidRPr="00BE2D20">
        <w:rPr>
          <w:rFonts w:ascii="Arial" w:hAnsi="Arial" w:cs="Arial"/>
          <w:i/>
          <w:iCs/>
          <w:sz w:val="22"/>
          <w:szCs w:val="22"/>
        </w:rPr>
        <w:t>17</w:t>
      </w:r>
      <w:r w:rsidRPr="00BE2D20">
        <w:rPr>
          <w:rFonts w:ascii="Arial" w:hAnsi="Arial" w:cs="Arial"/>
          <w:sz w:val="22"/>
          <w:szCs w:val="22"/>
        </w:rPr>
        <w:t>(10), 4336. https://doi.org/10.3390/su17104336</w:t>
      </w:r>
    </w:p>
    <w:p w14:paraId="6E9C2537" w14:textId="77777777" w:rsidR="00BE2D20" w:rsidRPr="00BE2D20" w:rsidRDefault="00BE2D20" w:rsidP="00BE2D20">
      <w:pPr>
        <w:pStyle w:val="NormalWeb"/>
        <w:spacing w:before="0" w:beforeAutospacing="0" w:after="0" w:afterAutospacing="0" w:line="360" w:lineRule="auto"/>
        <w:ind w:left="720" w:hanging="720"/>
        <w:jc w:val="both"/>
        <w:rPr>
          <w:rFonts w:ascii="Arial" w:hAnsi="Arial" w:cs="Arial"/>
          <w:sz w:val="22"/>
          <w:szCs w:val="22"/>
        </w:rPr>
      </w:pPr>
      <w:r w:rsidRPr="00BE2D20">
        <w:rPr>
          <w:rFonts w:ascii="Arial" w:hAnsi="Arial" w:cs="Arial"/>
          <w:sz w:val="22"/>
          <w:szCs w:val="22"/>
        </w:rPr>
        <w:t xml:space="preserve">Billings, D. (2023, April 16). </w:t>
      </w:r>
      <w:r w:rsidRPr="00BE2D20">
        <w:rPr>
          <w:rFonts w:ascii="Arial" w:hAnsi="Arial" w:cs="Arial"/>
          <w:i/>
          <w:iCs/>
          <w:sz w:val="22"/>
          <w:szCs w:val="22"/>
        </w:rPr>
        <w:t>Dom Billings</w:t>
      </w:r>
      <w:r w:rsidRPr="00BE2D20">
        <w:rPr>
          <w:rFonts w:ascii="Arial" w:hAnsi="Arial" w:cs="Arial"/>
          <w:sz w:val="22"/>
          <w:szCs w:val="22"/>
        </w:rPr>
        <w:t>. Dom Billings. https://www.dombillings.com/targets/2023/4/16/sdg-target-31-x9hyc</w:t>
      </w:r>
    </w:p>
    <w:p w14:paraId="774CA48A" w14:textId="77777777" w:rsidR="00BE2D20" w:rsidRPr="00BE2D20" w:rsidRDefault="00BE2D20" w:rsidP="00BE2D20">
      <w:pPr>
        <w:pStyle w:val="NormalWeb"/>
        <w:spacing w:before="0" w:beforeAutospacing="0" w:after="0" w:afterAutospacing="0" w:line="360" w:lineRule="auto"/>
        <w:ind w:left="720" w:hanging="720"/>
        <w:jc w:val="both"/>
        <w:rPr>
          <w:rFonts w:ascii="Arial" w:hAnsi="Arial" w:cs="Arial"/>
          <w:sz w:val="22"/>
          <w:szCs w:val="22"/>
        </w:rPr>
      </w:pPr>
      <w:r w:rsidRPr="00BE2D20">
        <w:rPr>
          <w:rFonts w:ascii="Arial" w:hAnsi="Arial" w:cs="Arial"/>
          <w:sz w:val="22"/>
          <w:szCs w:val="22"/>
        </w:rPr>
        <w:t xml:space="preserve">Future Generations Wales. (2022). </w:t>
      </w:r>
      <w:r w:rsidRPr="00BE2D20">
        <w:rPr>
          <w:rFonts w:ascii="Arial" w:hAnsi="Arial" w:cs="Arial"/>
          <w:i/>
          <w:iCs/>
          <w:sz w:val="22"/>
          <w:szCs w:val="22"/>
        </w:rPr>
        <w:t>A government fit for future generations Acting today for a better tomorrow A Review into Welsh Government’s implementation of the Well-being of Future Generations Act futuregenerations.wales</w:t>
      </w:r>
      <w:r w:rsidRPr="00BE2D20">
        <w:rPr>
          <w:rFonts w:ascii="Arial" w:hAnsi="Arial" w:cs="Arial"/>
          <w:sz w:val="22"/>
          <w:szCs w:val="22"/>
        </w:rPr>
        <w:t>. https://www.futuregenerations.wales/wp-content/uploads/2022/12/C28299-FG-Section-20-Review-ENG.pdf</w:t>
      </w:r>
    </w:p>
    <w:p w14:paraId="5251422F" w14:textId="77777777" w:rsidR="00BE2D20" w:rsidRPr="00BE2D20" w:rsidRDefault="00BE2D20" w:rsidP="00BE2D20">
      <w:pPr>
        <w:pStyle w:val="NormalWeb"/>
        <w:spacing w:before="0" w:beforeAutospacing="0" w:after="0" w:afterAutospacing="0" w:line="360" w:lineRule="auto"/>
        <w:ind w:left="720" w:hanging="720"/>
        <w:jc w:val="both"/>
        <w:rPr>
          <w:rFonts w:ascii="Arial" w:hAnsi="Arial" w:cs="Arial"/>
          <w:sz w:val="22"/>
          <w:szCs w:val="22"/>
        </w:rPr>
      </w:pPr>
      <w:r w:rsidRPr="00BE2D20">
        <w:rPr>
          <w:rFonts w:ascii="Arial" w:hAnsi="Arial" w:cs="Arial"/>
          <w:sz w:val="22"/>
          <w:szCs w:val="22"/>
        </w:rPr>
        <w:t xml:space="preserve">Gov.Wales. (2025, September 30). </w:t>
      </w:r>
      <w:r w:rsidRPr="00BE2D20">
        <w:rPr>
          <w:rFonts w:ascii="Arial" w:hAnsi="Arial" w:cs="Arial"/>
          <w:i/>
          <w:iCs/>
          <w:sz w:val="22"/>
          <w:szCs w:val="22"/>
        </w:rPr>
        <w:t>Healthy Weight: Healthy Wales delivery plan 2025 to 2027 [HTML] | GOV.WALES</w:t>
      </w:r>
      <w:r w:rsidRPr="00BE2D20">
        <w:rPr>
          <w:rFonts w:ascii="Arial" w:hAnsi="Arial" w:cs="Arial"/>
          <w:sz w:val="22"/>
          <w:szCs w:val="22"/>
        </w:rPr>
        <w:t>. GOV.WALES. https://www.gov.wales/healthy-weight-healthy-wales-delivery-plan-2025-2027-html</w:t>
      </w:r>
    </w:p>
    <w:p w14:paraId="1264EF40" w14:textId="77777777" w:rsidR="00BE2D20" w:rsidRPr="00BE2D20" w:rsidRDefault="00BE2D20" w:rsidP="00BE2D20">
      <w:pPr>
        <w:pStyle w:val="NormalWeb"/>
        <w:spacing w:before="0" w:beforeAutospacing="0" w:after="0" w:afterAutospacing="0" w:line="360" w:lineRule="auto"/>
        <w:ind w:left="720" w:hanging="720"/>
        <w:jc w:val="both"/>
        <w:rPr>
          <w:rFonts w:ascii="Arial" w:hAnsi="Arial" w:cs="Arial"/>
          <w:sz w:val="22"/>
          <w:szCs w:val="22"/>
        </w:rPr>
      </w:pPr>
      <w:r w:rsidRPr="00BE2D20">
        <w:rPr>
          <w:rFonts w:ascii="Arial" w:hAnsi="Arial" w:cs="Arial"/>
          <w:sz w:val="22"/>
          <w:szCs w:val="22"/>
        </w:rPr>
        <w:t xml:space="preserve">Hahad, O., Kuntic, M., Frenis, K., Chowdhury, S., Lelieveld, J., Lieb, K., Daiber, A., &amp; Münzel, T. (2021). Physical Activity in Polluted Air—Net Benefit or Harm to Cardiovascular Health? A Comprehensive Review. </w:t>
      </w:r>
      <w:r w:rsidRPr="00BE2D20">
        <w:rPr>
          <w:rFonts w:ascii="Arial" w:hAnsi="Arial" w:cs="Arial"/>
          <w:i/>
          <w:iCs/>
          <w:sz w:val="22"/>
          <w:szCs w:val="22"/>
        </w:rPr>
        <w:t>Antioxidants</w:t>
      </w:r>
      <w:r w:rsidRPr="00BE2D20">
        <w:rPr>
          <w:rFonts w:ascii="Arial" w:hAnsi="Arial" w:cs="Arial"/>
          <w:sz w:val="22"/>
          <w:szCs w:val="22"/>
        </w:rPr>
        <w:t xml:space="preserve">, </w:t>
      </w:r>
      <w:r w:rsidRPr="00BE2D20">
        <w:rPr>
          <w:rFonts w:ascii="Arial" w:hAnsi="Arial" w:cs="Arial"/>
          <w:i/>
          <w:iCs/>
          <w:sz w:val="22"/>
          <w:szCs w:val="22"/>
        </w:rPr>
        <w:t>10</w:t>
      </w:r>
      <w:r w:rsidRPr="00BE2D20">
        <w:rPr>
          <w:rFonts w:ascii="Arial" w:hAnsi="Arial" w:cs="Arial"/>
          <w:sz w:val="22"/>
          <w:szCs w:val="22"/>
        </w:rPr>
        <w:t>(11), 1787. https://doi.org/10.3390/antiox10111787</w:t>
      </w:r>
    </w:p>
    <w:p w14:paraId="453B2C7D" w14:textId="77777777" w:rsidR="00BE2D20" w:rsidRPr="00BE2D20" w:rsidRDefault="00BE2D20" w:rsidP="00BE2D20">
      <w:pPr>
        <w:pStyle w:val="NormalWeb"/>
        <w:spacing w:before="0" w:beforeAutospacing="0" w:after="0" w:afterAutospacing="0" w:line="360" w:lineRule="auto"/>
        <w:ind w:left="720" w:hanging="720"/>
        <w:jc w:val="both"/>
        <w:rPr>
          <w:rFonts w:ascii="Arial" w:hAnsi="Arial" w:cs="Arial"/>
          <w:sz w:val="22"/>
          <w:szCs w:val="22"/>
        </w:rPr>
      </w:pPr>
      <w:r w:rsidRPr="00BE2D20">
        <w:rPr>
          <w:rFonts w:ascii="Arial" w:hAnsi="Arial" w:cs="Arial"/>
          <w:sz w:val="22"/>
          <w:szCs w:val="22"/>
        </w:rPr>
        <w:t xml:space="preserve">Harker, J., &amp; Harker, J. (2020). </w:t>
      </w:r>
      <w:r w:rsidRPr="00BE2D20">
        <w:rPr>
          <w:rFonts w:ascii="Arial" w:hAnsi="Arial" w:cs="Arial"/>
          <w:i/>
          <w:iCs/>
          <w:sz w:val="22"/>
          <w:szCs w:val="22"/>
        </w:rPr>
        <w:t>Has cycling benefited from the Active Travel Act?</w:t>
      </w:r>
      <w:r w:rsidRPr="00BE2D20">
        <w:rPr>
          <w:rFonts w:ascii="Arial" w:hAnsi="Arial" w:cs="Arial"/>
          <w:sz w:val="22"/>
          <w:szCs w:val="22"/>
        </w:rPr>
        <w:t xml:space="preserve"> Cycling Industry News. https://cyclingindustry.news/has-cycling-benefited-from-the-active-travel-act/</w:t>
      </w:r>
    </w:p>
    <w:p w14:paraId="0A2680C5" w14:textId="77777777" w:rsidR="00BE2D20" w:rsidRPr="00BE2D20" w:rsidRDefault="00BE2D20" w:rsidP="00BE2D20">
      <w:pPr>
        <w:pStyle w:val="NormalWeb"/>
        <w:spacing w:before="0" w:beforeAutospacing="0" w:after="0" w:afterAutospacing="0" w:line="360" w:lineRule="auto"/>
        <w:ind w:left="720" w:hanging="720"/>
        <w:jc w:val="both"/>
        <w:rPr>
          <w:rFonts w:ascii="Arial" w:hAnsi="Arial" w:cs="Arial"/>
          <w:sz w:val="22"/>
          <w:szCs w:val="22"/>
        </w:rPr>
      </w:pPr>
      <w:r w:rsidRPr="00BE2D20">
        <w:rPr>
          <w:rFonts w:ascii="Arial" w:hAnsi="Arial" w:cs="Arial"/>
          <w:sz w:val="22"/>
          <w:szCs w:val="22"/>
        </w:rPr>
        <w:t xml:space="preserve">Helne, T., &amp; Hirvilammi, T. (2015). Wellbeing and Sustainability: A Relational Approach. </w:t>
      </w:r>
      <w:r w:rsidRPr="00BE2D20">
        <w:rPr>
          <w:rFonts w:ascii="Arial" w:hAnsi="Arial" w:cs="Arial"/>
          <w:i/>
          <w:iCs/>
          <w:sz w:val="22"/>
          <w:szCs w:val="22"/>
        </w:rPr>
        <w:t>Sustainable Development</w:t>
      </w:r>
      <w:r w:rsidRPr="00BE2D20">
        <w:rPr>
          <w:rFonts w:ascii="Arial" w:hAnsi="Arial" w:cs="Arial"/>
          <w:sz w:val="22"/>
          <w:szCs w:val="22"/>
        </w:rPr>
        <w:t xml:space="preserve">, </w:t>
      </w:r>
      <w:r w:rsidRPr="00BE2D20">
        <w:rPr>
          <w:rFonts w:ascii="Arial" w:hAnsi="Arial" w:cs="Arial"/>
          <w:i/>
          <w:iCs/>
          <w:sz w:val="22"/>
          <w:szCs w:val="22"/>
        </w:rPr>
        <w:t>23</w:t>
      </w:r>
      <w:r w:rsidRPr="00BE2D20">
        <w:rPr>
          <w:rFonts w:ascii="Arial" w:hAnsi="Arial" w:cs="Arial"/>
          <w:sz w:val="22"/>
          <w:szCs w:val="22"/>
        </w:rPr>
        <w:t>(3), 167–175. https://doi.org/10.1002/sd.1581</w:t>
      </w:r>
    </w:p>
    <w:p w14:paraId="0226B261" w14:textId="77777777" w:rsidR="00BE2D20" w:rsidRPr="00BE2D20" w:rsidRDefault="00BE2D20" w:rsidP="00BE2D20">
      <w:pPr>
        <w:pStyle w:val="NormalWeb"/>
        <w:spacing w:before="0" w:beforeAutospacing="0" w:after="0" w:afterAutospacing="0" w:line="360" w:lineRule="auto"/>
        <w:ind w:left="720" w:hanging="720"/>
        <w:jc w:val="both"/>
        <w:rPr>
          <w:rFonts w:ascii="Arial" w:hAnsi="Arial" w:cs="Arial"/>
          <w:sz w:val="22"/>
          <w:szCs w:val="22"/>
        </w:rPr>
      </w:pPr>
      <w:r w:rsidRPr="00BE2D20">
        <w:rPr>
          <w:rFonts w:ascii="Arial" w:hAnsi="Arial" w:cs="Arial"/>
          <w:sz w:val="22"/>
          <w:szCs w:val="22"/>
        </w:rPr>
        <w:t xml:space="preserve">Institute of Medicine. (2012). </w:t>
      </w:r>
      <w:r w:rsidRPr="00BE2D20">
        <w:rPr>
          <w:rFonts w:ascii="Arial" w:hAnsi="Arial" w:cs="Arial"/>
          <w:i/>
          <w:iCs/>
          <w:sz w:val="22"/>
          <w:szCs w:val="22"/>
        </w:rPr>
        <w:t>Community-Based Prevention</w:t>
      </w:r>
      <w:r w:rsidRPr="00BE2D20">
        <w:rPr>
          <w:rFonts w:ascii="Arial" w:hAnsi="Arial" w:cs="Arial"/>
          <w:sz w:val="22"/>
          <w:szCs w:val="22"/>
        </w:rPr>
        <w:t>. Nih.gov; National Academies Press (US). https://www.ncbi.nlm.nih.gov/books/NBK206935/</w:t>
      </w:r>
    </w:p>
    <w:p w14:paraId="2195D82E" w14:textId="77777777" w:rsidR="00BE2D20" w:rsidRPr="00BE2D20" w:rsidRDefault="00BE2D20" w:rsidP="00BE2D20">
      <w:pPr>
        <w:pStyle w:val="NormalWeb"/>
        <w:spacing w:before="0" w:beforeAutospacing="0" w:after="0" w:afterAutospacing="0" w:line="360" w:lineRule="auto"/>
        <w:ind w:left="720" w:hanging="720"/>
        <w:jc w:val="both"/>
        <w:rPr>
          <w:rFonts w:ascii="Arial" w:hAnsi="Arial" w:cs="Arial"/>
          <w:sz w:val="22"/>
          <w:szCs w:val="22"/>
        </w:rPr>
      </w:pPr>
      <w:r w:rsidRPr="00BE2D20">
        <w:rPr>
          <w:rFonts w:ascii="Arial" w:hAnsi="Arial" w:cs="Arial"/>
          <w:sz w:val="22"/>
          <w:szCs w:val="22"/>
        </w:rPr>
        <w:t xml:space="preserve">Makahleh, H. Y., Taamneh, M. M., &amp; Dissanayake, D. (2025). Promoting Sustainable Transport: A Systematic Review of Walking and Cycling Adoption Using the COM-B Model. </w:t>
      </w:r>
      <w:r w:rsidRPr="00BE2D20">
        <w:rPr>
          <w:rFonts w:ascii="Arial" w:hAnsi="Arial" w:cs="Arial"/>
          <w:i/>
          <w:iCs/>
          <w:sz w:val="22"/>
          <w:szCs w:val="22"/>
        </w:rPr>
        <w:t>Future Transportation</w:t>
      </w:r>
      <w:r w:rsidRPr="00BE2D20">
        <w:rPr>
          <w:rFonts w:ascii="Arial" w:hAnsi="Arial" w:cs="Arial"/>
          <w:sz w:val="22"/>
          <w:szCs w:val="22"/>
        </w:rPr>
        <w:t xml:space="preserve">, </w:t>
      </w:r>
      <w:r w:rsidRPr="00BE2D20">
        <w:rPr>
          <w:rFonts w:ascii="Arial" w:hAnsi="Arial" w:cs="Arial"/>
          <w:i/>
          <w:iCs/>
          <w:sz w:val="22"/>
          <w:szCs w:val="22"/>
        </w:rPr>
        <w:t>5</w:t>
      </w:r>
      <w:r w:rsidRPr="00BE2D20">
        <w:rPr>
          <w:rFonts w:ascii="Arial" w:hAnsi="Arial" w:cs="Arial"/>
          <w:sz w:val="22"/>
          <w:szCs w:val="22"/>
        </w:rPr>
        <w:t>(3), 79. https://doi.org/10.3390/futuretransp5030079</w:t>
      </w:r>
    </w:p>
    <w:p w14:paraId="0C93253F" w14:textId="77777777" w:rsidR="00BE2D20" w:rsidRPr="00BE2D20" w:rsidRDefault="00BE2D20" w:rsidP="00BE2D20">
      <w:pPr>
        <w:pStyle w:val="NormalWeb"/>
        <w:spacing w:before="0" w:beforeAutospacing="0" w:after="0" w:afterAutospacing="0" w:line="360" w:lineRule="auto"/>
        <w:ind w:left="720" w:hanging="720"/>
        <w:jc w:val="both"/>
        <w:rPr>
          <w:rFonts w:ascii="Arial" w:hAnsi="Arial" w:cs="Arial"/>
          <w:sz w:val="22"/>
          <w:szCs w:val="22"/>
        </w:rPr>
      </w:pPr>
      <w:r w:rsidRPr="00BE2D20">
        <w:rPr>
          <w:rFonts w:ascii="Arial" w:hAnsi="Arial" w:cs="Arial"/>
          <w:sz w:val="22"/>
          <w:szCs w:val="22"/>
        </w:rPr>
        <w:t xml:space="preserve">Marmot, M. (2020). Health Equity in England: the Marmot Review 10 Years on. </w:t>
      </w:r>
      <w:r w:rsidRPr="00BE2D20">
        <w:rPr>
          <w:rFonts w:ascii="Arial" w:hAnsi="Arial" w:cs="Arial"/>
          <w:i/>
          <w:iCs/>
          <w:sz w:val="22"/>
          <w:szCs w:val="22"/>
        </w:rPr>
        <w:t>British Medical Journal</w:t>
      </w:r>
      <w:r w:rsidRPr="00BE2D20">
        <w:rPr>
          <w:rFonts w:ascii="Arial" w:hAnsi="Arial" w:cs="Arial"/>
          <w:sz w:val="22"/>
          <w:szCs w:val="22"/>
        </w:rPr>
        <w:t xml:space="preserve">, </w:t>
      </w:r>
      <w:r w:rsidRPr="00BE2D20">
        <w:rPr>
          <w:rFonts w:ascii="Arial" w:hAnsi="Arial" w:cs="Arial"/>
          <w:i/>
          <w:iCs/>
          <w:sz w:val="22"/>
          <w:szCs w:val="22"/>
        </w:rPr>
        <w:t>368</w:t>
      </w:r>
      <w:r w:rsidRPr="00BE2D20">
        <w:rPr>
          <w:rFonts w:ascii="Arial" w:hAnsi="Arial" w:cs="Arial"/>
          <w:sz w:val="22"/>
          <w:szCs w:val="22"/>
        </w:rPr>
        <w:t>(1). https://doi.org/10.1136/bmj.m693</w:t>
      </w:r>
    </w:p>
    <w:p w14:paraId="0408A5C7" w14:textId="77777777" w:rsidR="00BE2D20" w:rsidRPr="00BE2D20" w:rsidRDefault="00BE2D20" w:rsidP="00BE2D20">
      <w:pPr>
        <w:pStyle w:val="NormalWeb"/>
        <w:spacing w:before="0" w:beforeAutospacing="0" w:after="0" w:afterAutospacing="0" w:line="360" w:lineRule="auto"/>
        <w:ind w:left="720" w:hanging="720"/>
        <w:jc w:val="both"/>
        <w:rPr>
          <w:rFonts w:ascii="Arial" w:hAnsi="Arial" w:cs="Arial"/>
          <w:sz w:val="22"/>
          <w:szCs w:val="22"/>
        </w:rPr>
      </w:pPr>
      <w:r w:rsidRPr="00BE2D20">
        <w:rPr>
          <w:rFonts w:ascii="Arial" w:hAnsi="Arial" w:cs="Arial"/>
          <w:sz w:val="22"/>
          <w:szCs w:val="22"/>
        </w:rPr>
        <w:t xml:space="preserve">Pinto, A. D., Molnar, A., Shankardass, K., O’Campo, P. J., &amp; Bayoumi, A. M. (2015). Economic considerations and health in all policies initiatives: evidence from interviews with key informants in Sweden, Quebec and South Australia. </w:t>
      </w:r>
      <w:r w:rsidRPr="00BE2D20">
        <w:rPr>
          <w:rFonts w:ascii="Arial" w:hAnsi="Arial" w:cs="Arial"/>
          <w:i/>
          <w:iCs/>
          <w:sz w:val="22"/>
          <w:szCs w:val="22"/>
        </w:rPr>
        <w:t>BMC Public Health</w:t>
      </w:r>
      <w:r w:rsidRPr="00BE2D20">
        <w:rPr>
          <w:rFonts w:ascii="Arial" w:hAnsi="Arial" w:cs="Arial"/>
          <w:sz w:val="22"/>
          <w:szCs w:val="22"/>
        </w:rPr>
        <w:t xml:space="preserve">, </w:t>
      </w:r>
      <w:r w:rsidRPr="00BE2D20">
        <w:rPr>
          <w:rFonts w:ascii="Arial" w:hAnsi="Arial" w:cs="Arial"/>
          <w:i/>
          <w:iCs/>
          <w:sz w:val="22"/>
          <w:szCs w:val="22"/>
        </w:rPr>
        <w:t>15</w:t>
      </w:r>
      <w:r w:rsidRPr="00BE2D20">
        <w:rPr>
          <w:rFonts w:ascii="Arial" w:hAnsi="Arial" w:cs="Arial"/>
          <w:sz w:val="22"/>
          <w:szCs w:val="22"/>
        </w:rPr>
        <w:t>(1). https://doi.org/10.1186/s12889-015-1350-0</w:t>
      </w:r>
    </w:p>
    <w:p w14:paraId="5ACC6622" w14:textId="77777777" w:rsidR="00BE2D20" w:rsidRPr="00BE2D20" w:rsidRDefault="00BE2D20" w:rsidP="00BE2D20">
      <w:pPr>
        <w:pStyle w:val="NormalWeb"/>
        <w:spacing w:before="0" w:beforeAutospacing="0" w:after="0" w:afterAutospacing="0" w:line="360" w:lineRule="auto"/>
        <w:ind w:left="720" w:hanging="720"/>
        <w:jc w:val="both"/>
        <w:rPr>
          <w:rFonts w:ascii="Arial" w:hAnsi="Arial" w:cs="Arial"/>
          <w:sz w:val="22"/>
          <w:szCs w:val="22"/>
        </w:rPr>
      </w:pPr>
      <w:r w:rsidRPr="00BE2D20">
        <w:rPr>
          <w:rFonts w:ascii="Arial" w:hAnsi="Arial" w:cs="Arial"/>
          <w:sz w:val="22"/>
          <w:szCs w:val="22"/>
        </w:rPr>
        <w:t xml:space="preserve">Rahman, Md. M., Upaul, S., Thill, J.-C., &amp; Rahman, M. (2023). Active transportation and the built environment of a mid-size global south city. </w:t>
      </w:r>
      <w:r w:rsidRPr="00BE2D20">
        <w:rPr>
          <w:rFonts w:ascii="Arial" w:hAnsi="Arial" w:cs="Arial"/>
          <w:i/>
          <w:iCs/>
          <w:sz w:val="22"/>
          <w:szCs w:val="22"/>
        </w:rPr>
        <w:t>Sustainable Cities and Society</w:t>
      </w:r>
      <w:r w:rsidRPr="00BE2D20">
        <w:rPr>
          <w:rFonts w:ascii="Arial" w:hAnsi="Arial" w:cs="Arial"/>
          <w:sz w:val="22"/>
          <w:szCs w:val="22"/>
        </w:rPr>
        <w:t xml:space="preserve">, </w:t>
      </w:r>
      <w:r w:rsidRPr="00BE2D20">
        <w:rPr>
          <w:rFonts w:ascii="Arial" w:hAnsi="Arial" w:cs="Arial"/>
          <w:i/>
          <w:iCs/>
          <w:sz w:val="22"/>
          <w:szCs w:val="22"/>
        </w:rPr>
        <w:t>89</w:t>
      </w:r>
      <w:r w:rsidRPr="00BE2D20">
        <w:rPr>
          <w:rFonts w:ascii="Arial" w:hAnsi="Arial" w:cs="Arial"/>
          <w:sz w:val="22"/>
          <w:szCs w:val="22"/>
        </w:rPr>
        <w:t>, 104329. https://doi.org/10.1016/j.scs.2022.104329</w:t>
      </w:r>
    </w:p>
    <w:p w14:paraId="6E7711F2" w14:textId="77777777" w:rsidR="00BE2D20" w:rsidRPr="00BE2D20" w:rsidRDefault="00BE2D20" w:rsidP="00BE2D20">
      <w:pPr>
        <w:pStyle w:val="NormalWeb"/>
        <w:spacing w:before="0" w:beforeAutospacing="0" w:after="0" w:afterAutospacing="0" w:line="360" w:lineRule="auto"/>
        <w:ind w:left="720" w:hanging="720"/>
        <w:jc w:val="both"/>
        <w:rPr>
          <w:rFonts w:ascii="Arial" w:hAnsi="Arial" w:cs="Arial"/>
          <w:sz w:val="22"/>
          <w:szCs w:val="22"/>
        </w:rPr>
      </w:pPr>
      <w:r w:rsidRPr="00BE2D20">
        <w:rPr>
          <w:rFonts w:ascii="Arial" w:hAnsi="Arial" w:cs="Arial"/>
          <w:sz w:val="22"/>
          <w:szCs w:val="22"/>
        </w:rPr>
        <w:t xml:space="preserve">Riepl, T., Schaffartzik, A., Grabow, S., &amp; Banabak, S. (2025). Living well with the foundational economy: Assessing the spatial accessibility of foundational infrastructures in Vienna and the relationship to socio-economic status. </w:t>
      </w:r>
      <w:r w:rsidRPr="00BE2D20">
        <w:rPr>
          <w:rFonts w:ascii="Arial" w:hAnsi="Arial" w:cs="Arial"/>
          <w:i/>
          <w:iCs/>
          <w:sz w:val="22"/>
          <w:szCs w:val="22"/>
        </w:rPr>
        <w:t>Ecological Economics</w:t>
      </w:r>
      <w:r w:rsidRPr="00BE2D20">
        <w:rPr>
          <w:rFonts w:ascii="Arial" w:hAnsi="Arial" w:cs="Arial"/>
          <w:sz w:val="22"/>
          <w:szCs w:val="22"/>
        </w:rPr>
        <w:t xml:space="preserve">, </w:t>
      </w:r>
      <w:r w:rsidRPr="00BE2D20">
        <w:rPr>
          <w:rFonts w:ascii="Arial" w:hAnsi="Arial" w:cs="Arial"/>
          <w:i/>
          <w:iCs/>
          <w:sz w:val="22"/>
          <w:szCs w:val="22"/>
        </w:rPr>
        <w:t>232</w:t>
      </w:r>
      <w:r w:rsidRPr="00BE2D20">
        <w:rPr>
          <w:rFonts w:ascii="Arial" w:hAnsi="Arial" w:cs="Arial"/>
          <w:sz w:val="22"/>
          <w:szCs w:val="22"/>
        </w:rPr>
        <w:t>, 108558. https://doi.org/10.1016/j.ecolecon.2025.108558</w:t>
      </w:r>
    </w:p>
    <w:p w14:paraId="68F86AD2" w14:textId="77777777" w:rsidR="00BE2D20" w:rsidRPr="00BE2D20" w:rsidRDefault="00BE2D20" w:rsidP="00BE2D20">
      <w:pPr>
        <w:pStyle w:val="NormalWeb"/>
        <w:spacing w:before="0" w:beforeAutospacing="0" w:after="0" w:afterAutospacing="0" w:line="360" w:lineRule="auto"/>
        <w:ind w:left="720" w:hanging="720"/>
        <w:jc w:val="both"/>
        <w:rPr>
          <w:rFonts w:ascii="Arial" w:hAnsi="Arial" w:cs="Arial"/>
          <w:sz w:val="22"/>
          <w:szCs w:val="22"/>
        </w:rPr>
      </w:pPr>
      <w:r w:rsidRPr="00BE2D20">
        <w:rPr>
          <w:rFonts w:ascii="Arial" w:hAnsi="Arial" w:cs="Arial"/>
          <w:sz w:val="22"/>
          <w:szCs w:val="22"/>
        </w:rPr>
        <w:t xml:space="preserve">Salcito, K., Utzinger, J., Krieger, G. R., Wielga, M., Singer, B. H., Winkler, M. S., &amp; Weiss, M. G. (2015). Experience and lessons from health impact assessment for human rights impact assessment. </w:t>
      </w:r>
      <w:r w:rsidRPr="00BE2D20">
        <w:rPr>
          <w:rFonts w:ascii="Arial" w:hAnsi="Arial" w:cs="Arial"/>
          <w:i/>
          <w:iCs/>
          <w:sz w:val="22"/>
          <w:szCs w:val="22"/>
        </w:rPr>
        <w:t>BMC International Health and Human Rights</w:t>
      </w:r>
      <w:r w:rsidRPr="00BE2D20">
        <w:rPr>
          <w:rFonts w:ascii="Arial" w:hAnsi="Arial" w:cs="Arial"/>
          <w:sz w:val="22"/>
          <w:szCs w:val="22"/>
        </w:rPr>
        <w:t xml:space="preserve">, </w:t>
      </w:r>
      <w:r w:rsidRPr="00BE2D20">
        <w:rPr>
          <w:rFonts w:ascii="Arial" w:hAnsi="Arial" w:cs="Arial"/>
          <w:i/>
          <w:iCs/>
          <w:sz w:val="22"/>
          <w:szCs w:val="22"/>
        </w:rPr>
        <w:t>15</w:t>
      </w:r>
      <w:r w:rsidRPr="00BE2D20">
        <w:rPr>
          <w:rFonts w:ascii="Arial" w:hAnsi="Arial" w:cs="Arial"/>
          <w:sz w:val="22"/>
          <w:szCs w:val="22"/>
        </w:rPr>
        <w:t>(1). https://doi.org/10.1186/s12914-015-0062-y</w:t>
      </w:r>
    </w:p>
    <w:p w14:paraId="1D26E883" w14:textId="77777777" w:rsidR="00BE2D20" w:rsidRPr="00BE2D20" w:rsidRDefault="00BE2D20" w:rsidP="00BE2D20">
      <w:pPr>
        <w:pStyle w:val="NormalWeb"/>
        <w:spacing w:before="0" w:beforeAutospacing="0" w:after="0" w:afterAutospacing="0" w:line="360" w:lineRule="auto"/>
        <w:ind w:left="720" w:hanging="720"/>
        <w:jc w:val="both"/>
        <w:rPr>
          <w:rFonts w:ascii="Arial" w:hAnsi="Arial" w:cs="Arial"/>
          <w:sz w:val="22"/>
          <w:szCs w:val="22"/>
        </w:rPr>
      </w:pPr>
      <w:r w:rsidRPr="00BE2D20">
        <w:rPr>
          <w:rFonts w:ascii="Arial" w:hAnsi="Arial" w:cs="Arial"/>
          <w:sz w:val="22"/>
          <w:szCs w:val="22"/>
        </w:rPr>
        <w:t xml:space="preserve">Shayan, N. F., Kalejahi, N. M., Alavi, S., &amp; Zahed, M. A. (2022). Sustainable Development Goals (SDGs) as a Framework for Corporate Social Responsibility (CSR). </w:t>
      </w:r>
      <w:r w:rsidRPr="00BE2D20">
        <w:rPr>
          <w:rFonts w:ascii="Arial" w:hAnsi="Arial" w:cs="Arial"/>
          <w:i/>
          <w:iCs/>
          <w:sz w:val="22"/>
          <w:szCs w:val="22"/>
        </w:rPr>
        <w:t>Sustainability</w:t>
      </w:r>
      <w:r w:rsidRPr="00BE2D20">
        <w:rPr>
          <w:rFonts w:ascii="Arial" w:hAnsi="Arial" w:cs="Arial"/>
          <w:sz w:val="22"/>
          <w:szCs w:val="22"/>
        </w:rPr>
        <w:t xml:space="preserve">, </w:t>
      </w:r>
      <w:r w:rsidRPr="00BE2D20">
        <w:rPr>
          <w:rFonts w:ascii="Arial" w:hAnsi="Arial" w:cs="Arial"/>
          <w:i/>
          <w:iCs/>
          <w:sz w:val="22"/>
          <w:szCs w:val="22"/>
        </w:rPr>
        <w:t>14</w:t>
      </w:r>
      <w:r w:rsidRPr="00BE2D20">
        <w:rPr>
          <w:rFonts w:ascii="Arial" w:hAnsi="Arial" w:cs="Arial"/>
          <w:sz w:val="22"/>
          <w:szCs w:val="22"/>
        </w:rPr>
        <w:t>(3). MDPI. https://doi.org/10.3390/su14031222</w:t>
      </w:r>
    </w:p>
    <w:p w14:paraId="78B2A47B" w14:textId="77777777" w:rsidR="00BE2D20" w:rsidRPr="00BE2D20" w:rsidRDefault="00BE2D20" w:rsidP="00BE2D20">
      <w:pPr>
        <w:pStyle w:val="NormalWeb"/>
        <w:spacing w:before="0" w:beforeAutospacing="0" w:after="0" w:afterAutospacing="0" w:line="360" w:lineRule="auto"/>
        <w:ind w:left="720" w:hanging="720"/>
        <w:jc w:val="both"/>
        <w:rPr>
          <w:rFonts w:ascii="Arial" w:hAnsi="Arial" w:cs="Arial"/>
          <w:sz w:val="22"/>
          <w:szCs w:val="22"/>
        </w:rPr>
      </w:pPr>
      <w:r w:rsidRPr="00BE2D20">
        <w:rPr>
          <w:rFonts w:ascii="Arial" w:hAnsi="Arial" w:cs="Arial"/>
          <w:sz w:val="22"/>
          <w:szCs w:val="22"/>
        </w:rPr>
        <w:t xml:space="preserve">Singh Thakur, J., Nangia, R., &amp; Singh, S. (2021). Progress and Challenges in Achieving Noncommunicable Diseases Targets for the Sustainable Development Goals. </w:t>
      </w:r>
      <w:r w:rsidRPr="00BE2D20">
        <w:rPr>
          <w:rFonts w:ascii="Arial" w:hAnsi="Arial" w:cs="Arial"/>
          <w:i/>
          <w:iCs/>
          <w:sz w:val="22"/>
          <w:szCs w:val="22"/>
        </w:rPr>
        <w:t>FASEB BioAdvances</w:t>
      </w:r>
      <w:r w:rsidRPr="00BE2D20">
        <w:rPr>
          <w:rFonts w:ascii="Arial" w:hAnsi="Arial" w:cs="Arial"/>
          <w:sz w:val="22"/>
          <w:szCs w:val="22"/>
        </w:rPr>
        <w:t xml:space="preserve">, </w:t>
      </w:r>
      <w:r w:rsidRPr="00BE2D20">
        <w:rPr>
          <w:rFonts w:ascii="Arial" w:hAnsi="Arial" w:cs="Arial"/>
          <w:i/>
          <w:iCs/>
          <w:sz w:val="22"/>
          <w:szCs w:val="22"/>
        </w:rPr>
        <w:t>3</w:t>
      </w:r>
      <w:r w:rsidRPr="00BE2D20">
        <w:rPr>
          <w:rFonts w:ascii="Arial" w:hAnsi="Arial" w:cs="Arial"/>
          <w:sz w:val="22"/>
          <w:szCs w:val="22"/>
        </w:rPr>
        <w:t>(8).</w:t>
      </w:r>
    </w:p>
    <w:p w14:paraId="785CFA0B" w14:textId="77777777" w:rsidR="00BE2D20" w:rsidRPr="00BE2D20" w:rsidRDefault="00BE2D20" w:rsidP="00BE2D20">
      <w:pPr>
        <w:pStyle w:val="NormalWeb"/>
        <w:spacing w:before="0" w:beforeAutospacing="0" w:after="0" w:afterAutospacing="0" w:line="360" w:lineRule="auto"/>
        <w:ind w:left="720" w:hanging="720"/>
        <w:jc w:val="both"/>
        <w:rPr>
          <w:rFonts w:ascii="Arial" w:hAnsi="Arial" w:cs="Arial"/>
          <w:sz w:val="22"/>
          <w:szCs w:val="22"/>
        </w:rPr>
      </w:pPr>
      <w:r w:rsidRPr="00BE2D20">
        <w:rPr>
          <w:rFonts w:ascii="Arial" w:hAnsi="Arial" w:cs="Arial"/>
          <w:sz w:val="22"/>
          <w:szCs w:val="22"/>
        </w:rPr>
        <w:t xml:space="preserve">UK Parliament . (2025). </w:t>
      </w:r>
      <w:r w:rsidRPr="00BE2D20">
        <w:rPr>
          <w:rFonts w:ascii="Arial" w:hAnsi="Arial" w:cs="Arial"/>
          <w:i/>
          <w:iCs/>
          <w:sz w:val="22"/>
          <w:szCs w:val="22"/>
        </w:rPr>
        <w:t>UK Foreign Aid Programme - Hansard - UK Parliament</w:t>
      </w:r>
      <w:r w:rsidRPr="00BE2D20">
        <w:rPr>
          <w:rFonts w:ascii="Arial" w:hAnsi="Arial" w:cs="Arial"/>
          <w:sz w:val="22"/>
          <w:szCs w:val="22"/>
        </w:rPr>
        <w:t>. Parliament.uk. https://hansard.parliament.uk/Lords/2021-07-01/debates/EF08B78A-5514-46D3-B01F-FC72B7CDAE1E/UKForeignAidProgramme</w:t>
      </w:r>
    </w:p>
    <w:p w14:paraId="21F15F79" w14:textId="77777777" w:rsidR="00BE2D20" w:rsidRPr="00BE2D20" w:rsidRDefault="00BE2D20" w:rsidP="00BE2D20">
      <w:pPr>
        <w:pStyle w:val="NormalWeb"/>
        <w:spacing w:before="0" w:beforeAutospacing="0" w:after="0" w:afterAutospacing="0" w:line="360" w:lineRule="auto"/>
        <w:ind w:left="720" w:hanging="720"/>
        <w:jc w:val="both"/>
        <w:rPr>
          <w:rFonts w:ascii="Arial" w:hAnsi="Arial" w:cs="Arial"/>
          <w:sz w:val="22"/>
          <w:szCs w:val="22"/>
        </w:rPr>
      </w:pPr>
      <w:r w:rsidRPr="00BE2D20">
        <w:rPr>
          <w:rFonts w:ascii="Arial" w:hAnsi="Arial" w:cs="Arial"/>
          <w:sz w:val="22"/>
          <w:szCs w:val="22"/>
        </w:rPr>
        <w:t xml:space="preserve">UNICEF. (2025). </w:t>
      </w:r>
      <w:r w:rsidRPr="00BE2D20">
        <w:rPr>
          <w:rFonts w:ascii="Arial" w:hAnsi="Arial" w:cs="Arial"/>
          <w:i/>
          <w:iCs/>
          <w:sz w:val="22"/>
          <w:szCs w:val="22"/>
        </w:rPr>
        <w:t>SDG Goal 3: Good Health and Well-being</w:t>
      </w:r>
      <w:r w:rsidRPr="00BE2D20">
        <w:rPr>
          <w:rFonts w:ascii="Arial" w:hAnsi="Arial" w:cs="Arial"/>
          <w:sz w:val="22"/>
          <w:szCs w:val="22"/>
        </w:rPr>
        <w:t>. Unicef. https://data.unicef.org/sdgs/goal-3-good-health-wellbeing/</w:t>
      </w:r>
    </w:p>
    <w:p w14:paraId="43E878F4" w14:textId="77777777" w:rsidR="00BE2D20" w:rsidRPr="00BE2D20" w:rsidRDefault="00BE2D20" w:rsidP="00BE2D20">
      <w:pPr>
        <w:pStyle w:val="NormalWeb"/>
        <w:spacing w:before="0" w:beforeAutospacing="0" w:after="0" w:afterAutospacing="0" w:line="360" w:lineRule="auto"/>
        <w:ind w:left="720" w:hanging="720"/>
        <w:jc w:val="both"/>
        <w:rPr>
          <w:rFonts w:ascii="Arial" w:hAnsi="Arial" w:cs="Arial"/>
          <w:sz w:val="22"/>
          <w:szCs w:val="22"/>
        </w:rPr>
      </w:pPr>
      <w:r w:rsidRPr="00BE2D20">
        <w:rPr>
          <w:rFonts w:ascii="Arial" w:hAnsi="Arial" w:cs="Arial"/>
          <w:sz w:val="22"/>
          <w:szCs w:val="22"/>
        </w:rPr>
        <w:t xml:space="preserve">Valeofglamorgan.gov.uk. (2024). </w:t>
      </w:r>
      <w:r w:rsidRPr="00BE2D20">
        <w:rPr>
          <w:rFonts w:ascii="Arial" w:hAnsi="Arial" w:cs="Arial"/>
          <w:i/>
          <w:iCs/>
          <w:sz w:val="22"/>
          <w:szCs w:val="22"/>
        </w:rPr>
        <w:t>Corporate Performance and Resources Scrutiny Committee Corporate Performance and Resources Report Title: Vale of Glamorgan Public Services Board (PSB) Annual Report 2023-24</w:t>
      </w:r>
      <w:r w:rsidRPr="00BE2D20">
        <w:rPr>
          <w:rFonts w:ascii="Arial" w:hAnsi="Arial" w:cs="Arial"/>
          <w:sz w:val="22"/>
          <w:szCs w:val="22"/>
        </w:rPr>
        <w:t>. https://www.valeofglamorgan.gov.uk/Documents/_Committee%20Reports/Scrutiny-CRP/2024/24-09-18/PSB-Annual-report.pdf</w:t>
      </w:r>
    </w:p>
    <w:p w14:paraId="4874F3DE" w14:textId="77777777" w:rsidR="00BE2D20" w:rsidRPr="00BE2D20" w:rsidRDefault="00BE2D20" w:rsidP="00BE2D20">
      <w:pPr>
        <w:pStyle w:val="NormalWeb"/>
        <w:spacing w:before="0" w:beforeAutospacing="0" w:after="0" w:afterAutospacing="0" w:line="360" w:lineRule="auto"/>
        <w:ind w:left="720" w:hanging="720"/>
        <w:jc w:val="both"/>
        <w:rPr>
          <w:rFonts w:ascii="Arial" w:hAnsi="Arial" w:cs="Arial"/>
          <w:sz w:val="22"/>
          <w:szCs w:val="22"/>
        </w:rPr>
      </w:pPr>
      <w:r w:rsidRPr="00BE2D20">
        <w:rPr>
          <w:rFonts w:ascii="Arial" w:hAnsi="Arial" w:cs="Arial"/>
          <w:sz w:val="22"/>
          <w:szCs w:val="22"/>
        </w:rPr>
        <w:t xml:space="preserve">Welsh Government. (2015). </w:t>
      </w:r>
      <w:r w:rsidRPr="00BE2D20">
        <w:rPr>
          <w:rFonts w:ascii="Arial" w:hAnsi="Arial" w:cs="Arial"/>
          <w:i/>
          <w:iCs/>
          <w:sz w:val="22"/>
          <w:szCs w:val="22"/>
        </w:rPr>
        <w:t>Well-being of Future Generations (Wales) Act 2015</w:t>
      </w:r>
      <w:r w:rsidRPr="00BE2D20">
        <w:rPr>
          <w:rFonts w:ascii="Arial" w:hAnsi="Arial" w:cs="Arial"/>
          <w:sz w:val="22"/>
          <w:szCs w:val="22"/>
        </w:rPr>
        <w:t>. Legislation.gov.uk. https://www.legislation.gov.uk/anaw/2015/2/contents</w:t>
      </w:r>
    </w:p>
    <w:p w14:paraId="49BC7393" w14:textId="77777777" w:rsidR="00BE2D20" w:rsidRPr="00BE2D20" w:rsidRDefault="00BE2D20" w:rsidP="00BE2D20">
      <w:pPr>
        <w:pStyle w:val="NormalWeb"/>
        <w:spacing w:before="0" w:beforeAutospacing="0" w:after="0" w:afterAutospacing="0" w:line="360" w:lineRule="auto"/>
        <w:ind w:left="720" w:hanging="720"/>
        <w:jc w:val="both"/>
        <w:rPr>
          <w:rFonts w:ascii="Arial" w:hAnsi="Arial" w:cs="Arial"/>
          <w:sz w:val="22"/>
          <w:szCs w:val="22"/>
        </w:rPr>
      </w:pPr>
      <w:r w:rsidRPr="00BE2D20">
        <w:rPr>
          <w:rFonts w:ascii="Arial" w:hAnsi="Arial" w:cs="Arial"/>
          <w:sz w:val="22"/>
          <w:szCs w:val="22"/>
        </w:rPr>
        <w:t xml:space="preserve">WHO. (2022). </w:t>
      </w:r>
      <w:r w:rsidRPr="00BE2D20">
        <w:rPr>
          <w:rFonts w:ascii="Arial" w:hAnsi="Arial" w:cs="Arial"/>
          <w:i/>
          <w:iCs/>
          <w:sz w:val="22"/>
          <w:szCs w:val="22"/>
        </w:rPr>
        <w:t>Targets of sustainable development goal 3</w:t>
      </w:r>
      <w:r w:rsidRPr="00BE2D20">
        <w:rPr>
          <w:rFonts w:ascii="Arial" w:hAnsi="Arial" w:cs="Arial"/>
          <w:sz w:val="22"/>
          <w:szCs w:val="22"/>
        </w:rPr>
        <w:t>. World Health Organisation. https://www.who.int/europe/about-us/our-work/sustainable-development-goals/targets-of-sustainable-development-goal-3</w:t>
      </w:r>
    </w:p>
    <w:p w14:paraId="0395BCCC" w14:textId="77777777" w:rsidR="00B463AD" w:rsidRPr="00B463AD" w:rsidRDefault="00B463AD" w:rsidP="00BE2D20">
      <w:pPr>
        <w:spacing w:after="120" w:line="360" w:lineRule="auto"/>
        <w:jc w:val="both"/>
        <w:rPr>
          <w:rFonts w:ascii="Arial" w:eastAsia="Times New Roman" w:hAnsi="Arial" w:cs="Arial"/>
          <w:kern w:val="0"/>
          <w14:ligatures w14:val="none"/>
        </w:rPr>
      </w:pPr>
    </w:p>
    <w:p w14:paraId="0699A167" w14:textId="77777777" w:rsidR="008466D2" w:rsidRPr="008466D2" w:rsidRDefault="008466D2" w:rsidP="00BE2D20">
      <w:pPr>
        <w:spacing w:after="120" w:line="360" w:lineRule="auto"/>
        <w:jc w:val="both"/>
        <w:rPr>
          <w:rFonts w:ascii="Arial" w:eastAsia="Times New Roman" w:hAnsi="Arial" w:cs="Arial"/>
          <w:kern w:val="0"/>
          <w14:ligatures w14:val="none"/>
        </w:rPr>
      </w:pPr>
    </w:p>
    <w:p w14:paraId="2EACB6FF" w14:textId="62792A0B" w:rsidR="00A7223E" w:rsidRPr="00A7223E" w:rsidRDefault="00A7223E" w:rsidP="00BE2D20">
      <w:pPr>
        <w:shd w:val="clear" w:color="auto" w:fill="FFFFFF"/>
        <w:spacing w:before="240" w:after="240" w:line="360" w:lineRule="auto"/>
        <w:jc w:val="both"/>
        <w:rPr>
          <w:rFonts w:ascii="Arial" w:eastAsia="Times New Roman" w:hAnsi="Arial" w:cs="Arial"/>
          <w:color w:val="0F1115"/>
          <w:kern w:val="0"/>
          <w14:ligatures w14:val="none"/>
        </w:rPr>
      </w:pPr>
      <w:r w:rsidRPr="00A7223E">
        <w:rPr>
          <w:rFonts w:ascii="Arial" w:eastAsia="Times New Roman" w:hAnsi="Arial" w:cs="Arial"/>
          <w:color w:val="0F1115"/>
          <w:kern w:val="0"/>
          <w14:ligatures w14:val="none"/>
        </w:rPr>
        <w:t> </w:t>
      </w:r>
    </w:p>
    <w:p w14:paraId="589C7A2B" w14:textId="77777777" w:rsidR="006517D0" w:rsidRPr="00BE2D20" w:rsidRDefault="006517D0" w:rsidP="00BE2D20">
      <w:pPr>
        <w:spacing w:line="360" w:lineRule="auto"/>
        <w:jc w:val="both"/>
        <w:rPr>
          <w:rFonts w:ascii="Arial" w:hAnsi="Arial" w:cs="Arial"/>
        </w:rPr>
      </w:pPr>
    </w:p>
    <w:sectPr w:rsidR="006517D0" w:rsidRPr="00BE2D20">
      <w:footerReference w:type="default" r:id="rId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D1A289" w14:textId="77777777" w:rsidR="00EB119D" w:rsidRDefault="00EB119D" w:rsidP="00BE2D20">
      <w:pPr>
        <w:spacing w:after="0" w:line="240" w:lineRule="auto"/>
      </w:pPr>
      <w:r>
        <w:separator/>
      </w:r>
    </w:p>
  </w:endnote>
  <w:endnote w:type="continuationSeparator" w:id="0">
    <w:p w14:paraId="3B0E58B2" w14:textId="77777777" w:rsidR="00EB119D" w:rsidRDefault="00EB119D" w:rsidP="00BE2D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00755861"/>
      <w:docPartObj>
        <w:docPartGallery w:val="Page Numbers (Bottom of Page)"/>
        <w:docPartUnique/>
      </w:docPartObj>
    </w:sdtPr>
    <w:sdtEndPr>
      <w:rPr>
        <w:noProof/>
      </w:rPr>
    </w:sdtEndPr>
    <w:sdtContent>
      <w:p w14:paraId="5BBD0CBD" w14:textId="27905281" w:rsidR="00BE2D20" w:rsidRDefault="00BE2D2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220F573" w14:textId="77777777" w:rsidR="00BE2D20" w:rsidRDefault="00BE2D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09AB9C" w14:textId="77777777" w:rsidR="00EB119D" w:rsidRDefault="00EB119D" w:rsidP="00BE2D20">
      <w:pPr>
        <w:spacing w:after="0" w:line="240" w:lineRule="auto"/>
      </w:pPr>
      <w:r>
        <w:separator/>
      </w:r>
    </w:p>
  </w:footnote>
  <w:footnote w:type="continuationSeparator" w:id="0">
    <w:p w14:paraId="2ED012DE" w14:textId="77777777" w:rsidR="00EB119D" w:rsidRDefault="00EB119D" w:rsidP="00BE2D2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60C7EEB"/>
    <w:multiLevelType w:val="hybridMultilevel"/>
    <w:tmpl w:val="9574F288"/>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16cid:durableId="11428884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75"/>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149B"/>
    <w:rsid w:val="000110CE"/>
    <w:rsid w:val="000A73AD"/>
    <w:rsid w:val="000B38EA"/>
    <w:rsid w:val="001263A7"/>
    <w:rsid w:val="00146803"/>
    <w:rsid w:val="0019544A"/>
    <w:rsid w:val="00245631"/>
    <w:rsid w:val="00264C34"/>
    <w:rsid w:val="002A53AA"/>
    <w:rsid w:val="002D1E59"/>
    <w:rsid w:val="0030575E"/>
    <w:rsid w:val="0034186C"/>
    <w:rsid w:val="00367540"/>
    <w:rsid w:val="003947F0"/>
    <w:rsid w:val="003D2BCE"/>
    <w:rsid w:val="0040258F"/>
    <w:rsid w:val="004C52E4"/>
    <w:rsid w:val="004E4847"/>
    <w:rsid w:val="00544A49"/>
    <w:rsid w:val="00592A2E"/>
    <w:rsid w:val="00614670"/>
    <w:rsid w:val="006517D0"/>
    <w:rsid w:val="00717E79"/>
    <w:rsid w:val="00725125"/>
    <w:rsid w:val="0075702B"/>
    <w:rsid w:val="00766503"/>
    <w:rsid w:val="007827A0"/>
    <w:rsid w:val="007B157E"/>
    <w:rsid w:val="007D5CBF"/>
    <w:rsid w:val="008145F1"/>
    <w:rsid w:val="008466D2"/>
    <w:rsid w:val="00880C3D"/>
    <w:rsid w:val="008E6911"/>
    <w:rsid w:val="009254EA"/>
    <w:rsid w:val="00994ECD"/>
    <w:rsid w:val="009F2E19"/>
    <w:rsid w:val="00A67C71"/>
    <w:rsid w:val="00A7223E"/>
    <w:rsid w:val="00AA5EB4"/>
    <w:rsid w:val="00AD0167"/>
    <w:rsid w:val="00AE149B"/>
    <w:rsid w:val="00B03358"/>
    <w:rsid w:val="00B32710"/>
    <w:rsid w:val="00B463AD"/>
    <w:rsid w:val="00BE2D20"/>
    <w:rsid w:val="00C6077C"/>
    <w:rsid w:val="00CB4A79"/>
    <w:rsid w:val="00CF04C9"/>
    <w:rsid w:val="00CF2AC5"/>
    <w:rsid w:val="00D11A6D"/>
    <w:rsid w:val="00D16AEF"/>
    <w:rsid w:val="00D405FF"/>
    <w:rsid w:val="00DF1677"/>
    <w:rsid w:val="00DF6195"/>
    <w:rsid w:val="00EB119D"/>
    <w:rsid w:val="00EE64C7"/>
    <w:rsid w:val="00EF6966"/>
    <w:rsid w:val="00F824E2"/>
    <w:rsid w:val="00FB078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1C3EEF"/>
  <w15:chartTrackingRefBased/>
  <w15:docId w15:val="{A553666C-650B-4281-8F3A-B22A613B91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8466D2"/>
    <w:pPr>
      <w:keepNext/>
      <w:keepLines/>
      <w:spacing w:before="240" w:after="0"/>
      <w:outlineLvl w:val="0"/>
    </w:pPr>
    <w:rPr>
      <w:rFonts w:asciiTheme="majorHAnsi" w:eastAsiaTheme="majorEastAsia" w:hAnsiTheme="majorHAnsi"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B463AD"/>
    <w:pPr>
      <w:keepNext/>
      <w:keepLines/>
      <w:spacing w:before="40" w:after="0"/>
      <w:outlineLvl w:val="1"/>
    </w:pPr>
    <w:rPr>
      <w:rFonts w:asciiTheme="majorHAnsi" w:eastAsiaTheme="majorEastAsia" w:hAnsiTheme="majorHAnsi" w:cstheme="majorBidi"/>
      <w:b/>
      <w:i/>
      <w:sz w:val="26"/>
      <w:szCs w:val="26"/>
    </w:rPr>
  </w:style>
  <w:style w:type="paragraph" w:styleId="Heading3">
    <w:name w:val="heading 3"/>
    <w:basedOn w:val="Normal"/>
    <w:link w:val="Heading3Char"/>
    <w:uiPriority w:val="9"/>
    <w:qFormat/>
    <w:rsid w:val="00A7223E"/>
    <w:pPr>
      <w:spacing w:before="100" w:beforeAutospacing="1" w:after="100" w:afterAutospacing="1" w:line="240" w:lineRule="auto"/>
      <w:outlineLvl w:val="2"/>
    </w:pPr>
    <w:rPr>
      <w:rFonts w:ascii="Times New Roman" w:eastAsia="Times New Roman" w:hAnsi="Times New Roman" w:cs="Times New Roman"/>
      <w:b/>
      <w:bCs/>
      <w:kern w:val="0"/>
      <w:sz w:val="27"/>
      <w:szCs w:val="27"/>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A7223E"/>
    <w:rPr>
      <w:rFonts w:ascii="Times New Roman" w:eastAsia="Times New Roman" w:hAnsi="Times New Roman" w:cs="Times New Roman"/>
      <w:b/>
      <w:bCs/>
      <w:kern w:val="0"/>
      <w:sz w:val="27"/>
      <w:szCs w:val="27"/>
      <w14:ligatures w14:val="none"/>
    </w:rPr>
  </w:style>
  <w:style w:type="character" w:styleId="Strong">
    <w:name w:val="Strong"/>
    <w:basedOn w:val="DefaultParagraphFont"/>
    <w:uiPriority w:val="22"/>
    <w:qFormat/>
    <w:rsid w:val="00A7223E"/>
    <w:rPr>
      <w:b/>
      <w:bCs/>
    </w:rPr>
  </w:style>
  <w:style w:type="paragraph" w:customStyle="1" w:styleId="ds-markdown-paragraph">
    <w:name w:val="ds-markdown-paragraph"/>
    <w:basedOn w:val="Normal"/>
    <w:rsid w:val="00A7223E"/>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Heading1Char">
    <w:name w:val="Heading 1 Char"/>
    <w:basedOn w:val="DefaultParagraphFont"/>
    <w:link w:val="Heading1"/>
    <w:uiPriority w:val="9"/>
    <w:rsid w:val="008466D2"/>
    <w:rPr>
      <w:rFonts w:asciiTheme="majorHAnsi" w:eastAsiaTheme="majorEastAsia" w:hAnsiTheme="majorHAnsi" w:cstheme="majorBidi"/>
      <w:b/>
      <w:color w:val="2F5496" w:themeColor="accent1" w:themeShade="BF"/>
      <w:sz w:val="32"/>
      <w:szCs w:val="32"/>
      <w:lang w:val="en-GB"/>
    </w:rPr>
  </w:style>
  <w:style w:type="character" w:customStyle="1" w:styleId="Heading2Char">
    <w:name w:val="Heading 2 Char"/>
    <w:basedOn w:val="DefaultParagraphFont"/>
    <w:link w:val="Heading2"/>
    <w:uiPriority w:val="9"/>
    <w:rsid w:val="00B463AD"/>
    <w:rPr>
      <w:rFonts w:asciiTheme="majorHAnsi" w:eastAsiaTheme="majorEastAsia" w:hAnsiTheme="majorHAnsi" w:cstheme="majorBidi"/>
      <w:b/>
      <w:i/>
      <w:sz w:val="26"/>
      <w:szCs w:val="26"/>
      <w:lang w:val="en-GB"/>
    </w:rPr>
  </w:style>
  <w:style w:type="paragraph" w:styleId="ListParagraph">
    <w:name w:val="List Paragraph"/>
    <w:basedOn w:val="Normal"/>
    <w:uiPriority w:val="34"/>
    <w:qFormat/>
    <w:rsid w:val="00CF2AC5"/>
    <w:pPr>
      <w:ind w:left="720"/>
      <w:contextualSpacing/>
    </w:pPr>
  </w:style>
  <w:style w:type="paragraph" w:styleId="NormalWeb">
    <w:name w:val="Normal (Web)"/>
    <w:basedOn w:val="Normal"/>
    <w:uiPriority w:val="99"/>
    <w:semiHidden/>
    <w:unhideWhenUsed/>
    <w:rsid w:val="00BE2D20"/>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Header">
    <w:name w:val="header"/>
    <w:basedOn w:val="Normal"/>
    <w:link w:val="HeaderChar"/>
    <w:uiPriority w:val="99"/>
    <w:unhideWhenUsed/>
    <w:rsid w:val="00BE2D20"/>
    <w:pPr>
      <w:tabs>
        <w:tab w:val="center" w:pos="4680"/>
        <w:tab w:val="right" w:pos="9360"/>
      </w:tabs>
      <w:spacing w:after="0" w:line="240" w:lineRule="auto"/>
    </w:pPr>
  </w:style>
  <w:style w:type="character" w:customStyle="1" w:styleId="HeaderChar">
    <w:name w:val="Header Char"/>
    <w:basedOn w:val="DefaultParagraphFont"/>
    <w:link w:val="Header"/>
    <w:uiPriority w:val="99"/>
    <w:rsid w:val="00BE2D20"/>
    <w:rPr>
      <w:lang w:val="en-GB"/>
    </w:rPr>
  </w:style>
  <w:style w:type="paragraph" w:styleId="Footer">
    <w:name w:val="footer"/>
    <w:basedOn w:val="Normal"/>
    <w:link w:val="FooterChar"/>
    <w:uiPriority w:val="99"/>
    <w:unhideWhenUsed/>
    <w:rsid w:val="00BE2D20"/>
    <w:pPr>
      <w:tabs>
        <w:tab w:val="center" w:pos="4680"/>
        <w:tab w:val="right" w:pos="9360"/>
      </w:tabs>
      <w:spacing w:after="0" w:line="240" w:lineRule="auto"/>
    </w:pPr>
  </w:style>
  <w:style w:type="character" w:customStyle="1" w:styleId="FooterChar">
    <w:name w:val="Footer Char"/>
    <w:basedOn w:val="DefaultParagraphFont"/>
    <w:link w:val="Footer"/>
    <w:uiPriority w:val="99"/>
    <w:rsid w:val="00BE2D20"/>
    <w:rPr>
      <w:lang w:val="en-GB"/>
    </w:rPr>
  </w:style>
  <w:style w:type="paragraph" w:styleId="TOCHeading">
    <w:name w:val="TOC Heading"/>
    <w:basedOn w:val="Heading1"/>
    <w:next w:val="Normal"/>
    <w:uiPriority w:val="39"/>
    <w:unhideWhenUsed/>
    <w:qFormat/>
    <w:rsid w:val="00BE2D20"/>
    <w:pPr>
      <w:outlineLvl w:val="9"/>
    </w:pPr>
    <w:rPr>
      <w:b w:val="0"/>
      <w:kern w:val="0"/>
      <w:lang w:val="en-US"/>
      <w14:ligatures w14:val="none"/>
    </w:rPr>
  </w:style>
  <w:style w:type="paragraph" w:styleId="TOC1">
    <w:name w:val="toc 1"/>
    <w:basedOn w:val="Normal"/>
    <w:next w:val="Normal"/>
    <w:autoRedefine/>
    <w:uiPriority w:val="39"/>
    <w:unhideWhenUsed/>
    <w:rsid w:val="00BE2D20"/>
    <w:pPr>
      <w:spacing w:after="100"/>
    </w:pPr>
  </w:style>
  <w:style w:type="paragraph" w:styleId="TOC2">
    <w:name w:val="toc 2"/>
    <w:basedOn w:val="Normal"/>
    <w:next w:val="Normal"/>
    <w:autoRedefine/>
    <w:uiPriority w:val="39"/>
    <w:unhideWhenUsed/>
    <w:rsid w:val="00BE2D20"/>
    <w:pPr>
      <w:spacing w:after="100"/>
      <w:ind w:left="220"/>
    </w:pPr>
  </w:style>
  <w:style w:type="character" w:styleId="Hyperlink">
    <w:name w:val="Hyperlink"/>
    <w:basedOn w:val="DefaultParagraphFont"/>
    <w:uiPriority w:val="99"/>
    <w:unhideWhenUsed/>
    <w:rsid w:val="00BE2D2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0688063">
      <w:bodyDiv w:val="1"/>
      <w:marLeft w:val="0"/>
      <w:marRight w:val="0"/>
      <w:marTop w:val="0"/>
      <w:marBottom w:val="0"/>
      <w:divBdr>
        <w:top w:val="none" w:sz="0" w:space="0" w:color="auto"/>
        <w:left w:val="none" w:sz="0" w:space="0" w:color="auto"/>
        <w:bottom w:val="none" w:sz="0" w:space="0" w:color="auto"/>
        <w:right w:val="none" w:sz="0" w:space="0" w:color="auto"/>
      </w:divBdr>
      <w:divsChild>
        <w:div w:id="576718813">
          <w:marLeft w:val="0"/>
          <w:marRight w:val="0"/>
          <w:marTop w:val="120"/>
          <w:marBottom w:val="120"/>
          <w:divBdr>
            <w:top w:val="none" w:sz="0" w:space="0" w:color="auto"/>
            <w:left w:val="none" w:sz="0" w:space="0" w:color="auto"/>
            <w:bottom w:val="none" w:sz="0" w:space="0" w:color="auto"/>
            <w:right w:val="none" w:sz="0" w:space="0" w:color="auto"/>
          </w:divBdr>
        </w:div>
        <w:div w:id="600183458">
          <w:marLeft w:val="0"/>
          <w:marRight w:val="0"/>
          <w:marTop w:val="120"/>
          <w:marBottom w:val="120"/>
          <w:divBdr>
            <w:top w:val="none" w:sz="0" w:space="0" w:color="auto"/>
            <w:left w:val="none" w:sz="0" w:space="0" w:color="auto"/>
            <w:bottom w:val="none" w:sz="0" w:space="0" w:color="auto"/>
            <w:right w:val="none" w:sz="0" w:space="0" w:color="auto"/>
          </w:divBdr>
        </w:div>
        <w:div w:id="1540363245">
          <w:marLeft w:val="0"/>
          <w:marRight w:val="0"/>
          <w:marTop w:val="120"/>
          <w:marBottom w:val="120"/>
          <w:divBdr>
            <w:top w:val="none" w:sz="0" w:space="0" w:color="auto"/>
            <w:left w:val="none" w:sz="0" w:space="0" w:color="auto"/>
            <w:bottom w:val="none" w:sz="0" w:space="0" w:color="auto"/>
            <w:right w:val="none" w:sz="0" w:space="0" w:color="auto"/>
          </w:divBdr>
        </w:div>
      </w:divsChild>
    </w:div>
    <w:div w:id="96408257">
      <w:bodyDiv w:val="1"/>
      <w:marLeft w:val="0"/>
      <w:marRight w:val="0"/>
      <w:marTop w:val="0"/>
      <w:marBottom w:val="0"/>
      <w:divBdr>
        <w:top w:val="none" w:sz="0" w:space="0" w:color="auto"/>
        <w:left w:val="none" w:sz="0" w:space="0" w:color="auto"/>
        <w:bottom w:val="none" w:sz="0" w:space="0" w:color="auto"/>
        <w:right w:val="none" w:sz="0" w:space="0" w:color="auto"/>
      </w:divBdr>
      <w:divsChild>
        <w:div w:id="1375622131">
          <w:marLeft w:val="0"/>
          <w:marRight w:val="0"/>
          <w:marTop w:val="120"/>
          <w:marBottom w:val="120"/>
          <w:divBdr>
            <w:top w:val="none" w:sz="0" w:space="0" w:color="auto"/>
            <w:left w:val="none" w:sz="0" w:space="0" w:color="auto"/>
            <w:bottom w:val="none" w:sz="0" w:space="0" w:color="auto"/>
            <w:right w:val="none" w:sz="0" w:space="0" w:color="auto"/>
          </w:divBdr>
        </w:div>
        <w:div w:id="610091147">
          <w:marLeft w:val="0"/>
          <w:marRight w:val="0"/>
          <w:marTop w:val="120"/>
          <w:marBottom w:val="120"/>
          <w:divBdr>
            <w:top w:val="none" w:sz="0" w:space="0" w:color="auto"/>
            <w:left w:val="none" w:sz="0" w:space="0" w:color="auto"/>
            <w:bottom w:val="none" w:sz="0" w:space="0" w:color="auto"/>
            <w:right w:val="none" w:sz="0" w:space="0" w:color="auto"/>
          </w:divBdr>
        </w:div>
        <w:div w:id="492531728">
          <w:marLeft w:val="0"/>
          <w:marRight w:val="0"/>
          <w:marTop w:val="120"/>
          <w:marBottom w:val="120"/>
          <w:divBdr>
            <w:top w:val="none" w:sz="0" w:space="0" w:color="auto"/>
            <w:left w:val="none" w:sz="0" w:space="0" w:color="auto"/>
            <w:bottom w:val="none" w:sz="0" w:space="0" w:color="auto"/>
            <w:right w:val="none" w:sz="0" w:space="0" w:color="auto"/>
          </w:divBdr>
        </w:div>
        <w:div w:id="1209417304">
          <w:marLeft w:val="0"/>
          <w:marRight w:val="0"/>
          <w:marTop w:val="120"/>
          <w:marBottom w:val="120"/>
          <w:divBdr>
            <w:top w:val="none" w:sz="0" w:space="0" w:color="auto"/>
            <w:left w:val="none" w:sz="0" w:space="0" w:color="auto"/>
            <w:bottom w:val="none" w:sz="0" w:space="0" w:color="auto"/>
            <w:right w:val="none" w:sz="0" w:space="0" w:color="auto"/>
          </w:divBdr>
        </w:div>
        <w:div w:id="1403137054">
          <w:marLeft w:val="0"/>
          <w:marRight w:val="0"/>
          <w:marTop w:val="120"/>
          <w:marBottom w:val="120"/>
          <w:divBdr>
            <w:top w:val="none" w:sz="0" w:space="0" w:color="auto"/>
            <w:left w:val="none" w:sz="0" w:space="0" w:color="auto"/>
            <w:bottom w:val="none" w:sz="0" w:space="0" w:color="auto"/>
            <w:right w:val="none" w:sz="0" w:space="0" w:color="auto"/>
          </w:divBdr>
        </w:div>
        <w:div w:id="22445937">
          <w:marLeft w:val="0"/>
          <w:marRight w:val="0"/>
          <w:marTop w:val="120"/>
          <w:marBottom w:val="120"/>
          <w:divBdr>
            <w:top w:val="none" w:sz="0" w:space="0" w:color="auto"/>
            <w:left w:val="none" w:sz="0" w:space="0" w:color="auto"/>
            <w:bottom w:val="none" w:sz="0" w:space="0" w:color="auto"/>
            <w:right w:val="none" w:sz="0" w:space="0" w:color="auto"/>
          </w:divBdr>
        </w:div>
        <w:div w:id="1360745081">
          <w:marLeft w:val="0"/>
          <w:marRight w:val="0"/>
          <w:marTop w:val="120"/>
          <w:marBottom w:val="120"/>
          <w:divBdr>
            <w:top w:val="none" w:sz="0" w:space="0" w:color="auto"/>
            <w:left w:val="none" w:sz="0" w:space="0" w:color="auto"/>
            <w:bottom w:val="none" w:sz="0" w:space="0" w:color="auto"/>
            <w:right w:val="none" w:sz="0" w:space="0" w:color="auto"/>
          </w:divBdr>
        </w:div>
      </w:divsChild>
    </w:div>
    <w:div w:id="112675611">
      <w:bodyDiv w:val="1"/>
      <w:marLeft w:val="0"/>
      <w:marRight w:val="0"/>
      <w:marTop w:val="0"/>
      <w:marBottom w:val="0"/>
      <w:divBdr>
        <w:top w:val="none" w:sz="0" w:space="0" w:color="auto"/>
        <w:left w:val="none" w:sz="0" w:space="0" w:color="auto"/>
        <w:bottom w:val="none" w:sz="0" w:space="0" w:color="auto"/>
        <w:right w:val="none" w:sz="0" w:space="0" w:color="auto"/>
      </w:divBdr>
    </w:div>
    <w:div w:id="227309129">
      <w:bodyDiv w:val="1"/>
      <w:marLeft w:val="0"/>
      <w:marRight w:val="0"/>
      <w:marTop w:val="0"/>
      <w:marBottom w:val="0"/>
      <w:divBdr>
        <w:top w:val="none" w:sz="0" w:space="0" w:color="auto"/>
        <w:left w:val="none" w:sz="0" w:space="0" w:color="auto"/>
        <w:bottom w:val="none" w:sz="0" w:space="0" w:color="auto"/>
        <w:right w:val="none" w:sz="0" w:space="0" w:color="auto"/>
      </w:divBdr>
      <w:divsChild>
        <w:div w:id="1852331883">
          <w:marLeft w:val="0"/>
          <w:marRight w:val="0"/>
          <w:marTop w:val="120"/>
          <w:marBottom w:val="120"/>
          <w:divBdr>
            <w:top w:val="none" w:sz="0" w:space="0" w:color="auto"/>
            <w:left w:val="none" w:sz="0" w:space="0" w:color="auto"/>
            <w:bottom w:val="none" w:sz="0" w:space="0" w:color="auto"/>
            <w:right w:val="none" w:sz="0" w:space="0" w:color="auto"/>
          </w:divBdr>
        </w:div>
        <w:div w:id="1365211257">
          <w:marLeft w:val="0"/>
          <w:marRight w:val="0"/>
          <w:marTop w:val="120"/>
          <w:marBottom w:val="120"/>
          <w:divBdr>
            <w:top w:val="none" w:sz="0" w:space="0" w:color="auto"/>
            <w:left w:val="none" w:sz="0" w:space="0" w:color="auto"/>
            <w:bottom w:val="none" w:sz="0" w:space="0" w:color="auto"/>
            <w:right w:val="none" w:sz="0" w:space="0" w:color="auto"/>
          </w:divBdr>
        </w:div>
        <w:div w:id="1684546371">
          <w:marLeft w:val="0"/>
          <w:marRight w:val="0"/>
          <w:marTop w:val="120"/>
          <w:marBottom w:val="120"/>
          <w:divBdr>
            <w:top w:val="none" w:sz="0" w:space="0" w:color="auto"/>
            <w:left w:val="none" w:sz="0" w:space="0" w:color="auto"/>
            <w:bottom w:val="none" w:sz="0" w:space="0" w:color="auto"/>
            <w:right w:val="none" w:sz="0" w:space="0" w:color="auto"/>
          </w:divBdr>
        </w:div>
        <w:div w:id="1627617102">
          <w:marLeft w:val="0"/>
          <w:marRight w:val="0"/>
          <w:marTop w:val="120"/>
          <w:marBottom w:val="120"/>
          <w:divBdr>
            <w:top w:val="none" w:sz="0" w:space="0" w:color="auto"/>
            <w:left w:val="none" w:sz="0" w:space="0" w:color="auto"/>
            <w:bottom w:val="none" w:sz="0" w:space="0" w:color="auto"/>
            <w:right w:val="none" w:sz="0" w:space="0" w:color="auto"/>
          </w:divBdr>
        </w:div>
        <w:div w:id="524439813">
          <w:marLeft w:val="0"/>
          <w:marRight w:val="0"/>
          <w:marTop w:val="120"/>
          <w:marBottom w:val="120"/>
          <w:divBdr>
            <w:top w:val="none" w:sz="0" w:space="0" w:color="auto"/>
            <w:left w:val="none" w:sz="0" w:space="0" w:color="auto"/>
            <w:bottom w:val="none" w:sz="0" w:space="0" w:color="auto"/>
            <w:right w:val="none" w:sz="0" w:space="0" w:color="auto"/>
          </w:divBdr>
        </w:div>
        <w:div w:id="1303316081">
          <w:marLeft w:val="0"/>
          <w:marRight w:val="0"/>
          <w:marTop w:val="120"/>
          <w:marBottom w:val="120"/>
          <w:divBdr>
            <w:top w:val="none" w:sz="0" w:space="0" w:color="auto"/>
            <w:left w:val="none" w:sz="0" w:space="0" w:color="auto"/>
            <w:bottom w:val="none" w:sz="0" w:space="0" w:color="auto"/>
            <w:right w:val="none" w:sz="0" w:space="0" w:color="auto"/>
          </w:divBdr>
        </w:div>
        <w:div w:id="410082404">
          <w:marLeft w:val="0"/>
          <w:marRight w:val="0"/>
          <w:marTop w:val="120"/>
          <w:marBottom w:val="120"/>
          <w:divBdr>
            <w:top w:val="none" w:sz="0" w:space="0" w:color="auto"/>
            <w:left w:val="none" w:sz="0" w:space="0" w:color="auto"/>
            <w:bottom w:val="none" w:sz="0" w:space="0" w:color="auto"/>
            <w:right w:val="none" w:sz="0" w:space="0" w:color="auto"/>
          </w:divBdr>
        </w:div>
        <w:div w:id="376589671">
          <w:marLeft w:val="0"/>
          <w:marRight w:val="0"/>
          <w:marTop w:val="120"/>
          <w:marBottom w:val="120"/>
          <w:divBdr>
            <w:top w:val="none" w:sz="0" w:space="0" w:color="auto"/>
            <w:left w:val="none" w:sz="0" w:space="0" w:color="auto"/>
            <w:bottom w:val="none" w:sz="0" w:space="0" w:color="auto"/>
            <w:right w:val="none" w:sz="0" w:space="0" w:color="auto"/>
          </w:divBdr>
        </w:div>
      </w:divsChild>
    </w:div>
    <w:div w:id="281618367">
      <w:bodyDiv w:val="1"/>
      <w:marLeft w:val="0"/>
      <w:marRight w:val="0"/>
      <w:marTop w:val="0"/>
      <w:marBottom w:val="0"/>
      <w:divBdr>
        <w:top w:val="none" w:sz="0" w:space="0" w:color="auto"/>
        <w:left w:val="none" w:sz="0" w:space="0" w:color="auto"/>
        <w:bottom w:val="none" w:sz="0" w:space="0" w:color="auto"/>
        <w:right w:val="none" w:sz="0" w:space="0" w:color="auto"/>
      </w:divBdr>
    </w:div>
    <w:div w:id="383065427">
      <w:bodyDiv w:val="1"/>
      <w:marLeft w:val="0"/>
      <w:marRight w:val="0"/>
      <w:marTop w:val="0"/>
      <w:marBottom w:val="0"/>
      <w:divBdr>
        <w:top w:val="none" w:sz="0" w:space="0" w:color="auto"/>
        <w:left w:val="none" w:sz="0" w:space="0" w:color="auto"/>
        <w:bottom w:val="none" w:sz="0" w:space="0" w:color="auto"/>
        <w:right w:val="none" w:sz="0" w:space="0" w:color="auto"/>
      </w:divBdr>
      <w:divsChild>
        <w:div w:id="792871494">
          <w:marLeft w:val="0"/>
          <w:marRight w:val="0"/>
          <w:marTop w:val="120"/>
          <w:marBottom w:val="120"/>
          <w:divBdr>
            <w:top w:val="none" w:sz="0" w:space="0" w:color="auto"/>
            <w:left w:val="none" w:sz="0" w:space="0" w:color="auto"/>
            <w:bottom w:val="none" w:sz="0" w:space="0" w:color="auto"/>
            <w:right w:val="none" w:sz="0" w:space="0" w:color="auto"/>
          </w:divBdr>
        </w:div>
      </w:divsChild>
    </w:div>
    <w:div w:id="384648767">
      <w:bodyDiv w:val="1"/>
      <w:marLeft w:val="0"/>
      <w:marRight w:val="0"/>
      <w:marTop w:val="0"/>
      <w:marBottom w:val="0"/>
      <w:divBdr>
        <w:top w:val="none" w:sz="0" w:space="0" w:color="auto"/>
        <w:left w:val="none" w:sz="0" w:space="0" w:color="auto"/>
        <w:bottom w:val="none" w:sz="0" w:space="0" w:color="auto"/>
        <w:right w:val="none" w:sz="0" w:space="0" w:color="auto"/>
      </w:divBdr>
    </w:div>
    <w:div w:id="520239107">
      <w:bodyDiv w:val="1"/>
      <w:marLeft w:val="0"/>
      <w:marRight w:val="0"/>
      <w:marTop w:val="0"/>
      <w:marBottom w:val="0"/>
      <w:divBdr>
        <w:top w:val="none" w:sz="0" w:space="0" w:color="auto"/>
        <w:left w:val="none" w:sz="0" w:space="0" w:color="auto"/>
        <w:bottom w:val="none" w:sz="0" w:space="0" w:color="auto"/>
        <w:right w:val="none" w:sz="0" w:space="0" w:color="auto"/>
      </w:divBdr>
      <w:divsChild>
        <w:div w:id="2094161637">
          <w:marLeft w:val="0"/>
          <w:marRight w:val="0"/>
          <w:marTop w:val="120"/>
          <w:marBottom w:val="120"/>
          <w:divBdr>
            <w:top w:val="none" w:sz="0" w:space="0" w:color="auto"/>
            <w:left w:val="none" w:sz="0" w:space="0" w:color="auto"/>
            <w:bottom w:val="none" w:sz="0" w:space="0" w:color="auto"/>
            <w:right w:val="none" w:sz="0" w:space="0" w:color="auto"/>
          </w:divBdr>
        </w:div>
      </w:divsChild>
    </w:div>
    <w:div w:id="607350743">
      <w:bodyDiv w:val="1"/>
      <w:marLeft w:val="0"/>
      <w:marRight w:val="0"/>
      <w:marTop w:val="0"/>
      <w:marBottom w:val="0"/>
      <w:divBdr>
        <w:top w:val="none" w:sz="0" w:space="0" w:color="auto"/>
        <w:left w:val="none" w:sz="0" w:space="0" w:color="auto"/>
        <w:bottom w:val="none" w:sz="0" w:space="0" w:color="auto"/>
        <w:right w:val="none" w:sz="0" w:space="0" w:color="auto"/>
      </w:divBdr>
      <w:divsChild>
        <w:div w:id="1138257795">
          <w:marLeft w:val="0"/>
          <w:marRight w:val="0"/>
          <w:marTop w:val="120"/>
          <w:marBottom w:val="120"/>
          <w:divBdr>
            <w:top w:val="none" w:sz="0" w:space="0" w:color="auto"/>
            <w:left w:val="none" w:sz="0" w:space="0" w:color="auto"/>
            <w:bottom w:val="none" w:sz="0" w:space="0" w:color="auto"/>
            <w:right w:val="none" w:sz="0" w:space="0" w:color="auto"/>
          </w:divBdr>
        </w:div>
        <w:div w:id="445198260">
          <w:marLeft w:val="0"/>
          <w:marRight w:val="0"/>
          <w:marTop w:val="120"/>
          <w:marBottom w:val="120"/>
          <w:divBdr>
            <w:top w:val="none" w:sz="0" w:space="0" w:color="auto"/>
            <w:left w:val="none" w:sz="0" w:space="0" w:color="auto"/>
            <w:bottom w:val="none" w:sz="0" w:space="0" w:color="auto"/>
            <w:right w:val="none" w:sz="0" w:space="0" w:color="auto"/>
          </w:divBdr>
        </w:div>
        <w:div w:id="888688066">
          <w:marLeft w:val="0"/>
          <w:marRight w:val="0"/>
          <w:marTop w:val="120"/>
          <w:marBottom w:val="120"/>
          <w:divBdr>
            <w:top w:val="none" w:sz="0" w:space="0" w:color="auto"/>
            <w:left w:val="none" w:sz="0" w:space="0" w:color="auto"/>
            <w:bottom w:val="none" w:sz="0" w:space="0" w:color="auto"/>
            <w:right w:val="none" w:sz="0" w:space="0" w:color="auto"/>
          </w:divBdr>
        </w:div>
        <w:div w:id="465465413">
          <w:marLeft w:val="0"/>
          <w:marRight w:val="0"/>
          <w:marTop w:val="120"/>
          <w:marBottom w:val="120"/>
          <w:divBdr>
            <w:top w:val="none" w:sz="0" w:space="0" w:color="auto"/>
            <w:left w:val="none" w:sz="0" w:space="0" w:color="auto"/>
            <w:bottom w:val="none" w:sz="0" w:space="0" w:color="auto"/>
            <w:right w:val="none" w:sz="0" w:space="0" w:color="auto"/>
          </w:divBdr>
        </w:div>
        <w:div w:id="647826635">
          <w:marLeft w:val="0"/>
          <w:marRight w:val="0"/>
          <w:marTop w:val="120"/>
          <w:marBottom w:val="120"/>
          <w:divBdr>
            <w:top w:val="none" w:sz="0" w:space="0" w:color="auto"/>
            <w:left w:val="none" w:sz="0" w:space="0" w:color="auto"/>
            <w:bottom w:val="none" w:sz="0" w:space="0" w:color="auto"/>
            <w:right w:val="none" w:sz="0" w:space="0" w:color="auto"/>
          </w:divBdr>
        </w:div>
        <w:div w:id="1706178491">
          <w:marLeft w:val="0"/>
          <w:marRight w:val="0"/>
          <w:marTop w:val="120"/>
          <w:marBottom w:val="120"/>
          <w:divBdr>
            <w:top w:val="none" w:sz="0" w:space="0" w:color="auto"/>
            <w:left w:val="none" w:sz="0" w:space="0" w:color="auto"/>
            <w:bottom w:val="none" w:sz="0" w:space="0" w:color="auto"/>
            <w:right w:val="none" w:sz="0" w:space="0" w:color="auto"/>
          </w:divBdr>
        </w:div>
      </w:divsChild>
    </w:div>
    <w:div w:id="664673167">
      <w:bodyDiv w:val="1"/>
      <w:marLeft w:val="0"/>
      <w:marRight w:val="0"/>
      <w:marTop w:val="0"/>
      <w:marBottom w:val="0"/>
      <w:divBdr>
        <w:top w:val="none" w:sz="0" w:space="0" w:color="auto"/>
        <w:left w:val="none" w:sz="0" w:space="0" w:color="auto"/>
        <w:bottom w:val="none" w:sz="0" w:space="0" w:color="auto"/>
        <w:right w:val="none" w:sz="0" w:space="0" w:color="auto"/>
      </w:divBdr>
    </w:div>
    <w:div w:id="794981054">
      <w:bodyDiv w:val="1"/>
      <w:marLeft w:val="0"/>
      <w:marRight w:val="0"/>
      <w:marTop w:val="0"/>
      <w:marBottom w:val="0"/>
      <w:divBdr>
        <w:top w:val="none" w:sz="0" w:space="0" w:color="auto"/>
        <w:left w:val="none" w:sz="0" w:space="0" w:color="auto"/>
        <w:bottom w:val="none" w:sz="0" w:space="0" w:color="auto"/>
        <w:right w:val="none" w:sz="0" w:space="0" w:color="auto"/>
      </w:divBdr>
    </w:div>
    <w:div w:id="867911976">
      <w:bodyDiv w:val="1"/>
      <w:marLeft w:val="0"/>
      <w:marRight w:val="0"/>
      <w:marTop w:val="0"/>
      <w:marBottom w:val="0"/>
      <w:divBdr>
        <w:top w:val="none" w:sz="0" w:space="0" w:color="auto"/>
        <w:left w:val="none" w:sz="0" w:space="0" w:color="auto"/>
        <w:bottom w:val="none" w:sz="0" w:space="0" w:color="auto"/>
        <w:right w:val="none" w:sz="0" w:space="0" w:color="auto"/>
      </w:divBdr>
      <w:divsChild>
        <w:div w:id="748237432">
          <w:marLeft w:val="0"/>
          <w:marRight w:val="0"/>
          <w:marTop w:val="120"/>
          <w:marBottom w:val="120"/>
          <w:divBdr>
            <w:top w:val="none" w:sz="0" w:space="0" w:color="auto"/>
            <w:left w:val="none" w:sz="0" w:space="0" w:color="auto"/>
            <w:bottom w:val="none" w:sz="0" w:space="0" w:color="auto"/>
            <w:right w:val="none" w:sz="0" w:space="0" w:color="auto"/>
          </w:divBdr>
        </w:div>
      </w:divsChild>
    </w:div>
    <w:div w:id="924919397">
      <w:bodyDiv w:val="1"/>
      <w:marLeft w:val="0"/>
      <w:marRight w:val="0"/>
      <w:marTop w:val="0"/>
      <w:marBottom w:val="0"/>
      <w:divBdr>
        <w:top w:val="none" w:sz="0" w:space="0" w:color="auto"/>
        <w:left w:val="none" w:sz="0" w:space="0" w:color="auto"/>
        <w:bottom w:val="none" w:sz="0" w:space="0" w:color="auto"/>
        <w:right w:val="none" w:sz="0" w:space="0" w:color="auto"/>
      </w:divBdr>
    </w:div>
    <w:div w:id="1012954843">
      <w:bodyDiv w:val="1"/>
      <w:marLeft w:val="0"/>
      <w:marRight w:val="0"/>
      <w:marTop w:val="0"/>
      <w:marBottom w:val="0"/>
      <w:divBdr>
        <w:top w:val="none" w:sz="0" w:space="0" w:color="auto"/>
        <w:left w:val="none" w:sz="0" w:space="0" w:color="auto"/>
        <w:bottom w:val="none" w:sz="0" w:space="0" w:color="auto"/>
        <w:right w:val="none" w:sz="0" w:space="0" w:color="auto"/>
      </w:divBdr>
      <w:divsChild>
        <w:div w:id="1774671876">
          <w:marLeft w:val="0"/>
          <w:marRight w:val="0"/>
          <w:marTop w:val="120"/>
          <w:marBottom w:val="120"/>
          <w:divBdr>
            <w:top w:val="none" w:sz="0" w:space="0" w:color="auto"/>
            <w:left w:val="none" w:sz="0" w:space="0" w:color="auto"/>
            <w:bottom w:val="none" w:sz="0" w:space="0" w:color="auto"/>
            <w:right w:val="none" w:sz="0" w:space="0" w:color="auto"/>
          </w:divBdr>
        </w:div>
      </w:divsChild>
    </w:div>
    <w:div w:id="1027947270">
      <w:bodyDiv w:val="1"/>
      <w:marLeft w:val="0"/>
      <w:marRight w:val="0"/>
      <w:marTop w:val="0"/>
      <w:marBottom w:val="0"/>
      <w:divBdr>
        <w:top w:val="none" w:sz="0" w:space="0" w:color="auto"/>
        <w:left w:val="none" w:sz="0" w:space="0" w:color="auto"/>
        <w:bottom w:val="none" w:sz="0" w:space="0" w:color="auto"/>
        <w:right w:val="none" w:sz="0" w:space="0" w:color="auto"/>
      </w:divBdr>
    </w:div>
    <w:div w:id="1036931196">
      <w:bodyDiv w:val="1"/>
      <w:marLeft w:val="0"/>
      <w:marRight w:val="0"/>
      <w:marTop w:val="0"/>
      <w:marBottom w:val="0"/>
      <w:divBdr>
        <w:top w:val="none" w:sz="0" w:space="0" w:color="auto"/>
        <w:left w:val="none" w:sz="0" w:space="0" w:color="auto"/>
        <w:bottom w:val="none" w:sz="0" w:space="0" w:color="auto"/>
        <w:right w:val="none" w:sz="0" w:space="0" w:color="auto"/>
      </w:divBdr>
    </w:div>
    <w:div w:id="1061561283">
      <w:bodyDiv w:val="1"/>
      <w:marLeft w:val="0"/>
      <w:marRight w:val="0"/>
      <w:marTop w:val="0"/>
      <w:marBottom w:val="0"/>
      <w:divBdr>
        <w:top w:val="none" w:sz="0" w:space="0" w:color="auto"/>
        <w:left w:val="none" w:sz="0" w:space="0" w:color="auto"/>
        <w:bottom w:val="none" w:sz="0" w:space="0" w:color="auto"/>
        <w:right w:val="none" w:sz="0" w:space="0" w:color="auto"/>
      </w:divBdr>
    </w:div>
    <w:div w:id="1131361048">
      <w:bodyDiv w:val="1"/>
      <w:marLeft w:val="0"/>
      <w:marRight w:val="0"/>
      <w:marTop w:val="0"/>
      <w:marBottom w:val="0"/>
      <w:divBdr>
        <w:top w:val="none" w:sz="0" w:space="0" w:color="auto"/>
        <w:left w:val="none" w:sz="0" w:space="0" w:color="auto"/>
        <w:bottom w:val="none" w:sz="0" w:space="0" w:color="auto"/>
        <w:right w:val="none" w:sz="0" w:space="0" w:color="auto"/>
      </w:divBdr>
    </w:div>
    <w:div w:id="1138573155">
      <w:bodyDiv w:val="1"/>
      <w:marLeft w:val="0"/>
      <w:marRight w:val="0"/>
      <w:marTop w:val="0"/>
      <w:marBottom w:val="0"/>
      <w:divBdr>
        <w:top w:val="none" w:sz="0" w:space="0" w:color="auto"/>
        <w:left w:val="none" w:sz="0" w:space="0" w:color="auto"/>
        <w:bottom w:val="none" w:sz="0" w:space="0" w:color="auto"/>
        <w:right w:val="none" w:sz="0" w:space="0" w:color="auto"/>
      </w:divBdr>
    </w:div>
    <w:div w:id="1150444538">
      <w:bodyDiv w:val="1"/>
      <w:marLeft w:val="0"/>
      <w:marRight w:val="0"/>
      <w:marTop w:val="0"/>
      <w:marBottom w:val="0"/>
      <w:divBdr>
        <w:top w:val="none" w:sz="0" w:space="0" w:color="auto"/>
        <w:left w:val="none" w:sz="0" w:space="0" w:color="auto"/>
        <w:bottom w:val="none" w:sz="0" w:space="0" w:color="auto"/>
        <w:right w:val="none" w:sz="0" w:space="0" w:color="auto"/>
      </w:divBdr>
    </w:div>
    <w:div w:id="1257640100">
      <w:bodyDiv w:val="1"/>
      <w:marLeft w:val="0"/>
      <w:marRight w:val="0"/>
      <w:marTop w:val="0"/>
      <w:marBottom w:val="0"/>
      <w:divBdr>
        <w:top w:val="none" w:sz="0" w:space="0" w:color="auto"/>
        <w:left w:val="none" w:sz="0" w:space="0" w:color="auto"/>
        <w:bottom w:val="none" w:sz="0" w:space="0" w:color="auto"/>
        <w:right w:val="none" w:sz="0" w:space="0" w:color="auto"/>
      </w:divBdr>
    </w:div>
    <w:div w:id="1538812639">
      <w:bodyDiv w:val="1"/>
      <w:marLeft w:val="0"/>
      <w:marRight w:val="0"/>
      <w:marTop w:val="0"/>
      <w:marBottom w:val="0"/>
      <w:divBdr>
        <w:top w:val="none" w:sz="0" w:space="0" w:color="auto"/>
        <w:left w:val="none" w:sz="0" w:space="0" w:color="auto"/>
        <w:bottom w:val="none" w:sz="0" w:space="0" w:color="auto"/>
        <w:right w:val="none" w:sz="0" w:space="0" w:color="auto"/>
      </w:divBdr>
    </w:div>
    <w:div w:id="1553494677">
      <w:bodyDiv w:val="1"/>
      <w:marLeft w:val="0"/>
      <w:marRight w:val="0"/>
      <w:marTop w:val="0"/>
      <w:marBottom w:val="0"/>
      <w:divBdr>
        <w:top w:val="none" w:sz="0" w:space="0" w:color="auto"/>
        <w:left w:val="none" w:sz="0" w:space="0" w:color="auto"/>
        <w:bottom w:val="none" w:sz="0" w:space="0" w:color="auto"/>
        <w:right w:val="none" w:sz="0" w:space="0" w:color="auto"/>
      </w:divBdr>
      <w:divsChild>
        <w:div w:id="1561476296">
          <w:marLeft w:val="-720"/>
          <w:marRight w:val="0"/>
          <w:marTop w:val="0"/>
          <w:marBottom w:val="0"/>
          <w:divBdr>
            <w:top w:val="none" w:sz="0" w:space="0" w:color="auto"/>
            <w:left w:val="none" w:sz="0" w:space="0" w:color="auto"/>
            <w:bottom w:val="none" w:sz="0" w:space="0" w:color="auto"/>
            <w:right w:val="none" w:sz="0" w:space="0" w:color="auto"/>
          </w:divBdr>
        </w:div>
      </w:divsChild>
    </w:div>
    <w:div w:id="1616789403">
      <w:bodyDiv w:val="1"/>
      <w:marLeft w:val="0"/>
      <w:marRight w:val="0"/>
      <w:marTop w:val="0"/>
      <w:marBottom w:val="0"/>
      <w:divBdr>
        <w:top w:val="none" w:sz="0" w:space="0" w:color="auto"/>
        <w:left w:val="none" w:sz="0" w:space="0" w:color="auto"/>
        <w:bottom w:val="none" w:sz="0" w:space="0" w:color="auto"/>
        <w:right w:val="none" w:sz="0" w:space="0" w:color="auto"/>
      </w:divBdr>
      <w:divsChild>
        <w:div w:id="1394693545">
          <w:marLeft w:val="0"/>
          <w:marRight w:val="0"/>
          <w:marTop w:val="120"/>
          <w:marBottom w:val="120"/>
          <w:divBdr>
            <w:top w:val="none" w:sz="0" w:space="0" w:color="auto"/>
            <w:left w:val="none" w:sz="0" w:space="0" w:color="auto"/>
            <w:bottom w:val="none" w:sz="0" w:space="0" w:color="auto"/>
            <w:right w:val="none" w:sz="0" w:space="0" w:color="auto"/>
          </w:divBdr>
        </w:div>
      </w:divsChild>
    </w:div>
    <w:div w:id="1672025316">
      <w:bodyDiv w:val="1"/>
      <w:marLeft w:val="0"/>
      <w:marRight w:val="0"/>
      <w:marTop w:val="0"/>
      <w:marBottom w:val="0"/>
      <w:divBdr>
        <w:top w:val="none" w:sz="0" w:space="0" w:color="auto"/>
        <w:left w:val="none" w:sz="0" w:space="0" w:color="auto"/>
        <w:bottom w:val="none" w:sz="0" w:space="0" w:color="auto"/>
        <w:right w:val="none" w:sz="0" w:space="0" w:color="auto"/>
      </w:divBdr>
      <w:divsChild>
        <w:div w:id="1874537117">
          <w:marLeft w:val="0"/>
          <w:marRight w:val="0"/>
          <w:marTop w:val="120"/>
          <w:marBottom w:val="120"/>
          <w:divBdr>
            <w:top w:val="none" w:sz="0" w:space="0" w:color="auto"/>
            <w:left w:val="none" w:sz="0" w:space="0" w:color="auto"/>
            <w:bottom w:val="none" w:sz="0" w:space="0" w:color="auto"/>
            <w:right w:val="none" w:sz="0" w:space="0" w:color="auto"/>
          </w:divBdr>
        </w:div>
        <w:div w:id="1671715066">
          <w:marLeft w:val="0"/>
          <w:marRight w:val="0"/>
          <w:marTop w:val="120"/>
          <w:marBottom w:val="120"/>
          <w:divBdr>
            <w:top w:val="none" w:sz="0" w:space="0" w:color="auto"/>
            <w:left w:val="none" w:sz="0" w:space="0" w:color="auto"/>
            <w:bottom w:val="none" w:sz="0" w:space="0" w:color="auto"/>
            <w:right w:val="none" w:sz="0" w:space="0" w:color="auto"/>
          </w:divBdr>
        </w:div>
        <w:div w:id="369037015">
          <w:marLeft w:val="0"/>
          <w:marRight w:val="0"/>
          <w:marTop w:val="120"/>
          <w:marBottom w:val="120"/>
          <w:divBdr>
            <w:top w:val="none" w:sz="0" w:space="0" w:color="auto"/>
            <w:left w:val="none" w:sz="0" w:space="0" w:color="auto"/>
            <w:bottom w:val="none" w:sz="0" w:space="0" w:color="auto"/>
            <w:right w:val="none" w:sz="0" w:space="0" w:color="auto"/>
          </w:divBdr>
        </w:div>
      </w:divsChild>
    </w:div>
    <w:div w:id="1705250384">
      <w:bodyDiv w:val="1"/>
      <w:marLeft w:val="0"/>
      <w:marRight w:val="0"/>
      <w:marTop w:val="0"/>
      <w:marBottom w:val="0"/>
      <w:divBdr>
        <w:top w:val="none" w:sz="0" w:space="0" w:color="auto"/>
        <w:left w:val="none" w:sz="0" w:space="0" w:color="auto"/>
        <w:bottom w:val="none" w:sz="0" w:space="0" w:color="auto"/>
        <w:right w:val="none" w:sz="0" w:space="0" w:color="auto"/>
      </w:divBdr>
    </w:div>
    <w:div w:id="1716352159">
      <w:bodyDiv w:val="1"/>
      <w:marLeft w:val="0"/>
      <w:marRight w:val="0"/>
      <w:marTop w:val="0"/>
      <w:marBottom w:val="0"/>
      <w:divBdr>
        <w:top w:val="none" w:sz="0" w:space="0" w:color="auto"/>
        <w:left w:val="none" w:sz="0" w:space="0" w:color="auto"/>
        <w:bottom w:val="none" w:sz="0" w:space="0" w:color="auto"/>
        <w:right w:val="none" w:sz="0" w:space="0" w:color="auto"/>
      </w:divBdr>
    </w:div>
    <w:div w:id="1809936342">
      <w:bodyDiv w:val="1"/>
      <w:marLeft w:val="0"/>
      <w:marRight w:val="0"/>
      <w:marTop w:val="0"/>
      <w:marBottom w:val="0"/>
      <w:divBdr>
        <w:top w:val="none" w:sz="0" w:space="0" w:color="auto"/>
        <w:left w:val="none" w:sz="0" w:space="0" w:color="auto"/>
        <w:bottom w:val="none" w:sz="0" w:space="0" w:color="auto"/>
        <w:right w:val="none" w:sz="0" w:space="0" w:color="auto"/>
      </w:divBdr>
    </w:div>
    <w:div w:id="1820003458">
      <w:bodyDiv w:val="1"/>
      <w:marLeft w:val="0"/>
      <w:marRight w:val="0"/>
      <w:marTop w:val="0"/>
      <w:marBottom w:val="0"/>
      <w:divBdr>
        <w:top w:val="none" w:sz="0" w:space="0" w:color="auto"/>
        <w:left w:val="none" w:sz="0" w:space="0" w:color="auto"/>
        <w:bottom w:val="none" w:sz="0" w:space="0" w:color="auto"/>
        <w:right w:val="none" w:sz="0" w:space="0" w:color="auto"/>
      </w:divBdr>
    </w:div>
    <w:div w:id="1846167139">
      <w:bodyDiv w:val="1"/>
      <w:marLeft w:val="0"/>
      <w:marRight w:val="0"/>
      <w:marTop w:val="0"/>
      <w:marBottom w:val="0"/>
      <w:divBdr>
        <w:top w:val="none" w:sz="0" w:space="0" w:color="auto"/>
        <w:left w:val="none" w:sz="0" w:space="0" w:color="auto"/>
        <w:bottom w:val="none" w:sz="0" w:space="0" w:color="auto"/>
        <w:right w:val="none" w:sz="0" w:space="0" w:color="auto"/>
      </w:divBdr>
    </w:div>
    <w:div w:id="1869903269">
      <w:bodyDiv w:val="1"/>
      <w:marLeft w:val="0"/>
      <w:marRight w:val="0"/>
      <w:marTop w:val="0"/>
      <w:marBottom w:val="0"/>
      <w:divBdr>
        <w:top w:val="none" w:sz="0" w:space="0" w:color="auto"/>
        <w:left w:val="none" w:sz="0" w:space="0" w:color="auto"/>
        <w:bottom w:val="none" w:sz="0" w:space="0" w:color="auto"/>
        <w:right w:val="none" w:sz="0" w:space="0" w:color="auto"/>
      </w:divBdr>
      <w:divsChild>
        <w:div w:id="518665656">
          <w:marLeft w:val="0"/>
          <w:marRight w:val="0"/>
          <w:marTop w:val="120"/>
          <w:marBottom w:val="120"/>
          <w:divBdr>
            <w:top w:val="none" w:sz="0" w:space="0" w:color="auto"/>
            <w:left w:val="none" w:sz="0" w:space="0" w:color="auto"/>
            <w:bottom w:val="none" w:sz="0" w:space="0" w:color="auto"/>
            <w:right w:val="none" w:sz="0" w:space="0" w:color="auto"/>
          </w:divBdr>
        </w:div>
      </w:divsChild>
    </w:div>
    <w:div w:id="1928617487">
      <w:bodyDiv w:val="1"/>
      <w:marLeft w:val="0"/>
      <w:marRight w:val="0"/>
      <w:marTop w:val="0"/>
      <w:marBottom w:val="0"/>
      <w:divBdr>
        <w:top w:val="none" w:sz="0" w:space="0" w:color="auto"/>
        <w:left w:val="none" w:sz="0" w:space="0" w:color="auto"/>
        <w:bottom w:val="none" w:sz="0" w:space="0" w:color="auto"/>
        <w:right w:val="none" w:sz="0" w:space="0" w:color="auto"/>
      </w:divBdr>
      <w:divsChild>
        <w:div w:id="450439991">
          <w:marLeft w:val="0"/>
          <w:marRight w:val="0"/>
          <w:marTop w:val="120"/>
          <w:marBottom w:val="120"/>
          <w:divBdr>
            <w:top w:val="none" w:sz="0" w:space="0" w:color="auto"/>
            <w:left w:val="none" w:sz="0" w:space="0" w:color="auto"/>
            <w:bottom w:val="none" w:sz="0" w:space="0" w:color="auto"/>
            <w:right w:val="none" w:sz="0" w:space="0" w:color="auto"/>
          </w:divBdr>
        </w:div>
      </w:divsChild>
    </w:div>
    <w:div w:id="1975523983">
      <w:bodyDiv w:val="1"/>
      <w:marLeft w:val="0"/>
      <w:marRight w:val="0"/>
      <w:marTop w:val="0"/>
      <w:marBottom w:val="0"/>
      <w:divBdr>
        <w:top w:val="none" w:sz="0" w:space="0" w:color="auto"/>
        <w:left w:val="none" w:sz="0" w:space="0" w:color="auto"/>
        <w:bottom w:val="none" w:sz="0" w:space="0" w:color="auto"/>
        <w:right w:val="none" w:sz="0" w:space="0" w:color="auto"/>
      </w:divBdr>
    </w:div>
    <w:div w:id="2041347814">
      <w:bodyDiv w:val="1"/>
      <w:marLeft w:val="0"/>
      <w:marRight w:val="0"/>
      <w:marTop w:val="0"/>
      <w:marBottom w:val="0"/>
      <w:divBdr>
        <w:top w:val="none" w:sz="0" w:space="0" w:color="auto"/>
        <w:left w:val="none" w:sz="0" w:space="0" w:color="auto"/>
        <w:bottom w:val="none" w:sz="0" w:space="0" w:color="auto"/>
        <w:right w:val="none" w:sz="0" w:space="0" w:color="auto"/>
      </w:divBdr>
    </w:div>
    <w:div w:id="2042320333">
      <w:bodyDiv w:val="1"/>
      <w:marLeft w:val="0"/>
      <w:marRight w:val="0"/>
      <w:marTop w:val="0"/>
      <w:marBottom w:val="0"/>
      <w:divBdr>
        <w:top w:val="none" w:sz="0" w:space="0" w:color="auto"/>
        <w:left w:val="none" w:sz="0" w:space="0" w:color="auto"/>
        <w:bottom w:val="none" w:sz="0" w:space="0" w:color="auto"/>
        <w:right w:val="none" w:sz="0" w:space="0" w:color="auto"/>
      </w:divBdr>
    </w:div>
    <w:div w:id="2120635164">
      <w:bodyDiv w:val="1"/>
      <w:marLeft w:val="0"/>
      <w:marRight w:val="0"/>
      <w:marTop w:val="0"/>
      <w:marBottom w:val="0"/>
      <w:divBdr>
        <w:top w:val="none" w:sz="0" w:space="0" w:color="auto"/>
        <w:left w:val="none" w:sz="0" w:space="0" w:color="auto"/>
        <w:bottom w:val="none" w:sz="0" w:space="0" w:color="auto"/>
        <w:right w:val="none" w:sz="0" w:space="0" w:color="auto"/>
      </w:divBdr>
      <w:divsChild>
        <w:div w:id="789512737">
          <w:marLeft w:val="0"/>
          <w:marRight w:val="0"/>
          <w:marTop w:val="120"/>
          <w:marBottom w:val="120"/>
          <w:divBdr>
            <w:top w:val="none" w:sz="0" w:space="0" w:color="auto"/>
            <w:left w:val="none" w:sz="0" w:space="0" w:color="auto"/>
            <w:bottom w:val="none" w:sz="0" w:space="0" w:color="auto"/>
            <w:right w:val="none" w:sz="0" w:space="0" w:color="auto"/>
          </w:divBdr>
        </w:div>
        <w:div w:id="598832139">
          <w:marLeft w:val="0"/>
          <w:marRight w:val="0"/>
          <w:marTop w:val="120"/>
          <w:marBottom w:val="120"/>
          <w:divBdr>
            <w:top w:val="none" w:sz="0" w:space="0" w:color="auto"/>
            <w:left w:val="none" w:sz="0" w:space="0" w:color="auto"/>
            <w:bottom w:val="none" w:sz="0" w:space="0" w:color="auto"/>
            <w:right w:val="none" w:sz="0" w:space="0" w:color="auto"/>
          </w:divBdr>
        </w:div>
        <w:div w:id="1710451045">
          <w:marLeft w:val="0"/>
          <w:marRight w:val="0"/>
          <w:marTop w:val="120"/>
          <w:marBottom w:val="120"/>
          <w:divBdr>
            <w:top w:val="none" w:sz="0" w:space="0" w:color="auto"/>
            <w:left w:val="none" w:sz="0" w:space="0" w:color="auto"/>
            <w:bottom w:val="none" w:sz="0" w:space="0" w:color="auto"/>
            <w:right w:val="none" w:sz="0" w:space="0" w:color="auto"/>
          </w:divBdr>
        </w:div>
        <w:div w:id="1727800721">
          <w:marLeft w:val="0"/>
          <w:marRight w:val="0"/>
          <w:marTop w:val="120"/>
          <w:marBottom w:val="120"/>
          <w:divBdr>
            <w:top w:val="none" w:sz="0" w:space="0" w:color="auto"/>
            <w:left w:val="none" w:sz="0" w:space="0" w:color="auto"/>
            <w:bottom w:val="none" w:sz="0" w:space="0" w:color="auto"/>
            <w:right w:val="none" w:sz="0" w:space="0" w:color="auto"/>
          </w:divBdr>
        </w:div>
        <w:div w:id="1343508912">
          <w:marLeft w:val="0"/>
          <w:marRight w:val="0"/>
          <w:marTop w:val="120"/>
          <w:marBottom w:val="120"/>
          <w:divBdr>
            <w:top w:val="none" w:sz="0" w:space="0" w:color="auto"/>
            <w:left w:val="none" w:sz="0" w:space="0" w:color="auto"/>
            <w:bottom w:val="none" w:sz="0" w:space="0" w:color="auto"/>
            <w:right w:val="none" w:sz="0" w:space="0" w:color="auto"/>
          </w:divBdr>
        </w:div>
        <w:div w:id="1862818324">
          <w:marLeft w:val="0"/>
          <w:marRight w:val="0"/>
          <w:marTop w:val="120"/>
          <w:marBottom w:val="120"/>
          <w:divBdr>
            <w:top w:val="none" w:sz="0" w:space="0" w:color="auto"/>
            <w:left w:val="none" w:sz="0" w:space="0" w:color="auto"/>
            <w:bottom w:val="none" w:sz="0" w:space="0" w:color="auto"/>
            <w:right w:val="none" w:sz="0" w:space="0" w:color="auto"/>
          </w:divBdr>
        </w:div>
        <w:div w:id="1407996242">
          <w:marLeft w:val="0"/>
          <w:marRight w:val="0"/>
          <w:marTop w:val="120"/>
          <w:marBottom w:val="120"/>
          <w:divBdr>
            <w:top w:val="none" w:sz="0" w:space="0" w:color="auto"/>
            <w:left w:val="none" w:sz="0" w:space="0" w:color="auto"/>
            <w:bottom w:val="none" w:sz="0" w:space="0" w:color="auto"/>
            <w:right w:val="none" w:sz="0" w:space="0" w:color="auto"/>
          </w:divBdr>
        </w:div>
        <w:div w:id="1772821597">
          <w:marLeft w:val="0"/>
          <w:marRight w:val="0"/>
          <w:marTop w:val="120"/>
          <w:marBottom w:val="120"/>
          <w:divBdr>
            <w:top w:val="none" w:sz="0" w:space="0" w:color="auto"/>
            <w:left w:val="none" w:sz="0" w:space="0" w:color="auto"/>
            <w:bottom w:val="none" w:sz="0" w:space="0" w:color="auto"/>
            <w:right w:val="none" w:sz="0" w:space="0" w:color="auto"/>
          </w:divBdr>
        </w:div>
        <w:div w:id="812721854">
          <w:marLeft w:val="0"/>
          <w:marRight w:val="0"/>
          <w:marTop w:val="120"/>
          <w:marBottom w:val="120"/>
          <w:divBdr>
            <w:top w:val="none" w:sz="0" w:space="0" w:color="auto"/>
            <w:left w:val="none" w:sz="0" w:space="0" w:color="auto"/>
            <w:bottom w:val="none" w:sz="0" w:space="0" w:color="auto"/>
            <w:right w:val="none" w:sz="0" w:space="0" w:color="auto"/>
          </w:divBdr>
        </w:div>
        <w:div w:id="1200585369">
          <w:marLeft w:val="0"/>
          <w:marRight w:val="0"/>
          <w:marTop w:val="120"/>
          <w:marBottom w:val="120"/>
          <w:divBdr>
            <w:top w:val="none" w:sz="0" w:space="0" w:color="auto"/>
            <w:left w:val="none" w:sz="0" w:space="0" w:color="auto"/>
            <w:bottom w:val="none" w:sz="0" w:space="0" w:color="auto"/>
            <w:right w:val="none" w:sz="0" w:space="0" w:color="auto"/>
          </w:divBdr>
        </w:div>
      </w:divsChild>
    </w:div>
    <w:div w:id="2126382969">
      <w:bodyDiv w:val="1"/>
      <w:marLeft w:val="0"/>
      <w:marRight w:val="0"/>
      <w:marTop w:val="0"/>
      <w:marBottom w:val="0"/>
      <w:divBdr>
        <w:top w:val="none" w:sz="0" w:space="0" w:color="auto"/>
        <w:left w:val="none" w:sz="0" w:space="0" w:color="auto"/>
        <w:bottom w:val="none" w:sz="0" w:space="0" w:color="auto"/>
        <w:right w:val="none" w:sz="0" w:space="0" w:color="auto"/>
      </w:divBdr>
      <w:divsChild>
        <w:div w:id="424888230">
          <w:marLeft w:val="0"/>
          <w:marRight w:val="0"/>
          <w:marTop w:val="120"/>
          <w:marBottom w:val="120"/>
          <w:divBdr>
            <w:top w:val="none" w:sz="0" w:space="0" w:color="auto"/>
            <w:left w:val="none" w:sz="0" w:space="0" w:color="auto"/>
            <w:bottom w:val="none" w:sz="0" w:space="0" w:color="auto"/>
            <w:right w:val="none" w:sz="0" w:space="0" w:color="auto"/>
          </w:divBdr>
        </w:div>
        <w:div w:id="967127955">
          <w:marLeft w:val="0"/>
          <w:marRight w:val="0"/>
          <w:marTop w:val="120"/>
          <w:marBottom w:val="120"/>
          <w:divBdr>
            <w:top w:val="none" w:sz="0" w:space="0" w:color="auto"/>
            <w:left w:val="none" w:sz="0" w:space="0" w:color="auto"/>
            <w:bottom w:val="none" w:sz="0" w:space="0" w:color="auto"/>
            <w:right w:val="none" w:sz="0" w:space="0" w:color="auto"/>
          </w:divBdr>
        </w:div>
        <w:div w:id="538320047">
          <w:marLeft w:val="0"/>
          <w:marRight w:val="0"/>
          <w:marTop w:val="120"/>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93BE04-0AAA-4874-B95F-A03911F28D2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2968</Words>
  <Characters>16918</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CDC</dc:creator>
  <cp:keywords/>
  <dc:description/>
  <cp:lastModifiedBy>tayyaba hasan</cp:lastModifiedBy>
  <cp:revision>2</cp:revision>
  <dcterms:created xsi:type="dcterms:W3CDTF">2025-11-16T12:03:00Z</dcterms:created>
  <dcterms:modified xsi:type="dcterms:W3CDTF">2025-11-16T12:03:00Z</dcterms:modified>
</cp:coreProperties>
</file>