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63"/>
      </w:pPr>
    </w:p>
    <w:p>
      <w:pPr>
        <w:spacing w:before="163"/>
      </w:pPr>
    </w:p>
    <w:p>
      <w:pPr>
        <w:spacing w:before="163"/>
      </w:pPr>
    </w:p>
    <w:p>
      <w:pPr>
        <w:spacing w:before="163"/>
      </w:pPr>
    </w:p>
    <w:p>
      <w:pPr>
        <w:spacing w:before="163"/>
      </w:pPr>
    </w:p>
    <w:p>
      <w:pPr>
        <w:spacing w:before="163"/>
      </w:pPr>
    </w:p>
    <w:p>
      <w:pPr>
        <w:spacing w:before="163"/>
      </w:pPr>
    </w:p>
    <w:p>
      <w:pPr>
        <w:spacing w:before="163"/>
      </w:pPr>
    </w:p>
    <w:p>
      <w:pPr>
        <w:spacing w:before="163"/>
        <w:rPr>
          <w:rFonts w:hint="eastAsia"/>
        </w:rPr>
      </w:pPr>
    </w:p>
    <w:p>
      <w:pPr>
        <w:spacing w:before="163"/>
      </w:pPr>
    </w:p>
    <w:p>
      <w:pPr>
        <w:pStyle w:val="2"/>
        <w:spacing w:before="163"/>
      </w:pPr>
      <w:r>
        <w:t xml:space="preserve">BMMB7007 </w:t>
      </w:r>
      <w:r>
        <w:rPr>
          <w:rFonts w:hint="eastAsia"/>
        </w:rPr>
        <w:t>assignment</w:t>
      </w:r>
      <w:r>
        <w:t xml:space="preserve"> 2</w:t>
      </w:r>
      <w:r>
        <w:rPr>
          <w:rFonts w:hint="eastAsia"/>
        </w:rPr>
        <w:t>:</w:t>
      </w:r>
      <w:r>
        <w:t xml:space="preserve"> Speech</w:t>
      </w:r>
    </w:p>
    <w:p>
      <w:pPr>
        <w:pStyle w:val="2"/>
        <w:spacing w:before="163"/>
        <w:rPr>
          <w:rFonts w:hint="eastAsia"/>
          <w:b w:val="0"/>
          <w:bCs w:val="0"/>
        </w:rPr>
      </w:pPr>
      <w:r>
        <w:rPr>
          <w:rFonts w:hint="eastAsia"/>
          <w:b w:val="0"/>
          <w:bCs w:val="0"/>
          <w:lang w:val="en-US" w:eastAsia="zh-CN"/>
        </w:rPr>
        <w:t>x</w:t>
      </w:r>
      <w:r>
        <w:rPr>
          <w:rFonts w:hint="eastAsia"/>
          <w:b w:val="0"/>
          <w:bCs w:val="0"/>
          <w:lang w:eastAsia="zh-CN"/>
        </w:rPr>
        <w:t>ue</w:t>
      </w:r>
      <w:r>
        <w:rPr>
          <w:rFonts w:hint="eastAsia"/>
          <w:b w:val="0"/>
          <w:bCs w:val="0"/>
        </w:rPr>
        <w:t xml:space="preserve"> Sun(Chelsea）-2233452-MBA</w:t>
      </w:r>
    </w:p>
    <w:p>
      <w:pPr>
        <w:rPr>
          <w:rFonts w:hint="eastAsia"/>
          <w:b w:val="0"/>
          <w:bCs w:val="0"/>
        </w:rPr>
      </w:pPr>
    </w:p>
    <w:p>
      <w:pPr>
        <w:rPr>
          <w:rFonts w:hint="eastAsia"/>
          <w:b w:val="0"/>
          <w:bCs w:val="0"/>
        </w:rPr>
      </w:pPr>
    </w:p>
    <w:p>
      <w:pPr>
        <w:widowControl/>
        <w:spacing w:before="0" w:beforeLines="0" w:after="0"/>
        <w:jc w:val="left"/>
      </w:pPr>
      <w:r>
        <w:br w:type="page"/>
      </w:r>
    </w:p>
    <w:p>
      <w:pPr>
        <w:spacing w:before="163"/>
        <w:rPr>
          <w:rFonts w:ascii="宋体" w:hAnsi="宋体" w:eastAsia="宋体" w:cs="宋体"/>
          <w:sz w:val="24"/>
          <w:szCs w:val="24"/>
        </w:rPr>
      </w:pPr>
      <w:r>
        <w:rPr>
          <w:rFonts w:hint="eastAsia"/>
          <w:highlight w:val="yellow"/>
          <w:lang w:val="en-US" w:eastAsia="zh-CN"/>
        </w:rPr>
        <w:t>My video link from Microsoft Stream:</w:t>
      </w:r>
      <w:bookmarkStart w:id="1" w:name="_GoBack"/>
      <w:r>
        <w:rPr>
          <w:rFonts w:ascii="宋体" w:hAnsi="宋体" w:eastAsia="宋体" w:cs="宋体"/>
          <w:sz w:val="24"/>
          <w:szCs w:val="24"/>
        </w:rPr>
        <w:fldChar w:fldCharType="begin"/>
      </w:r>
      <w:r>
        <w:rPr>
          <w:rFonts w:ascii="宋体" w:hAnsi="宋体" w:eastAsia="宋体" w:cs="宋体"/>
          <w:sz w:val="24"/>
          <w:szCs w:val="24"/>
        </w:rPr>
        <w:instrText xml:space="preserve"> HYPERLINK "https://uowtsd-my.sharepoint.com/:v:/g/personal/2233452_student_uwtsd_ac_uk/EVp0Dam6i49GkML47ymsk0MBZI6DSOSF3Sc7CQEFgjcKCw?e=c74DCY" </w:instrText>
      </w:r>
      <w:r>
        <w:rPr>
          <w:rFonts w:ascii="宋体" w:hAnsi="宋体" w:eastAsia="宋体" w:cs="宋体"/>
          <w:sz w:val="24"/>
          <w:szCs w:val="24"/>
        </w:rPr>
        <w:fldChar w:fldCharType="separate"/>
      </w:r>
      <w:r>
        <w:rPr>
          <w:rStyle w:val="10"/>
          <w:rFonts w:ascii="宋体" w:hAnsi="宋体" w:eastAsia="宋体" w:cs="宋体"/>
          <w:sz w:val="24"/>
          <w:szCs w:val="24"/>
        </w:rPr>
        <w:t>7007HRM ASSIGNMENT 2（speech）-Xue Sun(Chelsea）-2233452-MBA 1.mp4</w:t>
      </w:r>
      <w:r>
        <w:rPr>
          <w:rFonts w:ascii="宋体" w:hAnsi="宋体" w:eastAsia="宋体" w:cs="宋体"/>
          <w:sz w:val="24"/>
          <w:szCs w:val="24"/>
        </w:rPr>
        <w:fldChar w:fldCharType="end"/>
      </w:r>
    </w:p>
    <w:bookmarkEnd w:id="1"/>
    <w:p>
      <w:pPr>
        <w:spacing w:before="163"/>
        <w:rPr>
          <w:rFonts w:hint="default" w:ascii="宋体" w:hAnsi="宋体" w:eastAsia="宋体" w:cs="宋体"/>
          <w:sz w:val="24"/>
          <w:szCs w:val="24"/>
          <w:lang w:val="en-US" w:eastAsia="zh-CN"/>
        </w:rPr>
      </w:pPr>
    </w:p>
    <w:p>
      <w:pPr>
        <w:spacing w:before="163" w:line="360" w:lineRule="auto"/>
        <w:ind w:firstLine="480" w:firstLineChars="200"/>
      </w:pPr>
      <w:r>
        <w:t>As one of the most well-known companies in China, Huawei attaches great importance to the recruitment and training of talent. However, over-reliance on campus recruitment has caused some problems for Huawei. They include increased recruitment costs, an increased burden on human resources departments, and higher turnover rates. The combination of campus recruitment and social recruitment is a feasible solution for Huawei to alleviate the current problems. However, how to balance campus recruitment and social recruitment is a question worth thinking about. In order to deal with this problem, Huawei's HR department needs to develop some skills to change the current situation.</w:t>
      </w:r>
    </w:p>
    <w:p>
      <w:pPr>
        <w:spacing w:before="163" w:line="360" w:lineRule="auto"/>
        <w:ind w:firstLine="480" w:firstLineChars="200"/>
      </w:pPr>
      <w:r>
        <w:t>First of all, due to the different recruiting targets, Huawei needs to establish a recruitment system that is completely different from campus recruitment. Unlike recent graduates, social job seekers tend to be more aware of recruitment patterns and are prone to fraud (Krug et al., 2019). Therefore, when the human resources department selects, it is necessary to strengthen the approval and control of the recruitment positions for the job seekers recruited by the society and implement effective tracking and evaluation management. First of all, establishing a new recruitment process requires Huawei's human resources department to have the skills to formulate and execute human resource strategies. To achieve effective recruitment and selection, HR professionals need to adopt strategic thinking (Alomari, 2020). Because the principle of formulating a recruitment plan is to ensure that the company's recruitment process can better serve the company's strategy (Kabeyi, 2019), Therefore, before formulating a recruitment plan, human resources practitioners must first understand the strategic intent and translate it into an implementable execution plan. At the same time, HR departments need the ability to interpret and implement strategy, as well as create an HR strategy that effectively supports the overall organizational strategy, which will help them develop an effective recruiting package that creates greater impact within the organization and strengthen the role of human resources as a strategic partner.</w:t>
      </w:r>
    </w:p>
    <w:p>
      <w:pPr>
        <w:spacing w:before="163" w:line="360" w:lineRule="auto"/>
        <w:ind w:firstLine="480" w:firstLineChars="200"/>
      </w:pPr>
      <w:r>
        <w:t>It is worth noting that in the process of formulating a recruitment plan, human resources practitioners need to strengthen their ability to identify possible fraudulent phenomena. Ensure the effectiveness of the selection process through strict post-approval procedures and effective tracking and evaluation management. This may require some analytical and data-driven skills from HR practitioners. Before deciding to hire, the human resources manager needs to do a background check on the personnel to be hired and verify the authenticity of the relevant information. This work is especially important for senior managers and senior technical personnel. The main ways of investigation and verification are: investigation and verification of upward companies; sending relevant qualification certificates to professional institutions for verification; and verification of academic certificates through the website of the Ministry of Education (Bell et al., 2022). This requires the human resources department to be able to efficiently search, organize, and analyze potentially useful data. By reviewing and analyzing as much background information as possible, the human resources department should be able to determine the actual ability of the job seeker and then decide whether to hire him or her. In fact, using the power of data analysis to make better decisions has become a must-have professional skill for human resources practitioners at China Petroleum Corporation, and it is considered to effectively improve the efficiency of recruitment, selection, and onboarding (Stone et al., 2020).</w:t>
      </w:r>
    </w:p>
    <w:p>
      <w:pPr>
        <w:spacing w:before="163" w:line="360" w:lineRule="auto"/>
        <w:ind w:firstLine="480" w:firstLineChars="200"/>
      </w:pPr>
      <w:r>
        <w:t>Secondly, due to the different time periods of talent supply, the two recruitment plans of enterprises need to communicate and cooperate with each other. The time for campus recruitment is concentrated in April–June and July–August. During this time period, the human resources department of the enterprise needs to focus on campus recruitment. Therefore, during these two time periods, companies can relatively reduce the number of jobs they face. Implementing this initiative into the work of the human resources department requires human resources practitioners to have good communication skills. For a large enterprise like Huawei, the HR department often has multiple teams dealing with different things at the same time. The interaction and cooperation between the teams are inseparable from good communication. When an enterprise enters the golden month of campus recruitment, HRs need to communicate internally and focus resources and energy on campus recruitment. At the same time, human resources practitioners also need to communicate with other departments to seek cooperation. For example, the financial budget required by the job fair needs to be connected with the HR department and the financial department, and the recruitment plan needs to be approved by the company's leaders, etc. For example, within China Tobacco Corporation, the way of communicating with the company’s CEO and junior employees will be quite different (Daymon &amp; Holloway, 2010). A basic human skill.</w:t>
      </w:r>
    </w:p>
    <w:p>
      <w:pPr>
        <w:spacing w:before="163" w:line="360" w:lineRule="auto"/>
        <w:ind w:firstLine="480" w:firstLineChars="200"/>
      </w:pPr>
      <w:r>
        <w:t>In addition to communication, skills to manage priorities are needed within the HR department. The day-to-day activities of the human resources department serve the performance of the organization. As Huawei pays more and more attention to talent competition, the entire enterprise has adopted the recruitment of high-quality college students as a talent competition strategy (Buckholtz &amp; Donald, 2022). Therefore, the importance of campus recruitment cannot be ignored. At the same time, during the golden month, competitors in the industry will also focus on recruiting fresh graduates. Therefore, the urgency of campus recruitment is higher than social recruitment during this period. This requires the human resources department to be aware of the importance of campus recruitment in a timely manner and coordinate the resources and capabilities within the organization to make it as inclined to campus recruitment as possible. This means that to ensure the success of projects and initiatives, HR practitioners need more than just organizational knowledge and HR skills.</w:t>
      </w:r>
    </w:p>
    <w:p>
      <w:pPr>
        <w:spacing w:before="163" w:line="360" w:lineRule="auto"/>
        <w:ind w:firstLine="480" w:firstLineChars="200"/>
      </w:pPr>
      <w:r>
        <w:t>Teamwork skills can also play an important role in this process. Teamwork is one of the essential HR skills. Huawei's HR practitioners need to work with colleagues in the HR department as well as managers in the organization. Collaborate internally by actively coordinating HR activities to refine the flow of the entire campus recruiting process.</w:t>
      </w:r>
    </w:p>
    <w:p>
      <w:pPr>
        <w:spacing w:before="163" w:line="360" w:lineRule="auto"/>
        <w:ind w:firstLine="480" w:firstLineChars="200"/>
      </w:pPr>
      <w:r>
        <w:t>Finally, due to different recruitment purposes, companies need to conduct personalized induction training for different employees. For school enrollment, what the company sees is his future ability. As for social recruitment, what the company sees is his current ability and value. Research shows that fresh graduates are more malleable and have a higher degree of cultural identity with the company, but their adaptability is poor (Emerson et al., 2023). Employees with social backgrounds are adaptable but have little room for improvement (de Lucas Ancillo et al., 2021). Therefore, in the induction training process, the human resources department should focus on the cultivation of adaptability. For employees with social backgrounds, effective engagement training is necessary. In this process, human resources practitioners first need to have guidance skills. During the induction training process, human resources practitioners need to pass on the company's values and culture to new employees who have just graduated and to new employees who have some social experience. This requires HR to have strong professional knowledge and flexible training skills. These mentoring skills are often developed on the job or in external mentoring training. This multi-dimensional onboarding plan requires HR to have extensive expertise and communicate it in a way that is acceptable to the target audience.</w:t>
      </w:r>
    </w:p>
    <w:p>
      <w:pPr>
        <w:spacing w:before="163" w:line="360" w:lineRule="auto"/>
        <w:ind w:firstLine="480" w:firstLineChars="200"/>
      </w:pPr>
      <w:r>
        <w:t>At the same time, HR departments must develop individualized training programs for employees with different backgrounds. These induction trainings are established according to the situation of the employees and the nature of the positions, so human resources practitioners must have certain employee experience or professional knowledge. In the face of an ongoing talent war and massive resignations, employee experience expertise is more important than ever. China's human resource analysis survey shows that 92% of human resource leaders regard employee experience as their top priority (Morgan, 2017). HR professionals with employee experience are able to apply human-centered design thinking to design workplaces that humanize and place employees at the center of the process. They understand the entire employee life cycle—the entire relationship between an employee and the organization, from recruitment to becoming a colleague. Because of this, they are able to create exceptional employee experiences that help attract and retain the talent organizations need to succeed in today's changing world.</w:t>
      </w:r>
    </w:p>
    <w:p>
      <w:pPr>
        <w:spacing w:before="163" w:line="360" w:lineRule="auto"/>
        <w:ind w:firstLine="480" w:firstLineChars="200"/>
      </w:pPr>
      <w:r>
        <w:t>In short, increasing social recruitment is not a simple move. It requires a series of adjustments within Huawei's human resources department to ensure that the human resources activity can better serve the organization's strategy. In order to solve the dilemma faced by the organization, employees, and other stakeholders due to the single recruitment method, Huawei's human resources department needs to develop multiple related skills. This includes not only general skills like improving communication or teamwork but also some specific skills in the HR field. These skills can help Huawei's HR department continue to play a role in recruitment, selection, and induction training.</w:t>
      </w:r>
    </w:p>
    <w:p>
      <w:pPr>
        <w:spacing w:before="163" w:line="360" w:lineRule="auto"/>
        <w:ind w:firstLine="480" w:firstLineChars="200"/>
      </w:pPr>
      <w:r>
        <w:br w:type="page"/>
      </w:r>
    </w:p>
    <w:p>
      <w:pPr>
        <w:pStyle w:val="3"/>
        <w:spacing w:before="163"/>
      </w:pPr>
      <w:r>
        <w:t>References List:</w:t>
      </w:r>
    </w:p>
    <w:p>
      <w:pPr>
        <w:spacing w:before="163"/>
        <w:rPr>
          <w:lang w:val="en-GB"/>
        </w:rPr>
      </w:pPr>
    </w:p>
    <w:p>
      <w:pPr>
        <w:spacing w:before="163"/>
        <w:ind w:left="480" w:hanging="480" w:hangingChars="200"/>
        <w:rPr>
          <w:lang w:val="en-GB"/>
        </w:rPr>
      </w:pPr>
    </w:p>
    <w:p>
      <w:pPr>
        <w:spacing w:before="163" w:line="360" w:lineRule="auto"/>
        <w:ind w:left="480" w:hanging="480" w:hangingChars="200"/>
      </w:pPr>
      <w:r>
        <w:t xml:space="preserve">Alomari, Z. 2020. Does human capital moderate the relationship between strategic thinking and strategic human resource management?. </w:t>
      </w:r>
      <w:r>
        <w:rPr>
          <w:i/>
          <w:iCs/>
        </w:rPr>
        <w:t>Management Science Letters</w:t>
      </w:r>
      <w:r>
        <w:t xml:space="preserve">, </w:t>
      </w:r>
      <w:r>
        <w:rPr>
          <w:i/>
          <w:iCs/>
        </w:rPr>
        <w:t>10</w:t>
      </w:r>
      <w:r>
        <w:t>(3), 565-574.</w:t>
      </w:r>
    </w:p>
    <w:p>
      <w:pPr>
        <w:spacing w:before="163" w:line="360" w:lineRule="auto"/>
        <w:ind w:left="480" w:hanging="480" w:hangingChars="200"/>
      </w:pPr>
      <w:r>
        <w:t xml:space="preserve">Bell, E., Bryman, A. and Harley, B. 2022. </w:t>
      </w:r>
      <w:r>
        <w:rPr>
          <w:i/>
          <w:iCs/>
        </w:rPr>
        <w:t>Business research methods</w:t>
      </w:r>
      <w:r>
        <w:t>. Oxford university press.</w:t>
      </w:r>
    </w:p>
    <w:p>
      <w:pPr>
        <w:spacing w:before="163" w:line="360" w:lineRule="auto"/>
        <w:ind w:left="480" w:hanging="480" w:hangingChars="200"/>
      </w:pPr>
      <w:r>
        <w:t xml:space="preserve">Buckholtz, T. J. and Donald, W. E. 2022. Direct outcomes and win-win relationships between university careers advisors and graduate recruiters. </w:t>
      </w:r>
      <w:r>
        <w:rPr>
          <w:i/>
          <w:iCs/>
        </w:rPr>
        <w:t>GiLE Journal of Skills Development</w:t>
      </w:r>
      <w:r>
        <w:t xml:space="preserve">, </w:t>
      </w:r>
      <w:r>
        <w:rPr>
          <w:i/>
          <w:iCs/>
        </w:rPr>
        <w:t>2</w:t>
      </w:r>
      <w:r>
        <w:t>(1), 9-25.</w:t>
      </w:r>
    </w:p>
    <w:p>
      <w:pPr>
        <w:spacing w:before="163" w:line="360" w:lineRule="auto"/>
        <w:ind w:left="480" w:hanging="480" w:hangingChars="200"/>
      </w:pPr>
      <w:r>
        <w:t xml:space="preserve">Daymon, C. and Holloway, I. 2010. </w:t>
      </w:r>
      <w:r>
        <w:rPr>
          <w:i/>
          <w:iCs/>
        </w:rPr>
        <w:t>Qualitative research methods in public relations and marketing communications</w:t>
      </w:r>
      <w:r>
        <w:t>. Routledge.</w:t>
      </w:r>
    </w:p>
    <w:p>
      <w:pPr>
        <w:spacing w:before="163" w:line="360" w:lineRule="auto"/>
        <w:ind w:left="480" w:hanging="480" w:hangingChars="200"/>
      </w:pPr>
      <w:r>
        <w:t xml:space="preserve">de Lucas Ancillo, A., del Val Núñez, M. T. and Gavrila, S. G. 2021. Workplace change within the COVID-19 context: a grounded theory approach. </w:t>
      </w:r>
      <w:r>
        <w:rPr>
          <w:i/>
          <w:iCs/>
        </w:rPr>
        <w:t>Economic Research-Ekonomska Istraživanja</w:t>
      </w:r>
      <w:r>
        <w:t xml:space="preserve">, </w:t>
      </w:r>
      <w:r>
        <w:rPr>
          <w:i/>
          <w:iCs/>
        </w:rPr>
        <w:t>34</w:t>
      </w:r>
      <w:r>
        <w:t>(1), 2297-2316.</w:t>
      </w:r>
    </w:p>
    <w:p>
      <w:pPr>
        <w:spacing w:before="163" w:line="360" w:lineRule="auto"/>
        <w:ind w:left="480" w:hanging="480" w:hangingChars="200"/>
      </w:pPr>
      <w:bookmarkStart w:id="0" w:name="OLE_LINK12"/>
      <w:r>
        <w:t xml:space="preserve">Emerson, </w:t>
      </w:r>
      <w:bookmarkEnd w:id="0"/>
      <w:r>
        <w:t xml:space="preserve">D. J., Hair Jr, J. F. and Smith, K. J. 2023. Psychological distress, burnout, and business student turnover: The role of resilience as a coping mechanism. </w:t>
      </w:r>
      <w:r>
        <w:rPr>
          <w:i/>
          <w:iCs/>
        </w:rPr>
        <w:t>Research in higher education</w:t>
      </w:r>
      <w:r>
        <w:t xml:space="preserve">, </w:t>
      </w:r>
      <w:r>
        <w:rPr>
          <w:i/>
          <w:iCs/>
        </w:rPr>
        <w:t>64</w:t>
      </w:r>
      <w:r>
        <w:t>(2), 228-259.</w:t>
      </w:r>
    </w:p>
    <w:p>
      <w:pPr>
        <w:spacing w:before="163" w:line="360" w:lineRule="auto"/>
        <w:ind w:left="480" w:hanging="480" w:hangingChars="200"/>
      </w:pPr>
      <w:r>
        <w:t xml:space="preserve">Kabeyi, M. 2019. Organizational strategic planning, implementation and evaluation with analysis of challenges and benefits. </w:t>
      </w:r>
      <w:r>
        <w:rPr>
          <w:i/>
          <w:iCs/>
        </w:rPr>
        <w:t>International Journal of Applied Research and Studies</w:t>
      </w:r>
      <w:r>
        <w:t xml:space="preserve">, </w:t>
      </w:r>
      <w:r>
        <w:rPr>
          <w:i/>
          <w:iCs/>
        </w:rPr>
        <w:t>5</w:t>
      </w:r>
      <w:r>
        <w:t>(6), 27-32.</w:t>
      </w:r>
    </w:p>
    <w:p>
      <w:pPr>
        <w:spacing w:before="163" w:line="360" w:lineRule="auto"/>
        <w:ind w:left="480" w:hanging="480" w:hangingChars="200"/>
      </w:pPr>
      <w:r>
        <w:t xml:space="preserve">Krug, G., Drasch, K. and Jungbauer-Gans, M. 2019. The social stigma of unemployment: consequences of stigma consciousness on job search attitudes, behaviour and success. </w:t>
      </w:r>
      <w:r>
        <w:rPr>
          <w:i/>
          <w:iCs/>
        </w:rPr>
        <w:t>Journal for Labour Market Research</w:t>
      </w:r>
      <w:r>
        <w:t xml:space="preserve">, </w:t>
      </w:r>
      <w:r>
        <w:rPr>
          <w:i/>
          <w:iCs/>
        </w:rPr>
        <w:t>53</w:t>
      </w:r>
      <w:r>
        <w:t>(1), 1-27.</w:t>
      </w:r>
    </w:p>
    <w:p>
      <w:pPr>
        <w:spacing w:before="163" w:line="360" w:lineRule="auto"/>
        <w:ind w:left="480" w:hanging="480" w:hangingChars="200"/>
      </w:pPr>
      <w:r>
        <w:t xml:space="preserve">Morgan, J. 2017. </w:t>
      </w:r>
      <w:r>
        <w:rPr>
          <w:i/>
          <w:iCs/>
        </w:rPr>
        <w:t>The employee experience advantage: How to win the war for talent by giving employees the workspaces they want, the tools they need, and a culture they can celebrate</w:t>
      </w:r>
      <w:r>
        <w:t>. John Wiley &amp; Sons.</w:t>
      </w:r>
    </w:p>
    <w:p>
      <w:pPr>
        <w:spacing w:before="163" w:line="360" w:lineRule="auto"/>
        <w:ind w:left="480" w:hanging="480" w:hangingChars="200"/>
      </w:pPr>
      <w:r>
        <w:t xml:space="preserve">Stone, R. J., Cox, A. and Gavin, M. 2020. </w:t>
      </w:r>
      <w:r>
        <w:rPr>
          <w:i/>
          <w:iCs/>
        </w:rPr>
        <w:t>Human resource management</w:t>
      </w:r>
      <w:r>
        <w:t>. John Wiley &amp; Sons.</w:t>
      </w:r>
    </w:p>
    <w:p>
      <w:pPr>
        <w:spacing w:before="163" w:line="360" w:lineRule="auto"/>
        <w:rPr>
          <w:lang w:val="en-GB"/>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440" w:bottom="1440" w:left="144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1631654"/>
      <w:docPartObj>
        <w:docPartGallery w:val="AutoText"/>
      </w:docPartObj>
    </w:sdtPr>
    <w:sdtContent>
      <w:p>
        <w:pPr>
          <w:pStyle w:val="5"/>
          <w:spacing w:before="120"/>
          <w:jc w:val="right"/>
        </w:pPr>
        <w:r>
          <w:fldChar w:fldCharType="begin"/>
        </w:r>
        <w:r>
          <w:instrText xml:space="preserve">PAGE   \* MERGEFORMAT</w:instrText>
        </w:r>
        <w:r>
          <w:fldChar w:fldCharType="separate"/>
        </w:r>
        <w:r>
          <w:rPr>
            <w:lang w:val="zh-CN"/>
          </w:rPr>
          <w:t>2</w:t>
        </w:r>
        <w:r>
          <w:fldChar w:fldCharType="end"/>
        </w:r>
      </w:p>
    </w:sdtContent>
  </w:sdt>
  <w:p>
    <w:pPr>
      <w:pStyle w:val="5"/>
      <w:spacing w:before="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zZDM4YWFlNDYwNjdiYTNhMTdhZmJlNzI3MjcyYTYifQ=="/>
  </w:docVars>
  <w:rsids>
    <w:rsidRoot w:val="002657ED"/>
    <w:rsid w:val="0003033C"/>
    <w:rsid w:val="001B2130"/>
    <w:rsid w:val="002657ED"/>
    <w:rsid w:val="003542AF"/>
    <w:rsid w:val="003D26FD"/>
    <w:rsid w:val="0043354D"/>
    <w:rsid w:val="00461168"/>
    <w:rsid w:val="004A7BDF"/>
    <w:rsid w:val="005E231C"/>
    <w:rsid w:val="006E14C8"/>
    <w:rsid w:val="00726E74"/>
    <w:rsid w:val="00754420"/>
    <w:rsid w:val="00A12BF2"/>
    <w:rsid w:val="00B46D9E"/>
    <w:rsid w:val="00FF7A69"/>
    <w:rsid w:val="13D67324"/>
    <w:rsid w:val="13D84274"/>
    <w:rsid w:val="2E436028"/>
    <w:rsid w:val="52C27665"/>
    <w:rsid w:val="60117AF4"/>
    <w:rsid w:val="712F5B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50" w:beforeLines="50" w:after="160"/>
      <w:jc w:val="both"/>
    </w:pPr>
    <w:rPr>
      <w:rFonts w:ascii="Times New Roman" w:hAnsi="Times New Roman" w:eastAsia="宋体" w:cstheme="minorBidi"/>
      <w:kern w:val="2"/>
      <w:sz w:val="24"/>
      <w:szCs w:val="22"/>
      <w:lang w:val="en-US" w:eastAsia="zh-CN" w:bidi="ar-SA"/>
    </w:rPr>
  </w:style>
  <w:style w:type="paragraph" w:styleId="2">
    <w:name w:val="heading 1"/>
    <w:basedOn w:val="1"/>
    <w:next w:val="1"/>
    <w:link w:val="12"/>
    <w:qFormat/>
    <w:uiPriority w:val="9"/>
    <w:pPr>
      <w:keepNext/>
      <w:keepLines/>
      <w:widowControl/>
      <w:spacing w:before="240" w:after="120" w:line="360" w:lineRule="auto"/>
      <w:outlineLvl w:val="0"/>
    </w:pPr>
    <w:rPr>
      <w:rFonts w:cs="Times New Roman"/>
      <w:b/>
      <w:bCs/>
      <w:caps/>
      <w:szCs w:val="24"/>
    </w:rPr>
  </w:style>
  <w:style w:type="paragraph" w:styleId="3">
    <w:name w:val="heading 2"/>
    <w:basedOn w:val="1"/>
    <w:next w:val="1"/>
    <w:link w:val="13"/>
    <w:unhideWhenUsed/>
    <w:qFormat/>
    <w:uiPriority w:val="9"/>
    <w:pPr>
      <w:keepNext/>
      <w:keepLines/>
      <w:widowControl/>
      <w:spacing w:before="160" w:after="120" w:line="360" w:lineRule="auto"/>
      <w:outlineLvl w:val="1"/>
    </w:pPr>
    <w:rPr>
      <w:rFonts w:cs="Times New Roman"/>
      <w:b/>
      <w:bCs/>
      <w:szCs w:val="24"/>
    </w:rPr>
  </w:style>
  <w:style w:type="paragraph" w:styleId="4">
    <w:name w:val="heading 3"/>
    <w:basedOn w:val="1"/>
    <w:next w:val="1"/>
    <w:link w:val="15"/>
    <w:unhideWhenUsed/>
    <w:qFormat/>
    <w:uiPriority w:val="9"/>
    <w:pPr>
      <w:keepNext/>
      <w:keepLines/>
      <w:spacing w:after="0"/>
      <w:outlineLvl w:val="2"/>
    </w:pPr>
    <w:rPr>
      <w:b/>
      <w:bCs/>
      <w:i/>
      <w:szCs w:val="32"/>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5">
    <w:name w:val="footer"/>
    <w:basedOn w:val="1"/>
    <w:link w:val="17"/>
    <w:unhideWhenUsed/>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itle"/>
    <w:basedOn w:val="1"/>
    <w:next w:val="1"/>
    <w:link w:val="14"/>
    <w:qFormat/>
    <w:uiPriority w:val="10"/>
    <w:pPr>
      <w:spacing w:after="0"/>
      <w:jc w:val="center"/>
      <w:outlineLvl w:val="0"/>
    </w:pPr>
    <w:rPr>
      <w:rFonts w:eastAsiaTheme="majorEastAsia" w:cstheme="majorBidi"/>
      <w:b/>
      <w:bCs/>
      <w:szCs w:val="32"/>
    </w:rPr>
  </w:style>
  <w:style w:type="character" w:styleId="10">
    <w:name w:val="FollowedHyperlink"/>
    <w:basedOn w:val="9"/>
    <w:semiHidden/>
    <w:unhideWhenUsed/>
    <w:uiPriority w:val="99"/>
    <w:rPr>
      <w:color w:val="800080"/>
      <w:u w:val="single"/>
    </w:rPr>
  </w:style>
  <w:style w:type="character" w:styleId="11">
    <w:name w:val="Hyperlink"/>
    <w:basedOn w:val="9"/>
    <w:semiHidden/>
    <w:unhideWhenUsed/>
    <w:uiPriority w:val="99"/>
    <w:rPr>
      <w:color w:val="0000FF"/>
      <w:u w:val="single"/>
    </w:rPr>
  </w:style>
  <w:style w:type="character" w:customStyle="1" w:styleId="12">
    <w:name w:val="标题 1 字符"/>
    <w:basedOn w:val="9"/>
    <w:link w:val="2"/>
    <w:uiPriority w:val="9"/>
    <w:rPr>
      <w:rFonts w:ascii="Times New Roman" w:hAnsi="Times New Roman" w:eastAsia="宋体" w:cs="Times New Roman"/>
      <w:b/>
      <w:bCs/>
      <w:caps/>
      <w:sz w:val="24"/>
      <w:szCs w:val="24"/>
    </w:rPr>
  </w:style>
  <w:style w:type="character" w:customStyle="1" w:styleId="13">
    <w:name w:val="标题 2 字符"/>
    <w:basedOn w:val="9"/>
    <w:link w:val="3"/>
    <w:uiPriority w:val="9"/>
    <w:rPr>
      <w:rFonts w:ascii="Times New Roman" w:hAnsi="Times New Roman" w:eastAsia="宋体" w:cs="Times New Roman"/>
      <w:b/>
      <w:bCs/>
      <w:sz w:val="24"/>
      <w:szCs w:val="24"/>
    </w:rPr>
  </w:style>
  <w:style w:type="character" w:customStyle="1" w:styleId="14">
    <w:name w:val="标题 字符"/>
    <w:basedOn w:val="9"/>
    <w:link w:val="7"/>
    <w:qFormat/>
    <w:uiPriority w:val="10"/>
    <w:rPr>
      <w:rFonts w:ascii="Times New Roman" w:hAnsi="Times New Roman" w:eastAsiaTheme="majorEastAsia" w:cstheme="majorBidi"/>
      <w:b/>
      <w:bCs/>
      <w:sz w:val="24"/>
      <w:szCs w:val="32"/>
    </w:rPr>
  </w:style>
  <w:style w:type="character" w:customStyle="1" w:styleId="15">
    <w:name w:val="标题 3 字符"/>
    <w:basedOn w:val="9"/>
    <w:link w:val="4"/>
    <w:uiPriority w:val="9"/>
    <w:rPr>
      <w:rFonts w:ascii="Times New Roman" w:hAnsi="Times New Roman" w:eastAsia="Times New Roman"/>
      <w:b/>
      <w:bCs/>
      <w:i/>
      <w:sz w:val="24"/>
      <w:szCs w:val="32"/>
    </w:rPr>
  </w:style>
  <w:style w:type="character" w:customStyle="1" w:styleId="16">
    <w:name w:val="页眉 字符"/>
    <w:basedOn w:val="9"/>
    <w:link w:val="6"/>
    <w:qFormat/>
    <w:uiPriority w:val="99"/>
    <w:rPr>
      <w:rFonts w:ascii="Times New Roman" w:hAnsi="Times New Roman" w:eastAsia="宋体"/>
      <w:sz w:val="18"/>
      <w:szCs w:val="18"/>
    </w:rPr>
  </w:style>
  <w:style w:type="character" w:customStyle="1" w:styleId="17">
    <w:name w:val="页脚 字符"/>
    <w:basedOn w:val="9"/>
    <w:link w:val="5"/>
    <w:qFormat/>
    <w:uiPriority w:val="99"/>
    <w:rPr>
      <w:rFonts w:ascii="Times New Roman" w:hAnsi="Times New Roman" w:eastAsia="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1736</Words>
  <Characters>10058</Characters>
  <Lines>82</Lines>
  <Paragraphs>23</Paragraphs>
  <TotalTime>13</TotalTime>
  <ScaleCrop>false</ScaleCrop>
  <LinksUpToDate>false</LinksUpToDate>
  <CharactersWithSpaces>11763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2023-03-27T23:29:00Z</dcterms:created>
  <dc:creator> </dc:creator>
  <cp:lastModifiedBy>HeisenbergS</cp:lastModifiedBy>
  <dcterms:modified xsi:type="dcterms:W3CDTF">2023-04-28T21:10:02Z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5B4A6C87C06B4FD7931B30F0779D43F4_12</vt:lpwstr>
  </property>
</Properties>
</file>