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A3CF" w14:textId="3FB19F9A" w:rsidR="00495C20" w:rsidRDefault="00495C20" w:rsidP="00675BB1">
      <w:pPr>
        <w:pStyle w:val="FirstParagraph"/>
        <w:rPr>
          <w:b/>
          <w:bCs/>
          <w:sz w:val="32"/>
          <w:szCs w:val="32"/>
        </w:rPr>
      </w:pPr>
      <w:r w:rsidRPr="004C3A0B">
        <w:rPr>
          <w:noProof/>
          <w:lang w:eastAsia="en-GB"/>
        </w:rPr>
        <w:drawing>
          <wp:anchor distT="0" distB="0" distL="114300" distR="114300" simplePos="0" relativeHeight="251658240" behindDoc="0" locked="0" layoutInCell="1" allowOverlap="1" wp14:anchorId="5D4E54DB" wp14:editId="28AD9741">
            <wp:simplePos x="0" y="0"/>
            <wp:positionH relativeFrom="margin">
              <wp:posOffset>2025650</wp:posOffset>
            </wp:positionH>
            <wp:positionV relativeFrom="margin">
              <wp:posOffset>342900</wp:posOffset>
            </wp:positionV>
            <wp:extent cx="1898650" cy="636270"/>
            <wp:effectExtent l="0" t="0" r="0" b="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8650"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4C156" w14:textId="5CB24FF0" w:rsidR="00495C20" w:rsidRDefault="00495C20" w:rsidP="00675BB1">
      <w:pPr>
        <w:pStyle w:val="FirstParagraph"/>
        <w:rPr>
          <w:b/>
          <w:bCs/>
          <w:sz w:val="32"/>
          <w:szCs w:val="32"/>
        </w:rPr>
      </w:pPr>
    </w:p>
    <w:p w14:paraId="6C194FC4" w14:textId="77777777" w:rsidR="00495C20" w:rsidRDefault="00495C20" w:rsidP="00675BB1">
      <w:pPr>
        <w:pStyle w:val="FirstParagraph"/>
        <w:rPr>
          <w:b/>
          <w:bCs/>
          <w:sz w:val="32"/>
          <w:szCs w:val="32"/>
        </w:rPr>
      </w:pPr>
    </w:p>
    <w:p w14:paraId="0762A5EA" w14:textId="77777777" w:rsidR="00495C20" w:rsidRDefault="00495C20" w:rsidP="00495C20">
      <w:pPr>
        <w:pStyle w:val="FirstParagraph"/>
        <w:jc w:val="center"/>
        <w:rPr>
          <w:b/>
          <w:bCs/>
          <w:sz w:val="32"/>
          <w:szCs w:val="32"/>
        </w:rPr>
      </w:pPr>
    </w:p>
    <w:p w14:paraId="4FBBF1DD" w14:textId="77777777" w:rsidR="00495C20" w:rsidRDefault="00495C20" w:rsidP="00495C20">
      <w:pPr>
        <w:pStyle w:val="FirstParagraph"/>
        <w:jc w:val="center"/>
        <w:rPr>
          <w:b/>
          <w:bCs/>
          <w:sz w:val="32"/>
          <w:szCs w:val="32"/>
        </w:rPr>
      </w:pPr>
    </w:p>
    <w:p w14:paraId="4C578E2D" w14:textId="6E83C225" w:rsidR="00127D60" w:rsidRPr="00675BB1" w:rsidRDefault="00000000" w:rsidP="00495C20">
      <w:pPr>
        <w:pStyle w:val="FirstParagraph"/>
        <w:jc w:val="center"/>
        <w:rPr>
          <w:sz w:val="32"/>
          <w:szCs w:val="32"/>
        </w:rPr>
      </w:pPr>
      <w:r w:rsidRPr="00675BB1">
        <w:rPr>
          <w:b/>
          <w:bCs/>
          <w:sz w:val="32"/>
          <w:szCs w:val="32"/>
        </w:rPr>
        <w:t>Causal AI for Fair and Transparent Credit Risk Prediction</w:t>
      </w:r>
    </w:p>
    <w:p w14:paraId="55F62F9C" w14:textId="3FC7D9D5" w:rsidR="00127D60" w:rsidRDefault="00127D60" w:rsidP="00495C20">
      <w:pPr>
        <w:jc w:val="center"/>
      </w:pPr>
    </w:p>
    <w:p w14:paraId="72A6C6F4" w14:textId="0E8F6E2F" w:rsidR="00495C20" w:rsidRPr="00495C20" w:rsidRDefault="00495C20" w:rsidP="00495C20">
      <w:pPr>
        <w:jc w:val="center"/>
        <w:rPr>
          <w:rFonts w:cs="Times New Roman"/>
          <w:color w:val="000000" w:themeColor="text1"/>
          <w:sz w:val="24"/>
          <w:szCs w:val="24"/>
        </w:rPr>
      </w:pPr>
      <w:r w:rsidRPr="00495C20">
        <w:rPr>
          <w:rFonts w:cs="Times New Roman"/>
          <w:color w:val="000000" w:themeColor="text1"/>
        </w:rPr>
        <w:t xml:space="preserve">Name: </w:t>
      </w:r>
      <w:r w:rsidRPr="00495C20">
        <w:rPr>
          <w:rFonts w:cs="Times New Roman"/>
          <w:color w:val="000000" w:themeColor="text1"/>
        </w:rPr>
        <w:t>Nagori Shafikbhai Abdulrahimbhai</w:t>
      </w:r>
    </w:p>
    <w:p w14:paraId="032B7D80" w14:textId="46FBB860" w:rsidR="00495C20" w:rsidRPr="00495C20" w:rsidRDefault="00495C20" w:rsidP="00495C20">
      <w:pPr>
        <w:jc w:val="center"/>
        <w:rPr>
          <w:rFonts w:cs="Times New Roman"/>
          <w:color w:val="000000" w:themeColor="text1"/>
          <w:sz w:val="24"/>
          <w:szCs w:val="24"/>
        </w:rPr>
      </w:pPr>
      <w:r w:rsidRPr="00495C20">
        <w:rPr>
          <w:rFonts w:cs="Times New Roman"/>
          <w:color w:val="000000" w:themeColor="text1"/>
        </w:rPr>
        <w:t>Student Number: 243</w:t>
      </w:r>
      <w:r w:rsidRPr="00495C20">
        <w:rPr>
          <w:rFonts w:cs="Times New Roman"/>
          <w:color w:val="000000" w:themeColor="text1"/>
        </w:rPr>
        <w:t>7695</w:t>
      </w:r>
    </w:p>
    <w:p w14:paraId="367A388B" w14:textId="5759DA35" w:rsidR="00495C20" w:rsidRPr="00495C20" w:rsidRDefault="00495C20" w:rsidP="00495C20">
      <w:pPr>
        <w:jc w:val="center"/>
        <w:rPr>
          <w:rFonts w:cs="Times New Roman"/>
          <w:color w:val="000000" w:themeColor="text1"/>
          <w:sz w:val="24"/>
          <w:szCs w:val="24"/>
        </w:rPr>
      </w:pPr>
      <w:r w:rsidRPr="00495C20">
        <w:rPr>
          <w:rFonts w:cs="Times New Roman"/>
        </w:rPr>
        <w:t>Programme Of Study: MSc Data and Artificial Intelligence</w:t>
      </w:r>
    </w:p>
    <w:p w14:paraId="09D80A50" w14:textId="19105576" w:rsidR="00495C20" w:rsidRPr="00C57451" w:rsidRDefault="00495C20" w:rsidP="00495C20">
      <w:pPr>
        <w:jc w:val="center"/>
        <w:rPr>
          <w:rFonts w:ascii="Times New Roman" w:hAnsi="Times New Roman" w:cs="Times New Roman"/>
          <w:sz w:val="24"/>
          <w:szCs w:val="24"/>
          <w:lang w:val="en-IN"/>
        </w:rPr>
      </w:pPr>
      <w:r w:rsidRPr="00495C20">
        <w:rPr>
          <w:rFonts w:cs="Times New Roman"/>
        </w:rPr>
        <w:t xml:space="preserve">Director Of Studies: </w:t>
      </w:r>
      <w:r w:rsidRPr="00495C20">
        <w:rPr>
          <w:rFonts w:cs="Times New Roman"/>
          <w:lang w:val="en-IN"/>
        </w:rPr>
        <w:t>Dr. Aliyu Sambo</w:t>
      </w:r>
    </w:p>
    <w:p w14:paraId="6BF64618" w14:textId="77777777" w:rsidR="00495C20" w:rsidRDefault="00495C20"/>
    <w:p w14:paraId="36B87EB9" w14:textId="77777777" w:rsidR="00495C20" w:rsidRDefault="00495C20"/>
    <w:p w14:paraId="2893C02B" w14:textId="77777777" w:rsidR="00495C20" w:rsidRDefault="00495C20"/>
    <w:p w14:paraId="7C050211" w14:textId="77777777" w:rsidR="00495C20" w:rsidRDefault="00495C20"/>
    <w:p w14:paraId="4D0BFEEA" w14:textId="77777777" w:rsidR="00495C20" w:rsidRDefault="00495C20"/>
    <w:p w14:paraId="762A4501" w14:textId="77777777" w:rsidR="00495C20" w:rsidRDefault="00495C20"/>
    <w:p w14:paraId="5AA2DC5B" w14:textId="77777777" w:rsidR="00495C20" w:rsidRDefault="00495C20"/>
    <w:p w14:paraId="6BAF3AAA" w14:textId="77777777" w:rsidR="00495C20" w:rsidRDefault="00495C20"/>
    <w:p w14:paraId="5D8E194A" w14:textId="77777777" w:rsidR="00495C20" w:rsidRDefault="00495C20"/>
    <w:p w14:paraId="066CE5C5" w14:textId="77777777" w:rsidR="00495C20" w:rsidRDefault="00495C20"/>
    <w:p w14:paraId="073B72E4" w14:textId="77777777" w:rsidR="00495C20" w:rsidRDefault="00495C20"/>
    <w:p w14:paraId="0E8ACE47" w14:textId="77777777" w:rsidR="00495C20" w:rsidRDefault="00495C20"/>
    <w:p w14:paraId="039E3E70" w14:textId="77777777" w:rsidR="00495C20" w:rsidRDefault="00495C20"/>
    <w:p w14:paraId="40476D2D" w14:textId="77777777" w:rsidR="00495C20" w:rsidRDefault="00495C20"/>
    <w:p w14:paraId="5D3C338B" w14:textId="77777777" w:rsidR="00495C20" w:rsidRDefault="00495C20"/>
    <w:p w14:paraId="2B81D9FB" w14:textId="77777777" w:rsidR="00495C20" w:rsidRDefault="00495C20"/>
    <w:p w14:paraId="2353E9D4" w14:textId="77777777" w:rsidR="00495C20" w:rsidRDefault="00495C20">
      <w:pPr>
        <w:pStyle w:val="FirstParagraph"/>
        <w:rPr>
          <w:b/>
          <w:bCs/>
        </w:rPr>
      </w:pPr>
    </w:p>
    <w:p w14:paraId="608D56A7" w14:textId="22AB5E78" w:rsidR="00127D60" w:rsidRDefault="00000000">
      <w:pPr>
        <w:pStyle w:val="FirstParagraph"/>
      </w:pPr>
      <w:r>
        <w:rPr>
          <w:b/>
          <w:bCs/>
        </w:rPr>
        <w:t>Abstract</w:t>
      </w:r>
    </w:p>
    <w:p w14:paraId="29421C7C" w14:textId="09BD5AD8" w:rsidR="00127D60" w:rsidRDefault="00000000">
      <w:pPr>
        <w:pStyle w:val="BodyText"/>
      </w:pPr>
      <w:r>
        <w:t>Credit risk prediction plays a critical role in financial decision-making, influencing loan approvals, interest rates, and access to credit. While machine learning models have improved predictive accuracy, they often lack transparency and may perpetuate bias against protected groups. This research proposes the use of causal artificial intelligence (AI) techniques to enhance fairness and transparency in credit risk prediction. By integrating causal reasoning with predictive modeling, the study aims to distinguish genuine risk factors from spurious correlations and provide interpretable, fair credit decisions. Publicly available credit datasets will be used to compare causal AI models with traditional machine learning approaches in terms of accuracy, fairness, and explainability.</w:t>
      </w:r>
    </w:p>
    <w:p w14:paraId="684B9663" w14:textId="44F16407" w:rsidR="00127D60" w:rsidRDefault="00127D60"/>
    <w:p w14:paraId="36D54FE6" w14:textId="77777777" w:rsidR="00127D60" w:rsidRPr="00675BB1" w:rsidRDefault="00000000">
      <w:pPr>
        <w:pStyle w:val="Heading3"/>
        <w:rPr>
          <w:b/>
          <w:bCs/>
        </w:rPr>
      </w:pPr>
      <w:bookmarkStart w:id="0" w:name="introduction"/>
      <w:r w:rsidRPr="00675BB1">
        <w:rPr>
          <w:b/>
          <w:bCs/>
        </w:rPr>
        <w:t>1. Introduction</w:t>
      </w:r>
    </w:p>
    <w:p w14:paraId="751BEC7D" w14:textId="77777777" w:rsidR="0099765E" w:rsidRPr="0099765E" w:rsidRDefault="0099765E" w:rsidP="0099765E">
      <w:pPr>
        <w:pStyle w:val="FirstParagraph"/>
        <w:rPr>
          <w:lang w:val="en-IN"/>
        </w:rPr>
      </w:pPr>
      <w:r w:rsidRPr="0099765E">
        <w:rPr>
          <w:lang w:val="en-IN"/>
        </w:rPr>
        <w:t>The adoption of machine learning techniques has significantly transformed credit risk assessment in the financial sector. Automated credit scoring systems are widely used due to their efficiency and scalability; however, many operate as black-box models, making it difficult to interpret decisions or justify them to regulators and customers. Additionally, correlation-based models may unintentionally encode historical and societal biases present in training data, leading to unfair credit decisions.</w:t>
      </w:r>
    </w:p>
    <w:p w14:paraId="4B4C66E7" w14:textId="77777777" w:rsidR="0099765E" w:rsidRPr="0099765E" w:rsidRDefault="0099765E" w:rsidP="0099765E">
      <w:pPr>
        <w:pStyle w:val="FirstParagraph"/>
        <w:rPr>
          <w:lang w:val="en-IN"/>
        </w:rPr>
      </w:pPr>
      <w:r w:rsidRPr="0099765E">
        <w:rPr>
          <w:lang w:val="en-IN"/>
        </w:rPr>
        <w:t>Recent research has explored fairness-aware machine learning and explainable artificial intelligence to address these issues. While such approaches improve interpretability, they primarily rely on post-hoc explanations and do not address the underlying causal mechanisms responsible for biased outcomes. As a result, fairness cannot be guaranteed during model training or deployment.</w:t>
      </w:r>
    </w:p>
    <w:p w14:paraId="4D14908C" w14:textId="77777777" w:rsidR="0099765E" w:rsidRPr="0099765E" w:rsidRDefault="0099765E" w:rsidP="0099765E">
      <w:pPr>
        <w:pStyle w:val="FirstParagraph"/>
        <w:rPr>
          <w:lang w:val="en-IN"/>
        </w:rPr>
      </w:pPr>
      <w:r w:rsidRPr="0099765E">
        <w:rPr>
          <w:lang w:val="en-IN"/>
        </w:rPr>
        <w:t>This research differs from existing studies by explicitly integrating causal reasoning into credit risk prediction. By modelling cause–effect relationships between applicant attributes and credit outcomes, the proposed approach aims to provide transparent, justifiable, and fair credit decisions that align with regulatory and ethical requirements.</w:t>
      </w:r>
    </w:p>
    <w:p w14:paraId="3066EEAA" w14:textId="14A0BA68" w:rsidR="00127D60" w:rsidRDefault="00127D60">
      <w:pPr>
        <w:pStyle w:val="FirstParagraph"/>
      </w:pPr>
    </w:p>
    <w:p w14:paraId="77DECDDD" w14:textId="3392CAC9" w:rsidR="00127D60" w:rsidRDefault="00127D60"/>
    <w:p w14:paraId="398C9CE2" w14:textId="77777777" w:rsidR="00127D60" w:rsidRPr="00675BB1" w:rsidRDefault="00000000">
      <w:pPr>
        <w:pStyle w:val="Heading3"/>
      </w:pPr>
      <w:bookmarkStart w:id="1" w:name="research-problem-and-rationale"/>
      <w:bookmarkEnd w:id="0"/>
      <w:r w:rsidRPr="00675BB1">
        <w:t>2. Research Problem and Rationale</w:t>
      </w:r>
    </w:p>
    <w:p w14:paraId="626B5ED8" w14:textId="77777777" w:rsidR="00127D60" w:rsidRDefault="00000000">
      <w:pPr>
        <w:pStyle w:val="FirstParagraph"/>
      </w:pPr>
      <w:r>
        <w:t xml:space="preserve">Despite their predictive success, traditional credit risk models rely heavily on statistical correlations, which may lead to discriminatory outcomes when sensitive attributes are implicitly </w:t>
      </w:r>
      <w:r>
        <w:lastRenderedPageBreak/>
        <w:t>encoded [3], [4], [13]. Post-hoc explainability methods offer limited insight into true causal mechanisms. This research is motivated by the need to develop credit risk prediction models that are not only accurate but also fair and interpretable. By adopting a causal AI framework, this study seeks to address bias at its root and provide transparent explanations aligned with regulatory and ethical requirements. [1], [3], [10]</w:t>
      </w:r>
    </w:p>
    <w:p w14:paraId="4C226F04" w14:textId="3A0532B5" w:rsidR="00127D60" w:rsidRDefault="00127D60"/>
    <w:p w14:paraId="6009D188" w14:textId="77777777" w:rsidR="00127D60" w:rsidRDefault="00000000">
      <w:pPr>
        <w:pStyle w:val="Heading3"/>
      </w:pPr>
      <w:bookmarkStart w:id="2" w:name="aim-and-objectives"/>
      <w:bookmarkEnd w:id="1"/>
      <w:r>
        <w:t>3. Aim and Objectives</w:t>
      </w:r>
    </w:p>
    <w:p w14:paraId="73B82984" w14:textId="77777777" w:rsidR="00127D60" w:rsidRDefault="00000000">
      <w:pPr>
        <w:pStyle w:val="FirstParagraph"/>
      </w:pPr>
      <w:r>
        <w:rPr>
          <w:b/>
          <w:bCs/>
        </w:rPr>
        <w:t>Aim</w:t>
      </w:r>
    </w:p>
    <w:p w14:paraId="7B1DA85B" w14:textId="77777777" w:rsidR="00127D60" w:rsidRDefault="00000000">
      <w:pPr>
        <w:pStyle w:val="BodyText"/>
      </w:pPr>
      <w:r>
        <w:t>The primary aim of this research is to investigate the effectiveness of causal AI techniques in improving fairness and transparency in credit risk prediction.</w:t>
      </w:r>
    </w:p>
    <w:p w14:paraId="3BD0B18E" w14:textId="77777777" w:rsidR="00127D60" w:rsidRDefault="00000000">
      <w:pPr>
        <w:pStyle w:val="BodyText"/>
      </w:pPr>
      <w:r>
        <w:rPr>
          <w:b/>
          <w:bCs/>
        </w:rPr>
        <w:t>Objectives</w:t>
      </w:r>
    </w:p>
    <w:p w14:paraId="50387039" w14:textId="77777777" w:rsidR="00127D60" w:rsidRDefault="00000000">
      <w:pPr>
        <w:pStyle w:val="Compact"/>
        <w:numPr>
          <w:ilvl w:val="0"/>
          <w:numId w:val="2"/>
        </w:numPr>
      </w:pPr>
      <w:r>
        <w:t>To review existing literature on credit risk modeling, fairness, and causal AI.</w:t>
      </w:r>
    </w:p>
    <w:p w14:paraId="20361A2B" w14:textId="77777777" w:rsidR="00127D60" w:rsidRDefault="00000000">
      <w:pPr>
        <w:pStyle w:val="Compact"/>
        <w:numPr>
          <w:ilvl w:val="0"/>
          <w:numId w:val="2"/>
        </w:numPr>
      </w:pPr>
      <w:r>
        <w:t>To develop baseline machine learning models for credit risk prediction.</w:t>
      </w:r>
    </w:p>
    <w:p w14:paraId="5696A6D5" w14:textId="77777777" w:rsidR="00127D60" w:rsidRDefault="00000000">
      <w:pPr>
        <w:pStyle w:val="Compact"/>
        <w:numPr>
          <w:ilvl w:val="0"/>
          <w:numId w:val="2"/>
        </w:numPr>
      </w:pPr>
      <w:r>
        <w:t>To construct a causal framework representing relationships between credit-related variables.</w:t>
      </w:r>
    </w:p>
    <w:p w14:paraId="6C8B1098" w14:textId="77777777" w:rsidR="00127D60" w:rsidRDefault="00000000">
      <w:pPr>
        <w:pStyle w:val="Compact"/>
        <w:numPr>
          <w:ilvl w:val="0"/>
          <w:numId w:val="2"/>
        </w:numPr>
      </w:pPr>
      <w:r>
        <w:t>To evaluate models using predictive, fairness, and interpretability metrics.</w:t>
      </w:r>
    </w:p>
    <w:p w14:paraId="2E08818B" w14:textId="77777777" w:rsidR="00127D60" w:rsidRDefault="00000000">
      <w:pPr>
        <w:pStyle w:val="Compact"/>
        <w:numPr>
          <w:ilvl w:val="0"/>
          <w:numId w:val="2"/>
        </w:numPr>
      </w:pPr>
      <w:r>
        <w:t>To compare causal AI models with traditional approaches.</w:t>
      </w:r>
    </w:p>
    <w:p w14:paraId="175E81BF" w14:textId="35362A0D" w:rsidR="00127D60" w:rsidRDefault="00127D60"/>
    <w:p w14:paraId="1FA44478" w14:textId="77777777" w:rsidR="00127D60" w:rsidRDefault="00000000">
      <w:pPr>
        <w:pStyle w:val="Heading3"/>
      </w:pPr>
      <w:bookmarkStart w:id="3" w:name="research-questions"/>
      <w:bookmarkEnd w:id="2"/>
      <w:r>
        <w:t>4. Research Questions</w:t>
      </w:r>
    </w:p>
    <w:p w14:paraId="7BE37F64" w14:textId="77777777" w:rsidR="00127D60" w:rsidRDefault="00000000" w:rsidP="00675BB1">
      <w:pPr>
        <w:pStyle w:val="Compact"/>
        <w:numPr>
          <w:ilvl w:val="0"/>
          <w:numId w:val="4"/>
        </w:numPr>
      </w:pPr>
      <w:r>
        <w:t>How do traditional machine learning models introduce bias in credit risk prediction?</w:t>
      </w:r>
    </w:p>
    <w:p w14:paraId="619B0A53" w14:textId="4C3B4A50" w:rsidR="00127D60" w:rsidRDefault="00000000" w:rsidP="00675BB1">
      <w:pPr>
        <w:pStyle w:val="Compact"/>
        <w:numPr>
          <w:ilvl w:val="0"/>
          <w:numId w:val="4"/>
        </w:numPr>
      </w:pPr>
      <w:r>
        <w:t xml:space="preserve">Can causal AI improve </w:t>
      </w:r>
      <w:r w:rsidR="00675BB1">
        <w:t xml:space="preserve">the </w:t>
      </w:r>
      <w:r>
        <w:t>transparency and explainability of credit decisions?</w:t>
      </w:r>
    </w:p>
    <w:p w14:paraId="13E7FAAE" w14:textId="77777777" w:rsidR="00127D60" w:rsidRDefault="00000000" w:rsidP="00675BB1">
      <w:pPr>
        <w:pStyle w:val="Compact"/>
        <w:numPr>
          <w:ilvl w:val="0"/>
          <w:numId w:val="4"/>
        </w:numPr>
      </w:pPr>
      <w:r>
        <w:t>How does the fairness performance of causal AI compare to correlation-based models?</w:t>
      </w:r>
    </w:p>
    <w:p w14:paraId="4588A799" w14:textId="77777777" w:rsidR="00127D60" w:rsidRDefault="00000000" w:rsidP="00675BB1">
      <w:pPr>
        <w:pStyle w:val="Compact"/>
        <w:numPr>
          <w:ilvl w:val="0"/>
          <w:numId w:val="4"/>
        </w:numPr>
      </w:pPr>
      <w:r>
        <w:t>What trade-offs exist between accuracy and fairness in causal credit models?</w:t>
      </w:r>
    </w:p>
    <w:p w14:paraId="26926FE0" w14:textId="7B86FD0F" w:rsidR="00127D60" w:rsidRDefault="00127D60"/>
    <w:p w14:paraId="5ADAAF4D" w14:textId="77777777" w:rsidR="00127D60" w:rsidRDefault="00000000">
      <w:pPr>
        <w:pStyle w:val="Heading3"/>
      </w:pPr>
      <w:bookmarkStart w:id="4" w:name="literature-review"/>
      <w:bookmarkEnd w:id="3"/>
      <w:r>
        <w:t>5. Literature Review</w:t>
      </w:r>
    </w:p>
    <w:p w14:paraId="31304A0A" w14:textId="77777777" w:rsidR="0099765E" w:rsidRPr="0099765E" w:rsidRDefault="0099765E" w:rsidP="0099765E">
      <w:pPr>
        <w:pStyle w:val="FirstParagraph"/>
        <w:rPr>
          <w:lang w:val="en-IN"/>
        </w:rPr>
      </w:pPr>
      <w:r>
        <w:t>Credit risk prediction has evolved from traditional statistical models to advanced machine learning approaches. Logistic regression has long been used due to its simplicity and interpretability; however, it struggles to capture nonlinear relationships present in real-world financial data. Recent studies increasingly adopt machine learning models such as random forests, gradient boosting, and ensemble techniques to improve predictive accuracy and robustness in credit scoring systems. [10], [16]</w:t>
      </w:r>
    </w:p>
    <w:p w14:paraId="24952465" w14:textId="77777777" w:rsidR="0099765E" w:rsidRPr="0099765E" w:rsidRDefault="0099765E" w:rsidP="0099765E">
      <w:pPr>
        <w:pStyle w:val="FirstParagraph"/>
        <w:rPr>
          <w:lang w:val="en-IN"/>
        </w:rPr>
      </w:pPr>
      <w:r>
        <w:t xml:space="preserve">In the last five years, growing attention has been paid to fairness and bias in credit risk prediction. Empirical studies demonstrate that machine learning models trained on historical financial data may disadvantage protected groups when sensitive attributes or their proxies are present. To </w:t>
      </w:r>
      <w:r>
        <w:lastRenderedPageBreak/>
        <w:t>mitigate such issues, fairness-aware machine learning techniques have been proposed, including data preprocessing, algorithmic constraints, and post-processing adjustments. While these methods improve fairness metrics, they remain fundamentally correlation-based and lack causal justification. [1], [5], [14]</w:t>
      </w:r>
    </w:p>
    <w:p w14:paraId="08A20A77" w14:textId="77777777" w:rsidR="0099765E" w:rsidRPr="0099765E" w:rsidRDefault="0099765E" w:rsidP="0099765E">
      <w:pPr>
        <w:pStyle w:val="FirstParagraph"/>
        <w:rPr>
          <w:lang w:val="en-IN"/>
        </w:rPr>
      </w:pPr>
      <w:r>
        <w:t>Explainable AI techniques have also gained prominence in recent credit risk research. Methods such as feature importance analysis and local explanation models enhance transparency and regulatory compliance. However, these techniques explain model behaviour after decisions are made and do not prevent biased learning during training. Consequently, explainability alone is insufficient to ensure fair credit decision-making. [4], [8], [18]</w:t>
      </w:r>
    </w:p>
    <w:p w14:paraId="4B782D8E" w14:textId="003DEA0B" w:rsidR="0099765E" w:rsidRPr="0099765E" w:rsidRDefault="0099765E" w:rsidP="0099765E">
      <w:pPr>
        <w:pStyle w:val="FirstParagraph"/>
        <w:rPr>
          <w:lang w:val="en-IN"/>
        </w:rPr>
      </w:pPr>
      <w:r>
        <w:t>More recent research introduces causal AI as a promising paradigm for fair and transparent decision systems. Causal approaches model explicit cause–and–effect relationships and enable counterfactual reasoning, allowing practitioners to assess whether a credit decision would change under hypothetical interventions. Despite increasing theoretical interest, empirical applications of causal AI to credit risk prediction remain limited, particularly comparative studies that evaluate causal and correlation-based models using recent datasets. This research addresses this gap by providing an up-to-date, systematic evaluation of causal AI techniques for credit risk prediction. [6], [11], [12]</w:t>
      </w:r>
    </w:p>
    <w:p w14:paraId="12840F64" w14:textId="17FF1E0B" w:rsidR="00127D60" w:rsidRDefault="00127D60">
      <w:pPr>
        <w:pStyle w:val="FirstParagraph"/>
      </w:pPr>
    </w:p>
    <w:p w14:paraId="6F4F30D0" w14:textId="52886D95" w:rsidR="00127D60" w:rsidRDefault="00127D60"/>
    <w:p w14:paraId="3437913A" w14:textId="2EB64750" w:rsidR="006C1B6F" w:rsidRDefault="006C1B6F">
      <w:pPr>
        <w:pStyle w:val="Heading3"/>
      </w:pPr>
      <w:bookmarkStart w:id="5" w:name="methodology"/>
      <w:bookmarkEnd w:id="4"/>
      <w:r w:rsidRPr="006C1B6F">
        <w:t>6. Research Gap</w:t>
      </w:r>
    </w:p>
    <w:p w14:paraId="4B2CC2A2" w14:textId="77777777" w:rsidR="006C1B6F" w:rsidRPr="006C1B6F" w:rsidRDefault="006C1B6F" w:rsidP="006C1B6F">
      <w:pPr>
        <w:rPr>
          <w:lang w:val="en-IN"/>
        </w:rPr>
      </w:pPr>
      <w:r w:rsidRPr="006C1B6F">
        <w:rPr>
          <w:lang w:val="en-IN"/>
        </w:rPr>
        <w:t>Despite extensive research on machine learning-based credit risk prediction, several critical gaps remain. First, most existing models focus primarily on predictive accuracy and rely on correlation-based learning, which limits their ability to distinguish between legitimate risk factors and spurious associations. As a result, sensitive attributes may indirectly influence credit decisions, leading to unfair outcomes.</w:t>
      </w:r>
    </w:p>
    <w:p w14:paraId="0F339766" w14:textId="77777777" w:rsidR="006C1B6F" w:rsidRPr="006C1B6F" w:rsidRDefault="006C1B6F" w:rsidP="006C1B6F">
      <w:pPr>
        <w:rPr>
          <w:lang w:val="en-IN"/>
        </w:rPr>
      </w:pPr>
      <w:r w:rsidRPr="006C1B6F">
        <w:rPr>
          <w:lang w:val="en-IN"/>
        </w:rPr>
        <w:t>Second, current fairness-aware and explainable AI approaches are largely post-hoc in nature. While they provide explanations after a decision has been made, they do not prevent biased decision-making during model training and do not offer causal guarantees of fairness.</w:t>
      </w:r>
    </w:p>
    <w:p w14:paraId="4943CFAA" w14:textId="77777777" w:rsidR="006C1B6F" w:rsidRPr="006C1B6F" w:rsidRDefault="006C1B6F" w:rsidP="006C1B6F">
      <w:pPr>
        <w:rPr>
          <w:lang w:val="en-IN"/>
        </w:rPr>
      </w:pPr>
      <w:r w:rsidRPr="006C1B6F">
        <w:rPr>
          <w:lang w:val="en-IN"/>
        </w:rPr>
        <w:t>Third, there is a lack of empirical studies that systematically compare causal AI models with traditional machine learning models in real-world credit risk settings, particularly with respect to the joint trade-off between accuracy, fairness, and transparency.</w:t>
      </w:r>
    </w:p>
    <w:p w14:paraId="49827BA8" w14:textId="77777777" w:rsidR="006C1B6F" w:rsidRPr="006C1B6F" w:rsidRDefault="006C1B6F" w:rsidP="006C1B6F">
      <w:pPr>
        <w:rPr>
          <w:lang w:val="en-IN"/>
        </w:rPr>
      </w:pPr>
      <w:r w:rsidRPr="006C1B6F">
        <w:rPr>
          <w:lang w:val="en-IN"/>
        </w:rPr>
        <w:t>This research will specifically address these gaps by developing and evaluating a causal AI-based credit risk prediction framework that explicitly models causal relationships between applicant attributes and credit outcomes. The study will focus on identifying and removing unfair causal pathways, generating counterfactual explanations for credit decisions, and empirically comparing causal models with conventional machine learning approaches to determine their effectiveness in producing fair, transparent, and reliable credit risk predictions.</w:t>
      </w:r>
    </w:p>
    <w:p w14:paraId="2C2ED1CD" w14:textId="77777777" w:rsidR="006C1B6F" w:rsidRPr="006C1B6F" w:rsidRDefault="006C1B6F" w:rsidP="006C1B6F"/>
    <w:p w14:paraId="4C109253" w14:textId="6A4FE052" w:rsidR="00127D60" w:rsidRDefault="006C1B6F">
      <w:pPr>
        <w:pStyle w:val="Heading3"/>
      </w:pPr>
      <w:r>
        <w:t>7. Methodology</w:t>
      </w:r>
    </w:p>
    <w:p w14:paraId="32CA503F" w14:textId="7D335460" w:rsidR="00127D60" w:rsidRDefault="0099765E">
      <w:pPr>
        <w:pStyle w:val="FirstParagraph"/>
      </w:pPr>
      <w:r>
        <w:t>This research adopts a quantitative, experimental research design to systematically compare correlation-based machine learning models with causal AI approaches for credit risk prediction. The methodology is designed to demonstrate technical competence, analytical reasoning, and professional research practice. [2], [10]</w:t>
      </w:r>
    </w:p>
    <w:p w14:paraId="16754F6A" w14:textId="4532883D" w:rsidR="00127D60" w:rsidRPr="006C1B6F" w:rsidRDefault="006C1B6F">
      <w:pPr>
        <w:pStyle w:val="Heading4"/>
        <w:rPr>
          <w:i w:val="0"/>
          <w:iCs w:val="0"/>
        </w:rPr>
      </w:pPr>
      <w:bookmarkStart w:id="6" w:name="dataset"/>
      <w:r w:rsidRPr="006C1B6F">
        <w:rPr>
          <w:i w:val="0"/>
          <w:iCs w:val="0"/>
        </w:rPr>
        <w:t>7.1 Dataset</w:t>
      </w:r>
    </w:p>
    <w:p w14:paraId="2D7456C6" w14:textId="4DA29031" w:rsidR="00127D60" w:rsidRDefault="0099765E">
      <w:pPr>
        <w:pStyle w:val="FirstParagraph"/>
      </w:pPr>
      <w:r>
        <w:t>Publicly available and widely used credit risk datasets, including recent benchmark datasets, will be employed. These datasets contain applicant financial information, credit history, and selected demographic attributes. Data preprocessing will include handling missing values, encoding categorical variables, normalization, and identification of sensitive attributes relevant to fairness analysis. [7], [14]</w:t>
      </w:r>
    </w:p>
    <w:p w14:paraId="6331A56C" w14:textId="42BF114B" w:rsidR="00127D60" w:rsidRPr="006C1B6F" w:rsidRDefault="006C1B6F">
      <w:pPr>
        <w:pStyle w:val="Heading4"/>
        <w:rPr>
          <w:i w:val="0"/>
          <w:iCs w:val="0"/>
        </w:rPr>
      </w:pPr>
      <w:bookmarkStart w:id="7" w:name="models"/>
      <w:bookmarkEnd w:id="6"/>
      <w:r w:rsidRPr="006C1B6F">
        <w:rPr>
          <w:i w:val="0"/>
          <w:iCs w:val="0"/>
        </w:rPr>
        <w:t xml:space="preserve">7.2 </w:t>
      </w:r>
      <w:r w:rsidR="0099765E" w:rsidRPr="0099765E">
        <w:rPr>
          <w:i w:val="0"/>
          <w:iCs w:val="0"/>
        </w:rPr>
        <w:t>Proposed Research Design and Approach</w:t>
      </w:r>
    </w:p>
    <w:p w14:paraId="02A4029F" w14:textId="243114FB" w:rsidR="00127D60" w:rsidRDefault="0099765E">
      <w:pPr>
        <w:pStyle w:val="FirstParagraph"/>
      </w:pPr>
      <w:r w:rsidRPr="0099765E">
        <w:t>The research follows a comparative experimental framework. First, correlation-based machine learning models will be developed as baseline predictors. Second, a causal framework will be designed by constructing a directed acyclic graph representing assumed causal relationships between applicant attributes and credit outcomes. Third, causal AI models will be implemented using this structure to generate predictions and counterfactual explanations. Finally, both approaches will be evaluated and compared using accuracy, fairness, and transparency metrics.</w:t>
      </w:r>
    </w:p>
    <w:p w14:paraId="69052DD4" w14:textId="193EC734" w:rsidR="00127D60" w:rsidRPr="006C1B6F" w:rsidRDefault="006C1B6F">
      <w:pPr>
        <w:pStyle w:val="Heading4"/>
        <w:rPr>
          <w:i w:val="0"/>
          <w:iCs w:val="0"/>
        </w:rPr>
      </w:pPr>
      <w:bookmarkStart w:id="8" w:name="fairness-metrics"/>
      <w:bookmarkEnd w:id="7"/>
      <w:r w:rsidRPr="006C1B6F">
        <w:rPr>
          <w:i w:val="0"/>
          <w:iCs w:val="0"/>
        </w:rPr>
        <w:t xml:space="preserve">7.3 </w:t>
      </w:r>
      <w:r w:rsidR="0099765E" w:rsidRPr="0099765E">
        <w:rPr>
          <w:i w:val="0"/>
          <w:iCs w:val="0"/>
        </w:rPr>
        <w:t>Models and Algorithms</w:t>
      </w:r>
    </w:p>
    <w:p w14:paraId="06BC1455" w14:textId="1CB215D8" w:rsidR="00127D60" w:rsidRDefault="0099765E">
      <w:pPr>
        <w:pStyle w:val="FirstParagraph"/>
      </w:pPr>
      <w:r>
        <w:t>Baseline models include Logistic Regression and ensemble-based algorithms such as Random Forests and Gradient Boosting, which are commonly used in credit scoring due to strong predictive performance. These correlation-based models serve as benchmarks. The proposed causal AI approach employs structural causal models and counterfactual reasoning to identify unfair causal pathways and assess decision robustness under hypothetical interventions. [10], [16]</w:t>
      </w:r>
    </w:p>
    <w:bookmarkEnd w:id="8"/>
    <w:p w14:paraId="7864C416" w14:textId="3D8F74C3" w:rsidR="00127D60" w:rsidRPr="006C1B6F" w:rsidRDefault="006C1B6F">
      <w:pPr>
        <w:pStyle w:val="Heading4"/>
        <w:rPr>
          <w:i w:val="0"/>
          <w:iCs w:val="0"/>
        </w:rPr>
      </w:pPr>
      <w:r w:rsidRPr="006C1B6F">
        <w:rPr>
          <w:i w:val="0"/>
          <w:iCs w:val="0"/>
        </w:rPr>
        <w:t xml:space="preserve">7.4 </w:t>
      </w:r>
      <w:r w:rsidR="004D4F62" w:rsidRPr="004D4F62">
        <w:rPr>
          <w:i w:val="0"/>
          <w:iCs w:val="0"/>
        </w:rPr>
        <w:t>Evaluation Metrics</w:t>
      </w:r>
    </w:p>
    <w:p w14:paraId="1FECD57C" w14:textId="4480B2E9" w:rsidR="00127D60" w:rsidRDefault="004D4F62" w:rsidP="004D4F62">
      <w:pPr>
        <w:pStyle w:val="FirstParagraph"/>
      </w:pPr>
      <w:r>
        <w:t>Predictive performance will be evaluated using accuracy and AUC. Fairness will be assessed using demographic parity and equal opportunity metrics. Transparency will be evaluated through counterfactual explanations demonstrating how minimal changes in applicant attributes influence credit decisions. [3], [5]</w:t>
      </w:r>
    </w:p>
    <w:p w14:paraId="5BC6BA9B" w14:textId="74F6B1E3" w:rsidR="00127D60" w:rsidRDefault="006C1B6F">
      <w:pPr>
        <w:pStyle w:val="Heading3"/>
      </w:pPr>
      <w:bookmarkStart w:id="9" w:name="expected-outcomes"/>
      <w:bookmarkEnd w:id="5"/>
      <w:r>
        <w:t>8. Expected Outcomes</w:t>
      </w:r>
    </w:p>
    <w:p w14:paraId="71F1ADDD" w14:textId="77777777" w:rsidR="00127D60" w:rsidRDefault="00000000">
      <w:pPr>
        <w:pStyle w:val="FirstParagraph"/>
      </w:pPr>
      <w:r>
        <w:t>The study is expected to demonstrate that causal AI models provide more transparent and fair credit risk predictions, with comparable predictive performance to traditional machine learning models [10], [17]. [6], [10], [18]</w:t>
      </w:r>
    </w:p>
    <w:p w14:paraId="5FA7E428" w14:textId="09532EDC" w:rsidR="00127D60" w:rsidRDefault="00127D60"/>
    <w:p w14:paraId="46E8A986" w14:textId="78B2C71D" w:rsidR="00127D60" w:rsidRDefault="006C1B6F">
      <w:pPr>
        <w:pStyle w:val="Heading3"/>
      </w:pPr>
      <w:bookmarkStart w:id="10" w:name="limitations"/>
      <w:bookmarkEnd w:id="9"/>
      <w:r>
        <w:t>9. Limitations</w:t>
      </w:r>
    </w:p>
    <w:p w14:paraId="66BC4F19" w14:textId="77777777" w:rsidR="00127D60" w:rsidRDefault="00000000">
      <w:pPr>
        <w:pStyle w:val="FirstParagraph"/>
      </w:pPr>
      <w:r>
        <w:t>The study relies on publicly available datasets, which may limit generalizability. Causal assumptions may not fully capture real-world credit decision processes.</w:t>
      </w:r>
    </w:p>
    <w:p w14:paraId="61334E9E" w14:textId="486BF44B" w:rsidR="00127D60" w:rsidRDefault="00127D60"/>
    <w:p w14:paraId="085BE9C1" w14:textId="2F9553A2" w:rsidR="00127D60" w:rsidRDefault="006C1B6F">
      <w:pPr>
        <w:pStyle w:val="Heading3"/>
      </w:pPr>
      <w:bookmarkStart w:id="11" w:name="ethical-considerations"/>
      <w:bookmarkEnd w:id="10"/>
      <w:r>
        <w:t>10. Ethical Considerations</w:t>
      </w:r>
    </w:p>
    <w:p w14:paraId="4923493C" w14:textId="77777777" w:rsidR="00127D60" w:rsidRDefault="00000000">
      <w:pPr>
        <w:pStyle w:val="FirstParagraph"/>
      </w:pPr>
      <w:r>
        <w:t>The research uses anonymized, publicly available data. No personal identification is involved, and ethical risks are minimal.</w:t>
      </w:r>
    </w:p>
    <w:p w14:paraId="69BD5E82" w14:textId="5FC7B9C9" w:rsidR="00127D60" w:rsidRDefault="00127D60"/>
    <w:p w14:paraId="20DF87A8" w14:textId="7FB2DC72" w:rsidR="00127D60" w:rsidRDefault="00000000">
      <w:pPr>
        <w:pStyle w:val="Heading3"/>
      </w:pPr>
      <w:bookmarkStart w:id="12" w:name="timeline"/>
      <w:bookmarkEnd w:id="11"/>
      <w:r>
        <w:t>1</w:t>
      </w:r>
      <w:r w:rsidR="006C1B6F">
        <w:t>1</w:t>
      </w:r>
      <w:r>
        <w:t>. Timeline</w:t>
      </w:r>
    </w:p>
    <w:p w14:paraId="3A63F71F" w14:textId="77777777" w:rsidR="00127D60" w:rsidRDefault="00000000">
      <w:pPr>
        <w:pStyle w:val="FirstParagraph"/>
      </w:pPr>
      <w:r>
        <w:t>The proposed research will be carried out over an estimated period of sixteen weeks. The timeline is structured to ensure systematic progress from project planning to final submission, with adequate time allocated for analysis and evaluation. The planned activities are outlined below:</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837"/>
        <w:gridCol w:w="6739"/>
      </w:tblGrid>
      <w:tr w:rsidR="00127D60" w14:paraId="3D78F492" w14:textId="77777777" w:rsidTr="00675BB1">
        <w:trPr>
          <w:cnfStyle w:val="100000000000" w:firstRow="1" w:lastRow="0" w:firstColumn="0" w:lastColumn="0" w:oddVBand="0" w:evenVBand="0" w:oddHBand="0" w:evenHBand="0" w:firstRowFirstColumn="0" w:firstRowLastColumn="0" w:lastRowFirstColumn="0" w:lastRowLastColumn="0"/>
          <w:tblHeader/>
        </w:trPr>
        <w:tc>
          <w:tcPr>
            <w:tcW w:w="2346" w:type="dxa"/>
            <w:tcBorders>
              <w:bottom w:val="none" w:sz="0" w:space="0" w:color="auto"/>
            </w:tcBorders>
          </w:tcPr>
          <w:p w14:paraId="280C37DB" w14:textId="77777777" w:rsidR="00127D60" w:rsidRDefault="00000000">
            <w:pPr>
              <w:pStyle w:val="Compact"/>
            </w:pPr>
            <w:r>
              <w:t>Week(s)</w:t>
            </w:r>
          </w:p>
        </w:tc>
        <w:tc>
          <w:tcPr>
            <w:tcW w:w="5573" w:type="dxa"/>
            <w:tcBorders>
              <w:bottom w:val="none" w:sz="0" w:space="0" w:color="auto"/>
            </w:tcBorders>
          </w:tcPr>
          <w:p w14:paraId="77C78CFE" w14:textId="77777777" w:rsidR="00127D60" w:rsidRDefault="00000000">
            <w:pPr>
              <w:pStyle w:val="Compact"/>
            </w:pPr>
            <w:r>
              <w:t>Planned Activities</w:t>
            </w:r>
          </w:p>
        </w:tc>
      </w:tr>
      <w:tr w:rsidR="00127D60" w14:paraId="754F69C5" w14:textId="77777777" w:rsidTr="00675BB1">
        <w:tc>
          <w:tcPr>
            <w:tcW w:w="2346" w:type="dxa"/>
          </w:tcPr>
          <w:p w14:paraId="644B4819" w14:textId="77777777" w:rsidR="00127D60" w:rsidRDefault="00000000">
            <w:pPr>
              <w:pStyle w:val="Compact"/>
            </w:pPr>
            <w:r>
              <w:t>1–2</w:t>
            </w:r>
          </w:p>
        </w:tc>
        <w:tc>
          <w:tcPr>
            <w:tcW w:w="5573" w:type="dxa"/>
          </w:tcPr>
          <w:p w14:paraId="3719D6BA" w14:textId="77777777" w:rsidR="00127D60" w:rsidRDefault="00000000">
            <w:pPr>
              <w:pStyle w:val="Compact"/>
            </w:pPr>
            <w:r>
              <w:t>Definition of project scope, completion of ethical approval requirements, and preparation of a detailed research plan</w:t>
            </w:r>
          </w:p>
        </w:tc>
      </w:tr>
      <w:tr w:rsidR="00127D60" w14:paraId="354E93C0" w14:textId="77777777" w:rsidTr="00675BB1">
        <w:tc>
          <w:tcPr>
            <w:tcW w:w="2346" w:type="dxa"/>
          </w:tcPr>
          <w:p w14:paraId="0299A05C" w14:textId="77777777" w:rsidR="00127D60" w:rsidRDefault="00000000">
            <w:pPr>
              <w:pStyle w:val="Compact"/>
            </w:pPr>
            <w:r>
              <w:t>3–5</w:t>
            </w:r>
          </w:p>
        </w:tc>
        <w:tc>
          <w:tcPr>
            <w:tcW w:w="5573" w:type="dxa"/>
          </w:tcPr>
          <w:p w14:paraId="5AA98B37" w14:textId="77777777" w:rsidR="00127D60" w:rsidRDefault="00000000">
            <w:pPr>
              <w:pStyle w:val="Compact"/>
            </w:pPr>
            <w:r>
              <w:t>In-depth literature review and refinement of research objectives and methodology</w:t>
            </w:r>
          </w:p>
        </w:tc>
      </w:tr>
      <w:tr w:rsidR="00127D60" w14:paraId="24D861D3" w14:textId="77777777" w:rsidTr="00675BB1">
        <w:tc>
          <w:tcPr>
            <w:tcW w:w="2346" w:type="dxa"/>
          </w:tcPr>
          <w:p w14:paraId="22870445" w14:textId="77777777" w:rsidR="00127D60" w:rsidRDefault="00000000">
            <w:pPr>
              <w:pStyle w:val="Compact"/>
            </w:pPr>
            <w:r>
              <w:t>6</w:t>
            </w:r>
          </w:p>
        </w:tc>
        <w:tc>
          <w:tcPr>
            <w:tcW w:w="5573" w:type="dxa"/>
          </w:tcPr>
          <w:p w14:paraId="30BB848A" w14:textId="77777777" w:rsidR="00127D60" w:rsidRDefault="00000000">
            <w:pPr>
              <w:pStyle w:val="Compact"/>
            </w:pPr>
            <w:r>
              <w:t>Collection of credit risk datasets and preliminary exploratory data analysis</w:t>
            </w:r>
          </w:p>
        </w:tc>
      </w:tr>
      <w:tr w:rsidR="00127D60" w14:paraId="0A73D8B4" w14:textId="77777777" w:rsidTr="00675BB1">
        <w:tc>
          <w:tcPr>
            <w:tcW w:w="2346" w:type="dxa"/>
          </w:tcPr>
          <w:p w14:paraId="1C2D9E44" w14:textId="77777777" w:rsidR="00127D60" w:rsidRDefault="00000000">
            <w:pPr>
              <w:pStyle w:val="Compact"/>
            </w:pPr>
            <w:r>
              <w:t>7</w:t>
            </w:r>
          </w:p>
        </w:tc>
        <w:tc>
          <w:tcPr>
            <w:tcW w:w="5573" w:type="dxa"/>
          </w:tcPr>
          <w:p w14:paraId="1D1D5C8A" w14:textId="77777777" w:rsidR="00127D60" w:rsidRDefault="00000000">
            <w:pPr>
              <w:pStyle w:val="Compact"/>
            </w:pPr>
            <w:r>
              <w:t>Data cleaning, preprocessing, and feature selection</w:t>
            </w:r>
          </w:p>
        </w:tc>
      </w:tr>
      <w:tr w:rsidR="00127D60" w14:paraId="32C47DA8" w14:textId="77777777" w:rsidTr="00675BB1">
        <w:tc>
          <w:tcPr>
            <w:tcW w:w="2346" w:type="dxa"/>
          </w:tcPr>
          <w:p w14:paraId="194D1835" w14:textId="77777777" w:rsidR="00127D60" w:rsidRDefault="00000000">
            <w:pPr>
              <w:pStyle w:val="Compact"/>
            </w:pPr>
            <w:r>
              <w:t>8</w:t>
            </w:r>
          </w:p>
        </w:tc>
        <w:tc>
          <w:tcPr>
            <w:tcW w:w="5573" w:type="dxa"/>
          </w:tcPr>
          <w:p w14:paraId="3DA6602D" w14:textId="77777777" w:rsidR="00127D60" w:rsidRDefault="00000000">
            <w:pPr>
              <w:pStyle w:val="Compact"/>
            </w:pPr>
            <w:r>
              <w:t>Development and evaluation of baseline predictive models</w:t>
            </w:r>
          </w:p>
        </w:tc>
      </w:tr>
      <w:tr w:rsidR="00127D60" w14:paraId="123BF358" w14:textId="77777777" w:rsidTr="00675BB1">
        <w:tc>
          <w:tcPr>
            <w:tcW w:w="2346" w:type="dxa"/>
          </w:tcPr>
          <w:p w14:paraId="371571AB" w14:textId="77777777" w:rsidR="00127D60" w:rsidRDefault="00000000">
            <w:pPr>
              <w:pStyle w:val="Compact"/>
            </w:pPr>
            <w:r>
              <w:t>9</w:t>
            </w:r>
          </w:p>
        </w:tc>
        <w:tc>
          <w:tcPr>
            <w:tcW w:w="5573" w:type="dxa"/>
          </w:tcPr>
          <w:p w14:paraId="4CB68C94" w14:textId="77777777" w:rsidR="00127D60" w:rsidRDefault="00000000">
            <w:pPr>
              <w:pStyle w:val="Compact"/>
            </w:pPr>
            <w:r>
              <w:t>Implementation of advanced machine learning models</w:t>
            </w:r>
          </w:p>
        </w:tc>
      </w:tr>
      <w:tr w:rsidR="00127D60" w14:paraId="0C849036" w14:textId="77777777" w:rsidTr="00675BB1">
        <w:tc>
          <w:tcPr>
            <w:tcW w:w="2346" w:type="dxa"/>
          </w:tcPr>
          <w:p w14:paraId="20F327D3" w14:textId="77777777" w:rsidR="00127D60" w:rsidRDefault="00000000">
            <w:pPr>
              <w:pStyle w:val="Compact"/>
            </w:pPr>
            <w:r>
              <w:t>10</w:t>
            </w:r>
          </w:p>
        </w:tc>
        <w:tc>
          <w:tcPr>
            <w:tcW w:w="5573" w:type="dxa"/>
          </w:tcPr>
          <w:p w14:paraId="2B4B8D9D" w14:textId="77777777" w:rsidR="00127D60" w:rsidRDefault="00000000">
            <w:pPr>
              <w:pStyle w:val="Compact"/>
            </w:pPr>
            <w:r>
              <w:t>Fairness evaluation using statistical metrics and bias assessment</w:t>
            </w:r>
          </w:p>
        </w:tc>
      </w:tr>
      <w:tr w:rsidR="00127D60" w14:paraId="5726D2D1" w14:textId="77777777" w:rsidTr="00675BB1">
        <w:tc>
          <w:tcPr>
            <w:tcW w:w="2346" w:type="dxa"/>
          </w:tcPr>
          <w:p w14:paraId="549D28BB" w14:textId="77777777" w:rsidR="00127D60" w:rsidRDefault="00000000">
            <w:pPr>
              <w:pStyle w:val="Compact"/>
            </w:pPr>
            <w:r>
              <w:t>11</w:t>
            </w:r>
          </w:p>
        </w:tc>
        <w:tc>
          <w:tcPr>
            <w:tcW w:w="5573" w:type="dxa"/>
          </w:tcPr>
          <w:p w14:paraId="2C3061DB" w14:textId="77777777" w:rsidR="00127D60" w:rsidRDefault="00000000">
            <w:pPr>
              <w:pStyle w:val="Compact"/>
            </w:pPr>
            <w:r>
              <w:t>Development of causal models and counterfactual reasoning experiments</w:t>
            </w:r>
          </w:p>
        </w:tc>
      </w:tr>
      <w:tr w:rsidR="00127D60" w14:paraId="0DB73B33" w14:textId="77777777" w:rsidTr="00675BB1">
        <w:tc>
          <w:tcPr>
            <w:tcW w:w="2346" w:type="dxa"/>
          </w:tcPr>
          <w:p w14:paraId="077287FA" w14:textId="77777777" w:rsidR="00127D60" w:rsidRDefault="00000000">
            <w:pPr>
              <w:pStyle w:val="Compact"/>
            </w:pPr>
            <w:r>
              <w:t>12</w:t>
            </w:r>
          </w:p>
        </w:tc>
        <w:tc>
          <w:tcPr>
            <w:tcW w:w="5573" w:type="dxa"/>
          </w:tcPr>
          <w:p w14:paraId="4FD73273" w14:textId="77777777" w:rsidR="00127D60" w:rsidRDefault="00000000">
            <w:pPr>
              <w:pStyle w:val="Compact"/>
            </w:pPr>
            <w:r>
              <w:t>Robustness testing and ablation experiments</w:t>
            </w:r>
          </w:p>
        </w:tc>
      </w:tr>
      <w:tr w:rsidR="00127D60" w14:paraId="59186DB9" w14:textId="77777777" w:rsidTr="00675BB1">
        <w:tc>
          <w:tcPr>
            <w:tcW w:w="2346" w:type="dxa"/>
          </w:tcPr>
          <w:p w14:paraId="4966C9B3" w14:textId="77777777" w:rsidR="00127D60" w:rsidRDefault="00000000">
            <w:pPr>
              <w:pStyle w:val="Compact"/>
            </w:pPr>
            <w:r>
              <w:t>13–14</w:t>
            </w:r>
          </w:p>
        </w:tc>
        <w:tc>
          <w:tcPr>
            <w:tcW w:w="5573" w:type="dxa"/>
          </w:tcPr>
          <w:p w14:paraId="0754BE62" w14:textId="77777777" w:rsidR="00127D60" w:rsidRDefault="00000000">
            <w:pPr>
              <w:pStyle w:val="Compact"/>
            </w:pPr>
            <w:r>
              <w:t>Analysis of experimental results and drafting of the dissertation</w:t>
            </w:r>
          </w:p>
        </w:tc>
      </w:tr>
      <w:tr w:rsidR="00127D60" w14:paraId="7DB6558F" w14:textId="77777777" w:rsidTr="00675BB1">
        <w:tc>
          <w:tcPr>
            <w:tcW w:w="2346" w:type="dxa"/>
          </w:tcPr>
          <w:p w14:paraId="19362DEC" w14:textId="77777777" w:rsidR="00127D60" w:rsidRDefault="00000000">
            <w:pPr>
              <w:pStyle w:val="Compact"/>
            </w:pPr>
            <w:r>
              <w:t>15</w:t>
            </w:r>
          </w:p>
        </w:tc>
        <w:tc>
          <w:tcPr>
            <w:tcW w:w="5573" w:type="dxa"/>
          </w:tcPr>
          <w:p w14:paraId="4E8C76CC" w14:textId="77777777" w:rsidR="00127D60" w:rsidRDefault="00000000">
            <w:pPr>
              <w:pStyle w:val="Compact"/>
            </w:pPr>
            <w:r>
              <w:t>Revision, proofreading, and formatting of the final report</w:t>
            </w:r>
          </w:p>
        </w:tc>
      </w:tr>
      <w:tr w:rsidR="00127D60" w14:paraId="0B02F4A6" w14:textId="77777777" w:rsidTr="00675BB1">
        <w:tc>
          <w:tcPr>
            <w:tcW w:w="2346" w:type="dxa"/>
          </w:tcPr>
          <w:p w14:paraId="56FD4CE7" w14:textId="77777777" w:rsidR="00127D60" w:rsidRDefault="00000000">
            <w:pPr>
              <w:pStyle w:val="Compact"/>
            </w:pPr>
            <w:r>
              <w:t>16</w:t>
            </w:r>
          </w:p>
        </w:tc>
        <w:tc>
          <w:tcPr>
            <w:tcW w:w="5573" w:type="dxa"/>
          </w:tcPr>
          <w:p w14:paraId="4E7C20CB" w14:textId="77777777" w:rsidR="00127D60" w:rsidRDefault="00000000">
            <w:pPr>
              <w:pStyle w:val="Compact"/>
            </w:pPr>
            <w:r>
              <w:t>Final submission preparation and viva examination practice</w:t>
            </w:r>
          </w:p>
        </w:tc>
      </w:tr>
    </w:tbl>
    <w:p w14:paraId="0B70432C" w14:textId="48826478" w:rsidR="00127D60" w:rsidRDefault="00127D60"/>
    <w:p w14:paraId="6CCDB1AB" w14:textId="60E8321C" w:rsidR="00127D60" w:rsidRDefault="00000000">
      <w:pPr>
        <w:pStyle w:val="Heading3"/>
      </w:pPr>
      <w:bookmarkStart w:id="13" w:name="conclusion"/>
      <w:bookmarkEnd w:id="12"/>
      <w:r>
        <w:lastRenderedPageBreak/>
        <w:t>1</w:t>
      </w:r>
      <w:r w:rsidR="006C1B6F">
        <w:t>2</w:t>
      </w:r>
      <w:r>
        <w:t>. Conclusion</w:t>
      </w:r>
    </w:p>
    <w:p w14:paraId="2A25E04A" w14:textId="77777777" w:rsidR="00127D60" w:rsidRDefault="00000000">
      <w:pPr>
        <w:pStyle w:val="FirstParagraph"/>
      </w:pPr>
      <w:r>
        <w:t>This proposal outlines a structured approach to applying causal AI for fair and transparent credit risk prediction. By integrating causal reasoning into predictive modeling, the research aims to contribute to ethical and accountable financial AI systems.</w:t>
      </w:r>
    </w:p>
    <w:p w14:paraId="0A1A3168" w14:textId="27D4F947" w:rsidR="00127D60" w:rsidRDefault="00127D60"/>
    <w:p w14:paraId="29E610F0" w14:textId="77777777" w:rsidR="00127D60" w:rsidRDefault="00000000">
      <w:pPr>
        <w:pStyle w:val="Heading3"/>
      </w:pPr>
      <w:bookmarkStart w:id="14" w:name="references"/>
      <w:bookmarkEnd w:id="13"/>
      <w:r>
        <w:t>References</w:t>
      </w:r>
    </w:p>
    <w:bookmarkEnd w:id="14"/>
    <w:p w14:paraId="099E45C8" w14:textId="77777777" w:rsidR="004D4F62" w:rsidRDefault="004D4F62" w:rsidP="004D4F62">
      <w:pPr>
        <w:pStyle w:val="FirstParagraph"/>
      </w:pPr>
      <w:r>
        <w:t xml:space="preserve">[1] M. Mehrabi, F. </w:t>
      </w:r>
      <w:proofErr w:type="spellStart"/>
      <w:r>
        <w:t>Morstatter</w:t>
      </w:r>
      <w:proofErr w:type="spellEnd"/>
      <w:r>
        <w:t xml:space="preserve">, N. Saxena, K. Lerman, and A. Galstyan, “A survey on bias and fairness in machine learning,” </w:t>
      </w:r>
      <w:r>
        <w:rPr>
          <w:i/>
          <w:iCs/>
        </w:rPr>
        <w:t>ACM Computing Surveys</w:t>
      </w:r>
      <w:r>
        <w:t>, vol. 54, no. 6, pp. 1–35, 2021.</w:t>
      </w:r>
    </w:p>
    <w:p w14:paraId="17E7D231" w14:textId="77777777" w:rsidR="004D4F62" w:rsidRDefault="004D4F62" w:rsidP="004D4F62">
      <w:pPr>
        <w:pStyle w:val="BodyText"/>
      </w:pPr>
      <w:r>
        <w:t xml:space="preserve">[2] A. </w:t>
      </w:r>
      <w:proofErr w:type="spellStart"/>
      <w:r>
        <w:t>Chouldechova</w:t>
      </w:r>
      <w:proofErr w:type="spellEnd"/>
      <w:r>
        <w:t xml:space="preserve"> and A. Roth, “A snapshot of the frontiers of fairness in machine learning,” </w:t>
      </w:r>
      <w:r>
        <w:rPr>
          <w:i/>
          <w:iCs/>
        </w:rPr>
        <w:t>Communications of the ACM</w:t>
      </w:r>
      <w:r>
        <w:t>, vol. 63, no. 5, pp. 82–89, 2020.</w:t>
      </w:r>
    </w:p>
    <w:p w14:paraId="33774EAF" w14:textId="77777777" w:rsidR="004D4F62" w:rsidRDefault="004D4F62" w:rsidP="004D4F62">
      <w:pPr>
        <w:pStyle w:val="BodyText"/>
      </w:pPr>
      <w:r>
        <w:t xml:space="preserve">[3] S. Wachter, B. Mittelstadt, and C. Russell, “Why fairness cannot be automated: Bridging the gap between EU non-discrimination law and AI,” </w:t>
      </w:r>
      <w:r>
        <w:rPr>
          <w:i/>
          <w:iCs/>
        </w:rPr>
        <w:t>Computer Law &amp; Security Review</w:t>
      </w:r>
      <w:r>
        <w:t>, vol. 41, 2021.</w:t>
      </w:r>
    </w:p>
    <w:p w14:paraId="031261D9" w14:textId="77777777" w:rsidR="004D4F62" w:rsidRDefault="004D4F62" w:rsidP="004D4F62">
      <w:pPr>
        <w:pStyle w:val="BodyText"/>
      </w:pPr>
      <w:r>
        <w:t xml:space="preserve">[4] R. Guidotti, A. </w:t>
      </w:r>
      <w:proofErr w:type="spellStart"/>
      <w:r>
        <w:t>Monreale</w:t>
      </w:r>
      <w:proofErr w:type="spellEnd"/>
      <w:r>
        <w:t xml:space="preserve">, S. Ruggieri, F. Turini, D. </w:t>
      </w:r>
      <w:proofErr w:type="spellStart"/>
      <w:r>
        <w:t>Pedreschi</w:t>
      </w:r>
      <w:proofErr w:type="spellEnd"/>
      <w:r>
        <w:t xml:space="preserve">, and F. Giannotti, “A survey of methods for explaining black box models,” </w:t>
      </w:r>
      <w:r>
        <w:rPr>
          <w:i/>
          <w:iCs/>
        </w:rPr>
        <w:t>ACM Computing Surveys</w:t>
      </w:r>
      <w:r>
        <w:t>, vol. 54, no. 2, 2021.</w:t>
      </w:r>
    </w:p>
    <w:p w14:paraId="7340863D" w14:textId="77777777" w:rsidR="004D4F62" w:rsidRDefault="004D4F62" w:rsidP="004D4F62">
      <w:pPr>
        <w:pStyle w:val="BodyText"/>
      </w:pPr>
      <w:r>
        <w:t xml:space="preserve">[5] I. </w:t>
      </w:r>
      <w:proofErr w:type="spellStart"/>
      <w:r>
        <w:t>Zliobaite</w:t>
      </w:r>
      <w:proofErr w:type="spellEnd"/>
      <w:r>
        <w:t xml:space="preserve">, F. Custers, and I. Kallina, “Measuring discrimination in algorithmic decision making,” </w:t>
      </w:r>
      <w:r>
        <w:rPr>
          <w:i/>
          <w:iCs/>
        </w:rPr>
        <w:t>Data Mining and Knowledge Discovery</w:t>
      </w:r>
      <w:r>
        <w:t>, vol. 36, pp. 198–233, 2022.</w:t>
      </w:r>
    </w:p>
    <w:p w14:paraId="0D6ACC26" w14:textId="77777777" w:rsidR="004D4F62" w:rsidRDefault="004D4F62" w:rsidP="004D4F62">
      <w:pPr>
        <w:pStyle w:val="BodyText"/>
      </w:pPr>
      <w:r>
        <w:t xml:space="preserve">[6] M. Kusner, J. Loftus, C. Russell, and R. Silva, “Counterfactual fairness,” </w:t>
      </w:r>
      <w:r>
        <w:rPr>
          <w:i/>
          <w:iCs/>
        </w:rPr>
        <w:t>Journal of Machine Learning Research</w:t>
      </w:r>
      <w:r>
        <w:t>, vol. 23, no. 1, pp. 1–47, 2022.</w:t>
      </w:r>
    </w:p>
    <w:p w14:paraId="55268D45" w14:textId="77777777" w:rsidR="004D4F62" w:rsidRDefault="004D4F62" w:rsidP="004D4F62">
      <w:pPr>
        <w:pStyle w:val="BodyText"/>
      </w:pPr>
      <w:r>
        <w:t xml:space="preserve">[7] A. Bellamy et al., “AI Fairness 360: An extensible toolkit for detecting and mitigating algorithmic bias,” </w:t>
      </w:r>
      <w:r>
        <w:rPr>
          <w:i/>
          <w:iCs/>
        </w:rPr>
        <w:t>IBM Journal of Research and Development</w:t>
      </w:r>
      <w:r>
        <w:t>, vol. 64, no. 4, 2020.</w:t>
      </w:r>
    </w:p>
    <w:p w14:paraId="43066423" w14:textId="77777777" w:rsidR="004D4F62" w:rsidRDefault="004D4F62" w:rsidP="004D4F62">
      <w:pPr>
        <w:pStyle w:val="BodyText"/>
      </w:pPr>
      <w:r>
        <w:t xml:space="preserve">[8] T. Miller, “Explanation in artificial intelligence: Insights from the social sciences,” </w:t>
      </w:r>
      <w:r>
        <w:rPr>
          <w:i/>
          <w:iCs/>
        </w:rPr>
        <w:t>Artificial Intelligence</w:t>
      </w:r>
      <w:r>
        <w:t>, vol. 267, pp. 1–38, 2020.</w:t>
      </w:r>
    </w:p>
    <w:p w14:paraId="673C64E9" w14:textId="77777777" w:rsidR="004D4F62" w:rsidRDefault="004D4F62" w:rsidP="004D4F62">
      <w:pPr>
        <w:pStyle w:val="BodyText"/>
      </w:pPr>
      <w:r>
        <w:t xml:space="preserve">[9] S. Barocas and A. Selbst, “Big data’s disparate impact,” </w:t>
      </w:r>
      <w:r>
        <w:rPr>
          <w:i/>
          <w:iCs/>
        </w:rPr>
        <w:t>California Law Review</w:t>
      </w:r>
      <w:r>
        <w:t>, vol. 104, no. 3, pp. 671–732, 2020.</w:t>
      </w:r>
    </w:p>
    <w:p w14:paraId="12F82274" w14:textId="77777777" w:rsidR="004D4F62" w:rsidRDefault="004D4F62" w:rsidP="004D4F62">
      <w:pPr>
        <w:pStyle w:val="BodyText"/>
      </w:pPr>
      <w:r>
        <w:t xml:space="preserve">[10] Y. Zhang, M. Harman, and Y. Ma, “Fairness-aware machine learning: A survey,” </w:t>
      </w:r>
      <w:r>
        <w:rPr>
          <w:i/>
          <w:iCs/>
        </w:rPr>
        <w:t>ACM Transactions on Intelligent Systems and Technology</w:t>
      </w:r>
      <w:r>
        <w:t>, vol. 13, no. 3, 2022.</w:t>
      </w:r>
    </w:p>
    <w:p w14:paraId="544E6D84" w14:textId="77777777" w:rsidR="004D4F62" w:rsidRDefault="004D4F62" w:rsidP="004D4F62">
      <w:pPr>
        <w:pStyle w:val="BodyText"/>
      </w:pPr>
      <w:r>
        <w:t xml:space="preserve">[11] C. Louizos, U. Shalit, J. </w:t>
      </w:r>
      <w:proofErr w:type="spellStart"/>
      <w:r>
        <w:t>Mooij</w:t>
      </w:r>
      <w:proofErr w:type="spellEnd"/>
      <w:r>
        <w:t xml:space="preserve">, D. Sontag, R. Zemel, and M. Welling, “Causal effect inference with deep latent-variable models,” </w:t>
      </w:r>
      <w:r>
        <w:rPr>
          <w:i/>
          <w:iCs/>
        </w:rPr>
        <w:t>Journal of Machine Learning Research</w:t>
      </w:r>
      <w:r>
        <w:t>, vol. 21, no. 152, pp. 1–69, 2020.</w:t>
      </w:r>
    </w:p>
    <w:p w14:paraId="5FCC55B1" w14:textId="77777777" w:rsidR="004D4F62" w:rsidRDefault="004D4F62" w:rsidP="004D4F62">
      <w:pPr>
        <w:pStyle w:val="BodyText"/>
      </w:pPr>
      <w:r>
        <w:t xml:space="preserve">[12] A. Sharma, E. </w:t>
      </w:r>
      <w:proofErr w:type="spellStart"/>
      <w:r>
        <w:t>Kiciman</w:t>
      </w:r>
      <w:proofErr w:type="spellEnd"/>
      <w:r>
        <w:t>, and A. B. Krishna, “</w:t>
      </w:r>
      <w:proofErr w:type="spellStart"/>
      <w:r>
        <w:t>DoWhy</w:t>
      </w:r>
      <w:proofErr w:type="spellEnd"/>
      <w:r>
        <w:t xml:space="preserve">: A Python framework for causal inference,” </w:t>
      </w:r>
      <w:r>
        <w:rPr>
          <w:i/>
          <w:iCs/>
        </w:rPr>
        <w:t>KDD</w:t>
      </w:r>
      <w:r>
        <w:t>, 2020.</w:t>
      </w:r>
    </w:p>
    <w:p w14:paraId="3D0040FE" w14:textId="77777777" w:rsidR="004D4F62" w:rsidRDefault="004D4F62" w:rsidP="004D4F62">
      <w:pPr>
        <w:pStyle w:val="BodyText"/>
      </w:pPr>
      <w:r>
        <w:t xml:space="preserve">[13] J. Peters, D. </w:t>
      </w:r>
      <w:proofErr w:type="spellStart"/>
      <w:r>
        <w:t>Janzing</w:t>
      </w:r>
      <w:proofErr w:type="spellEnd"/>
      <w:r>
        <w:t xml:space="preserve">, and B. </w:t>
      </w:r>
      <w:proofErr w:type="spellStart"/>
      <w:r>
        <w:t>Schölkopf</w:t>
      </w:r>
      <w:proofErr w:type="spellEnd"/>
      <w:r>
        <w:t xml:space="preserve">, </w:t>
      </w:r>
      <w:r>
        <w:rPr>
          <w:i/>
          <w:iCs/>
        </w:rPr>
        <w:t>Elements of Causal Inference</w:t>
      </w:r>
      <w:r>
        <w:t>, MIT Press, 2021.</w:t>
      </w:r>
    </w:p>
    <w:p w14:paraId="4DCA1402" w14:textId="77777777" w:rsidR="004D4F62" w:rsidRDefault="004D4F62" w:rsidP="004D4F62">
      <w:pPr>
        <w:pStyle w:val="BodyText"/>
      </w:pPr>
      <w:r>
        <w:lastRenderedPageBreak/>
        <w:t xml:space="preserve">[14] E. </w:t>
      </w:r>
      <w:proofErr w:type="spellStart"/>
      <w:r>
        <w:t>Ntoutsi</w:t>
      </w:r>
      <w:proofErr w:type="spellEnd"/>
      <w:r>
        <w:t xml:space="preserve"> et al., “Bias in data-driven artificial intelligence systems—An introductory survey,” </w:t>
      </w:r>
      <w:r>
        <w:rPr>
          <w:i/>
          <w:iCs/>
        </w:rPr>
        <w:t>Wiley Interdisciplinary Reviews: Data Mining and Knowledge Discovery</w:t>
      </w:r>
      <w:r>
        <w:t>, vol. 10, no. 2, 2020.</w:t>
      </w:r>
    </w:p>
    <w:p w14:paraId="5C6E725B" w14:textId="77777777" w:rsidR="004D4F62" w:rsidRDefault="004D4F62" w:rsidP="004D4F62">
      <w:pPr>
        <w:pStyle w:val="BodyText"/>
      </w:pPr>
      <w:r>
        <w:t xml:space="preserve">[15] A. Singh and A. Joachims, “Fairness of exposure in rankings,” </w:t>
      </w:r>
      <w:r>
        <w:rPr>
          <w:i/>
          <w:iCs/>
        </w:rPr>
        <w:t>KDD</w:t>
      </w:r>
      <w:r>
        <w:t>, 2020.</w:t>
      </w:r>
    </w:p>
    <w:p w14:paraId="142600E7" w14:textId="77777777" w:rsidR="004D4F62" w:rsidRDefault="004D4F62" w:rsidP="004D4F62">
      <w:pPr>
        <w:pStyle w:val="BodyText"/>
      </w:pPr>
      <w:r>
        <w:t xml:space="preserve">[16] S. Caton and C. Haas, “Fairness in machine learning: A survey,” </w:t>
      </w:r>
      <w:r>
        <w:rPr>
          <w:i/>
          <w:iCs/>
        </w:rPr>
        <w:t>ACM Computing Surveys</w:t>
      </w:r>
      <w:r>
        <w:t>, vol. 54, no. 6, 2021.</w:t>
      </w:r>
    </w:p>
    <w:p w14:paraId="10FD4A5B" w14:textId="77777777" w:rsidR="004D4F62" w:rsidRDefault="004D4F62" w:rsidP="004D4F62">
      <w:pPr>
        <w:pStyle w:val="BodyText"/>
      </w:pPr>
      <w:r>
        <w:t xml:space="preserve">[17] Y. Galhotra, S. Brun, and A. Meliou, “Fairness testing: Exploring the boundaries of algorithmic fairness,” </w:t>
      </w:r>
      <w:r>
        <w:rPr>
          <w:i/>
          <w:iCs/>
        </w:rPr>
        <w:t>SIGMOD</w:t>
      </w:r>
      <w:r>
        <w:t>, 2021.</w:t>
      </w:r>
    </w:p>
    <w:p w14:paraId="54D2E0EA" w14:textId="643B7ACD" w:rsidR="00127D60" w:rsidRDefault="004D4F62" w:rsidP="00FB4488">
      <w:pPr>
        <w:pStyle w:val="BodyText"/>
      </w:pPr>
      <w:r>
        <w:t xml:space="preserve">[18] F. Doshi-Velez and B. Kim, “Towards a rigorous science of interpretable machine learning,” </w:t>
      </w:r>
      <w:r>
        <w:rPr>
          <w:i/>
          <w:iCs/>
        </w:rPr>
        <w:t>Nature Machine Intelligence</w:t>
      </w:r>
      <w:r>
        <w:t>, vol. 2, pp. 252–260, 2020.</w:t>
      </w:r>
    </w:p>
    <w:sectPr w:rsidR="00127D60">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13227B9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492429E"/>
    <w:lvl w:ilvl="0">
      <w:start w:val="1"/>
      <w:numFmt w:val="decimal"/>
      <w:lvlText w:val="%1."/>
      <w:lvlJc w:val="left"/>
      <w:pPr>
        <w:ind w:left="720" w:hanging="360"/>
      </w:pPr>
      <w:rPr>
        <w:rFonts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6C651C47"/>
    <w:multiLevelType w:val="multilevel"/>
    <w:tmpl w:val="2492429E"/>
    <w:lvl w:ilvl="0">
      <w:start w:val="1"/>
      <w:numFmt w:val="decimal"/>
      <w:lvlText w:val="%1."/>
      <w:lvlJc w:val="left"/>
      <w:pPr>
        <w:ind w:left="720" w:hanging="360"/>
      </w:pPr>
      <w:rPr>
        <w:rFonts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234242982">
    <w:abstractNumId w:val="0"/>
  </w:num>
  <w:num w:numId="2" w16cid:durableId="1563640823">
    <w:abstractNumId w:val="1"/>
  </w:num>
  <w:num w:numId="3" w16cid:durableId="787505230">
    <w:abstractNumId w:val="1"/>
  </w:num>
  <w:num w:numId="4" w16cid:durableId="258026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127D60"/>
    <w:rsid w:val="00127D60"/>
    <w:rsid w:val="00495C20"/>
    <w:rsid w:val="004D4F62"/>
    <w:rsid w:val="00675BB1"/>
    <w:rsid w:val="006C1B6F"/>
    <w:rsid w:val="008E091B"/>
    <w:rsid w:val="0099765E"/>
    <w:rsid w:val="00CF3574"/>
    <w:rsid w:val="00F2679A"/>
    <w:rsid w:val="00FB4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15E67"/>
  <w15:docId w15:val="{76600061-7F08-4DD1-8444-BE8F93AE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78" w:lineRule="auto"/>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uiPriority="35"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TOC Heading"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5BB1"/>
  </w:style>
  <w:style w:type="paragraph" w:styleId="Heading1">
    <w:name w:val="heading 1"/>
    <w:basedOn w:val="Normal"/>
    <w:next w:val="Normal"/>
    <w:link w:val="Heading1Char"/>
    <w:uiPriority w:val="9"/>
    <w:qFormat/>
    <w:rsid w:val="00675BB1"/>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675BB1"/>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675BB1"/>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675BB1"/>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675BB1"/>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675BB1"/>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675BB1"/>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675BB1"/>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675BB1"/>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before="180" w:after="180"/>
    </w:pPr>
  </w:style>
  <w:style w:type="paragraph" w:customStyle="1" w:styleId="FirstParagraph">
    <w:name w:val="First Paragraph"/>
    <w:basedOn w:val="BodyText"/>
    <w:next w:val="BodyText"/>
  </w:style>
  <w:style w:type="paragraph" w:customStyle="1" w:styleId="Compact">
    <w:name w:val="Compact"/>
    <w:basedOn w:val="BodyText"/>
    <w:pPr>
      <w:spacing w:before="36" w:after="36"/>
    </w:pPr>
  </w:style>
  <w:style w:type="paragraph" w:styleId="Title">
    <w:name w:val="Title"/>
    <w:basedOn w:val="Normal"/>
    <w:next w:val="Normal"/>
    <w:link w:val="TitleChar"/>
    <w:uiPriority w:val="10"/>
    <w:qFormat/>
    <w:rsid w:val="00675BB1"/>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675BB1"/>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675BB1"/>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75BB1"/>
    <w:rPr>
      <w:rFonts w:asciiTheme="majorHAnsi" w:eastAsiaTheme="majorEastAsia" w:hAnsiTheme="majorHAnsi" w:cstheme="majorBidi"/>
      <w:sz w:val="24"/>
      <w:szCs w:val="24"/>
    </w:rPr>
  </w:style>
  <w:style w:type="paragraph" w:customStyle="1" w:styleId="Author">
    <w:name w:val="Author"/>
    <w:next w:val="BodyText"/>
    <w:pPr>
      <w:keepNext/>
      <w:keepLines/>
      <w:jc w:val="center"/>
    </w:pPr>
  </w:style>
  <w:style w:type="paragraph" w:styleId="Date">
    <w:name w:val="Date"/>
    <w:next w:val="BodyText"/>
    <w:pPr>
      <w:keepNext/>
      <w:keepLines/>
      <w:jc w:val="center"/>
    </w:pPr>
  </w:style>
  <w:style w:type="paragraph" w:customStyle="1" w:styleId="AbstractTitle">
    <w:name w:val="Abstract Title"/>
    <w:basedOn w:val="Normal"/>
    <w:next w:val="Abstract"/>
    <w:pPr>
      <w:keepNext/>
      <w:keepLines/>
      <w:spacing w:before="300" w:after="0"/>
      <w:jc w:val="center"/>
    </w:pPr>
    <w:rPr>
      <w:b/>
      <w:sz w:val="20"/>
      <w:szCs w:val="20"/>
    </w:rPr>
  </w:style>
  <w:style w:type="paragraph" w:customStyle="1" w:styleId="Abstract">
    <w:name w:val="Abstract"/>
    <w:basedOn w:val="Normal"/>
    <w:next w:val="BodyText"/>
    <w:pPr>
      <w:keepNext/>
      <w:keepLines/>
      <w:spacing w:before="100" w:after="300"/>
    </w:pPr>
    <w:rPr>
      <w:sz w:val="20"/>
      <w:szCs w:val="20"/>
    </w:rPr>
  </w:style>
  <w:style w:type="paragraph" w:styleId="Bibliography">
    <w:name w:val="Bibliography"/>
    <w:basedOn w:val="Normal"/>
  </w:style>
  <w:style w:type="character" w:customStyle="1" w:styleId="Heading1Char">
    <w:name w:val="Heading 1 Char"/>
    <w:basedOn w:val="DefaultParagraphFont"/>
    <w:link w:val="Heading1"/>
    <w:uiPriority w:val="9"/>
    <w:rsid w:val="00675BB1"/>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675BB1"/>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675BB1"/>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675BB1"/>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675BB1"/>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675BB1"/>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675BB1"/>
    <w:rPr>
      <w:i/>
      <w:iCs/>
    </w:rPr>
  </w:style>
  <w:style w:type="character" w:customStyle="1" w:styleId="Heading8Char">
    <w:name w:val="Heading 8 Char"/>
    <w:basedOn w:val="DefaultParagraphFont"/>
    <w:link w:val="Heading8"/>
    <w:uiPriority w:val="9"/>
    <w:semiHidden/>
    <w:rsid w:val="00675BB1"/>
    <w:rPr>
      <w:b/>
      <w:bCs/>
    </w:rPr>
  </w:style>
  <w:style w:type="character" w:customStyle="1" w:styleId="Heading9Char">
    <w:name w:val="Heading 9 Char"/>
    <w:basedOn w:val="DefaultParagraphFont"/>
    <w:link w:val="Heading9"/>
    <w:uiPriority w:val="9"/>
    <w:semiHidden/>
    <w:rsid w:val="00675BB1"/>
    <w:rPr>
      <w:i/>
      <w:iCs/>
    </w:rPr>
  </w:style>
  <w:style w:type="paragraph" w:styleId="BlockText">
    <w:name w:val="Block Text"/>
    <w:basedOn w:val="BodyText"/>
    <w:next w:val="BodyText"/>
    <w:uiPriority w:val="9"/>
    <w:unhideWhenUsed/>
    <w:pPr>
      <w:spacing w:before="100" w:after="100"/>
      <w:ind w:left="480" w:right="480"/>
    </w:pPr>
  </w:style>
  <w:style w:type="paragraph" w:styleId="FootnoteText">
    <w:name w:val="footnote text"/>
    <w:basedOn w:val="Normal"/>
    <w:uiPriority w:val="9"/>
    <w:unhideWhenUsed/>
  </w:style>
  <w:style w:type="paragraph" w:customStyle="1" w:styleId="FootnoteBlockText">
    <w:name w:val="Footnote Block Text"/>
    <w:basedOn w:val="FootnoteText"/>
    <w:next w:val="FootnoteText"/>
    <w:uiPriority w:val="9"/>
    <w:unhideWhenUsed/>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next w:val="Normal"/>
    <w:link w:val="CaptionChar"/>
    <w:uiPriority w:val="35"/>
    <w:unhideWhenUsed/>
    <w:qFormat/>
    <w:rsid w:val="00675BB1"/>
    <w:rPr>
      <w:b/>
      <w:bCs/>
      <w:sz w:val="18"/>
      <w:szCs w:val="18"/>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uiPriority w:val="35"/>
    <w:rPr>
      <w:b/>
      <w:bCs/>
      <w:sz w:val="18"/>
      <w:szCs w:val="18"/>
    </w:rPr>
  </w:style>
  <w:style w:type="character" w:customStyle="1" w:styleId="VerbatimChar">
    <w:name w:val="Verbatim Char"/>
    <w:basedOn w:val="CaptionChar"/>
    <w:link w:val="SourceCode"/>
    <w:rPr>
      <w:rFonts w:ascii="Consolas" w:hAnsi="Consolas"/>
      <w:b/>
      <w:bCs/>
      <w:sz w:val="22"/>
      <w:szCs w:val="18"/>
    </w:rPr>
  </w:style>
  <w:style w:type="character" w:customStyle="1" w:styleId="SectionNumber">
    <w:name w:val="Section Number"/>
    <w:basedOn w:val="CaptionChar"/>
    <w:rPr>
      <w:b/>
      <w:bCs/>
      <w:sz w:val="18"/>
      <w:szCs w:val="18"/>
    </w:rPr>
  </w:style>
  <w:style w:type="character" w:styleId="FootnoteReference">
    <w:name w:val="footnote reference"/>
    <w:basedOn w:val="CaptionChar"/>
    <w:rPr>
      <w:b/>
      <w:bCs/>
      <w:sz w:val="18"/>
      <w:szCs w:val="18"/>
      <w:vertAlign w:val="superscript"/>
    </w:rPr>
  </w:style>
  <w:style w:type="character" w:styleId="Hyperlink">
    <w:name w:val="Hyperlink"/>
    <w:basedOn w:val="CaptionChar"/>
    <w:rPr>
      <w:b/>
      <w:bCs/>
      <w:color w:val="4472C4" w:themeColor="accent1"/>
      <w:sz w:val="18"/>
      <w:szCs w:val="18"/>
    </w:rPr>
  </w:style>
  <w:style w:type="paragraph" w:styleId="TOCHeading">
    <w:name w:val="TOC Heading"/>
    <w:basedOn w:val="Heading1"/>
    <w:next w:val="Normal"/>
    <w:uiPriority w:val="39"/>
    <w:unhideWhenUsed/>
    <w:qFormat/>
    <w:rsid w:val="00675BB1"/>
    <w:pPr>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val="0"/>
      <w:bCs/>
      <w:color w:val="007020"/>
      <w:sz w:val="22"/>
      <w:szCs w:val="18"/>
    </w:rPr>
  </w:style>
  <w:style w:type="character" w:customStyle="1" w:styleId="DataTypeTok">
    <w:name w:val="DataTypeTok"/>
    <w:basedOn w:val="VerbatimChar"/>
    <w:rPr>
      <w:rFonts w:ascii="Consolas" w:hAnsi="Consolas"/>
      <w:b/>
      <w:bCs/>
      <w:color w:val="902000"/>
      <w:sz w:val="22"/>
      <w:szCs w:val="18"/>
    </w:rPr>
  </w:style>
  <w:style w:type="character" w:customStyle="1" w:styleId="DecValTok">
    <w:name w:val="DecValTok"/>
    <w:basedOn w:val="VerbatimChar"/>
    <w:rPr>
      <w:rFonts w:ascii="Consolas" w:hAnsi="Consolas"/>
      <w:b/>
      <w:bCs/>
      <w:color w:val="40A070"/>
      <w:sz w:val="22"/>
      <w:szCs w:val="18"/>
    </w:rPr>
  </w:style>
  <w:style w:type="character" w:customStyle="1" w:styleId="BaseNTok">
    <w:name w:val="BaseNTok"/>
    <w:basedOn w:val="VerbatimChar"/>
    <w:rPr>
      <w:rFonts w:ascii="Consolas" w:hAnsi="Consolas"/>
      <w:b/>
      <w:bCs/>
      <w:color w:val="40A070"/>
      <w:sz w:val="22"/>
      <w:szCs w:val="18"/>
    </w:rPr>
  </w:style>
  <w:style w:type="character" w:customStyle="1" w:styleId="FloatTok">
    <w:name w:val="FloatTok"/>
    <w:basedOn w:val="VerbatimChar"/>
    <w:rPr>
      <w:rFonts w:ascii="Consolas" w:hAnsi="Consolas"/>
      <w:b/>
      <w:bCs/>
      <w:color w:val="40A070"/>
      <w:sz w:val="22"/>
      <w:szCs w:val="18"/>
    </w:rPr>
  </w:style>
  <w:style w:type="character" w:customStyle="1" w:styleId="ConstantTok">
    <w:name w:val="ConstantTok"/>
    <w:basedOn w:val="VerbatimChar"/>
    <w:rPr>
      <w:rFonts w:ascii="Consolas" w:hAnsi="Consolas"/>
      <w:b/>
      <w:bCs/>
      <w:color w:val="880000"/>
      <w:sz w:val="22"/>
      <w:szCs w:val="18"/>
    </w:rPr>
  </w:style>
  <w:style w:type="character" w:customStyle="1" w:styleId="CharTok">
    <w:name w:val="CharTok"/>
    <w:basedOn w:val="VerbatimChar"/>
    <w:rPr>
      <w:rFonts w:ascii="Consolas" w:hAnsi="Consolas"/>
      <w:b/>
      <w:bCs/>
      <w:color w:val="4070A0"/>
      <w:sz w:val="22"/>
      <w:szCs w:val="18"/>
    </w:rPr>
  </w:style>
  <w:style w:type="character" w:customStyle="1" w:styleId="SpecialCharTok">
    <w:name w:val="SpecialCharTok"/>
    <w:basedOn w:val="VerbatimChar"/>
    <w:rPr>
      <w:rFonts w:ascii="Consolas" w:hAnsi="Consolas"/>
      <w:b/>
      <w:bCs/>
      <w:color w:val="4070A0"/>
      <w:sz w:val="22"/>
      <w:szCs w:val="18"/>
    </w:rPr>
  </w:style>
  <w:style w:type="character" w:customStyle="1" w:styleId="StringTok">
    <w:name w:val="StringTok"/>
    <w:basedOn w:val="VerbatimChar"/>
    <w:rPr>
      <w:rFonts w:ascii="Consolas" w:hAnsi="Consolas"/>
      <w:b/>
      <w:bCs/>
      <w:color w:val="4070A0"/>
      <w:sz w:val="22"/>
      <w:szCs w:val="18"/>
    </w:rPr>
  </w:style>
  <w:style w:type="character" w:customStyle="1" w:styleId="VerbatimStringTok">
    <w:name w:val="VerbatimStringTok"/>
    <w:basedOn w:val="VerbatimChar"/>
    <w:rPr>
      <w:rFonts w:ascii="Consolas" w:hAnsi="Consolas"/>
      <w:b/>
      <w:bCs/>
      <w:color w:val="4070A0"/>
      <w:sz w:val="22"/>
      <w:szCs w:val="18"/>
    </w:rPr>
  </w:style>
  <w:style w:type="character" w:customStyle="1" w:styleId="SpecialStringTok">
    <w:name w:val="SpecialStringTok"/>
    <w:basedOn w:val="VerbatimChar"/>
    <w:rPr>
      <w:rFonts w:ascii="Consolas" w:hAnsi="Consolas"/>
      <w:b/>
      <w:bCs/>
      <w:color w:val="BB6688"/>
      <w:sz w:val="22"/>
      <w:szCs w:val="18"/>
    </w:rPr>
  </w:style>
  <w:style w:type="character" w:customStyle="1" w:styleId="ImportTok">
    <w:name w:val="ImportTok"/>
    <w:basedOn w:val="VerbatimChar"/>
    <w:rPr>
      <w:rFonts w:ascii="Consolas" w:hAnsi="Consolas"/>
      <w:b w:val="0"/>
      <w:bCs/>
      <w:color w:val="008000"/>
      <w:sz w:val="22"/>
      <w:szCs w:val="18"/>
    </w:rPr>
  </w:style>
  <w:style w:type="character" w:customStyle="1" w:styleId="CommentTok">
    <w:name w:val="CommentTok"/>
    <w:basedOn w:val="VerbatimChar"/>
    <w:rPr>
      <w:rFonts w:ascii="Consolas" w:hAnsi="Consolas"/>
      <w:b/>
      <w:bCs/>
      <w:i/>
      <w:color w:val="60A0B0"/>
      <w:sz w:val="22"/>
      <w:szCs w:val="18"/>
    </w:rPr>
  </w:style>
  <w:style w:type="character" w:customStyle="1" w:styleId="DocumentationTok">
    <w:name w:val="DocumentationTok"/>
    <w:basedOn w:val="VerbatimChar"/>
    <w:rPr>
      <w:rFonts w:ascii="Consolas" w:hAnsi="Consolas"/>
      <w:b/>
      <w:bCs/>
      <w:i/>
      <w:color w:val="BA2121"/>
      <w:sz w:val="22"/>
      <w:szCs w:val="18"/>
    </w:rPr>
  </w:style>
  <w:style w:type="character" w:customStyle="1" w:styleId="AnnotationTok">
    <w:name w:val="AnnotationTok"/>
    <w:basedOn w:val="VerbatimChar"/>
    <w:rPr>
      <w:rFonts w:ascii="Consolas" w:hAnsi="Consolas"/>
      <w:b w:val="0"/>
      <w:bCs/>
      <w:i/>
      <w:color w:val="60A0B0"/>
      <w:sz w:val="22"/>
      <w:szCs w:val="18"/>
    </w:rPr>
  </w:style>
  <w:style w:type="character" w:customStyle="1" w:styleId="CommentVarTok">
    <w:name w:val="CommentVarTok"/>
    <w:basedOn w:val="VerbatimChar"/>
    <w:rPr>
      <w:rFonts w:ascii="Consolas" w:hAnsi="Consolas"/>
      <w:b w:val="0"/>
      <w:bCs/>
      <w:i/>
      <w:color w:val="60A0B0"/>
      <w:sz w:val="22"/>
      <w:szCs w:val="18"/>
    </w:rPr>
  </w:style>
  <w:style w:type="character" w:customStyle="1" w:styleId="OtherTok">
    <w:name w:val="OtherTok"/>
    <w:basedOn w:val="VerbatimChar"/>
    <w:rPr>
      <w:rFonts w:ascii="Consolas" w:hAnsi="Consolas"/>
      <w:b/>
      <w:bCs/>
      <w:color w:val="007020"/>
      <w:sz w:val="22"/>
      <w:szCs w:val="18"/>
    </w:rPr>
  </w:style>
  <w:style w:type="character" w:customStyle="1" w:styleId="FunctionTok">
    <w:name w:val="FunctionTok"/>
    <w:basedOn w:val="VerbatimChar"/>
    <w:rPr>
      <w:rFonts w:ascii="Consolas" w:hAnsi="Consolas"/>
      <w:b/>
      <w:bCs/>
      <w:color w:val="06287E"/>
      <w:sz w:val="22"/>
      <w:szCs w:val="18"/>
    </w:rPr>
  </w:style>
  <w:style w:type="character" w:customStyle="1" w:styleId="VariableTok">
    <w:name w:val="VariableTok"/>
    <w:basedOn w:val="VerbatimChar"/>
    <w:rPr>
      <w:rFonts w:ascii="Consolas" w:hAnsi="Consolas"/>
      <w:b/>
      <w:bCs/>
      <w:color w:val="19177C"/>
      <w:sz w:val="22"/>
      <w:szCs w:val="18"/>
    </w:rPr>
  </w:style>
  <w:style w:type="character" w:customStyle="1" w:styleId="ControlFlowTok">
    <w:name w:val="ControlFlowTok"/>
    <w:basedOn w:val="VerbatimChar"/>
    <w:rPr>
      <w:rFonts w:ascii="Consolas" w:hAnsi="Consolas"/>
      <w:b w:val="0"/>
      <w:bCs/>
      <w:color w:val="007020"/>
      <w:sz w:val="22"/>
      <w:szCs w:val="18"/>
    </w:rPr>
  </w:style>
  <w:style w:type="character" w:customStyle="1" w:styleId="OperatorTok">
    <w:name w:val="OperatorTok"/>
    <w:basedOn w:val="VerbatimChar"/>
    <w:rPr>
      <w:rFonts w:ascii="Consolas" w:hAnsi="Consolas"/>
      <w:b/>
      <w:bCs/>
      <w:color w:val="666666"/>
      <w:sz w:val="22"/>
      <w:szCs w:val="18"/>
    </w:rPr>
  </w:style>
  <w:style w:type="character" w:customStyle="1" w:styleId="BuiltInTok">
    <w:name w:val="BuiltInTok"/>
    <w:basedOn w:val="VerbatimChar"/>
    <w:rPr>
      <w:rFonts w:ascii="Consolas" w:hAnsi="Consolas"/>
      <w:b/>
      <w:bCs/>
      <w:color w:val="008000"/>
      <w:sz w:val="22"/>
      <w:szCs w:val="18"/>
    </w:rPr>
  </w:style>
  <w:style w:type="character" w:customStyle="1" w:styleId="ExtensionTok">
    <w:name w:val="ExtensionTok"/>
    <w:basedOn w:val="VerbatimChar"/>
    <w:rPr>
      <w:rFonts w:ascii="Consolas" w:hAnsi="Consolas"/>
      <w:b/>
      <w:bCs/>
      <w:sz w:val="22"/>
      <w:szCs w:val="18"/>
    </w:rPr>
  </w:style>
  <w:style w:type="character" w:customStyle="1" w:styleId="PreprocessorTok">
    <w:name w:val="PreprocessorTok"/>
    <w:basedOn w:val="VerbatimChar"/>
    <w:rPr>
      <w:rFonts w:ascii="Consolas" w:hAnsi="Consolas"/>
      <w:b/>
      <w:bCs/>
      <w:color w:val="BC7A00"/>
      <w:sz w:val="22"/>
      <w:szCs w:val="18"/>
    </w:rPr>
  </w:style>
  <w:style w:type="character" w:customStyle="1" w:styleId="AttributeTok">
    <w:name w:val="AttributeTok"/>
    <w:basedOn w:val="VerbatimChar"/>
    <w:rPr>
      <w:rFonts w:ascii="Consolas" w:hAnsi="Consolas"/>
      <w:b/>
      <w:bCs/>
      <w:color w:val="7D9029"/>
      <w:sz w:val="22"/>
      <w:szCs w:val="18"/>
    </w:rPr>
  </w:style>
  <w:style w:type="character" w:customStyle="1" w:styleId="RegionMarkerTok">
    <w:name w:val="RegionMarkerTok"/>
    <w:basedOn w:val="VerbatimChar"/>
    <w:rPr>
      <w:rFonts w:ascii="Consolas" w:hAnsi="Consolas"/>
      <w:b/>
      <w:bCs/>
      <w:sz w:val="22"/>
      <w:szCs w:val="18"/>
    </w:rPr>
  </w:style>
  <w:style w:type="character" w:customStyle="1" w:styleId="InformationTok">
    <w:name w:val="InformationTok"/>
    <w:basedOn w:val="VerbatimChar"/>
    <w:rPr>
      <w:rFonts w:ascii="Consolas" w:hAnsi="Consolas"/>
      <w:b w:val="0"/>
      <w:bCs/>
      <w:i/>
      <w:color w:val="60A0B0"/>
      <w:sz w:val="22"/>
      <w:szCs w:val="18"/>
    </w:rPr>
  </w:style>
  <w:style w:type="character" w:customStyle="1" w:styleId="WarningTok">
    <w:name w:val="WarningTok"/>
    <w:basedOn w:val="VerbatimChar"/>
    <w:rPr>
      <w:rFonts w:ascii="Consolas" w:hAnsi="Consolas"/>
      <w:b w:val="0"/>
      <w:bCs/>
      <w:i/>
      <w:color w:val="60A0B0"/>
      <w:sz w:val="22"/>
      <w:szCs w:val="18"/>
    </w:rPr>
  </w:style>
  <w:style w:type="character" w:customStyle="1" w:styleId="AlertTok">
    <w:name w:val="AlertTok"/>
    <w:basedOn w:val="VerbatimChar"/>
    <w:rPr>
      <w:rFonts w:ascii="Consolas" w:hAnsi="Consolas"/>
      <w:b w:val="0"/>
      <w:bCs/>
      <w:color w:val="FF0000"/>
      <w:sz w:val="22"/>
      <w:szCs w:val="18"/>
    </w:rPr>
  </w:style>
  <w:style w:type="character" w:customStyle="1" w:styleId="ErrorTok">
    <w:name w:val="ErrorTok"/>
    <w:basedOn w:val="VerbatimChar"/>
    <w:rPr>
      <w:rFonts w:ascii="Consolas" w:hAnsi="Consolas"/>
      <w:b w:val="0"/>
      <w:bCs/>
      <w:color w:val="FF0000"/>
      <w:sz w:val="22"/>
      <w:szCs w:val="18"/>
    </w:rPr>
  </w:style>
  <w:style w:type="character" w:customStyle="1" w:styleId="NormalTok">
    <w:name w:val="NormalTok"/>
    <w:basedOn w:val="VerbatimChar"/>
    <w:rPr>
      <w:rFonts w:ascii="Consolas" w:hAnsi="Consolas"/>
      <w:b/>
      <w:bCs/>
      <w:sz w:val="22"/>
      <w:szCs w:val="18"/>
    </w:rPr>
  </w:style>
  <w:style w:type="character" w:styleId="Strong">
    <w:name w:val="Strong"/>
    <w:basedOn w:val="DefaultParagraphFont"/>
    <w:uiPriority w:val="22"/>
    <w:qFormat/>
    <w:rsid w:val="00675BB1"/>
    <w:rPr>
      <w:b/>
      <w:bCs/>
      <w:color w:val="auto"/>
    </w:rPr>
  </w:style>
  <w:style w:type="character" w:styleId="Emphasis">
    <w:name w:val="Emphasis"/>
    <w:basedOn w:val="DefaultParagraphFont"/>
    <w:uiPriority w:val="20"/>
    <w:qFormat/>
    <w:rsid w:val="00675BB1"/>
    <w:rPr>
      <w:i/>
      <w:iCs/>
      <w:color w:val="auto"/>
    </w:rPr>
  </w:style>
  <w:style w:type="paragraph" w:styleId="NoSpacing">
    <w:name w:val="No Spacing"/>
    <w:uiPriority w:val="1"/>
    <w:qFormat/>
    <w:rsid w:val="00675BB1"/>
    <w:pPr>
      <w:spacing w:after="0" w:line="240" w:lineRule="auto"/>
    </w:pPr>
  </w:style>
  <w:style w:type="paragraph" w:styleId="Quote">
    <w:name w:val="Quote"/>
    <w:basedOn w:val="Normal"/>
    <w:next w:val="Normal"/>
    <w:link w:val="QuoteChar"/>
    <w:uiPriority w:val="29"/>
    <w:qFormat/>
    <w:rsid w:val="00675BB1"/>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675BB1"/>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675BB1"/>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675BB1"/>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675BB1"/>
    <w:rPr>
      <w:i/>
      <w:iCs/>
      <w:color w:val="auto"/>
    </w:rPr>
  </w:style>
  <w:style w:type="character" w:styleId="IntenseEmphasis">
    <w:name w:val="Intense Emphasis"/>
    <w:basedOn w:val="DefaultParagraphFont"/>
    <w:uiPriority w:val="21"/>
    <w:qFormat/>
    <w:rsid w:val="00675BB1"/>
    <w:rPr>
      <w:b/>
      <w:bCs/>
      <w:i/>
      <w:iCs/>
      <w:color w:val="auto"/>
    </w:rPr>
  </w:style>
  <w:style w:type="character" w:styleId="SubtleReference">
    <w:name w:val="Subtle Reference"/>
    <w:basedOn w:val="DefaultParagraphFont"/>
    <w:uiPriority w:val="31"/>
    <w:qFormat/>
    <w:rsid w:val="00675BB1"/>
    <w:rPr>
      <w:smallCaps/>
      <w:color w:val="auto"/>
      <w:u w:val="single" w:color="7F7F7F" w:themeColor="text1" w:themeTint="80"/>
    </w:rPr>
  </w:style>
  <w:style w:type="character" w:styleId="IntenseReference">
    <w:name w:val="Intense Reference"/>
    <w:basedOn w:val="DefaultParagraphFont"/>
    <w:uiPriority w:val="32"/>
    <w:qFormat/>
    <w:rsid w:val="00675BB1"/>
    <w:rPr>
      <w:b/>
      <w:bCs/>
      <w:smallCaps/>
      <w:color w:val="auto"/>
      <w:u w:val="single"/>
    </w:rPr>
  </w:style>
  <w:style w:type="character" w:styleId="BookTitle">
    <w:name w:val="Book Title"/>
    <w:basedOn w:val="DefaultParagraphFont"/>
    <w:uiPriority w:val="33"/>
    <w:qFormat/>
    <w:rsid w:val="00675BB1"/>
    <w:rPr>
      <w:b/>
      <w:bCs/>
      <w:smallCaps/>
      <w:color w:val="auto"/>
    </w:rPr>
  </w:style>
  <w:style w:type="paragraph" w:styleId="ListParagraph">
    <w:name w:val="List Paragraph"/>
    <w:basedOn w:val="Normal"/>
    <w:uiPriority w:val="34"/>
    <w:qFormat/>
    <w:rsid w:val="006C1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8</Pages>
  <Words>2171</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Abrar Saiyad</cp:lastModifiedBy>
  <cp:revision>5</cp:revision>
  <dcterms:created xsi:type="dcterms:W3CDTF">2026-02-04T20:23:00Z</dcterms:created>
  <dcterms:modified xsi:type="dcterms:W3CDTF">2026-02-15T20:03:00Z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fecce3f8-ffc5-437f-bbae-425fb5b89bbd</vt:lpwstr>
  </property>
</Properties>
</file>