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b/>
          <w:bCs/>
          <w:color w:val="2F5496" w:themeColor="accent1" w:themeShade="BF"/>
          <w:sz w:val="28"/>
          <w:szCs w:val="28"/>
          <w:lang w:val="en-GB"/>
        </w:rPr>
        <w:id w:val="993300106"/>
        <w:docPartObj>
          <w:docPartGallery w:val="Cover Pages"/>
          <w:docPartUnique/>
        </w:docPartObj>
      </w:sdtPr>
      <w:sdtEndPr>
        <w:rPr>
          <w:rFonts w:ascii="Times New Roman" w:hAnsi="Times New Roman"/>
        </w:rPr>
      </w:sdtEndPr>
      <w:sdtContent>
        <w:p w14:paraId="54D0F3B2" w14:textId="77777777" w:rsidR="00E2659D" w:rsidRDefault="004F0757">
          <w:r>
            <w:rPr>
              <w:noProof/>
            </w:rPr>
            <mc:AlternateContent>
              <mc:Choice Requires="wpg">
                <w:drawing>
                  <wp:anchor distT="0" distB="0" distL="114300" distR="114300" simplePos="0" relativeHeight="251659264" behindDoc="1" locked="0" layoutInCell="1" allowOverlap="1" wp14:anchorId="6F21C6D5" wp14:editId="0AA607DF">
                    <wp:simplePos x="0" y="0"/>
                    <wp:positionH relativeFrom="page">
                      <wp:posOffset>-66675</wp:posOffset>
                    </wp:positionH>
                    <wp:positionV relativeFrom="page">
                      <wp:posOffset>257175</wp:posOffset>
                    </wp:positionV>
                    <wp:extent cx="7553325" cy="9719310"/>
                    <wp:effectExtent l="0" t="0" r="0" b="0"/>
                    <wp:wrapNone/>
                    <wp:docPr id="119" name="Group 119"/>
                    <wp:cNvGraphicFramePr/>
                    <a:graphic xmlns:a="http://schemas.openxmlformats.org/drawingml/2006/main">
                      <a:graphicData uri="http://schemas.microsoft.com/office/word/2010/wordprocessingGroup">
                        <wpg:wgp>
                          <wpg:cNvGrpSpPr/>
                          <wpg:grpSpPr>
                            <a:xfrm>
                              <a:off x="0" y="0"/>
                              <a:ext cx="7553325" cy="9719310"/>
                              <a:chOff x="-419100" y="-447671"/>
                              <a:chExt cx="7553325" cy="971942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5A87283" w14:textId="7FB6BAFE" w:rsidR="00E2659D" w:rsidRDefault="00EA53B4">
                                      <w:pPr>
                                        <w:pStyle w:val="NoSpacing"/>
                                        <w:rPr>
                                          <w:color w:val="FFFFFF" w:themeColor="background1"/>
                                          <w:sz w:val="32"/>
                                          <w:szCs w:val="32"/>
                                        </w:rPr>
                                      </w:pPr>
                                      <w:r>
                                        <w:rPr>
                                          <w:color w:val="FFFFFF" w:themeColor="background1"/>
                                          <w:sz w:val="32"/>
                                          <w:szCs w:val="32"/>
                                        </w:rPr>
                                        <w:t>Roshid</w:t>
                                      </w:r>
                                    </w:p>
                                  </w:sdtContent>
                                </w:sdt>
                                <w:p w14:paraId="1A3DE309" w14:textId="66C9BD6C" w:rsidR="00E2659D"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E2659D">
                                        <w:rPr>
                                          <w:caps/>
                                          <w:color w:val="FFFFFF" w:themeColor="background1"/>
                                        </w:rPr>
                                        <w:t xml:space="preserve">     </w:t>
                                      </w:r>
                                    </w:sdtContent>
                                  </w:sdt>
                                  <w:r w:rsidR="00E2659D">
                                    <w:rPr>
                                      <w:caps/>
                                      <w:color w:val="FFFFFF" w:themeColor="background1"/>
                                    </w:rPr>
                                    <w:t xml:space="preserve"> </w:t>
                                  </w:r>
                                  <w:r w:rsidR="006A0388">
                                    <w:rPr>
                                      <w:caps/>
                                      <w:color w:val="FFFFFF" w:themeColor="background1"/>
                                    </w:rPr>
                                    <w:t>2023</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E2659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19100" y="-447671"/>
                                <a:ext cx="7553325" cy="3876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B82C5" w14:textId="4590B616" w:rsidR="00E2659D" w:rsidRPr="00E2659D" w:rsidRDefault="00000000" w:rsidP="00E2659D">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sdt>
                                    <w:sdtPr>
                                      <w:rPr>
                                        <w:rFonts w:ascii="Times New Roman" w:eastAsiaTheme="majorEastAsia" w:hAnsi="Times New Roman" w:cs="Times New Roman"/>
                                        <w:color w:val="70AD47" w:themeColor="accent6"/>
                                        <w:sz w:val="72"/>
                                        <w:szCs w:val="72"/>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Content>
                                      <w:r w:rsidR="007F0EEF">
                                        <w:rPr>
                                          <w:rFonts w:ascii="Times New Roman" w:eastAsiaTheme="majorEastAsia" w:hAnsi="Times New Roman" w:cs="Times New Roman"/>
                                          <w:color w:val="70AD47" w:themeColor="accent6"/>
                                          <w:sz w:val="72"/>
                                          <w:szCs w:val="72"/>
                                        </w:rPr>
                                        <w:t xml:space="preserve">     </w:t>
                                      </w:r>
                                    </w:sdtContent>
                                  </w:sdt>
                                  <w:r w:rsidR="003D20D9">
                                    <w:rPr>
                                      <w:rFonts w:ascii="Times New Roman" w:eastAsiaTheme="majorEastAsia" w:hAnsi="Times New Roman" w:cs="Times New Roman"/>
                                      <w:color w:val="70AD47" w:themeColor="accent6"/>
                                      <w:sz w:val="72"/>
                                      <w:szCs w:val="72"/>
                                    </w:rPr>
                                    <w:t>L</w:t>
                                  </w:r>
                                  <w:r w:rsidR="007F0EEF">
                                    <w:rPr>
                                      <w:rFonts w:ascii="Times New Roman" w:eastAsiaTheme="majorEastAsia" w:hAnsi="Times New Roman" w:cs="Times New Roman"/>
                                      <w:color w:val="70AD47" w:themeColor="accent6"/>
                                      <w:sz w:val="72"/>
                                      <w:szCs w:val="72"/>
                                    </w:rPr>
                                    <w:t>LB</w:t>
                                  </w:r>
                                  <w:r w:rsidR="003D20D9">
                                    <w:rPr>
                                      <w:rFonts w:ascii="Times New Roman" w:eastAsiaTheme="majorEastAsia" w:hAnsi="Times New Roman" w:cs="Times New Roman"/>
                                      <w:color w:val="70AD47" w:themeColor="accent6"/>
                                      <w:sz w:val="72"/>
                                      <w:szCs w:val="72"/>
                                    </w:rPr>
                                    <w:t xml:space="preserve"> Law and Legal Practice</w:t>
                                  </w:r>
                                </w:p>
                                <w:sdt>
                                  <w:sdtPr>
                                    <w:rPr>
                                      <w:rFonts w:ascii="Times New Roman" w:hAnsi="Times New Roman" w:cs="Times New Roman"/>
                                      <w:caps/>
                                      <w:color w:val="4472C4" w:themeColor="accent1"/>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D14A9BE" w14:textId="520581DC" w:rsidR="00E2659D" w:rsidRPr="00E2659D" w:rsidRDefault="00E2659D" w:rsidP="00E2659D">
                                      <w:pPr>
                                        <w:pStyle w:val="NoSpacing"/>
                                        <w:spacing w:before="240"/>
                                        <w:jc w:val="center"/>
                                        <w:rPr>
                                          <w:rFonts w:ascii="Times New Roman" w:hAnsi="Times New Roman" w:cs="Times New Roman"/>
                                          <w:caps/>
                                          <w:color w:val="4472C4" w:themeColor="accent1"/>
                                          <w:sz w:val="28"/>
                                          <w:szCs w:val="28"/>
                                        </w:rPr>
                                      </w:pPr>
                                      <w:r w:rsidRPr="00E2659D">
                                        <w:rPr>
                                          <w:rFonts w:ascii="Times New Roman" w:hAnsi="Times New Roman" w:cs="Times New Roman"/>
                                          <w:caps/>
                                          <w:color w:val="4472C4" w:themeColor="accent1"/>
                                          <w:sz w:val="28"/>
                                          <w:szCs w:val="28"/>
                                        </w:rPr>
                                        <w:t xml:space="preserve">Assignment </w:t>
                                      </w:r>
                                      <w:r w:rsidR="003D20D9">
                                        <w:rPr>
                                          <w:rFonts w:ascii="Times New Roman" w:hAnsi="Times New Roman" w:cs="Times New Roman"/>
                                          <w:caps/>
                                          <w:color w:val="4472C4" w:themeColor="accent1"/>
                                          <w:sz w:val="28"/>
                                          <w:szCs w:val="28"/>
                                        </w:rPr>
                                        <w:t xml:space="preserve">– </w:t>
                                      </w:r>
                                      <w:r w:rsidR="001B6D6A">
                                        <w:rPr>
                                          <w:rFonts w:ascii="Times New Roman" w:hAnsi="Times New Roman" w:cs="Times New Roman"/>
                                          <w:caps/>
                                          <w:color w:val="4472C4" w:themeColor="accent1"/>
                                          <w:sz w:val="28"/>
                                          <w:szCs w:val="28"/>
                                        </w:rPr>
                                        <w:t>1:</w:t>
                                      </w:r>
                                      <w:r w:rsidR="003D20D9">
                                        <w:rPr>
                                          <w:rFonts w:ascii="Times New Roman" w:hAnsi="Times New Roman" w:cs="Times New Roman"/>
                                          <w:caps/>
                                          <w:color w:val="4472C4" w:themeColor="accent1"/>
                                          <w:sz w:val="28"/>
                                          <w:szCs w:val="28"/>
                                        </w:rPr>
                                        <w:t xml:space="preserve"> </w:t>
                                      </w:r>
                                      <w:r w:rsidR="002D13B6">
                                        <w:rPr>
                                          <w:rFonts w:ascii="Times New Roman" w:hAnsi="Times New Roman" w:cs="Times New Roman"/>
                                          <w:caps/>
                                          <w:color w:val="4472C4" w:themeColor="accent1"/>
                                          <w:sz w:val="28"/>
                                          <w:szCs w:val="28"/>
                                        </w:rPr>
                                        <w:t>Equity and trusts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21C6D5" id="Group 119" o:spid="_x0000_s1026" style="position:absolute;margin-left:-5.25pt;margin-top:20.25pt;width:594.75pt;height:765.3pt;z-index:-251657216;mso-position-horizontal-relative:page;mso-position-vertical-relative:page" coordorigin="-4191,-4476" coordsize="75533,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FixxwMAAKwOAAAOAAAAZHJzL2Uyb0RvYy54bWzsV21v4zYM/j5g/0Hw99bxS5rEqHvoemsx&#10;oLgrrh3usyLLsTFb0iSldvfrR0q2m75kV/TQ3oDtSyKZFEU+Jh/Sxx/6tiG3XJtaijyIDmcB4YLJ&#10;ohabPPj95vxgGRBjqShoIwXPgztugg8nP/903KmMx7KSTcE1ASPCZJ3Kg8palYWhYRVvqTmUigsQ&#10;llK31MJWb8JC0w6st00Yz2ZHYSd1obRk3Bh4+tELgxNnvyw5s5/L0nBLmjwA36z71e53jb/hyTHN&#10;NpqqqmaDG/QVXrS0FnDpZOojtZRsdf3EVFszLY0s7SGTbSjLsmbcxQDRRLNH0VxouVUulk3WbdQE&#10;E0D7CKdXm2Wfbi+0ulZXGpDo1AawcDuMpS91i//gJekdZHcTZLy3hMHDxXyeJPE8IAxkq0W0SqIB&#10;VFYB8njuII1W0QzAB42DNF0cLSIPO6t+3WcljZ1OODoRPnCtU5As5h4P8314XFdUcQezyQCPK03q&#10;AnI5BpcFbSFpv0AaUbFpOMGHDiinOcFmMgMI7sVskURzSFYf9Yjc0XK+nCEsiFyUJtEyRoUpZJop&#10;bewFly3BRR5o8MLlGL29NNarjip4tZFNXZzXTeM2WED8rNHklkLqU8a4sCOmDzQbgfpC4klvFJ8A&#10;4GNQbmXvGo56jfjCS8AH3mvsnHGV+vQi50NFC+7vn0OkLn4IbzrhgnUGUbuE+yfb0T/Z9l4O+niU&#10;u0KfDs++fXg64W6Wwk6H21pI/ZyBZoKv9PojSB4aRGktizvIHi09zRjFzmt4dZfU2CuqgVfgbQNX&#10;2s/wUzayywM5rAJSSf3Xc89RH9IbpAHpgKfywPy5pZoHpPlNQOKvojQFs9Zt0vkCs1bvSta7ErFt&#10;zyTkQwSsrJhbor5txmWpZfsVKPUUbwURFQzuzgNm9bg5s54/gZQZPz11akBmitpLca0YGkdUMTVv&#10;+q9UqyF/LWT+JzkWG80epbHXxZNCnm6tLGuX4/e4DnhD4SNTvQsDAExPGcBVEToAXPFiBkiT1Qxo&#10;ElIX0nVgvYcMsEzihdd4SwoYOeZ/CngbCrD9uoeXfJ+178sGjgAmOoCWslxOfDDKdggBZK9mhPV/&#10;kA/ikQ9usIZ/kT0MBK6iduiA2B4EyIJDHuwZDfaORSM9PBitkiXOTavvmxCmJo99nED7OUrmvllO&#10;EuAePxD48hgGDQzPh+FWzwwDL+i5z3f6Fxx8705f/DEOSns7PZa5nxLHt/wjev9Y0TvN/62q/V/W&#10;/933AHwSuRFy+HzDb67dvZsX7j8yT/4GAAD//wMAUEsDBBQABgAIAAAAIQB5s/nJ4QAAAAwBAAAP&#10;AAAAZHJzL2Rvd25yZXYueG1sTI9BS8NAEIXvgv9hGcFbu1k1tsZsSinqqQi2gvQ2TaZJaHY2ZLdJ&#10;+u/dnPQ0M7zHm++lq9E0oqfO1ZY1qHkEgji3Rc2lhu/9+2wJwnnkAhvLpOFKDlbZ7U2KSWEH/qJ+&#10;50sRQtglqKHyvk2kdHlFBt3ctsRBO9nOoA9nV8qiwyGEm0Y+RNGzNFhz+FBhS5uK8vPuYjR8DDis&#10;H9Vbvz2fNtfDPv782SrS+v5uXL+C8DT6PzNM+AEdssB0tBcunGg0zFQUB6uGp2lOBrV4Ce2OYYsX&#10;SoHMUvm/RPYLAAD//wMAUEsBAi0AFAAGAAgAAAAhALaDOJL+AAAA4QEAABMAAAAAAAAAAAAAAAAA&#10;AAAAAFtDb250ZW50X1R5cGVzXS54bWxQSwECLQAUAAYACAAAACEAOP0h/9YAAACUAQAACwAAAAAA&#10;AAAAAAAAAAAvAQAAX3JlbHMvLnJlbHNQSwECLQAUAAYACAAAACEAONRYsccDAACsDgAADgAAAAAA&#10;AAAAAAAAAAAuAgAAZHJzL2Uyb0RvYy54bWxQSwECLQAUAAYACAAAACEAebP5yeEAAAAMAQAADwAA&#10;AAAAAAAAAAAAAAAhBgAAZHJzL2Rvd25yZXYueG1sUEsFBgAAAAAEAAQA8wAAAC8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5A87283" w14:textId="7FB6BAFE" w:rsidR="00E2659D" w:rsidRDefault="00EA53B4">
                                <w:pPr>
                                  <w:pStyle w:val="NoSpacing"/>
                                  <w:rPr>
                                    <w:color w:val="FFFFFF" w:themeColor="background1"/>
                                    <w:sz w:val="32"/>
                                    <w:szCs w:val="32"/>
                                  </w:rPr>
                                </w:pPr>
                                <w:r>
                                  <w:rPr>
                                    <w:color w:val="FFFFFF" w:themeColor="background1"/>
                                    <w:sz w:val="32"/>
                                    <w:szCs w:val="32"/>
                                  </w:rPr>
                                  <w:t>Roshid</w:t>
                                </w:r>
                              </w:p>
                            </w:sdtContent>
                          </w:sdt>
                          <w:p w14:paraId="1A3DE309" w14:textId="66C9BD6C" w:rsidR="00E2659D"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E2659D">
                                  <w:rPr>
                                    <w:caps/>
                                    <w:color w:val="FFFFFF" w:themeColor="background1"/>
                                  </w:rPr>
                                  <w:t xml:space="preserve">     </w:t>
                                </w:r>
                              </w:sdtContent>
                            </w:sdt>
                            <w:r w:rsidR="00E2659D">
                              <w:rPr>
                                <w:caps/>
                                <w:color w:val="FFFFFF" w:themeColor="background1"/>
                              </w:rPr>
                              <w:t xml:space="preserve"> </w:t>
                            </w:r>
                            <w:r w:rsidR="006A0388">
                              <w:rPr>
                                <w:caps/>
                                <w:color w:val="FFFFFF" w:themeColor="background1"/>
                              </w:rPr>
                              <w:t>2023</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E2659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5533;height:387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33B82C5" w14:textId="4590B616" w:rsidR="00E2659D" w:rsidRPr="00E2659D" w:rsidRDefault="00000000" w:rsidP="00E2659D">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sdt>
                              <w:sdtPr>
                                <w:rPr>
                                  <w:rFonts w:ascii="Times New Roman" w:eastAsiaTheme="majorEastAsia" w:hAnsi="Times New Roman" w:cs="Times New Roman"/>
                                  <w:color w:val="70AD47" w:themeColor="accent6"/>
                                  <w:sz w:val="72"/>
                                  <w:szCs w:val="72"/>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Content>
                                <w:r w:rsidR="007F0EEF">
                                  <w:rPr>
                                    <w:rFonts w:ascii="Times New Roman" w:eastAsiaTheme="majorEastAsia" w:hAnsi="Times New Roman" w:cs="Times New Roman"/>
                                    <w:color w:val="70AD47" w:themeColor="accent6"/>
                                    <w:sz w:val="72"/>
                                    <w:szCs w:val="72"/>
                                  </w:rPr>
                                  <w:t xml:space="preserve">     </w:t>
                                </w:r>
                              </w:sdtContent>
                            </w:sdt>
                            <w:r w:rsidR="003D20D9">
                              <w:rPr>
                                <w:rFonts w:ascii="Times New Roman" w:eastAsiaTheme="majorEastAsia" w:hAnsi="Times New Roman" w:cs="Times New Roman"/>
                                <w:color w:val="70AD47" w:themeColor="accent6"/>
                                <w:sz w:val="72"/>
                                <w:szCs w:val="72"/>
                              </w:rPr>
                              <w:t>L</w:t>
                            </w:r>
                            <w:r w:rsidR="007F0EEF">
                              <w:rPr>
                                <w:rFonts w:ascii="Times New Roman" w:eastAsiaTheme="majorEastAsia" w:hAnsi="Times New Roman" w:cs="Times New Roman"/>
                                <w:color w:val="70AD47" w:themeColor="accent6"/>
                                <w:sz w:val="72"/>
                                <w:szCs w:val="72"/>
                              </w:rPr>
                              <w:t>LB</w:t>
                            </w:r>
                            <w:r w:rsidR="003D20D9">
                              <w:rPr>
                                <w:rFonts w:ascii="Times New Roman" w:eastAsiaTheme="majorEastAsia" w:hAnsi="Times New Roman" w:cs="Times New Roman"/>
                                <w:color w:val="70AD47" w:themeColor="accent6"/>
                                <w:sz w:val="72"/>
                                <w:szCs w:val="72"/>
                              </w:rPr>
                              <w:t xml:space="preserve"> Law and Legal Practice</w:t>
                            </w:r>
                          </w:p>
                          <w:sdt>
                            <w:sdtPr>
                              <w:rPr>
                                <w:rFonts w:ascii="Times New Roman" w:hAnsi="Times New Roman" w:cs="Times New Roman"/>
                                <w:caps/>
                                <w:color w:val="4472C4" w:themeColor="accent1"/>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D14A9BE" w14:textId="520581DC" w:rsidR="00E2659D" w:rsidRPr="00E2659D" w:rsidRDefault="00E2659D" w:rsidP="00E2659D">
                                <w:pPr>
                                  <w:pStyle w:val="NoSpacing"/>
                                  <w:spacing w:before="240"/>
                                  <w:jc w:val="center"/>
                                  <w:rPr>
                                    <w:rFonts w:ascii="Times New Roman" w:hAnsi="Times New Roman" w:cs="Times New Roman"/>
                                    <w:caps/>
                                    <w:color w:val="4472C4" w:themeColor="accent1"/>
                                    <w:sz w:val="28"/>
                                    <w:szCs w:val="28"/>
                                  </w:rPr>
                                </w:pPr>
                                <w:r w:rsidRPr="00E2659D">
                                  <w:rPr>
                                    <w:rFonts w:ascii="Times New Roman" w:hAnsi="Times New Roman" w:cs="Times New Roman"/>
                                    <w:caps/>
                                    <w:color w:val="4472C4" w:themeColor="accent1"/>
                                    <w:sz w:val="28"/>
                                    <w:szCs w:val="28"/>
                                  </w:rPr>
                                  <w:t xml:space="preserve">Assignment </w:t>
                                </w:r>
                                <w:r w:rsidR="003D20D9">
                                  <w:rPr>
                                    <w:rFonts w:ascii="Times New Roman" w:hAnsi="Times New Roman" w:cs="Times New Roman"/>
                                    <w:caps/>
                                    <w:color w:val="4472C4" w:themeColor="accent1"/>
                                    <w:sz w:val="28"/>
                                    <w:szCs w:val="28"/>
                                  </w:rPr>
                                  <w:t xml:space="preserve">– </w:t>
                                </w:r>
                                <w:r w:rsidR="001B6D6A">
                                  <w:rPr>
                                    <w:rFonts w:ascii="Times New Roman" w:hAnsi="Times New Roman" w:cs="Times New Roman"/>
                                    <w:caps/>
                                    <w:color w:val="4472C4" w:themeColor="accent1"/>
                                    <w:sz w:val="28"/>
                                    <w:szCs w:val="28"/>
                                  </w:rPr>
                                  <w:t>1:</w:t>
                                </w:r>
                                <w:r w:rsidR="003D20D9">
                                  <w:rPr>
                                    <w:rFonts w:ascii="Times New Roman" w:hAnsi="Times New Roman" w:cs="Times New Roman"/>
                                    <w:caps/>
                                    <w:color w:val="4472C4" w:themeColor="accent1"/>
                                    <w:sz w:val="28"/>
                                    <w:szCs w:val="28"/>
                                  </w:rPr>
                                  <w:t xml:space="preserve"> </w:t>
                                </w:r>
                                <w:r w:rsidR="002D13B6">
                                  <w:rPr>
                                    <w:rFonts w:ascii="Times New Roman" w:hAnsi="Times New Roman" w:cs="Times New Roman"/>
                                    <w:caps/>
                                    <w:color w:val="4472C4" w:themeColor="accent1"/>
                                    <w:sz w:val="28"/>
                                    <w:szCs w:val="28"/>
                                  </w:rPr>
                                  <w:t>Equity and trusts</w:t>
                                </w:r>
                              </w:p>
                            </w:sdtContent>
                          </w:sdt>
                        </w:txbxContent>
                      </v:textbox>
                    </v:shape>
                    <w10:wrap anchorx="page" anchory="page"/>
                  </v:group>
                </w:pict>
              </mc:Fallback>
            </mc:AlternateContent>
          </w:r>
          <w:r w:rsidRPr="00A406E5">
            <w:rPr>
              <w:rFonts w:ascii="Arial" w:hAnsi="Arial" w:cs="Arial"/>
              <w:noProof/>
            </w:rPr>
            <w:drawing>
              <wp:anchor distT="0" distB="0" distL="114300" distR="114300" simplePos="0" relativeHeight="251661312" behindDoc="0" locked="0" layoutInCell="1" allowOverlap="1" wp14:anchorId="7BB1E4E5" wp14:editId="22DD5A1A">
                <wp:simplePos x="0" y="0"/>
                <wp:positionH relativeFrom="margin">
                  <wp:align>left</wp:align>
                </wp:positionH>
                <wp:positionV relativeFrom="paragraph">
                  <wp:posOffset>9525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9D994FD" w14:textId="77777777" w:rsidR="00B65A0A" w:rsidRDefault="00357783" w:rsidP="00B65A0A">
          <w:pPr>
            <w:pStyle w:val="Heading1"/>
            <w:spacing w:before="0" w:line="480" w:lineRule="auto"/>
            <w:jc w:val="both"/>
            <w:rPr>
              <w:rFonts w:ascii="Times New Roman" w:hAnsi="Times New Roman"/>
            </w:rPr>
          </w:pPr>
          <w:r w:rsidRPr="00357783">
            <w:rPr>
              <w:rFonts w:asciiTheme="minorHAnsi" w:hAnsiTheme="minorHAnsi" w:cstheme="minorBidi"/>
              <w:noProof/>
              <w:sz w:val="22"/>
              <w:szCs w:val="22"/>
            </w:rPr>
            <mc:AlternateContent>
              <mc:Choice Requires="wps">
                <w:drawing>
                  <wp:anchor distT="0" distB="0" distL="114300" distR="114300" simplePos="0" relativeHeight="251663360" behindDoc="0" locked="0" layoutInCell="1" allowOverlap="1" wp14:anchorId="4A2F6A95" wp14:editId="5461CF1B">
                    <wp:simplePos x="0" y="0"/>
                    <wp:positionH relativeFrom="margin">
                      <wp:align>right</wp:align>
                    </wp:positionH>
                    <wp:positionV relativeFrom="paragraph">
                      <wp:posOffset>2183130</wp:posOffset>
                    </wp:positionV>
                    <wp:extent cx="5467350" cy="3133725"/>
                    <wp:effectExtent l="76200" t="57150" r="76200" b="123825"/>
                    <wp:wrapNone/>
                    <wp:docPr id="3" name="Rectangle 3"/>
                    <wp:cNvGraphicFramePr/>
                    <a:graphic xmlns:a="http://schemas.openxmlformats.org/drawingml/2006/main">
                      <a:graphicData uri="http://schemas.microsoft.com/office/word/2010/wordprocessingShape">
                        <wps:wsp>
                          <wps:cNvSpPr/>
                          <wps:spPr>
                            <a:xfrm>
                              <a:off x="0" y="0"/>
                              <a:ext cx="5467350" cy="3133725"/>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467F59F5"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Lecturer:</w:t>
                                </w:r>
                                <w:r w:rsidR="009E47E5">
                                  <w:rPr>
                                    <w:rFonts w:ascii="Times New Roman" w:hAnsi="Times New Roman"/>
                                    <w:b/>
                                    <w:sz w:val="32"/>
                                    <w:szCs w:val="32"/>
                                  </w:rPr>
                                  <w:t xml:space="preserve"> </w:t>
                                </w:r>
                                <w:r w:rsidR="002E39A2">
                                  <w:rPr>
                                    <w:rFonts w:ascii="Times New Roman" w:hAnsi="Times New Roman"/>
                                    <w:b/>
                                    <w:sz w:val="32"/>
                                    <w:szCs w:val="32"/>
                                  </w:rPr>
                                  <w:t>Sian Turvey</w:t>
                                </w:r>
                                <w:r w:rsidRPr="00357783">
                                  <w:rPr>
                                    <w:rFonts w:ascii="Times New Roman" w:hAnsi="Times New Roman"/>
                                    <w:b/>
                                    <w:sz w:val="32"/>
                                    <w:szCs w:val="32"/>
                                  </w:rPr>
                                  <w:t xml:space="preserve"> </w:t>
                                </w:r>
                              </w:p>
                              <w:p w14:paraId="772E4951" w14:textId="4ADD5834"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w:t>
                                </w:r>
                                <w:r w:rsidR="003452EA">
                                  <w:rPr>
                                    <w:rFonts w:ascii="Times New Roman" w:hAnsi="Times New Roman"/>
                                    <w:b/>
                                    <w:sz w:val="32"/>
                                    <w:szCs w:val="32"/>
                                  </w:rPr>
                                  <w:t xml:space="preserve">Equity and Trusts </w:t>
                                </w:r>
                                <w:r w:rsidR="00FB340A">
                                  <w:rPr>
                                    <w:rFonts w:ascii="Times New Roman" w:hAnsi="Times New Roman"/>
                                    <w:b/>
                                    <w:sz w:val="32"/>
                                    <w:szCs w:val="32"/>
                                  </w:rPr>
                                  <w:t xml:space="preserve"> </w:t>
                                </w:r>
                              </w:p>
                              <w:p w14:paraId="45BF99DE" w14:textId="59E838F1"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591BF8">
                                  <w:rPr>
                                    <w:rFonts w:ascii="Times New Roman" w:hAnsi="Times New Roman"/>
                                    <w:b/>
                                    <w:sz w:val="32"/>
                                    <w:szCs w:val="32"/>
                                  </w:rPr>
                                  <w:t>600</w:t>
                                </w:r>
                                <w:r w:rsidR="003452EA">
                                  <w:rPr>
                                    <w:rFonts w:ascii="Times New Roman" w:hAnsi="Times New Roman"/>
                                    <w:b/>
                                    <w:sz w:val="32"/>
                                    <w:szCs w:val="32"/>
                                  </w:rPr>
                                  <w:t>7</w:t>
                                </w:r>
                              </w:p>
                              <w:p w14:paraId="627EB3C9" w14:textId="3A04B7FA" w:rsid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3452EA">
                                  <w:rPr>
                                    <w:rFonts w:ascii="Times New Roman" w:hAnsi="Times New Roman"/>
                                    <w:b/>
                                    <w:sz w:val="32"/>
                                    <w:szCs w:val="32"/>
                                  </w:rPr>
                                  <w:t>10</w:t>
                                </w:r>
                                <w:r w:rsidR="003452EA" w:rsidRPr="003452EA">
                                  <w:rPr>
                                    <w:rFonts w:ascii="Times New Roman" w:hAnsi="Times New Roman"/>
                                    <w:b/>
                                    <w:sz w:val="32"/>
                                    <w:szCs w:val="32"/>
                                    <w:vertAlign w:val="superscript"/>
                                  </w:rPr>
                                  <w:t>th</w:t>
                                </w:r>
                                <w:r w:rsidR="003452EA">
                                  <w:rPr>
                                    <w:rFonts w:ascii="Times New Roman" w:hAnsi="Times New Roman"/>
                                    <w:b/>
                                    <w:sz w:val="32"/>
                                    <w:szCs w:val="32"/>
                                  </w:rPr>
                                  <w:t xml:space="preserve"> March 2023</w:t>
                                </w:r>
                                <w:r w:rsidR="00A267B7">
                                  <w:rPr>
                                    <w:rFonts w:ascii="Times New Roman" w:hAnsi="Times New Roman"/>
                                    <w:b/>
                                    <w:sz w:val="32"/>
                                    <w:szCs w:val="32"/>
                                  </w:rPr>
                                  <w:t xml:space="preserve">. </w:t>
                                </w:r>
                              </w:p>
                              <w:p w14:paraId="6212B361" w14:textId="28E02E13" w:rsidR="00B65A0A" w:rsidRPr="00357783" w:rsidRDefault="00B418E6" w:rsidP="00357783">
                                <w:pPr>
                                  <w:jc w:val="both"/>
                                  <w:rPr>
                                    <w:rFonts w:ascii="Times New Roman" w:hAnsi="Times New Roman"/>
                                    <w:b/>
                                    <w:sz w:val="32"/>
                                    <w:szCs w:val="32"/>
                                  </w:rPr>
                                </w:pPr>
                                <w:r>
                                  <w:rPr>
                                    <w:rFonts w:ascii="Times New Roman" w:hAnsi="Times New Roman"/>
                                    <w:b/>
                                    <w:sz w:val="32"/>
                                    <w:szCs w:val="32"/>
                                  </w:rPr>
                                  <w:t>Total words used without heading and References: 25</w:t>
                                </w:r>
                                <w:r w:rsidR="00962252">
                                  <w:rPr>
                                    <w:rFonts w:ascii="Times New Roman" w:hAnsi="Times New Roman"/>
                                    <w:b/>
                                    <w:sz w:val="32"/>
                                    <w:szCs w:val="32"/>
                                  </w:rPr>
                                  <w:t>44</w:t>
                                </w:r>
                                <w:r>
                                  <w:rPr>
                                    <w:rFonts w:ascii="Times New Roman" w:hAnsi="Times New Roman"/>
                                    <w:b/>
                                    <w:sz w:val="32"/>
                                    <w:szCs w:val="3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F6A95" id="Rectangle 3" o:spid="_x0000_s1030" style="position:absolute;left:0;text-align:left;margin-left:379.3pt;margin-top:171.9pt;width:430.5pt;height:246.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REVHgMAAHE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pABOrQD2GCZq2rlwdLkGPMyxm2FCj9HXX+gVqsCXjG6vP3OGqpEU93N0TU9uef9OE9phfW&#10;jOyxdtBrP7bUctD3RWGur3rDUHcfheFo3Idgzy3rc4vatguN+ehhyRoWr+G9l8drbXX7jA05D1Fh&#10;AueInbq6ExYeMkzYsYzP5/GO3WSov1Mrw4LzUL7Q9E+HZ2pN1xAei+CbPq4oOn031Olt+FLp+dbr&#10;WsSJP/GK6gUBey3WsWutsDjP5fjq9E8x+wUAAP//AwBQSwMEFAAGAAgAAAAhAGEmMk/eAAAACAEA&#10;AA8AAABkcnMvZG93bnJldi54bWxMj0FPwkAQhe8m/ofNkHiTLa6hpHZLjImJ3gQk4Ti0Y1voztbu&#10;AvXfO57wNjPv5c338uXoOnWmIbSeLcymCSji0lct1xY+N6/3C1AhIlfYeSYLPxRgWdze5JhV/sIr&#10;Oq9jrSSEQ4YWmhj7TOtQNuQwTH1PLNqXHxxGWYdaVwNeJNx1+iFJ5tphy/KhwZ5eGiqP65Oz8K23&#10;ZluGg/FH3Hyk7/3ubZXurL2bjM9PoCKN8WqGP3xBh0KY9v7EVVCdBSkSLZhHIwVEXsxnctnLYFID&#10;usj1/wLFLwAAAP//AwBQSwECLQAUAAYACAAAACEAtoM4kv4AAADhAQAAEwAAAAAAAAAAAAAAAAAA&#10;AAAAW0NvbnRlbnRfVHlwZXNdLnhtbFBLAQItABQABgAIAAAAIQA4/SH/1gAAAJQBAAALAAAAAAAA&#10;AAAAAAAAAC8BAABfcmVscy8ucmVsc1BLAQItABQABgAIAAAAIQDYTREVHgMAAHEGAAAOAAAAAAAA&#10;AAAAAAAAAC4CAABkcnMvZTJvRG9jLnhtbFBLAQItABQABgAIAAAAIQBhJjJP3gAAAAgBAAAPAAAA&#10;AAAAAAAAAAAAAHgFAABkcnMvZG93bnJldi54bWxQSwUGAAAAAAQABADzAAAAgwYAAAAA&#10;" fillcolor="#ffd966" stroked="f" strokeweight=".5pt">
                    <v:shadow on="t" color="black" opacity="20971f" offset="0,2.2pt"/>
                    <v:textbo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467F59F5"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Lecturer:</w:t>
                          </w:r>
                          <w:r w:rsidR="009E47E5">
                            <w:rPr>
                              <w:rFonts w:ascii="Times New Roman" w:hAnsi="Times New Roman"/>
                              <w:b/>
                              <w:sz w:val="32"/>
                              <w:szCs w:val="32"/>
                            </w:rPr>
                            <w:t xml:space="preserve"> </w:t>
                          </w:r>
                          <w:r w:rsidR="002E39A2">
                            <w:rPr>
                              <w:rFonts w:ascii="Times New Roman" w:hAnsi="Times New Roman"/>
                              <w:b/>
                              <w:sz w:val="32"/>
                              <w:szCs w:val="32"/>
                            </w:rPr>
                            <w:t>Sian Turvey</w:t>
                          </w:r>
                          <w:r w:rsidRPr="00357783">
                            <w:rPr>
                              <w:rFonts w:ascii="Times New Roman" w:hAnsi="Times New Roman"/>
                              <w:b/>
                              <w:sz w:val="32"/>
                              <w:szCs w:val="32"/>
                            </w:rPr>
                            <w:t xml:space="preserve"> </w:t>
                          </w:r>
                        </w:p>
                        <w:p w14:paraId="772E4951" w14:textId="4ADD5834"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w:t>
                          </w:r>
                          <w:r w:rsidR="003452EA">
                            <w:rPr>
                              <w:rFonts w:ascii="Times New Roman" w:hAnsi="Times New Roman"/>
                              <w:b/>
                              <w:sz w:val="32"/>
                              <w:szCs w:val="32"/>
                            </w:rPr>
                            <w:t xml:space="preserve">Equity and Trusts </w:t>
                          </w:r>
                          <w:r w:rsidR="00FB340A">
                            <w:rPr>
                              <w:rFonts w:ascii="Times New Roman" w:hAnsi="Times New Roman"/>
                              <w:b/>
                              <w:sz w:val="32"/>
                              <w:szCs w:val="32"/>
                            </w:rPr>
                            <w:t xml:space="preserve"> </w:t>
                          </w:r>
                        </w:p>
                        <w:p w14:paraId="45BF99DE" w14:textId="59E838F1"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591BF8">
                            <w:rPr>
                              <w:rFonts w:ascii="Times New Roman" w:hAnsi="Times New Roman"/>
                              <w:b/>
                              <w:sz w:val="32"/>
                              <w:szCs w:val="32"/>
                            </w:rPr>
                            <w:t>600</w:t>
                          </w:r>
                          <w:r w:rsidR="003452EA">
                            <w:rPr>
                              <w:rFonts w:ascii="Times New Roman" w:hAnsi="Times New Roman"/>
                              <w:b/>
                              <w:sz w:val="32"/>
                              <w:szCs w:val="32"/>
                            </w:rPr>
                            <w:t>7</w:t>
                          </w:r>
                        </w:p>
                        <w:p w14:paraId="627EB3C9" w14:textId="3A04B7FA" w:rsid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3452EA">
                            <w:rPr>
                              <w:rFonts w:ascii="Times New Roman" w:hAnsi="Times New Roman"/>
                              <w:b/>
                              <w:sz w:val="32"/>
                              <w:szCs w:val="32"/>
                            </w:rPr>
                            <w:t>10</w:t>
                          </w:r>
                          <w:r w:rsidR="003452EA" w:rsidRPr="003452EA">
                            <w:rPr>
                              <w:rFonts w:ascii="Times New Roman" w:hAnsi="Times New Roman"/>
                              <w:b/>
                              <w:sz w:val="32"/>
                              <w:szCs w:val="32"/>
                              <w:vertAlign w:val="superscript"/>
                            </w:rPr>
                            <w:t>th</w:t>
                          </w:r>
                          <w:r w:rsidR="003452EA">
                            <w:rPr>
                              <w:rFonts w:ascii="Times New Roman" w:hAnsi="Times New Roman"/>
                              <w:b/>
                              <w:sz w:val="32"/>
                              <w:szCs w:val="32"/>
                            </w:rPr>
                            <w:t xml:space="preserve"> March 2023</w:t>
                          </w:r>
                          <w:r w:rsidR="00A267B7">
                            <w:rPr>
                              <w:rFonts w:ascii="Times New Roman" w:hAnsi="Times New Roman"/>
                              <w:b/>
                              <w:sz w:val="32"/>
                              <w:szCs w:val="32"/>
                            </w:rPr>
                            <w:t xml:space="preserve">. </w:t>
                          </w:r>
                        </w:p>
                        <w:p w14:paraId="6212B361" w14:textId="28E02E13" w:rsidR="00B65A0A" w:rsidRPr="00357783" w:rsidRDefault="00B418E6" w:rsidP="00357783">
                          <w:pPr>
                            <w:jc w:val="both"/>
                            <w:rPr>
                              <w:rFonts w:ascii="Times New Roman" w:hAnsi="Times New Roman"/>
                              <w:b/>
                              <w:sz w:val="32"/>
                              <w:szCs w:val="32"/>
                            </w:rPr>
                          </w:pPr>
                          <w:r>
                            <w:rPr>
                              <w:rFonts w:ascii="Times New Roman" w:hAnsi="Times New Roman"/>
                              <w:b/>
                              <w:sz w:val="32"/>
                              <w:szCs w:val="32"/>
                            </w:rPr>
                            <w:t>Total words used without heading and References: 25</w:t>
                          </w:r>
                          <w:r w:rsidR="00962252">
                            <w:rPr>
                              <w:rFonts w:ascii="Times New Roman" w:hAnsi="Times New Roman"/>
                              <w:b/>
                              <w:sz w:val="32"/>
                              <w:szCs w:val="32"/>
                            </w:rPr>
                            <w:t>44</w:t>
                          </w:r>
                          <w:r>
                            <w:rPr>
                              <w:rFonts w:ascii="Times New Roman" w:hAnsi="Times New Roman"/>
                              <w:b/>
                              <w:sz w:val="32"/>
                              <w:szCs w:val="32"/>
                            </w:rPr>
                            <w:t xml:space="preserve"> </w:t>
                          </w:r>
                        </w:p>
                      </w:txbxContent>
                    </v:textbox>
                    <w10:wrap anchorx="margin"/>
                  </v:rect>
                </w:pict>
              </mc:Fallback>
            </mc:AlternateContent>
          </w:r>
          <w:r w:rsidR="00E2659D">
            <w:rPr>
              <w:rFonts w:ascii="Times New Roman" w:hAnsi="Times New Roman"/>
            </w:rPr>
            <w:br w:type="page"/>
          </w:r>
        </w:p>
      </w:sdtContent>
    </w:sdt>
    <w:p w14:paraId="4FCA5AE5" w14:textId="473F1370" w:rsidR="00B65A0A" w:rsidRPr="00B65A0A" w:rsidRDefault="00B65A0A" w:rsidP="00B65A0A">
      <w:pPr>
        <w:pStyle w:val="Heading1"/>
        <w:spacing w:before="0" w:line="480" w:lineRule="auto"/>
        <w:jc w:val="both"/>
        <w:rPr>
          <w:rFonts w:ascii="Times New Roman" w:eastAsia="Times New Roman" w:hAnsi="Times New Roman" w:cs="Times New Roman"/>
          <w:color w:val="000000"/>
          <w:kern w:val="32"/>
          <w:sz w:val="24"/>
          <w:szCs w:val="24"/>
          <w:lang w:eastAsia="en-GB"/>
        </w:rPr>
      </w:pPr>
      <w:r w:rsidRPr="00B65A0A">
        <w:rPr>
          <w:rFonts w:ascii="Times New Roman" w:eastAsia="Times New Roman" w:hAnsi="Times New Roman" w:cs="Times New Roman"/>
          <w:color w:val="000000"/>
          <w:kern w:val="32"/>
          <w:sz w:val="24"/>
          <w:szCs w:val="24"/>
          <w:lang w:eastAsia="en-GB"/>
        </w:rPr>
        <w:lastRenderedPageBreak/>
        <w:t xml:space="preserve"> Introduction </w:t>
      </w:r>
    </w:p>
    <w:p w14:paraId="210DEFB1" w14:textId="64DDE741" w:rsidR="00B65A0A" w:rsidRDefault="00B65A0A" w:rsidP="00B65A0A">
      <w:pPr>
        <w:spacing w:after="0" w:line="480" w:lineRule="auto"/>
        <w:jc w:val="both"/>
        <w:rPr>
          <w:rFonts w:ascii="Times New Roman" w:eastAsia="Times New Roman" w:hAnsi="Times New Roman"/>
          <w:color w:val="000000"/>
          <w:shd w:val="clear" w:color="auto" w:fill="FFFFFF"/>
          <w:lang w:val="en-GB" w:eastAsia="en-GB"/>
        </w:rPr>
      </w:pPr>
      <w:r w:rsidRPr="00B65A0A">
        <w:rPr>
          <w:rFonts w:ascii="Times New Roman" w:eastAsia="Times New Roman" w:hAnsi="Times New Roman"/>
          <w:color w:val="000000"/>
          <w:lang w:val="en-GB" w:eastAsia="en-GB"/>
        </w:rPr>
        <w:tab/>
        <w:t xml:space="preserve">In the UK, "Equity," a set of rules developed in the Courts of Chancery to mitigate the rigidity of the common law, included the creation of the law of trusts. The concept of equity is typically related with the concepts of morality and fairness, with an emphasis on ethical jurisdiction and responsibility </w:t>
      </w:r>
      <w:r w:rsidRPr="00B65A0A">
        <w:rPr>
          <w:rFonts w:ascii="Times New Roman" w:eastAsia="Times New Roman" w:hAnsi="Times New Roman"/>
          <w:i/>
          <w:iCs/>
          <w:color w:val="000000"/>
          <w:lang w:val="en-GB" w:eastAsia="en-GB"/>
        </w:rPr>
        <w:t>(Lexix Nexis, 2023).</w:t>
      </w:r>
      <w:r w:rsidRPr="00B65A0A">
        <w:rPr>
          <w:rFonts w:ascii="Times New Roman" w:eastAsia="Times New Roman" w:hAnsi="Times New Roman"/>
          <w:color w:val="000000"/>
          <w:lang w:val="en-GB" w:eastAsia="en-GB"/>
        </w:rPr>
        <w:t xml:space="preserve"> In terms of law, it refers to a type of law that was practised before the Judicature Acts of 1873–1875 that was isolated from the common law and handled in the Court of Chancery. It encompasses a wide range set of rights and remedies and aims to secure a balance between judicial discretion and the law's established rules of procedure </w:t>
      </w:r>
      <w:r w:rsidRPr="00B65A0A">
        <w:rPr>
          <w:rFonts w:ascii="Times New Roman" w:eastAsia="Times New Roman" w:hAnsi="Times New Roman"/>
          <w:i/>
          <w:iCs/>
          <w:color w:val="000000"/>
          <w:lang w:val="en-GB" w:eastAsia="en-GB"/>
        </w:rPr>
        <w:t xml:space="preserve">(Watt, 2016). </w:t>
      </w:r>
      <w:r w:rsidRPr="00B65A0A">
        <w:rPr>
          <w:rFonts w:ascii="Times New Roman" w:eastAsia="Times New Roman" w:hAnsi="Times New Roman"/>
          <w:color w:val="000000"/>
          <w:lang w:val="en-GB" w:eastAsia="en-GB"/>
        </w:rPr>
        <w:t xml:space="preserve">Since 1875, equity has been applied alongside common law. To safeguard the interests of fair judgment in particular circumstances, equity indicates that the law has the internal flexibility to diverge from the fundamental principles. Equity also tries to prevent the unjustified assertion established by universal statutory provisions and powers of the common law </w:t>
      </w:r>
      <w:r w:rsidRPr="00B65A0A">
        <w:rPr>
          <w:rFonts w:ascii="Times New Roman" w:eastAsia="Times New Roman" w:hAnsi="Times New Roman"/>
          <w:i/>
          <w:iCs/>
          <w:color w:val="000000"/>
          <w:lang w:val="en-GB" w:eastAsia="en-GB"/>
        </w:rPr>
        <w:t>(</w:t>
      </w:r>
      <w:r w:rsidRPr="00B65A0A">
        <w:rPr>
          <w:rFonts w:ascii="Times New Roman" w:eastAsia="Times New Roman" w:hAnsi="Times New Roman"/>
          <w:i/>
          <w:iCs/>
          <w:lang w:val="en-GB" w:eastAsia="en-GB"/>
        </w:rPr>
        <w:t>Atkins, 2015</w:t>
      </w:r>
      <w:r w:rsidRPr="00B65A0A">
        <w:rPr>
          <w:rFonts w:ascii="Times New Roman" w:eastAsia="Times New Roman" w:hAnsi="Times New Roman"/>
          <w:i/>
          <w:iCs/>
          <w:color w:val="000000"/>
          <w:lang w:val="en-GB" w:eastAsia="en-GB"/>
        </w:rPr>
        <w:t>).</w:t>
      </w:r>
      <w:r w:rsidRPr="00B65A0A">
        <w:rPr>
          <w:rFonts w:ascii="Times New Roman" w:eastAsia="Times New Roman" w:hAnsi="Times New Roman"/>
          <w:color w:val="000000"/>
          <w:lang w:val="en-GB" w:eastAsia="en-GB"/>
        </w:rPr>
        <w:t xml:space="preserve"> The most notable outcome of equity is trust, which was added to the law of property to address the problem when one person had legal possession of property, but the courts deemed it fair, just, or "equitable" to require them to utilise it in a manner that it offers a benefit to the other party </w:t>
      </w:r>
      <w:r w:rsidRPr="00B65A0A">
        <w:rPr>
          <w:rFonts w:ascii="Times New Roman" w:eastAsia="Times New Roman" w:hAnsi="Times New Roman"/>
          <w:i/>
          <w:iCs/>
          <w:color w:val="000000"/>
          <w:lang w:val="en-GB" w:eastAsia="en-GB"/>
        </w:rPr>
        <w:t>(</w:t>
      </w:r>
      <w:r w:rsidRPr="00B65A0A">
        <w:rPr>
          <w:rFonts w:ascii="Times New Roman" w:eastAsia="Times New Roman" w:hAnsi="Times New Roman"/>
          <w:i/>
          <w:iCs/>
          <w:lang w:val="en-GB" w:eastAsia="en-GB"/>
        </w:rPr>
        <w:t>Akkouh and Webb, 2017</w:t>
      </w:r>
      <w:r w:rsidRPr="00B65A0A">
        <w:rPr>
          <w:rFonts w:ascii="Times New Roman" w:eastAsia="Times New Roman" w:hAnsi="Times New Roman"/>
          <w:i/>
          <w:iCs/>
          <w:color w:val="000000"/>
          <w:lang w:val="en-GB" w:eastAsia="en-GB"/>
        </w:rPr>
        <w:t>)</w:t>
      </w:r>
      <w:r w:rsidRPr="00B65A0A">
        <w:rPr>
          <w:rFonts w:ascii="Times New Roman" w:eastAsia="Times New Roman" w:hAnsi="Times New Roman"/>
          <w:color w:val="000000"/>
          <w:lang w:val="en-GB" w:eastAsia="en-GB"/>
        </w:rPr>
        <w:t>. This is referred to as a split between legal and beneficial ownership where the legal owner was identified as a "trustee" (since he was responsible for entrusting the assigned property), and the beneficial owner was understood as the "beneficiary" under this arrangement </w:t>
      </w:r>
      <w:r w:rsidRPr="00B65A0A">
        <w:rPr>
          <w:rFonts w:ascii="Times New Roman" w:eastAsia="Times New Roman" w:hAnsi="Times New Roman"/>
          <w:i/>
          <w:iCs/>
          <w:color w:val="000000"/>
          <w:lang w:val="en-GB" w:eastAsia="en-GB"/>
        </w:rPr>
        <w:t>(Watt, 2016)</w:t>
      </w:r>
      <w:r w:rsidRPr="00B65A0A">
        <w:rPr>
          <w:rFonts w:ascii="Times New Roman" w:eastAsia="Times New Roman" w:hAnsi="Times New Roman"/>
          <w:color w:val="000000"/>
          <w:lang w:val="en-GB" w:eastAsia="en-GB"/>
        </w:rPr>
        <w:t xml:space="preserve">. </w:t>
      </w:r>
      <w:r w:rsidRPr="00B65A0A">
        <w:rPr>
          <w:rFonts w:ascii="Times New Roman" w:eastAsia="Times New Roman" w:hAnsi="Times New Roman"/>
          <w:color w:val="000000"/>
          <w:shd w:val="clear" w:color="auto" w:fill="FFFFFF"/>
          <w:lang w:val="en-GB" w:eastAsia="en-GB"/>
        </w:rPr>
        <w:t>In respect equity and trust, this essay seeks to examine the factors that led to the creation and development of trusts and argues that the rigidity of the common law, limited remedies under common law and the need to ensure protection to the beneficiaries were the key factors in this context. For this purpose, this essay draws attention to the history of trusts and the reforms undertaken in laws relating to trust</w:t>
      </w:r>
      <w:r w:rsidR="00E95629">
        <w:rPr>
          <w:rFonts w:ascii="Times New Roman" w:eastAsia="Times New Roman" w:hAnsi="Times New Roman"/>
          <w:color w:val="000000"/>
          <w:shd w:val="clear" w:color="auto" w:fill="FFFFFF"/>
          <w:lang w:val="en-GB" w:eastAsia="en-GB"/>
        </w:rPr>
        <w:t xml:space="preserve"> </w:t>
      </w:r>
      <w:bookmarkStart w:id="0" w:name="_Hlk129287921"/>
      <w:r w:rsidR="00E95629" w:rsidRPr="00E95629">
        <w:rPr>
          <w:rFonts w:ascii="Times New Roman" w:eastAsia="Times New Roman" w:hAnsi="Times New Roman"/>
          <w:i/>
          <w:iCs/>
          <w:lang w:val="en-GB" w:eastAsia="en-GB"/>
        </w:rPr>
        <w:t>(</w:t>
      </w:r>
      <w:r w:rsidR="00E95629" w:rsidRPr="00E95629">
        <w:rPr>
          <w:rFonts w:ascii="Times New Roman" w:eastAsia="Times New Roman" w:hAnsi="Times New Roman"/>
          <w:i/>
          <w:iCs/>
          <w:lang w:val="en-GB" w:eastAsia="en-GB"/>
        </w:rPr>
        <w:t>S. Gardner. 2011</w:t>
      </w:r>
      <w:r w:rsidR="00E95629" w:rsidRPr="00E95629">
        <w:rPr>
          <w:rFonts w:ascii="Times New Roman" w:eastAsia="Times New Roman" w:hAnsi="Times New Roman"/>
          <w:i/>
          <w:iCs/>
          <w:lang w:val="en-GB" w:eastAsia="en-GB"/>
        </w:rPr>
        <w:t>).</w:t>
      </w:r>
      <w:r w:rsidRPr="00B65A0A">
        <w:rPr>
          <w:rFonts w:ascii="Times New Roman" w:eastAsia="Times New Roman" w:hAnsi="Times New Roman"/>
          <w:color w:val="000000"/>
          <w:shd w:val="clear" w:color="auto" w:fill="FFFFFF"/>
          <w:lang w:val="en-GB" w:eastAsia="en-GB"/>
        </w:rPr>
        <w:t xml:space="preserve">  </w:t>
      </w:r>
      <w:bookmarkEnd w:id="0"/>
    </w:p>
    <w:p w14:paraId="22F87C25" w14:textId="77777777" w:rsidR="00B65A0A" w:rsidRPr="00B65A0A" w:rsidRDefault="00B65A0A" w:rsidP="00B65A0A">
      <w:pPr>
        <w:spacing w:after="0" w:line="480" w:lineRule="auto"/>
        <w:jc w:val="both"/>
        <w:rPr>
          <w:rFonts w:ascii="Times New Roman" w:eastAsia="Times New Roman" w:hAnsi="Times New Roman"/>
          <w:color w:val="000000"/>
          <w:shd w:val="clear" w:color="auto" w:fill="FFFFFF"/>
          <w:lang w:val="en-GB" w:eastAsia="en-GB"/>
        </w:rPr>
      </w:pPr>
    </w:p>
    <w:p w14:paraId="3FF8F535" w14:textId="77777777" w:rsidR="005B18CC" w:rsidRDefault="005B18CC" w:rsidP="00B65A0A">
      <w:pPr>
        <w:spacing w:after="0" w:line="480" w:lineRule="auto"/>
        <w:ind w:firstLine="720"/>
        <w:jc w:val="both"/>
        <w:rPr>
          <w:rFonts w:ascii="Times New Roman" w:eastAsia="Times New Roman" w:hAnsi="Times New Roman"/>
          <w:color w:val="000000"/>
          <w:lang w:val="en-GB" w:eastAsia="en-GB"/>
        </w:rPr>
      </w:pPr>
    </w:p>
    <w:p w14:paraId="59CEC9C0" w14:textId="77777777" w:rsidR="005B18CC" w:rsidRDefault="005B18CC" w:rsidP="00B65A0A">
      <w:pPr>
        <w:spacing w:after="0" w:line="480" w:lineRule="auto"/>
        <w:ind w:firstLine="720"/>
        <w:jc w:val="both"/>
        <w:rPr>
          <w:rFonts w:ascii="Times New Roman" w:eastAsia="Times New Roman" w:hAnsi="Times New Roman"/>
          <w:color w:val="000000"/>
          <w:lang w:val="en-GB" w:eastAsia="en-GB"/>
        </w:rPr>
      </w:pPr>
    </w:p>
    <w:p w14:paraId="595AFEEE" w14:textId="1109B16B" w:rsidR="00B65A0A" w:rsidRPr="00B65A0A" w:rsidRDefault="00B65A0A" w:rsidP="00B65A0A">
      <w:pPr>
        <w:spacing w:after="0" w:line="480" w:lineRule="auto"/>
        <w:ind w:firstLine="720"/>
        <w:jc w:val="both"/>
        <w:rPr>
          <w:rFonts w:ascii="Times New Roman" w:eastAsia="Times New Roman" w:hAnsi="Times New Roman"/>
          <w:color w:val="000000"/>
          <w:lang w:val="en-GB" w:eastAsia="en-GB"/>
        </w:rPr>
      </w:pPr>
      <w:r w:rsidRPr="00B65A0A">
        <w:rPr>
          <w:rFonts w:ascii="Times New Roman" w:eastAsia="Times New Roman" w:hAnsi="Times New Roman"/>
          <w:color w:val="000000"/>
          <w:lang w:val="en-GB" w:eastAsia="en-GB"/>
        </w:rPr>
        <w:lastRenderedPageBreak/>
        <w:t xml:space="preserve">The legal rules and provisions controlling personal obligations and those governing rights connected to property are clearly separated in major civil law nations.  as seen in the case of </w:t>
      </w:r>
      <w:r w:rsidRPr="00B65A0A">
        <w:rPr>
          <w:rFonts w:ascii="Times New Roman" w:eastAsia="Times New Roman" w:hAnsi="Times New Roman"/>
          <w:i/>
          <w:color w:val="000000"/>
          <w:lang w:val="en-GB" w:eastAsia="en-GB"/>
        </w:rPr>
        <w:t>Staden v. Jones</w:t>
      </w:r>
      <w:r w:rsidRPr="00B65A0A">
        <w:rPr>
          <w:rFonts w:ascii="Times New Roman" w:eastAsia="Times New Roman" w:hAnsi="Times New Roman"/>
          <w:color w:val="000000"/>
          <w:lang w:val="en-GB" w:eastAsia="en-GB"/>
        </w:rPr>
        <w:t xml:space="preserve">, English law is a unique fusion of property and responsibility that imposes an obligation to behave in a specific way on behalf of any other person. The dichotomy between legal and equitable ownership is a fundamental principle that is strongly related to trusts and can also be looked at as a driving factor behind the development of trusts. The origins of equity, and hence trusts, can be traced back to mediaeval England. </w:t>
      </w:r>
      <w:r w:rsidR="00EF716A" w:rsidRPr="00B65A0A">
        <w:rPr>
          <w:rFonts w:ascii="Times New Roman" w:eastAsia="Times New Roman" w:hAnsi="Times New Roman"/>
          <w:color w:val="000000"/>
          <w:lang w:val="en-GB" w:eastAsia="en-GB"/>
        </w:rPr>
        <w:t>King Henry,</w:t>
      </w:r>
      <w:r w:rsidRPr="00B65A0A">
        <w:rPr>
          <w:rFonts w:ascii="Times New Roman" w:eastAsia="Times New Roman" w:hAnsi="Times New Roman"/>
          <w:color w:val="000000"/>
          <w:lang w:val="en-GB" w:eastAsia="en-GB"/>
        </w:rPr>
        <w:t xml:space="preserve"> I established his power over his subjects in the year 1200 by having his court travel the nation to collect taxes and administer justice </w:t>
      </w:r>
      <w:r w:rsidRPr="00B65A0A">
        <w:rPr>
          <w:rFonts w:ascii="Times New Roman" w:eastAsia="Times New Roman" w:hAnsi="Times New Roman"/>
          <w:i/>
          <w:iCs/>
          <w:color w:val="000000"/>
          <w:lang w:val="en-GB" w:eastAsia="en-GB"/>
        </w:rPr>
        <w:t>(Huws, 2014).</w:t>
      </w:r>
      <w:r w:rsidRPr="00B65A0A">
        <w:rPr>
          <w:rFonts w:ascii="Times New Roman" w:eastAsia="Times New Roman" w:hAnsi="Times New Roman"/>
          <w:color w:val="000000"/>
          <w:lang w:val="en-GB" w:eastAsia="en-GB"/>
        </w:rPr>
        <w:t xml:space="preserve"> The King's Chancellor, who was often an educated clergyman, would counsel the King and his Council when making decisions. During the 13th century, each judgement the King rendered in a particular legal matter became a standard for subsequent use. During this time, the first instances of land use can be found. The Chancellor acknowledged the use, which was crucial during times of a conflict. in that era, woman could not hold land, and hence, when the wealthy people of the land left the country to join the battle to assist the King, they would leave their properties in the name of a trusted person for the use and convenience of the first individual's spouse and household </w:t>
      </w:r>
      <w:r w:rsidRPr="00B65A0A">
        <w:rPr>
          <w:rFonts w:ascii="Times New Roman" w:eastAsia="Times New Roman" w:hAnsi="Times New Roman"/>
          <w:i/>
          <w:iCs/>
          <w:color w:val="000000"/>
          <w:lang w:val="en-GB" w:eastAsia="en-GB"/>
        </w:rPr>
        <w:t xml:space="preserve">(Virgo, 2018). </w:t>
      </w:r>
      <w:r w:rsidRPr="00B65A0A">
        <w:rPr>
          <w:rFonts w:ascii="Times New Roman" w:eastAsia="Times New Roman" w:hAnsi="Times New Roman"/>
          <w:color w:val="000000"/>
          <w:lang w:val="en-GB" w:eastAsia="en-GB"/>
        </w:rPr>
        <w:t xml:space="preserve">In this regard, </w:t>
      </w:r>
      <w:r w:rsidRPr="00B65A0A">
        <w:rPr>
          <w:rFonts w:ascii="Times New Roman" w:eastAsia="Times New Roman" w:hAnsi="Times New Roman"/>
          <w:i/>
          <w:iCs/>
          <w:color w:val="000000"/>
          <w:lang w:val="en-GB" w:eastAsia="en-GB"/>
        </w:rPr>
        <w:t>Adams (1916)</w:t>
      </w:r>
      <w:r w:rsidRPr="00B65A0A">
        <w:rPr>
          <w:rFonts w:ascii="Times New Roman" w:eastAsia="Times New Roman" w:hAnsi="Times New Roman"/>
          <w:color w:val="000000"/>
          <w:lang w:val="en-GB" w:eastAsia="en-GB"/>
        </w:rPr>
        <w:t xml:space="preserve"> explains that with the coming of the thirteenth century, law had entered a period when the old-aged legal framework and court system was succumbing into insignificance in the face of the advancement of the newer legal framework, the Common Law system, and when the latter was beginning to be regarded as the standard and predominant law of the community. It was also a moment when the court system began to differentiate itself gradually but inevitably. it is further examined that Land taxes were generally assessed under Norman law of feudalism when land was transferred through grant or inheritance. If there were a living entity that could own land, the sovereign could not levy taxes on it </w:t>
      </w:r>
      <w:r w:rsidRPr="00B65A0A">
        <w:rPr>
          <w:rFonts w:ascii="Times New Roman" w:eastAsia="Times New Roman" w:hAnsi="Times New Roman"/>
          <w:i/>
          <w:iCs/>
          <w:color w:val="000000"/>
          <w:lang w:val="en-GB" w:eastAsia="en-GB"/>
        </w:rPr>
        <w:t>(Watt, 2016b).</w:t>
      </w:r>
      <w:r w:rsidRPr="00B65A0A">
        <w:rPr>
          <w:rFonts w:ascii="Times New Roman" w:eastAsia="Times New Roman" w:hAnsi="Times New Roman"/>
          <w:color w:val="000000"/>
          <w:lang w:val="en-GB" w:eastAsia="en-GB"/>
        </w:rPr>
        <w:t xml:space="preserve"> Hence, under the Mortmain Acts 3 promulgated by Parliament in 1300s, and religious organisations, such as the Catholic Church, were prohibited from possessing land. When parishioners left real estate to the Catholic Church, the Church devised an informal trust arrangement by gifting title to a common trustee for "use" by the Church in order to escape the legal </w:t>
      </w:r>
      <w:r w:rsidRPr="00B65A0A">
        <w:rPr>
          <w:rFonts w:ascii="Times New Roman" w:eastAsia="Times New Roman" w:hAnsi="Times New Roman"/>
          <w:color w:val="000000"/>
          <w:lang w:val="en-GB" w:eastAsia="en-GB"/>
        </w:rPr>
        <w:lastRenderedPageBreak/>
        <w:t xml:space="preserve">constraints and moral inconsistencies </w:t>
      </w:r>
      <w:r w:rsidRPr="00B65A0A">
        <w:rPr>
          <w:rFonts w:ascii="Times New Roman" w:eastAsia="Times New Roman" w:hAnsi="Times New Roman"/>
          <w:i/>
          <w:iCs/>
          <w:color w:val="000000"/>
          <w:lang w:val="en-GB" w:eastAsia="en-GB"/>
        </w:rPr>
        <w:t>(Penner, 2016).</w:t>
      </w:r>
      <w:r w:rsidRPr="00B65A0A">
        <w:rPr>
          <w:rFonts w:ascii="Times New Roman" w:eastAsia="Times New Roman" w:hAnsi="Times New Roman"/>
          <w:color w:val="000000"/>
          <w:lang w:val="en-GB" w:eastAsia="en-GB"/>
        </w:rPr>
        <w:t xml:space="preserve"> However, this situation motivated the Church officials explore alternative legitimate means to persuade a trustee to abide by his pledge because common law courts could not enforce these informal arrangements. Therefore, the lack of a distinction between legal ownership and equitable use of land can be observed as the main reason because of which trusts were established </w:t>
      </w:r>
      <w:r w:rsidRPr="00B65A0A">
        <w:rPr>
          <w:rFonts w:ascii="Times New Roman" w:eastAsia="Times New Roman" w:hAnsi="Times New Roman"/>
          <w:i/>
          <w:iCs/>
          <w:color w:val="000000"/>
          <w:lang w:val="en-GB" w:eastAsia="en-GB"/>
        </w:rPr>
        <w:t>(Watt, 2016).</w:t>
      </w:r>
    </w:p>
    <w:p w14:paraId="12F2CF40" w14:textId="77777777" w:rsidR="00B65A0A" w:rsidRPr="00B65A0A" w:rsidRDefault="00B65A0A" w:rsidP="00B65A0A">
      <w:pPr>
        <w:spacing w:after="0" w:line="480" w:lineRule="auto"/>
        <w:ind w:firstLine="720"/>
        <w:jc w:val="both"/>
        <w:rPr>
          <w:rFonts w:ascii="Times New Roman" w:eastAsia="Times New Roman" w:hAnsi="Times New Roman"/>
          <w:color w:val="000000"/>
          <w:lang w:val="en-GB" w:eastAsia="en-GB"/>
        </w:rPr>
      </w:pPr>
      <w:r w:rsidRPr="00B65A0A">
        <w:rPr>
          <w:rFonts w:ascii="Times New Roman" w:eastAsia="Times New Roman" w:hAnsi="Times New Roman"/>
          <w:color w:val="000000"/>
          <w:lang w:val="en-GB" w:eastAsia="en-GB"/>
        </w:rPr>
        <w:t xml:space="preserve">Because the original owner was not available to file a lawsuit and because the law did not acknowledge the right held by a third party, for instance the designated benefactor, to execute the contract, there was no legal avenue if the person holding title utilised the property to achieve their own gain. The legal title and equitable usage of land were not separated in the early English common law. As a result, the knights had a significant problem because they needed someone to oversee their properties while they went on religious wars to the Holy Land. As a result, they made informal contracts with trustees </w:t>
      </w:r>
      <w:r w:rsidRPr="00B65A0A">
        <w:rPr>
          <w:rFonts w:ascii="Times New Roman" w:eastAsia="Times New Roman" w:hAnsi="Times New Roman"/>
          <w:i/>
          <w:iCs/>
          <w:color w:val="000000"/>
          <w:lang w:val="en-GB" w:eastAsia="en-GB"/>
        </w:rPr>
        <w:t>(Wilson, 2015).</w:t>
      </w:r>
      <w:r w:rsidRPr="00B65A0A">
        <w:rPr>
          <w:rFonts w:ascii="Times New Roman" w:eastAsia="Times New Roman" w:hAnsi="Times New Roman"/>
          <w:color w:val="000000"/>
          <w:lang w:val="en-GB" w:eastAsia="en-GB"/>
        </w:rPr>
        <w:t xml:space="preserve"> When knights returning from the crusades saw that some unethical trustees were declining to handover their properties in compliance with the unwritten agreements, the legal problem grew critical. Intended beneficiaries also appealed the king to persuade legal owners to fulfil their promises in response to these issues. The king may, in the interest of fairness, demand that the property's rightful owner uses it for the benefit of the intended beneficiary. As this petition process developed, the sovereign, the Lord Chancellor, distinct equity courts, and finally integrated courts of equity and common law were made in charge of making decisions </w:t>
      </w:r>
      <w:r w:rsidRPr="00B65A0A">
        <w:rPr>
          <w:rFonts w:ascii="Times New Roman" w:eastAsia="Times New Roman" w:hAnsi="Times New Roman"/>
          <w:i/>
          <w:iCs/>
          <w:color w:val="000000"/>
          <w:lang w:val="en-GB" w:eastAsia="en-GB"/>
        </w:rPr>
        <w:t>(Watt, 2016a).</w:t>
      </w:r>
      <w:r w:rsidRPr="00B65A0A">
        <w:rPr>
          <w:rFonts w:ascii="Times New Roman" w:eastAsia="Times New Roman" w:hAnsi="Times New Roman"/>
          <w:color w:val="000000"/>
          <w:lang w:val="en-GB" w:eastAsia="en-GB"/>
        </w:rPr>
        <w:t xml:space="preserve"> The King's common law was fully established by the beginning of the 14th century. The common law, on the other hand, was strict and governed by rigidly formal procedures. When an injustice would "embarrass the King's conscience," the Chancellor presided over the case and provided the necessary relief. This remedy, which at that time was founded on ecclesiastical virtue, actually served as the foundation of equity law. The English doctrine of trusts was eventually formed as a result of equity court decisions safeguarding the settlor and beneficiary from an unreliable trustee </w:t>
      </w:r>
      <w:r w:rsidRPr="00B65A0A">
        <w:rPr>
          <w:rFonts w:ascii="Times New Roman" w:eastAsia="Times New Roman" w:hAnsi="Times New Roman"/>
          <w:i/>
          <w:iCs/>
          <w:color w:val="000000"/>
          <w:lang w:val="en-GB" w:eastAsia="en-GB"/>
        </w:rPr>
        <w:t xml:space="preserve">(Clements and </w:t>
      </w:r>
      <w:proofErr w:type="spellStart"/>
      <w:r w:rsidRPr="00B65A0A">
        <w:rPr>
          <w:rFonts w:ascii="Times New Roman" w:eastAsia="Times New Roman" w:hAnsi="Times New Roman"/>
          <w:i/>
          <w:iCs/>
          <w:color w:val="000000"/>
          <w:lang w:val="en-GB" w:eastAsia="en-GB"/>
        </w:rPr>
        <w:t>Abass</w:t>
      </w:r>
      <w:proofErr w:type="spellEnd"/>
      <w:r w:rsidRPr="00B65A0A">
        <w:rPr>
          <w:rFonts w:ascii="Times New Roman" w:eastAsia="Times New Roman" w:hAnsi="Times New Roman"/>
          <w:i/>
          <w:iCs/>
          <w:color w:val="000000"/>
          <w:lang w:val="en-GB" w:eastAsia="en-GB"/>
        </w:rPr>
        <w:t>, 2015).</w:t>
      </w:r>
    </w:p>
    <w:p w14:paraId="0805751D" w14:textId="77777777" w:rsidR="00B65A0A" w:rsidRPr="00B65A0A" w:rsidRDefault="00B65A0A" w:rsidP="00B65A0A">
      <w:pPr>
        <w:spacing w:after="0" w:line="480" w:lineRule="auto"/>
        <w:ind w:firstLine="720"/>
        <w:jc w:val="both"/>
        <w:rPr>
          <w:rFonts w:ascii="Times New Roman" w:eastAsia="Times New Roman" w:hAnsi="Times New Roman"/>
          <w:i/>
          <w:iCs/>
          <w:color w:val="000000"/>
          <w:lang w:val="en-GB" w:eastAsia="en-GB"/>
        </w:rPr>
      </w:pPr>
      <w:r w:rsidRPr="00B65A0A">
        <w:rPr>
          <w:rFonts w:ascii="Times New Roman" w:eastAsia="Times New Roman" w:hAnsi="Times New Roman"/>
          <w:color w:val="000000"/>
          <w:lang w:val="en-GB" w:eastAsia="en-GB"/>
        </w:rPr>
        <w:lastRenderedPageBreak/>
        <w:t xml:space="preserve">The desire to avoid paying feudal taxes is another significant factor that should be noted in this context. According to several Norman rules, the monarch was entitled to financial payments. They included the following: the transfer of feudal territory from a parent to his son; the creation of a wardship for a child; the knighting of the eldest son or the married daughter; and, finally, the kidnapping and ransom of a lord. The feudal renter created a trust to keep his land in order to avoid these expenditures and perhaps gain the capacity to hand over his feudal land to someone outside of his immediate family or to leave it to a person other than his eldest son </w:t>
      </w:r>
      <w:r w:rsidRPr="00B65A0A">
        <w:rPr>
          <w:rFonts w:ascii="Times New Roman" w:eastAsia="Times New Roman" w:hAnsi="Times New Roman"/>
          <w:i/>
          <w:iCs/>
          <w:color w:val="000000"/>
          <w:lang w:val="en-GB" w:eastAsia="en-GB"/>
        </w:rPr>
        <w:t xml:space="preserve">(Clements and </w:t>
      </w:r>
      <w:proofErr w:type="spellStart"/>
      <w:r w:rsidRPr="00B65A0A">
        <w:rPr>
          <w:rFonts w:ascii="Times New Roman" w:eastAsia="Times New Roman" w:hAnsi="Times New Roman"/>
          <w:i/>
          <w:iCs/>
          <w:color w:val="000000"/>
          <w:lang w:val="en-GB" w:eastAsia="en-GB"/>
        </w:rPr>
        <w:t>Abass</w:t>
      </w:r>
      <w:proofErr w:type="spellEnd"/>
      <w:r w:rsidRPr="00B65A0A">
        <w:rPr>
          <w:rFonts w:ascii="Times New Roman" w:eastAsia="Times New Roman" w:hAnsi="Times New Roman"/>
          <w:i/>
          <w:iCs/>
          <w:color w:val="000000"/>
          <w:lang w:val="en-GB" w:eastAsia="en-GB"/>
        </w:rPr>
        <w:t>, 2015).</w:t>
      </w:r>
    </w:p>
    <w:p w14:paraId="546A891D" w14:textId="70B61378" w:rsidR="00B65A0A" w:rsidRPr="00B65A0A" w:rsidRDefault="00B65A0A" w:rsidP="00B65A0A">
      <w:pPr>
        <w:spacing w:after="0" w:line="480" w:lineRule="auto"/>
        <w:ind w:firstLine="720"/>
        <w:jc w:val="both"/>
        <w:rPr>
          <w:rFonts w:ascii="Times New Roman" w:eastAsia="Times New Roman" w:hAnsi="Times New Roman"/>
          <w:color w:val="000000"/>
          <w:lang w:val="en-GB" w:eastAsia="en-GB"/>
        </w:rPr>
      </w:pPr>
      <w:r w:rsidRPr="00B65A0A">
        <w:rPr>
          <w:rFonts w:ascii="Times New Roman" w:eastAsia="Times New Roman" w:hAnsi="Times New Roman"/>
          <w:color w:val="000000"/>
          <w:lang w:val="en-GB" w:eastAsia="en-GB"/>
        </w:rPr>
        <w:t xml:space="preserve">The court of the Chancellor expanded throughout the course of the following two centuries and established Westminster as its permanent location. The Court of Chancery thus discovered its foundation. The remedy granted by the Chancellor on the basis of conscience was formally constituted as a field of law equity law and clerics were substituted by lawyers. Henry VIII effectively effaced multiple uses during the 16th century by passing the Statute of Uses, which mandated that if a use had a single beneficiary, the registered owner would be issued straight in the beneficiary's name </w:t>
      </w:r>
      <w:r w:rsidRPr="00B65A0A">
        <w:rPr>
          <w:rFonts w:ascii="Times New Roman" w:eastAsia="Times New Roman" w:hAnsi="Times New Roman"/>
          <w:i/>
          <w:iCs/>
          <w:color w:val="000000"/>
          <w:lang w:val="en-GB" w:eastAsia="en-GB"/>
        </w:rPr>
        <w:t>(Watt, 2016a).</w:t>
      </w:r>
      <w:r w:rsidRPr="00B65A0A">
        <w:rPr>
          <w:rFonts w:ascii="Times New Roman" w:eastAsia="Times New Roman" w:hAnsi="Times New Roman"/>
          <w:color w:val="000000"/>
          <w:lang w:val="en-GB" w:eastAsia="en-GB"/>
        </w:rPr>
        <w:t xml:space="preserve"> This resulted in inventive ways to avoid the Law, as is frequently the case</w:t>
      </w:r>
      <w:r w:rsidR="00D204DB">
        <w:rPr>
          <w:rFonts w:ascii="Times New Roman" w:eastAsia="Times New Roman" w:hAnsi="Times New Roman"/>
          <w:color w:val="000000"/>
          <w:lang w:val="en-GB" w:eastAsia="en-GB"/>
        </w:rPr>
        <w:t xml:space="preserve"> </w:t>
      </w:r>
      <w:proofErr w:type="spellStart"/>
      <w:r w:rsidR="00D204DB">
        <w:rPr>
          <w:rFonts w:ascii="Times New Roman" w:eastAsia="Times New Roman" w:hAnsi="Times New Roman"/>
          <w:i/>
          <w:iCs/>
          <w:color w:val="000000"/>
          <w:lang w:val="en-GB" w:eastAsia="en-GB"/>
        </w:rPr>
        <w:t>Morice</w:t>
      </w:r>
      <w:proofErr w:type="spellEnd"/>
      <w:r w:rsidR="00D204DB">
        <w:rPr>
          <w:rFonts w:ascii="Times New Roman" w:eastAsia="Times New Roman" w:hAnsi="Times New Roman"/>
          <w:i/>
          <w:iCs/>
          <w:color w:val="000000"/>
          <w:lang w:val="en-GB" w:eastAsia="en-GB"/>
        </w:rPr>
        <w:t xml:space="preserve"> vs Bishop of Durham [1804]. </w:t>
      </w:r>
      <w:r w:rsidRPr="00B65A0A">
        <w:rPr>
          <w:rFonts w:ascii="Times New Roman" w:eastAsia="Times New Roman" w:hAnsi="Times New Roman"/>
          <w:color w:val="000000"/>
          <w:lang w:val="en-GB" w:eastAsia="en-GB"/>
        </w:rPr>
        <w:t xml:space="preserve">The "use upon a use" method was the most significant innovation. In this scenario, A would hold the land for B's use, who would hold it for C's use. The first use, A to B, would be "killed off" by the statute. B's usage of C would yet remain valid. The "use upon a use," subsequently known as the trust, was acknowledged by the Chancery. There was a trustee who was the property title's legal owner, and another person who was the equitable owner (the beneficiary). The second party might hold the former accountable for his equitable ownership. The property title that was bound by an equitable right or interest had been created. As a result, the current foundation of trust was established </w:t>
      </w:r>
      <w:r w:rsidRPr="00B65A0A">
        <w:rPr>
          <w:rFonts w:ascii="Times New Roman" w:eastAsia="Times New Roman" w:hAnsi="Times New Roman"/>
          <w:i/>
          <w:iCs/>
          <w:color w:val="000000"/>
          <w:lang w:val="en-GB" w:eastAsia="en-GB"/>
        </w:rPr>
        <w:t>(Watt, 2016b)</w:t>
      </w:r>
      <w:r w:rsidRPr="00B65A0A">
        <w:rPr>
          <w:rFonts w:ascii="Times New Roman" w:eastAsia="Times New Roman" w:hAnsi="Times New Roman"/>
          <w:color w:val="000000"/>
          <w:lang w:val="en-GB" w:eastAsia="en-GB"/>
        </w:rPr>
        <w:t>.</w:t>
      </w:r>
    </w:p>
    <w:p w14:paraId="161B047D" w14:textId="2D06A51A" w:rsidR="00B65A0A" w:rsidRPr="00B65A0A" w:rsidRDefault="00B65A0A" w:rsidP="00B65A0A">
      <w:pPr>
        <w:spacing w:after="0" w:line="480" w:lineRule="auto"/>
        <w:ind w:firstLine="720"/>
        <w:jc w:val="both"/>
        <w:rPr>
          <w:rFonts w:ascii="Times New Roman" w:eastAsia="Times New Roman" w:hAnsi="Times New Roman"/>
          <w:i/>
          <w:iCs/>
          <w:color w:val="000000"/>
          <w:lang w:val="en-GB" w:eastAsia="en-GB"/>
        </w:rPr>
      </w:pPr>
      <w:r w:rsidRPr="00B65A0A">
        <w:rPr>
          <w:rFonts w:ascii="Times New Roman" w:eastAsia="Times New Roman" w:hAnsi="Times New Roman"/>
          <w:color w:val="000000"/>
          <w:lang w:val="en-GB" w:eastAsia="en-GB"/>
        </w:rPr>
        <w:t xml:space="preserve">When the courts entered into disputes, which came to of the Chancery provided redress against both judgements in the 17th-century cases of </w:t>
      </w:r>
      <w:r w:rsidR="00D017AD">
        <w:rPr>
          <w:rFonts w:ascii="Times New Roman" w:eastAsia="Times New Roman" w:hAnsi="Times New Roman"/>
          <w:i/>
          <w:color w:val="000000"/>
          <w:lang w:val="en-GB" w:eastAsia="en-GB"/>
        </w:rPr>
        <w:t>N</w:t>
      </w:r>
      <w:r w:rsidRPr="00B65A0A">
        <w:rPr>
          <w:rFonts w:ascii="Times New Roman" w:eastAsia="Times New Roman" w:hAnsi="Times New Roman"/>
          <w:i/>
          <w:color w:val="000000"/>
          <w:lang w:val="en-GB" w:eastAsia="en-GB"/>
        </w:rPr>
        <w:t>eath v</w:t>
      </w:r>
      <w:r w:rsidR="00D017AD">
        <w:rPr>
          <w:rFonts w:ascii="Times New Roman" w:eastAsia="Times New Roman" w:hAnsi="Times New Roman"/>
          <w:i/>
          <w:color w:val="000000"/>
          <w:lang w:val="en-GB" w:eastAsia="en-GB"/>
        </w:rPr>
        <w:t>s</w:t>
      </w:r>
      <w:r w:rsidRPr="00B65A0A">
        <w:rPr>
          <w:rFonts w:ascii="Times New Roman" w:eastAsia="Times New Roman" w:hAnsi="Times New Roman"/>
          <w:i/>
          <w:color w:val="000000"/>
          <w:lang w:val="en-GB" w:eastAsia="en-GB"/>
        </w:rPr>
        <w:t xml:space="preserve">. </w:t>
      </w:r>
      <w:proofErr w:type="spellStart"/>
      <w:r w:rsidRPr="00B65A0A">
        <w:rPr>
          <w:rFonts w:ascii="Times New Roman" w:eastAsia="Times New Roman" w:hAnsi="Times New Roman"/>
          <w:i/>
          <w:color w:val="000000"/>
          <w:lang w:val="en-GB" w:eastAsia="en-GB"/>
        </w:rPr>
        <w:t>Rydley</w:t>
      </w:r>
      <w:proofErr w:type="spellEnd"/>
      <w:r w:rsidRPr="00B65A0A">
        <w:rPr>
          <w:rFonts w:ascii="Times New Roman" w:eastAsia="Times New Roman" w:hAnsi="Times New Roman"/>
          <w:color w:val="000000"/>
          <w:lang w:val="en-GB" w:eastAsia="en-GB"/>
        </w:rPr>
        <w:t xml:space="preserve"> and </w:t>
      </w:r>
      <w:r w:rsidRPr="00B65A0A">
        <w:rPr>
          <w:rFonts w:ascii="Times New Roman" w:eastAsia="Times New Roman" w:hAnsi="Times New Roman"/>
          <w:i/>
          <w:color w:val="000000"/>
          <w:lang w:val="en-GB" w:eastAsia="en-GB"/>
        </w:rPr>
        <w:t>Courtney v</w:t>
      </w:r>
      <w:r w:rsidR="00D017AD">
        <w:rPr>
          <w:rFonts w:ascii="Times New Roman" w:eastAsia="Times New Roman" w:hAnsi="Times New Roman"/>
          <w:i/>
          <w:color w:val="000000"/>
          <w:lang w:val="en-GB" w:eastAsia="en-GB"/>
        </w:rPr>
        <w:t>s</w:t>
      </w:r>
      <w:r w:rsidRPr="00B65A0A">
        <w:rPr>
          <w:rFonts w:ascii="Times New Roman" w:eastAsia="Times New Roman" w:hAnsi="Times New Roman"/>
          <w:i/>
          <w:color w:val="000000"/>
          <w:lang w:val="en-GB" w:eastAsia="en-GB"/>
        </w:rPr>
        <w:t xml:space="preserve">. </w:t>
      </w:r>
      <w:proofErr w:type="spellStart"/>
      <w:r w:rsidRPr="00B65A0A">
        <w:rPr>
          <w:rFonts w:ascii="Times New Roman" w:eastAsia="Times New Roman" w:hAnsi="Times New Roman"/>
          <w:i/>
          <w:color w:val="000000"/>
          <w:lang w:val="en-GB" w:eastAsia="en-GB"/>
        </w:rPr>
        <w:t>Granvil</w:t>
      </w:r>
      <w:proofErr w:type="spellEnd"/>
      <w:r w:rsidRPr="00B65A0A">
        <w:rPr>
          <w:rFonts w:ascii="Times New Roman" w:eastAsia="Times New Roman" w:hAnsi="Times New Roman"/>
          <w:i/>
          <w:color w:val="000000"/>
          <w:lang w:val="en-GB" w:eastAsia="en-GB"/>
        </w:rPr>
        <w:t>,</w:t>
      </w:r>
      <w:r w:rsidRPr="00B65A0A">
        <w:rPr>
          <w:rFonts w:ascii="Times New Roman" w:eastAsia="Times New Roman" w:hAnsi="Times New Roman"/>
          <w:color w:val="000000"/>
          <w:lang w:val="en-GB" w:eastAsia="en-GB"/>
        </w:rPr>
        <w:t xml:space="preserve"> which were conflicts between the courts at their height. In 1616,</w:t>
      </w:r>
      <w:r w:rsidR="00EC528B">
        <w:rPr>
          <w:rFonts w:ascii="Times New Roman" w:eastAsia="Times New Roman" w:hAnsi="Times New Roman"/>
          <w:color w:val="000000"/>
          <w:lang w:val="en-GB" w:eastAsia="en-GB"/>
        </w:rPr>
        <w:t xml:space="preserve"> Earl of oxford’s case </w:t>
      </w:r>
      <w:r w:rsidR="00EC528B" w:rsidRPr="00B65A0A">
        <w:rPr>
          <w:rFonts w:ascii="Times New Roman" w:eastAsia="Times New Roman" w:hAnsi="Times New Roman"/>
          <w:color w:val="000000"/>
          <w:lang w:val="en-GB" w:eastAsia="en-GB"/>
        </w:rPr>
        <w:t>the</w:t>
      </w:r>
      <w:r w:rsidRPr="00B65A0A">
        <w:rPr>
          <w:rFonts w:ascii="Times New Roman" w:eastAsia="Times New Roman" w:hAnsi="Times New Roman"/>
          <w:color w:val="000000"/>
          <w:lang w:val="en-GB" w:eastAsia="en-GB"/>
        </w:rPr>
        <w:t xml:space="preserve"> King was asked to resolve the conflict between the Chief Justice and the Lord Chancellor.   After consulting </w:t>
      </w:r>
      <w:r w:rsidRPr="00B65A0A">
        <w:rPr>
          <w:rFonts w:ascii="Times New Roman" w:eastAsia="Times New Roman" w:hAnsi="Times New Roman"/>
          <w:color w:val="000000"/>
          <w:lang w:val="en-GB" w:eastAsia="en-GB"/>
        </w:rPr>
        <w:lastRenderedPageBreak/>
        <w:t>his council, King James I concluded in favour of equity based on counsel from Sir Francis Bacon, his solicitor general. Hence, it was determined that equity shall always be considered in situations where common law and equity showed disagreement </w:t>
      </w:r>
      <w:r w:rsidRPr="00B65A0A">
        <w:rPr>
          <w:rFonts w:ascii="Times New Roman" w:eastAsia="Times New Roman" w:hAnsi="Times New Roman"/>
          <w:i/>
          <w:iCs/>
          <w:color w:val="000000"/>
          <w:lang w:val="en-GB" w:eastAsia="en-GB"/>
        </w:rPr>
        <w:t>(Huws, 2014).</w:t>
      </w:r>
    </w:p>
    <w:p w14:paraId="2587F8EB" w14:textId="6D3878C1" w:rsidR="00B65A0A" w:rsidRPr="00B65A0A" w:rsidRDefault="00B65A0A" w:rsidP="00B65A0A">
      <w:pPr>
        <w:spacing w:after="0" w:line="480" w:lineRule="auto"/>
        <w:ind w:firstLine="720"/>
        <w:jc w:val="both"/>
        <w:rPr>
          <w:rFonts w:ascii="Times New Roman" w:eastAsia="Times New Roman" w:hAnsi="Times New Roman"/>
          <w:color w:val="000000"/>
          <w:lang w:val="en-GB" w:eastAsia="en-GB"/>
        </w:rPr>
      </w:pPr>
      <w:r w:rsidRPr="00B65A0A">
        <w:rPr>
          <w:rFonts w:ascii="Times New Roman" w:eastAsia="Times New Roman" w:hAnsi="Times New Roman"/>
          <w:color w:val="000000"/>
          <w:lang w:val="en-GB" w:eastAsia="en-GB"/>
        </w:rPr>
        <w:t xml:space="preserve">According to </w:t>
      </w:r>
      <w:r w:rsidRPr="00B65A0A">
        <w:rPr>
          <w:rFonts w:ascii="Times New Roman" w:eastAsia="Times New Roman" w:hAnsi="Times New Roman"/>
          <w:i/>
          <w:iCs/>
          <w:color w:val="000000"/>
          <w:lang w:val="en-GB" w:eastAsia="en-GB"/>
        </w:rPr>
        <w:t>Seipp (2011),</w:t>
      </w:r>
      <w:r w:rsidRPr="00B65A0A">
        <w:rPr>
          <w:rFonts w:ascii="Times New Roman" w:eastAsia="Times New Roman" w:hAnsi="Times New Roman"/>
          <w:color w:val="000000"/>
          <w:lang w:val="en-GB" w:eastAsia="en-GB"/>
        </w:rPr>
        <w:t xml:space="preserve"> the ancient common law doctrines that treated land rights as inseparable and held that the holder of legal title to the property was immediately eligible to the use and consumption of the land's profits bound the English common law courts. With certain clearly delineated things it could do and equally explicitly stated things it could never do; the Common Law was evolving into a rigid system. For instance, common law courts could not look past the trustee's legal title to the land when dealing with a case in which a crusading knight had transmitted ownership rights to a trustee who had agreed to safeguard the land and return it to the knight with revenues if any, when he came back from a crusade, but the trustee had chosen not to abide by the agreement. As a result, the common law courts granted the dishonest trustee possession of the land, which was clearly unfair </w:t>
      </w:r>
      <w:r w:rsidRPr="00B65A0A">
        <w:rPr>
          <w:rFonts w:ascii="Times New Roman" w:eastAsia="Times New Roman" w:hAnsi="Times New Roman"/>
          <w:i/>
          <w:iCs/>
          <w:color w:val="000000"/>
          <w:lang w:val="en-GB" w:eastAsia="en-GB"/>
        </w:rPr>
        <w:t>(Wilson, 2015).</w:t>
      </w:r>
      <w:r w:rsidRPr="00B65A0A">
        <w:rPr>
          <w:rFonts w:ascii="Times New Roman" w:eastAsia="Times New Roman" w:hAnsi="Times New Roman"/>
          <w:color w:val="000000"/>
          <w:lang w:val="en-GB" w:eastAsia="en-GB"/>
        </w:rPr>
        <w:t xml:space="preserve"> The English kings granted equity courts the jurisdiction to hear these issues and decide possession according to fairness instead of strict common law principles in order to address this legal inequity. The English doctrine of trusts was created as a result of equity court judges' decision that legal ownership to land may be distinguished from equitable use and benefit of the land </w:t>
      </w:r>
      <w:r w:rsidRPr="00B65A0A">
        <w:rPr>
          <w:rFonts w:ascii="Times New Roman" w:eastAsia="Times New Roman" w:hAnsi="Times New Roman"/>
          <w:i/>
          <w:iCs/>
          <w:color w:val="000000"/>
          <w:lang w:val="en-GB" w:eastAsia="en-GB"/>
        </w:rPr>
        <w:t>(Scott, 1992).</w:t>
      </w:r>
      <w:r w:rsidRPr="00B65A0A">
        <w:rPr>
          <w:rFonts w:ascii="Times New Roman" w:eastAsia="Times New Roman" w:hAnsi="Times New Roman"/>
          <w:color w:val="000000"/>
          <w:lang w:val="en-GB" w:eastAsia="en-GB"/>
        </w:rPr>
        <w:t xml:space="preserve"> In the fifteenth century, the Chancery's judicial authority was acknowledged. Until the 16th century, equity as a set of regulations varied from Chancellor to Chancellor. The enforcement of uses, which is also regarded as the forerunner of the trust, was one area where the Court of Chancery played a crucial role that the rigid structure of land law was unable to support. This function gives birth to the fundamental separation between equitable and legal interests </w:t>
      </w:r>
      <w:r w:rsidRPr="00B65A0A">
        <w:rPr>
          <w:rFonts w:ascii="Times New Roman" w:eastAsia="Times New Roman" w:hAnsi="Times New Roman"/>
          <w:i/>
          <w:iCs/>
          <w:color w:val="000000"/>
          <w:lang w:val="en-GB" w:eastAsia="en-GB"/>
        </w:rPr>
        <w:t>(</w:t>
      </w:r>
      <w:proofErr w:type="spellStart"/>
      <w:r w:rsidRPr="00B65A0A">
        <w:rPr>
          <w:rFonts w:ascii="Times New Roman" w:eastAsia="Times New Roman" w:hAnsi="Times New Roman"/>
          <w:i/>
          <w:iCs/>
          <w:lang w:val="en-GB" w:eastAsia="en-GB"/>
        </w:rPr>
        <w:t>Abass</w:t>
      </w:r>
      <w:proofErr w:type="spellEnd"/>
      <w:r w:rsidRPr="00B65A0A">
        <w:rPr>
          <w:rFonts w:ascii="Times New Roman" w:eastAsia="Times New Roman" w:hAnsi="Times New Roman"/>
          <w:i/>
          <w:iCs/>
          <w:lang w:val="en-GB" w:eastAsia="en-GB"/>
        </w:rPr>
        <w:t xml:space="preserve"> and Clements, 2018)</w:t>
      </w:r>
      <w:r w:rsidRPr="00B65A0A">
        <w:rPr>
          <w:rFonts w:ascii="Times New Roman" w:eastAsia="Times New Roman" w:hAnsi="Times New Roman"/>
          <w:i/>
          <w:iCs/>
          <w:color w:val="000000"/>
          <w:lang w:val="en-GB" w:eastAsia="en-GB"/>
        </w:rPr>
        <w:t>.</w:t>
      </w:r>
      <w:r w:rsidRPr="00B65A0A">
        <w:rPr>
          <w:rFonts w:ascii="Times New Roman" w:eastAsia="Times New Roman" w:hAnsi="Times New Roman"/>
          <w:color w:val="000000"/>
          <w:lang w:val="en-GB" w:eastAsia="en-GB"/>
        </w:rPr>
        <w:t xml:space="preserve"> Similarly,</w:t>
      </w:r>
      <w:r w:rsidR="006A1813">
        <w:rPr>
          <w:rFonts w:ascii="Times New Roman" w:eastAsia="Times New Roman" w:hAnsi="Times New Roman"/>
          <w:color w:val="000000"/>
          <w:lang w:val="en-GB" w:eastAsia="en-GB"/>
        </w:rPr>
        <w:t xml:space="preserve"> with case of </w:t>
      </w:r>
      <w:r w:rsidR="004A0A44" w:rsidRPr="004A0A44">
        <w:rPr>
          <w:rFonts w:ascii="Times New Roman" w:hAnsi="Times New Roman"/>
          <w:i/>
          <w:iCs/>
        </w:rPr>
        <w:t>Knight v Knight (1840</w:t>
      </w:r>
      <w:r w:rsidR="004A0A44" w:rsidRPr="004A0A44">
        <w:rPr>
          <w:rFonts w:ascii="Times New Roman" w:hAnsi="Times New Roman"/>
          <w:i/>
          <w:iCs/>
        </w:rPr>
        <w:t>)</w:t>
      </w:r>
      <w:r w:rsidR="004A0A44" w:rsidRPr="00230CB4">
        <w:rPr>
          <w:rFonts w:ascii="Times New Roman" w:hAnsi="Times New Roman"/>
        </w:rPr>
        <w:t xml:space="preserve"> </w:t>
      </w:r>
      <w:r w:rsidR="004A0A44" w:rsidRPr="00B65A0A">
        <w:rPr>
          <w:rFonts w:ascii="Times New Roman" w:eastAsia="Times New Roman" w:hAnsi="Times New Roman"/>
          <w:color w:val="000000"/>
          <w:lang w:val="en-GB" w:eastAsia="en-GB"/>
        </w:rPr>
        <w:t>the</w:t>
      </w:r>
      <w:r w:rsidRPr="00B65A0A">
        <w:rPr>
          <w:rFonts w:ascii="Times New Roman" w:eastAsia="Times New Roman" w:hAnsi="Times New Roman"/>
          <w:color w:val="000000"/>
          <w:lang w:val="en-GB" w:eastAsia="en-GB"/>
        </w:rPr>
        <w:t xml:space="preserve"> distinction between legal and equitable ownership was formed following the adoption of a law on trust. In this context, it is made clear that the trustee, who is the legitimate owner of the trust property, should pursue any common law obligations that a third party owes to the trustee </w:t>
      </w:r>
      <w:r w:rsidRPr="00B65A0A">
        <w:rPr>
          <w:rFonts w:ascii="Times New Roman" w:eastAsia="Times New Roman" w:hAnsi="Times New Roman"/>
          <w:i/>
          <w:iCs/>
          <w:color w:val="000000"/>
          <w:lang w:val="en-GB" w:eastAsia="en-GB"/>
        </w:rPr>
        <w:t>(Seipp, 2011).</w:t>
      </w:r>
      <w:r w:rsidRPr="00B65A0A">
        <w:rPr>
          <w:rFonts w:ascii="Times New Roman" w:eastAsia="Times New Roman" w:hAnsi="Times New Roman"/>
          <w:color w:val="000000"/>
          <w:lang w:val="en-GB" w:eastAsia="en-GB"/>
        </w:rPr>
        <w:t xml:space="preserve"> The beneficiary has no legal standing to initiate a common law claim against the third party directly since the beneficiary's </w:t>
      </w:r>
      <w:r w:rsidRPr="00B65A0A">
        <w:rPr>
          <w:rFonts w:ascii="Times New Roman" w:eastAsia="Times New Roman" w:hAnsi="Times New Roman"/>
          <w:color w:val="000000"/>
          <w:lang w:val="en-GB" w:eastAsia="en-GB"/>
        </w:rPr>
        <w:lastRenderedPageBreak/>
        <w:t xml:space="preserve">entitlement is not recognised by common law. As a result, in a situation where property is rented, the trustee is the one who brings a claim for rent, as was seen in </w:t>
      </w:r>
      <w:r w:rsidRPr="00B65A0A">
        <w:rPr>
          <w:rFonts w:ascii="Times New Roman" w:eastAsia="Times New Roman" w:hAnsi="Times New Roman"/>
          <w:i/>
          <w:color w:val="000000"/>
          <w:lang w:val="en-GB" w:eastAsia="en-GB"/>
        </w:rPr>
        <w:t>Shalit v. Joseph Nadler Ltd.</w:t>
      </w:r>
      <w:r w:rsidRPr="00B65A0A">
        <w:rPr>
          <w:rFonts w:ascii="Times New Roman" w:eastAsia="Times New Roman" w:hAnsi="Times New Roman"/>
          <w:color w:val="000000"/>
          <w:lang w:val="en-GB" w:eastAsia="en-GB"/>
        </w:rPr>
        <w:t xml:space="preserve"> </w:t>
      </w:r>
      <w:r w:rsidRPr="00B65A0A">
        <w:rPr>
          <w:rFonts w:ascii="Times New Roman" w:eastAsia="Times New Roman" w:hAnsi="Times New Roman"/>
          <w:i/>
          <w:iCs/>
          <w:color w:val="000000"/>
          <w:lang w:val="en-GB" w:eastAsia="en-GB"/>
        </w:rPr>
        <w:t>(</w:t>
      </w:r>
      <w:proofErr w:type="spellStart"/>
      <w:r w:rsidRPr="00B65A0A">
        <w:rPr>
          <w:rFonts w:ascii="Times New Roman" w:eastAsia="Times New Roman" w:hAnsi="Times New Roman"/>
          <w:i/>
          <w:iCs/>
          <w:color w:val="000000"/>
          <w:lang w:val="en-GB" w:eastAsia="en-GB"/>
        </w:rPr>
        <w:t>Swarb</w:t>
      </w:r>
      <w:proofErr w:type="spellEnd"/>
      <w:r w:rsidRPr="00B65A0A">
        <w:rPr>
          <w:rFonts w:ascii="Times New Roman" w:eastAsia="Times New Roman" w:hAnsi="Times New Roman"/>
          <w:i/>
          <w:iCs/>
          <w:color w:val="000000"/>
          <w:lang w:val="en-GB" w:eastAsia="en-GB"/>
        </w:rPr>
        <w:t>, 2022).</w:t>
      </w:r>
      <w:r w:rsidRPr="00B65A0A">
        <w:rPr>
          <w:rFonts w:ascii="Times New Roman" w:eastAsia="Times New Roman" w:hAnsi="Times New Roman"/>
          <w:color w:val="000000"/>
          <w:lang w:val="en-GB" w:eastAsia="en-GB"/>
        </w:rPr>
        <w:t xml:space="preserve"> This suggests that the only person who may file a negligence lawsuit is the property's legitimate owner. In cases when the trustee unfairly declines to sue the third party, the beneficiary may even be permitted to sue on the trustee's behalf, as stated in </w:t>
      </w:r>
      <w:r w:rsidRPr="00B65A0A">
        <w:rPr>
          <w:rFonts w:ascii="Times New Roman" w:eastAsia="Times New Roman" w:hAnsi="Times New Roman"/>
          <w:i/>
          <w:color w:val="000000"/>
          <w:lang w:val="en-GB" w:eastAsia="en-GB"/>
        </w:rPr>
        <w:t>Roberts v. Gill &amp; Co</w:t>
      </w:r>
      <w:r w:rsidRPr="00B65A0A">
        <w:rPr>
          <w:rFonts w:ascii="Times New Roman" w:eastAsia="Times New Roman" w:hAnsi="Times New Roman"/>
          <w:color w:val="000000"/>
          <w:lang w:val="en-GB" w:eastAsia="en-GB"/>
        </w:rPr>
        <w:t xml:space="preserve">. The trustee is personally and immediately responsible to the beneficiary </w:t>
      </w:r>
      <w:r w:rsidRPr="00B65A0A">
        <w:rPr>
          <w:rFonts w:ascii="Times New Roman" w:eastAsia="Times New Roman" w:hAnsi="Times New Roman"/>
          <w:i/>
          <w:iCs/>
          <w:color w:val="000000"/>
          <w:lang w:val="en-GB" w:eastAsia="en-GB"/>
        </w:rPr>
        <w:t>(The Supreme Court, 2022).</w:t>
      </w:r>
      <w:bookmarkStart w:id="1" w:name="_Toc128745922"/>
    </w:p>
    <w:p w14:paraId="6C650A1D" w14:textId="77777777" w:rsidR="00B65A0A" w:rsidRPr="00B65A0A" w:rsidRDefault="00B65A0A" w:rsidP="00B65A0A">
      <w:pPr>
        <w:spacing w:after="0" w:line="480" w:lineRule="auto"/>
        <w:ind w:firstLine="720"/>
        <w:jc w:val="both"/>
        <w:rPr>
          <w:rFonts w:ascii="Times New Roman" w:eastAsia="Times New Roman" w:hAnsi="Times New Roman"/>
          <w:bCs/>
          <w:color w:val="000000"/>
          <w:shd w:val="clear" w:color="auto" w:fill="FFFFFF"/>
          <w:lang w:val="en-GB" w:eastAsia="en-GB"/>
        </w:rPr>
      </w:pPr>
      <w:r w:rsidRPr="00B65A0A">
        <w:rPr>
          <w:rFonts w:ascii="Times New Roman" w:eastAsia="Times New Roman" w:hAnsi="Times New Roman"/>
          <w:bCs/>
          <w:color w:val="000000"/>
          <w:shd w:val="clear" w:color="auto" w:fill="FFFFFF"/>
          <w:lang w:val="en-GB" w:eastAsia="en-GB"/>
        </w:rPr>
        <w:t xml:space="preserve">The analysed historical trends reveal the strict and rigid judgements in English common law, and that the law on equity and trust was largely driven by the need to mitigate the strictness of common law because in some common law rulings, people were treated unfairly. In common law, decisions were made in accordance with guidelines established by the court or statutory requirements. They were therefore unchangeable, and judges had to abide by them. The establishment of equity did, however, grant the people the "right to petition the King directly if it was believed that the common law court's verdict was unfair and unreasonable" </w:t>
      </w:r>
      <w:r w:rsidRPr="00B65A0A">
        <w:rPr>
          <w:rFonts w:ascii="Times New Roman" w:eastAsia="Times New Roman" w:hAnsi="Times New Roman"/>
          <w:bCs/>
          <w:i/>
          <w:iCs/>
          <w:color w:val="000000"/>
          <w:shd w:val="clear" w:color="auto" w:fill="FFFFFF"/>
          <w:lang w:val="en-GB" w:eastAsia="en-GB"/>
        </w:rPr>
        <w:t>(Edwards and Stockwell, 2015).</w:t>
      </w:r>
      <w:r w:rsidRPr="00B65A0A">
        <w:rPr>
          <w:rFonts w:ascii="Times New Roman" w:eastAsia="Times New Roman" w:hAnsi="Times New Roman"/>
          <w:bCs/>
          <w:color w:val="000000"/>
          <w:shd w:val="clear" w:color="auto" w:fill="FFFFFF"/>
          <w:lang w:val="en-GB" w:eastAsia="en-GB"/>
        </w:rPr>
        <w:t xml:space="preserve"> English common law courts could only utilise the trustee's legal title to establish who was the property's lawful owner in the event of a dispute over ownership and then award the property to the trustee because he had legal title. Instead of allowing dishonest trustees to unfairly profit, courts of equity enforced the informal trust arrangements using the concept of a fiduciary obligation imposed by a trustee to the beneficiary </w:t>
      </w:r>
      <w:r w:rsidRPr="00B65A0A">
        <w:rPr>
          <w:rFonts w:ascii="Times New Roman" w:eastAsia="Times New Roman" w:hAnsi="Times New Roman"/>
          <w:bCs/>
          <w:i/>
          <w:iCs/>
          <w:color w:val="000000"/>
          <w:shd w:val="clear" w:color="auto" w:fill="FFFFFF"/>
          <w:lang w:val="en-GB" w:eastAsia="en-GB"/>
        </w:rPr>
        <w:t>(</w:t>
      </w:r>
      <w:r w:rsidRPr="00B65A0A">
        <w:rPr>
          <w:rFonts w:ascii="Times New Roman" w:eastAsia="Times New Roman" w:hAnsi="Times New Roman"/>
          <w:i/>
          <w:iCs/>
          <w:color w:val="000000"/>
          <w:shd w:val="clear" w:color="auto" w:fill="FFFFFF"/>
          <w:lang w:val="en-GB" w:eastAsia="en-GB"/>
        </w:rPr>
        <w:t>Bray, 2020</w:t>
      </w:r>
      <w:r w:rsidRPr="00B65A0A">
        <w:rPr>
          <w:rFonts w:ascii="Times New Roman" w:eastAsia="Times New Roman" w:hAnsi="Times New Roman"/>
          <w:bCs/>
          <w:i/>
          <w:iCs/>
          <w:color w:val="000000"/>
          <w:shd w:val="clear" w:color="auto" w:fill="FFFFFF"/>
          <w:lang w:val="en-GB" w:eastAsia="en-GB"/>
        </w:rPr>
        <w:t>).</w:t>
      </w:r>
      <w:r w:rsidRPr="00B65A0A">
        <w:rPr>
          <w:rFonts w:ascii="Times New Roman" w:eastAsia="Times New Roman" w:hAnsi="Times New Roman"/>
          <w:bCs/>
          <w:color w:val="000000"/>
          <w:shd w:val="clear" w:color="auto" w:fill="FFFFFF"/>
          <w:lang w:val="en-GB" w:eastAsia="en-GB"/>
        </w:rPr>
        <w:t xml:space="preserve"> Decedents can transfer the ownership of real estate to a trustee for the benefit and use of their dependant beneficiaries because of contemporary trusts and the fiduciary duty theory. These trusts are helpful for estate planning or for the care and maintenance of dependents as they facilitate the care, education, and sustenance of spouses and children following a wage earner's death </w:t>
      </w:r>
      <w:r w:rsidRPr="00B65A0A">
        <w:rPr>
          <w:rFonts w:ascii="Times New Roman" w:eastAsia="Times New Roman" w:hAnsi="Times New Roman"/>
          <w:bCs/>
          <w:i/>
          <w:iCs/>
          <w:color w:val="000000"/>
          <w:shd w:val="clear" w:color="auto" w:fill="FFFFFF"/>
          <w:lang w:val="en-GB" w:eastAsia="en-GB"/>
        </w:rPr>
        <w:t>(Edwards and Stockwell, 2015).</w:t>
      </w:r>
      <w:r w:rsidRPr="00B65A0A">
        <w:rPr>
          <w:rFonts w:ascii="Times New Roman" w:eastAsia="Times New Roman" w:hAnsi="Times New Roman"/>
          <w:bCs/>
          <w:color w:val="000000"/>
          <w:shd w:val="clear" w:color="auto" w:fill="FFFFFF"/>
          <w:lang w:val="en-GB" w:eastAsia="en-GB"/>
        </w:rPr>
        <w:t xml:space="preserve"> Since the activities of the chancellor led to the evolution of the equity, trusts can therefore be explained as the formation or result of equity. It is also shown from the discussion regarding the history of equity that the chancellor also began exerting certain powers over the trusts </w:t>
      </w:r>
      <w:r w:rsidRPr="00B65A0A">
        <w:rPr>
          <w:rFonts w:ascii="Times New Roman" w:eastAsia="Times New Roman" w:hAnsi="Times New Roman"/>
          <w:bCs/>
          <w:i/>
          <w:iCs/>
          <w:color w:val="000000"/>
          <w:shd w:val="clear" w:color="auto" w:fill="FFFFFF"/>
          <w:lang w:val="en-GB" w:eastAsia="en-GB"/>
        </w:rPr>
        <w:t>(Watt, 2016a).</w:t>
      </w:r>
    </w:p>
    <w:p w14:paraId="17B2C411" w14:textId="401881AA" w:rsidR="00B65A0A" w:rsidRDefault="00B65A0A" w:rsidP="00FD7A2C">
      <w:pPr>
        <w:spacing w:after="0" w:line="480" w:lineRule="auto"/>
        <w:jc w:val="both"/>
        <w:rPr>
          <w:rFonts w:ascii="Times New Roman" w:eastAsia="Times New Roman" w:hAnsi="Times New Roman"/>
          <w:color w:val="000000"/>
          <w:lang w:val="en-GB" w:eastAsia="en-GB"/>
        </w:rPr>
      </w:pPr>
    </w:p>
    <w:p w14:paraId="07332729" w14:textId="77777777" w:rsidR="00B65A0A" w:rsidRPr="00B65A0A" w:rsidRDefault="00B65A0A" w:rsidP="00B65A0A">
      <w:pPr>
        <w:spacing w:after="0" w:line="480" w:lineRule="auto"/>
        <w:ind w:firstLine="720"/>
        <w:jc w:val="both"/>
        <w:rPr>
          <w:rFonts w:ascii="Times New Roman" w:eastAsia="Times New Roman" w:hAnsi="Times New Roman"/>
          <w:color w:val="000000"/>
          <w:lang w:val="en-GB" w:eastAsia="en-GB"/>
        </w:rPr>
      </w:pPr>
    </w:p>
    <w:p w14:paraId="23281574" w14:textId="77777777" w:rsidR="00B65A0A" w:rsidRPr="00B65A0A" w:rsidRDefault="00B65A0A" w:rsidP="00B65A0A">
      <w:pPr>
        <w:keepNext/>
        <w:spacing w:after="0" w:line="480" w:lineRule="auto"/>
        <w:jc w:val="both"/>
        <w:outlineLvl w:val="0"/>
        <w:rPr>
          <w:rFonts w:ascii="Times New Roman" w:eastAsia="Times New Roman" w:hAnsi="Times New Roman"/>
          <w:b/>
          <w:bCs/>
          <w:color w:val="000000"/>
          <w:kern w:val="32"/>
          <w:lang w:val="en-GB" w:eastAsia="en-GB"/>
        </w:rPr>
      </w:pPr>
      <w:r w:rsidRPr="00B65A0A">
        <w:rPr>
          <w:rFonts w:ascii="Times New Roman" w:eastAsia="Times New Roman" w:hAnsi="Times New Roman"/>
          <w:b/>
          <w:bCs/>
          <w:color w:val="000000"/>
          <w:kern w:val="32"/>
          <w:lang w:val="en-GB" w:eastAsia="en-GB"/>
        </w:rPr>
        <w:t>Conclusion</w:t>
      </w:r>
      <w:bookmarkEnd w:id="1"/>
    </w:p>
    <w:p w14:paraId="53CBD569" w14:textId="1E31B14C" w:rsidR="00B65A0A" w:rsidRPr="00B65A0A" w:rsidRDefault="00B65A0A" w:rsidP="00B65A0A">
      <w:pPr>
        <w:keepNext/>
        <w:spacing w:after="0" w:line="480" w:lineRule="auto"/>
        <w:ind w:firstLine="720"/>
        <w:jc w:val="both"/>
        <w:outlineLvl w:val="0"/>
        <w:rPr>
          <w:rFonts w:ascii="Times New Roman" w:eastAsia="Times New Roman" w:hAnsi="Times New Roman"/>
          <w:color w:val="000000"/>
          <w:lang w:val="en-GB" w:eastAsia="en-GB"/>
        </w:rPr>
      </w:pPr>
      <w:bookmarkStart w:id="2" w:name="_Toc128745923"/>
      <w:r w:rsidRPr="00B65A0A">
        <w:rPr>
          <w:rFonts w:ascii="Times New Roman" w:eastAsia="Times New Roman" w:hAnsi="Times New Roman"/>
          <w:color w:val="000000"/>
          <w:lang w:val="en-GB" w:eastAsia="en-GB"/>
        </w:rPr>
        <w:t>It can be inferred from the comprehensive review of the creation and development of trusts in England that uses and trusts have been crucial to English law for more than 500 years. It has evolved as a useful method of achieving specific results that could not otherwise be easily accomplished. Trusts were created by equity courts to get around the strict English common law regulations that forbade various people or entities from holding legal title and equitable usage of the land, as well as to give disputants stronger common law remedies, save taxes, and protect beneficiaries. Trust law evolved as a result of fairness-based equity court judgements. Judges in equity courts enforced implicit agreements between beneficiaries who intended the trustee to hold the property to their benefit and return it later, or transfer it to a new beneficiary, and a trustee who had legal title to the property</w:t>
      </w:r>
      <w:r w:rsidR="00352867">
        <w:rPr>
          <w:rFonts w:ascii="Times New Roman" w:eastAsia="Times New Roman" w:hAnsi="Times New Roman"/>
          <w:color w:val="000000"/>
          <w:lang w:val="en-GB" w:eastAsia="en-GB"/>
        </w:rPr>
        <w:t xml:space="preserve"> </w:t>
      </w:r>
      <w:r w:rsidR="00352867" w:rsidRPr="00E95629">
        <w:rPr>
          <w:rFonts w:ascii="Times New Roman" w:eastAsia="Times New Roman" w:hAnsi="Times New Roman"/>
          <w:i/>
          <w:iCs/>
          <w:lang w:val="en-GB" w:eastAsia="en-GB"/>
        </w:rPr>
        <w:t>(S. Gardner. 2011).</w:t>
      </w:r>
      <w:r w:rsidR="00352867" w:rsidRPr="00B65A0A">
        <w:rPr>
          <w:rFonts w:ascii="Times New Roman" w:eastAsia="Times New Roman" w:hAnsi="Times New Roman"/>
          <w:color w:val="000000"/>
          <w:shd w:val="clear" w:color="auto" w:fill="FFFFFF"/>
          <w:lang w:val="en-GB" w:eastAsia="en-GB"/>
        </w:rPr>
        <w:t xml:space="preserve">  </w:t>
      </w:r>
    </w:p>
    <w:p w14:paraId="4DC707EB" w14:textId="77777777" w:rsidR="00B65A0A" w:rsidRPr="00B65A0A" w:rsidRDefault="00B65A0A" w:rsidP="00B65A0A">
      <w:pPr>
        <w:keepNext/>
        <w:spacing w:after="0" w:line="480" w:lineRule="auto"/>
        <w:ind w:firstLine="720"/>
        <w:jc w:val="both"/>
        <w:outlineLvl w:val="0"/>
        <w:rPr>
          <w:rFonts w:ascii="Times New Roman" w:eastAsia="Times New Roman" w:hAnsi="Times New Roman"/>
          <w:color w:val="000000"/>
          <w:lang w:val="en-GB" w:eastAsia="en-GB"/>
        </w:rPr>
      </w:pPr>
    </w:p>
    <w:p w14:paraId="678795FD" w14:textId="77777777" w:rsidR="00B65A0A" w:rsidRPr="00B65A0A" w:rsidRDefault="00B65A0A" w:rsidP="00B65A0A">
      <w:pPr>
        <w:keepNext/>
        <w:spacing w:after="0" w:line="480" w:lineRule="auto"/>
        <w:ind w:firstLine="720"/>
        <w:jc w:val="both"/>
        <w:outlineLvl w:val="0"/>
        <w:rPr>
          <w:rFonts w:ascii="Times New Roman" w:eastAsia="Times New Roman" w:hAnsi="Times New Roman"/>
          <w:color w:val="000000"/>
          <w:lang w:val="en-GB" w:eastAsia="en-GB"/>
        </w:rPr>
      </w:pPr>
    </w:p>
    <w:p w14:paraId="57920006" w14:textId="77777777" w:rsidR="00B65A0A" w:rsidRPr="00230CB4" w:rsidRDefault="00B65A0A" w:rsidP="00B65A0A">
      <w:pPr>
        <w:keepNext/>
        <w:spacing w:after="0" w:line="480" w:lineRule="auto"/>
        <w:ind w:firstLine="720"/>
        <w:jc w:val="both"/>
        <w:outlineLvl w:val="0"/>
        <w:rPr>
          <w:rFonts w:ascii="Times New Roman" w:eastAsia="Times New Roman" w:hAnsi="Times New Roman"/>
          <w:b/>
          <w:bCs/>
          <w:kern w:val="32"/>
          <w:lang w:val="en-GB" w:eastAsia="en-GB"/>
        </w:rPr>
      </w:pPr>
      <w:r w:rsidRPr="00B65A0A">
        <w:rPr>
          <w:rFonts w:ascii="Times New Roman" w:eastAsia="Times New Roman" w:hAnsi="Times New Roman"/>
          <w:color w:val="000000"/>
          <w:lang w:val="en-GB" w:eastAsia="en-GB"/>
        </w:rPr>
        <w:t xml:space="preserve"> </w:t>
      </w:r>
      <w:r w:rsidRPr="00B65A0A">
        <w:rPr>
          <w:rFonts w:ascii="Times New Roman" w:eastAsia="Times New Roman" w:hAnsi="Times New Roman"/>
          <w:b/>
          <w:bCs/>
          <w:color w:val="000000"/>
          <w:kern w:val="32"/>
          <w:lang w:val="en-GB" w:eastAsia="en-GB"/>
        </w:rPr>
        <w:br w:type="page"/>
      </w:r>
      <w:r w:rsidRPr="00230CB4">
        <w:rPr>
          <w:rFonts w:ascii="Times New Roman" w:eastAsia="Times New Roman" w:hAnsi="Times New Roman"/>
          <w:b/>
          <w:bCs/>
          <w:kern w:val="32"/>
          <w:lang w:val="en-GB" w:eastAsia="en-GB"/>
        </w:rPr>
        <w:lastRenderedPageBreak/>
        <w:t>References</w:t>
      </w:r>
      <w:bookmarkEnd w:id="2"/>
      <w:r w:rsidRPr="00230CB4">
        <w:rPr>
          <w:rFonts w:ascii="Times New Roman" w:eastAsia="Times New Roman" w:hAnsi="Times New Roman"/>
          <w:b/>
          <w:bCs/>
          <w:kern w:val="32"/>
          <w:lang w:val="en-GB" w:eastAsia="en-GB"/>
        </w:rPr>
        <w:t xml:space="preserve"> </w:t>
      </w:r>
    </w:p>
    <w:p w14:paraId="1717BC5A" w14:textId="77777777" w:rsidR="00B65A0A" w:rsidRPr="00230CB4" w:rsidRDefault="00B65A0A" w:rsidP="00B65A0A">
      <w:pPr>
        <w:spacing w:after="0" w:line="480" w:lineRule="auto"/>
        <w:rPr>
          <w:rFonts w:ascii="Times New Roman" w:eastAsia="Times New Roman" w:hAnsi="Times New Roman"/>
          <w:lang w:val="en-GB" w:eastAsia="en-GB"/>
        </w:rPr>
      </w:pPr>
      <w:proofErr w:type="spellStart"/>
      <w:r w:rsidRPr="00230CB4">
        <w:rPr>
          <w:rFonts w:ascii="Times New Roman" w:eastAsia="Times New Roman" w:hAnsi="Times New Roman"/>
          <w:lang w:val="en-GB" w:eastAsia="en-GB"/>
        </w:rPr>
        <w:t>Abass</w:t>
      </w:r>
      <w:proofErr w:type="spellEnd"/>
      <w:r w:rsidRPr="00230CB4">
        <w:rPr>
          <w:rFonts w:ascii="Times New Roman" w:eastAsia="Times New Roman" w:hAnsi="Times New Roman"/>
          <w:lang w:val="en-GB" w:eastAsia="en-GB"/>
        </w:rPr>
        <w:t>, A. and Clements, R. 2018. </w:t>
      </w:r>
      <w:r w:rsidRPr="00230CB4">
        <w:rPr>
          <w:rFonts w:ascii="Times New Roman" w:eastAsia="Times New Roman" w:hAnsi="Times New Roman"/>
          <w:i/>
          <w:lang w:val="en-GB" w:eastAsia="en-GB"/>
        </w:rPr>
        <w:t>Complete Equity and Trusts: Text, Cases, and Materials.</w:t>
      </w:r>
      <w:r w:rsidRPr="00230CB4">
        <w:rPr>
          <w:rFonts w:ascii="Times New Roman" w:eastAsia="Times New Roman" w:hAnsi="Times New Roman"/>
          <w:lang w:val="en-GB" w:eastAsia="en-GB"/>
        </w:rPr>
        <w:t> London: Oxford University Press.</w:t>
      </w:r>
    </w:p>
    <w:p w14:paraId="04A177D4"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Adams, G. B. 1916. The Origin of English Equity. </w:t>
      </w:r>
      <w:r w:rsidRPr="00230CB4">
        <w:rPr>
          <w:rFonts w:ascii="Times New Roman" w:eastAsia="Times New Roman" w:hAnsi="Times New Roman"/>
          <w:i/>
          <w:lang w:val="en-GB" w:eastAsia="en-GB"/>
        </w:rPr>
        <w:t xml:space="preserve">Columbia Law Review </w:t>
      </w:r>
      <w:r w:rsidRPr="00230CB4">
        <w:rPr>
          <w:rFonts w:ascii="Times New Roman" w:eastAsia="Times New Roman" w:hAnsi="Times New Roman"/>
          <w:lang w:val="en-GB" w:eastAsia="en-GB"/>
        </w:rPr>
        <w:t>16(2), 87-98.</w:t>
      </w:r>
    </w:p>
    <w:p w14:paraId="417EBD28" w14:textId="77777777" w:rsidR="00B65A0A" w:rsidRPr="00230CB4" w:rsidRDefault="00B65A0A" w:rsidP="00B65A0A">
      <w:pPr>
        <w:spacing w:after="0" w:line="480" w:lineRule="auto"/>
        <w:rPr>
          <w:rFonts w:ascii="Times New Roman" w:eastAsia="Times New Roman" w:hAnsi="Times New Roman"/>
          <w:lang w:val="en-GB" w:eastAsia="en-GB"/>
        </w:rPr>
      </w:pPr>
      <w:r w:rsidRPr="00230CB4">
        <w:rPr>
          <w:rFonts w:ascii="Times New Roman" w:eastAsia="Times New Roman" w:hAnsi="Times New Roman"/>
          <w:lang w:val="en-GB" w:eastAsia="en-GB"/>
        </w:rPr>
        <w:t>Akkouh, T. and Webb, C. 2017. </w:t>
      </w:r>
      <w:r w:rsidRPr="00230CB4">
        <w:rPr>
          <w:rFonts w:ascii="Times New Roman" w:eastAsia="Times New Roman" w:hAnsi="Times New Roman"/>
          <w:i/>
          <w:lang w:val="en-GB" w:eastAsia="en-GB"/>
        </w:rPr>
        <w:t>Trusts Law.</w:t>
      </w:r>
      <w:r w:rsidRPr="00230CB4">
        <w:rPr>
          <w:rFonts w:ascii="Times New Roman" w:eastAsia="Times New Roman" w:hAnsi="Times New Roman"/>
          <w:lang w:val="en-GB" w:eastAsia="en-GB"/>
        </w:rPr>
        <w:t> London: Bloomsbury Publishing.</w:t>
      </w:r>
    </w:p>
    <w:p w14:paraId="362B89C3" w14:textId="77777777" w:rsidR="00B65A0A" w:rsidRPr="00230CB4" w:rsidRDefault="00B65A0A" w:rsidP="00B65A0A">
      <w:pPr>
        <w:spacing w:after="0" w:line="480" w:lineRule="auto"/>
        <w:rPr>
          <w:rFonts w:ascii="Times New Roman" w:eastAsia="Times New Roman" w:hAnsi="Times New Roman"/>
          <w:lang w:val="en-GB" w:eastAsia="en-GB"/>
        </w:rPr>
      </w:pPr>
      <w:r w:rsidRPr="00230CB4">
        <w:rPr>
          <w:rFonts w:ascii="Times New Roman" w:eastAsia="Times New Roman" w:hAnsi="Times New Roman"/>
          <w:lang w:val="en-GB" w:eastAsia="en-GB"/>
        </w:rPr>
        <w:t>Atkins, S. 2015. </w:t>
      </w:r>
      <w:r w:rsidRPr="00230CB4">
        <w:rPr>
          <w:rFonts w:ascii="Times New Roman" w:eastAsia="Times New Roman" w:hAnsi="Times New Roman"/>
          <w:i/>
          <w:lang w:val="en-GB" w:eastAsia="en-GB"/>
        </w:rPr>
        <w:t>Equity and Trusts. </w:t>
      </w:r>
      <w:r w:rsidRPr="00230CB4">
        <w:rPr>
          <w:rFonts w:ascii="Times New Roman" w:eastAsia="Times New Roman" w:hAnsi="Times New Roman"/>
          <w:lang w:val="en-GB" w:eastAsia="en-GB"/>
        </w:rPr>
        <w:t>London: Taylor &amp; Francis.</w:t>
      </w:r>
    </w:p>
    <w:p w14:paraId="3F50DCB3" w14:textId="77777777" w:rsidR="00B65A0A" w:rsidRPr="00230CB4" w:rsidRDefault="00B65A0A" w:rsidP="00B65A0A">
      <w:pPr>
        <w:shd w:val="clear" w:color="auto" w:fill="F9FBFB"/>
        <w:spacing w:after="0" w:line="480" w:lineRule="auto"/>
        <w:ind w:left="720" w:hanging="720"/>
        <w:textAlignment w:val="center"/>
        <w:rPr>
          <w:rFonts w:ascii="Times New Roman" w:eastAsia="Times New Roman" w:hAnsi="Times New Roman"/>
          <w:lang w:val="en-GB" w:eastAsia="en-GB"/>
        </w:rPr>
      </w:pPr>
      <w:r w:rsidRPr="00230CB4">
        <w:rPr>
          <w:rFonts w:ascii="Times New Roman" w:eastAsia="Times New Roman" w:hAnsi="Times New Roman"/>
          <w:lang w:val="en-GB" w:eastAsia="en-GB"/>
        </w:rPr>
        <w:t>Bray, J. 2020. </w:t>
      </w:r>
      <w:r w:rsidRPr="00230CB4">
        <w:rPr>
          <w:rFonts w:ascii="Times New Roman" w:eastAsia="Times New Roman" w:hAnsi="Times New Roman"/>
          <w:i/>
          <w:lang w:val="en-GB" w:eastAsia="en-GB"/>
        </w:rPr>
        <w:t>A Student's Guide to Equity and Trusts</w:t>
      </w:r>
      <w:r w:rsidRPr="00230CB4">
        <w:rPr>
          <w:rFonts w:ascii="Times New Roman" w:eastAsia="Times New Roman" w:hAnsi="Times New Roman"/>
          <w:lang w:val="en-GB" w:eastAsia="en-GB"/>
        </w:rPr>
        <w:t>. London: Cambridge University Press.</w:t>
      </w:r>
    </w:p>
    <w:p w14:paraId="1C2F9738"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Clements, R. and </w:t>
      </w:r>
      <w:proofErr w:type="spellStart"/>
      <w:r w:rsidRPr="00230CB4">
        <w:rPr>
          <w:rFonts w:ascii="Times New Roman" w:eastAsia="Times New Roman" w:hAnsi="Times New Roman"/>
          <w:lang w:val="en-GB" w:eastAsia="en-GB"/>
        </w:rPr>
        <w:t>Abass</w:t>
      </w:r>
      <w:proofErr w:type="spellEnd"/>
      <w:r w:rsidRPr="00230CB4">
        <w:rPr>
          <w:rFonts w:ascii="Times New Roman" w:eastAsia="Times New Roman" w:hAnsi="Times New Roman"/>
          <w:lang w:val="en-GB" w:eastAsia="en-GB"/>
        </w:rPr>
        <w:t>, A. 2015. </w:t>
      </w:r>
      <w:r w:rsidRPr="00230CB4">
        <w:rPr>
          <w:rFonts w:ascii="Times New Roman" w:eastAsia="Times New Roman" w:hAnsi="Times New Roman"/>
          <w:i/>
          <w:lang w:val="en-GB" w:eastAsia="en-GB"/>
        </w:rPr>
        <w:t>Equity and Trusts: Text, Cases, and Materials</w:t>
      </w:r>
      <w:r w:rsidRPr="00230CB4">
        <w:rPr>
          <w:rFonts w:ascii="Times New Roman" w:eastAsia="Times New Roman" w:hAnsi="Times New Roman"/>
          <w:lang w:val="en-GB" w:eastAsia="en-GB"/>
        </w:rPr>
        <w:t>. London: Oxford University Press.</w:t>
      </w:r>
    </w:p>
    <w:p w14:paraId="68C9112A"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Edwards, R. and Stockwell, N. 2015. </w:t>
      </w:r>
      <w:r w:rsidRPr="00230CB4">
        <w:rPr>
          <w:rFonts w:ascii="Times New Roman" w:eastAsia="Times New Roman" w:hAnsi="Times New Roman"/>
          <w:i/>
          <w:lang w:val="en-GB" w:eastAsia="en-GB"/>
        </w:rPr>
        <w:t>Trusts and Equity</w:t>
      </w:r>
      <w:r w:rsidRPr="00230CB4">
        <w:rPr>
          <w:rFonts w:ascii="Times New Roman" w:eastAsia="Times New Roman" w:hAnsi="Times New Roman"/>
          <w:lang w:val="en-GB" w:eastAsia="en-GB"/>
        </w:rPr>
        <w:t xml:space="preserve">. London: Pearson Education Limited. </w:t>
      </w:r>
    </w:p>
    <w:p w14:paraId="04A45F96"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Huws, C. F. 2014. </w:t>
      </w:r>
      <w:r w:rsidRPr="00230CB4">
        <w:rPr>
          <w:rFonts w:ascii="Times New Roman" w:eastAsia="Times New Roman" w:hAnsi="Times New Roman"/>
          <w:i/>
          <w:lang w:val="en-GB" w:eastAsia="en-GB"/>
        </w:rPr>
        <w:t xml:space="preserve">Text, Cases and Materials on Equity and </w:t>
      </w:r>
      <w:proofErr w:type="spellStart"/>
      <w:r w:rsidRPr="00230CB4">
        <w:rPr>
          <w:rFonts w:ascii="Times New Roman" w:eastAsia="Times New Roman" w:hAnsi="Times New Roman"/>
          <w:i/>
          <w:lang w:val="en-GB" w:eastAsia="en-GB"/>
        </w:rPr>
        <w:t>Trusts</w:t>
      </w:r>
      <w:r w:rsidRPr="00230CB4">
        <w:rPr>
          <w:rFonts w:ascii="Times New Roman" w:eastAsia="Times New Roman" w:hAnsi="Times New Roman"/>
          <w:lang w:val="en-GB" w:eastAsia="en-GB"/>
        </w:rPr>
        <w:t>.London</w:t>
      </w:r>
      <w:proofErr w:type="spellEnd"/>
      <w:r w:rsidRPr="00230CB4">
        <w:rPr>
          <w:rFonts w:ascii="Times New Roman" w:eastAsia="Times New Roman" w:hAnsi="Times New Roman"/>
          <w:lang w:val="en-GB" w:eastAsia="en-GB"/>
        </w:rPr>
        <w:t>: Pearson Education.</w:t>
      </w:r>
    </w:p>
    <w:p w14:paraId="50BA580C" w14:textId="77777777" w:rsidR="00803842" w:rsidRDefault="00B65A0A" w:rsidP="00803842">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Lexix Nexis. 2023. Nature and classification of trusts—overview. [Online]. Available at: </w:t>
      </w:r>
      <w:hyperlink r:id="rId10" w:history="1">
        <w:r w:rsidRPr="00230CB4">
          <w:rPr>
            <w:rFonts w:ascii="Times New Roman" w:eastAsia="Times New Roman" w:hAnsi="Times New Roman"/>
            <w:u w:val="single"/>
            <w:lang w:val="en-GB" w:eastAsia="en-GB"/>
          </w:rPr>
          <w:t>https://www.lexisnexis.com/uk/lexispsl/privateclient/document/393819/5FN9-GY41-F18D-H32K-00000-00/Nature_and_classification_of_trusts_overview</w:t>
        </w:r>
      </w:hyperlink>
      <w:r w:rsidRPr="00230CB4">
        <w:rPr>
          <w:rFonts w:ascii="Times New Roman" w:eastAsia="Times New Roman" w:hAnsi="Times New Roman"/>
          <w:lang w:val="en-GB" w:eastAsia="en-GB"/>
        </w:rPr>
        <w:t>. [Accessed on: 0</w:t>
      </w:r>
      <w:r w:rsidR="00E7173A" w:rsidRPr="00230CB4">
        <w:rPr>
          <w:rFonts w:ascii="Times New Roman" w:eastAsia="Times New Roman" w:hAnsi="Times New Roman"/>
          <w:lang w:val="en-GB" w:eastAsia="en-GB"/>
        </w:rPr>
        <w:t>5</w:t>
      </w:r>
      <w:r w:rsidRPr="00230CB4">
        <w:rPr>
          <w:rFonts w:ascii="Times New Roman" w:eastAsia="Times New Roman" w:hAnsi="Times New Roman"/>
          <w:lang w:val="en-GB" w:eastAsia="en-GB"/>
        </w:rPr>
        <w:t xml:space="preserve"> March 2023].</w:t>
      </w:r>
    </w:p>
    <w:p w14:paraId="7B2B0918" w14:textId="0AE00F5F" w:rsidR="00803842" w:rsidRPr="00803842" w:rsidRDefault="00803842" w:rsidP="00803842">
      <w:pPr>
        <w:spacing w:after="0" w:line="480" w:lineRule="auto"/>
        <w:ind w:left="720" w:hanging="720"/>
        <w:rPr>
          <w:rFonts w:ascii="Times New Roman" w:eastAsia="Times New Roman" w:hAnsi="Times New Roman"/>
          <w:lang w:val="en-GB" w:eastAsia="en-GB"/>
        </w:rPr>
      </w:pPr>
      <w:proofErr w:type="spellStart"/>
      <w:proofErr w:type="gramStart"/>
      <w:r w:rsidRPr="00230CB4">
        <w:rPr>
          <w:rFonts w:ascii="Times New Roman" w:hAnsi="Times New Roman"/>
        </w:rPr>
        <w:t>LawTeacher</w:t>
      </w:r>
      <w:proofErr w:type="spellEnd"/>
      <w:r w:rsidRPr="00230CB4">
        <w:rPr>
          <w:rFonts w:ascii="Times New Roman" w:hAnsi="Times New Roman"/>
        </w:rPr>
        <w:t>.</w:t>
      </w:r>
      <w:proofErr w:type="gramEnd"/>
      <w:r w:rsidRPr="00230CB4">
        <w:rPr>
          <w:rFonts w:ascii="Times New Roman" w:hAnsi="Times New Roman"/>
        </w:rPr>
        <w:t xml:space="preserve"> November 2013. </w:t>
      </w:r>
      <w:bookmarkStart w:id="3" w:name="_Hlk129287797"/>
      <w:r w:rsidRPr="00230CB4">
        <w:rPr>
          <w:rFonts w:ascii="Times New Roman" w:hAnsi="Times New Roman"/>
        </w:rPr>
        <w:t xml:space="preserve">Knight v Knight (1840) </w:t>
      </w:r>
      <w:bookmarkEnd w:id="3"/>
      <w:r w:rsidRPr="00230CB4">
        <w:rPr>
          <w:rFonts w:ascii="Times New Roman" w:hAnsi="Times New Roman"/>
        </w:rPr>
        <w:t xml:space="preserve">3 </w:t>
      </w:r>
      <w:proofErr w:type="spellStart"/>
      <w:r w:rsidRPr="00230CB4">
        <w:rPr>
          <w:rFonts w:ascii="Times New Roman" w:hAnsi="Times New Roman"/>
        </w:rPr>
        <w:t>Beav</w:t>
      </w:r>
      <w:proofErr w:type="spellEnd"/>
      <w:r w:rsidRPr="00230CB4">
        <w:rPr>
          <w:rFonts w:ascii="Times New Roman" w:hAnsi="Times New Roman"/>
        </w:rPr>
        <w:t xml:space="preserve"> 148. [online]. Available from: https://www.lawteacher.net/cases/knight-v-knight.php?vref=1 [Accessed 9 March 2023].</w:t>
      </w:r>
    </w:p>
    <w:p w14:paraId="3D08CEB6" w14:textId="77777777" w:rsidR="00803842" w:rsidRPr="00230CB4" w:rsidRDefault="00803842" w:rsidP="00803842">
      <w:pPr>
        <w:shd w:val="clear" w:color="auto" w:fill="F9FBFB"/>
        <w:spacing w:after="0" w:line="480" w:lineRule="auto"/>
        <w:ind w:left="720" w:hanging="720"/>
        <w:textAlignment w:val="center"/>
        <w:rPr>
          <w:rFonts w:ascii="Times New Roman" w:eastAsia="Times New Roman" w:hAnsi="Times New Roman"/>
          <w:lang w:val="en-GB" w:eastAsia="en-GB"/>
        </w:rPr>
      </w:pPr>
      <w:proofErr w:type="spellStart"/>
      <w:r w:rsidRPr="00230CB4">
        <w:rPr>
          <w:rFonts w:ascii="Times New Roman" w:eastAsia="Times New Roman" w:hAnsi="Times New Roman"/>
          <w:lang w:val="en-GB" w:eastAsia="en-GB"/>
        </w:rPr>
        <w:t>LawTeacher</w:t>
      </w:r>
      <w:proofErr w:type="spellEnd"/>
      <w:r w:rsidRPr="00230CB4">
        <w:rPr>
          <w:rFonts w:ascii="Times New Roman" w:eastAsia="Times New Roman" w:hAnsi="Times New Roman"/>
          <w:lang w:val="en-GB" w:eastAsia="en-GB"/>
        </w:rPr>
        <w:t>. November 2013. Earl of Oxford Case: Conflict between Common Law and Equity. [online]. Available from: https://www.lawteacher.net/free-law-essays/equity-law/conflict-between-common-law-and-equity-equity-law-essay.php?vref=1 [Accessed 9 March 2023].</w:t>
      </w:r>
    </w:p>
    <w:p w14:paraId="129EEBD3" w14:textId="736633AE" w:rsidR="00B65A0A" w:rsidRPr="00230CB4" w:rsidRDefault="00B65A0A" w:rsidP="00B65A0A">
      <w:pPr>
        <w:shd w:val="clear" w:color="auto" w:fill="F9FBFB"/>
        <w:spacing w:after="0" w:line="480" w:lineRule="auto"/>
        <w:ind w:left="720" w:hanging="720"/>
        <w:textAlignment w:val="center"/>
        <w:rPr>
          <w:rFonts w:ascii="Times New Roman" w:eastAsia="Times New Roman" w:hAnsi="Times New Roman"/>
          <w:lang w:val="en-GB" w:eastAsia="en-GB"/>
        </w:rPr>
      </w:pPr>
      <w:r w:rsidRPr="00230CB4">
        <w:rPr>
          <w:rFonts w:ascii="Times New Roman" w:eastAsia="Times New Roman" w:hAnsi="Times New Roman"/>
          <w:lang w:val="en-GB" w:eastAsia="en-GB"/>
        </w:rPr>
        <w:t>Penner, J. 2016. </w:t>
      </w:r>
      <w:r w:rsidRPr="00230CB4">
        <w:rPr>
          <w:rFonts w:ascii="Times New Roman" w:eastAsia="Times New Roman" w:hAnsi="Times New Roman"/>
          <w:i/>
          <w:lang w:val="en-GB" w:eastAsia="en-GB"/>
        </w:rPr>
        <w:t>The Law of Trusts. </w:t>
      </w:r>
      <w:r w:rsidRPr="00230CB4">
        <w:rPr>
          <w:rFonts w:ascii="Times New Roman" w:eastAsia="Times New Roman" w:hAnsi="Times New Roman"/>
          <w:lang w:val="en-GB" w:eastAsia="en-GB"/>
        </w:rPr>
        <w:t>London: Oxford University Press.</w:t>
      </w:r>
    </w:p>
    <w:p w14:paraId="75C9C295"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Scott, A.W. 1992. The trust as an instrument of law reform. </w:t>
      </w:r>
      <w:r w:rsidRPr="00230CB4">
        <w:rPr>
          <w:rFonts w:ascii="Times New Roman" w:eastAsia="Times New Roman" w:hAnsi="Times New Roman"/>
          <w:i/>
          <w:lang w:val="en-GB" w:eastAsia="en-GB"/>
        </w:rPr>
        <w:t>Yale Law Journal</w:t>
      </w:r>
      <w:r w:rsidRPr="00230CB4">
        <w:rPr>
          <w:rFonts w:ascii="Times New Roman" w:eastAsia="Times New Roman" w:hAnsi="Times New Roman"/>
          <w:lang w:val="en-GB" w:eastAsia="en-GB"/>
        </w:rPr>
        <w:t xml:space="preserve"> 31(5), pp. 457-468. </w:t>
      </w:r>
    </w:p>
    <w:p w14:paraId="583AD287" w14:textId="2C807B3E" w:rsidR="00B65A0A"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Seipp, D.J. 2011. Trust and fiduciary duty in the early common law. </w:t>
      </w:r>
      <w:r w:rsidRPr="00230CB4">
        <w:rPr>
          <w:rFonts w:ascii="Times New Roman" w:eastAsia="Times New Roman" w:hAnsi="Times New Roman"/>
          <w:i/>
          <w:lang w:val="en-GB" w:eastAsia="en-GB"/>
        </w:rPr>
        <w:t>Boston University Law Review</w:t>
      </w:r>
      <w:r w:rsidRPr="00230CB4">
        <w:rPr>
          <w:rFonts w:ascii="Times New Roman" w:eastAsia="Times New Roman" w:hAnsi="Times New Roman"/>
          <w:lang w:val="en-GB" w:eastAsia="en-GB"/>
        </w:rPr>
        <w:t xml:space="preserve"> 91(1011), pp. 1012-1037.</w:t>
      </w:r>
    </w:p>
    <w:p w14:paraId="5804C114" w14:textId="39EA0F5C" w:rsidR="00F16A0D" w:rsidRPr="00230CB4" w:rsidRDefault="00F16A0D" w:rsidP="00B65A0A">
      <w:pPr>
        <w:spacing w:after="0" w:line="480" w:lineRule="auto"/>
        <w:ind w:left="720" w:hanging="720"/>
        <w:rPr>
          <w:rFonts w:ascii="Times New Roman" w:eastAsia="Times New Roman" w:hAnsi="Times New Roman"/>
          <w:lang w:val="en-GB" w:eastAsia="en-GB"/>
        </w:rPr>
      </w:pPr>
      <w:r>
        <w:rPr>
          <w:rFonts w:ascii="Times New Roman" w:eastAsia="Times New Roman" w:hAnsi="Times New Roman"/>
          <w:lang w:val="en-GB" w:eastAsia="en-GB"/>
        </w:rPr>
        <w:t>S. Gardner. 2011. An introduction of the law of trusts, 3</w:t>
      </w:r>
      <w:r w:rsidRPr="00F16A0D">
        <w:rPr>
          <w:rFonts w:ascii="Times New Roman" w:eastAsia="Times New Roman" w:hAnsi="Times New Roman"/>
          <w:vertAlign w:val="superscript"/>
          <w:lang w:val="en-GB" w:eastAsia="en-GB"/>
        </w:rPr>
        <w:t>rd</w:t>
      </w:r>
      <w:r>
        <w:rPr>
          <w:rFonts w:ascii="Times New Roman" w:eastAsia="Times New Roman" w:hAnsi="Times New Roman"/>
          <w:lang w:val="en-GB" w:eastAsia="en-GB"/>
        </w:rPr>
        <w:t xml:space="preserve"> </w:t>
      </w:r>
      <w:proofErr w:type="spellStart"/>
      <w:r>
        <w:rPr>
          <w:rFonts w:ascii="Times New Roman" w:eastAsia="Times New Roman" w:hAnsi="Times New Roman"/>
          <w:lang w:val="en-GB" w:eastAsia="en-GB"/>
        </w:rPr>
        <w:t>edn</w:t>
      </w:r>
      <w:proofErr w:type="spellEnd"/>
      <w:r w:rsidR="00252EA5">
        <w:rPr>
          <w:rFonts w:ascii="Times New Roman" w:eastAsia="Times New Roman" w:hAnsi="Times New Roman"/>
          <w:lang w:val="en-GB" w:eastAsia="en-GB"/>
        </w:rPr>
        <w:t>. London: Oxford University Press.</w:t>
      </w:r>
    </w:p>
    <w:p w14:paraId="63AB5D62"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proofErr w:type="spellStart"/>
      <w:r w:rsidRPr="00230CB4">
        <w:rPr>
          <w:rFonts w:ascii="Times New Roman" w:eastAsia="Times New Roman" w:hAnsi="Times New Roman"/>
          <w:lang w:val="en-GB" w:eastAsia="en-GB"/>
        </w:rPr>
        <w:lastRenderedPageBreak/>
        <w:t>Swarb</w:t>
      </w:r>
      <w:proofErr w:type="spellEnd"/>
      <w:r w:rsidRPr="00230CB4">
        <w:rPr>
          <w:rFonts w:ascii="Times New Roman" w:eastAsia="Times New Roman" w:hAnsi="Times New Roman"/>
          <w:lang w:val="en-GB" w:eastAsia="en-GB"/>
        </w:rPr>
        <w:t xml:space="preserve">. 2021. </w:t>
      </w:r>
      <w:bookmarkStart w:id="4" w:name="_Hlk129288057"/>
      <w:r w:rsidRPr="00230CB4">
        <w:rPr>
          <w:rFonts w:ascii="Times New Roman" w:eastAsia="Times New Roman" w:hAnsi="Times New Roman"/>
          <w:lang w:val="en-GB" w:eastAsia="en-GB"/>
        </w:rPr>
        <w:t xml:space="preserve">Staden v Jones [2008] </w:t>
      </w:r>
      <w:bookmarkEnd w:id="4"/>
      <w:r w:rsidRPr="00230CB4">
        <w:rPr>
          <w:rFonts w:ascii="Times New Roman" w:eastAsia="Times New Roman" w:hAnsi="Times New Roman"/>
          <w:lang w:val="en-GB" w:eastAsia="en-GB"/>
        </w:rPr>
        <w:t xml:space="preserve">ECWA </w:t>
      </w:r>
      <w:proofErr w:type="spellStart"/>
      <w:r w:rsidRPr="00230CB4">
        <w:rPr>
          <w:rFonts w:ascii="Times New Roman" w:eastAsia="Times New Roman" w:hAnsi="Times New Roman"/>
          <w:lang w:val="en-GB" w:eastAsia="en-GB"/>
        </w:rPr>
        <w:t>Civ</w:t>
      </w:r>
      <w:proofErr w:type="spellEnd"/>
      <w:r w:rsidRPr="00230CB4">
        <w:rPr>
          <w:rFonts w:ascii="Times New Roman" w:eastAsia="Times New Roman" w:hAnsi="Times New Roman"/>
          <w:lang w:val="en-GB" w:eastAsia="en-GB"/>
        </w:rPr>
        <w:t xml:space="preserve"> 936. [Online]. Available at: </w:t>
      </w:r>
      <w:hyperlink r:id="rId11" w:history="1">
        <w:r w:rsidRPr="00230CB4">
          <w:rPr>
            <w:rFonts w:ascii="Times New Roman" w:eastAsia="Times New Roman" w:hAnsi="Times New Roman"/>
            <w:u w:val="single"/>
            <w:lang w:val="en-GB" w:eastAsia="en-GB"/>
          </w:rPr>
          <w:t>https://swarb.co.uk/staden-v-jones-ca-13-jun-2008/</w:t>
        </w:r>
      </w:hyperlink>
      <w:r w:rsidRPr="00230CB4">
        <w:rPr>
          <w:rFonts w:ascii="Times New Roman" w:eastAsia="Times New Roman" w:hAnsi="Times New Roman"/>
          <w:lang w:val="en-GB" w:eastAsia="en-GB"/>
        </w:rPr>
        <w:t>. [Accessed on: 03 March 2023].</w:t>
      </w:r>
    </w:p>
    <w:p w14:paraId="402A585C" w14:textId="68388F38" w:rsidR="00B65A0A" w:rsidRPr="00230CB4" w:rsidRDefault="00B65A0A" w:rsidP="00B65A0A">
      <w:pPr>
        <w:spacing w:after="0" w:line="480" w:lineRule="auto"/>
        <w:ind w:left="720" w:hanging="720"/>
        <w:rPr>
          <w:rFonts w:ascii="Times New Roman" w:eastAsia="Times New Roman" w:hAnsi="Times New Roman"/>
          <w:lang w:val="en-GB" w:eastAsia="en-GB"/>
        </w:rPr>
      </w:pPr>
      <w:proofErr w:type="spellStart"/>
      <w:r w:rsidRPr="00230CB4">
        <w:rPr>
          <w:rFonts w:ascii="Times New Roman" w:eastAsia="Times New Roman" w:hAnsi="Times New Roman"/>
          <w:lang w:val="en-GB" w:eastAsia="en-GB"/>
        </w:rPr>
        <w:t>Swarb</w:t>
      </w:r>
      <w:proofErr w:type="spellEnd"/>
      <w:r w:rsidRPr="00230CB4">
        <w:rPr>
          <w:rFonts w:ascii="Times New Roman" w:eastAsia="Times New Roman" w:hAnsi="Times New Roman"/>
          <w:lang w:val="en-GB" w:eastAsia="en-GB"/>
        </w:rPr>
        <w:t xml:space="preserve">. 2022. </w:t>
      </w:r>
      <w:bookmarkStart w:id="5" w:name="_Hlk129287978"/>
      <w:r w:rsidRPr="00230CB4">
        <w:rPr>
          <w:rFonts w:ascii="Times New Roman" w:eastAsia="Times New Roman" w:hAnsi="Times New Roman"/>
          <w:lang w:val="en-GB" w:eastAsia="en-GB"/>
        </w:rPr>
        <w:t xml:space="preserve">Shalit v Joseph Nadler Ltd [1933] </w:t>
      </w:r>
      <w:bookmarkEnd w:id="5"/>
      <w:r w:rsidRPr="00230CB4">
        <w:rPr>
          <w:rFonts w:ascii="Times New Roman" w:eastAsia="Times New Roman" w:hAnsi="Times New Roman"/>
          <w:lang w:val="en-GB" w:eastAsia="en-GB"/>
        </w:rPr>
        <w:t xml:space="preserve">2 KB 79. [Online]. Available at: </w:t>
      </w:r>
      <w:hyperlink r:id="rId12" w:history="1">
        <w:r w:rsidRPr="00230CB4">
          <w:rPr>
            <w:rFonts w:ascii="Times New Roman" w:eastAsia="Times New Roman" w:hAnsi="Times New Roman"/>
            <w:u w:val="single"/>
            <w:lang w:val="en-GB" w:eastAsia="en-GB"/>
          </w:rPr>
          <w:t>https://swarb.co.uk/schalit-v-joseph-nadler-ltd-ca-1933/</w:t>
        </w:r>
      </w:hyperlink>
      <w:r w:rsidRPr="00230CB4">
        <w:rPr>
          <w:rFonts w:ascii="Times New Roman" w:eastAsia="Times New Roman" w:hAnsi="Times New Roman"/>
          <w:lang w:val="en-GB" w:eastAsia="en-GB"/>
        </w:rPr>
        <w:t>. [Accessed on: 0</w:t>
      </w:r>
      <w:r w:rsidR="00E7173A" w:rsidRPr="00230CB4">
        <w:rPr>
          <w:rFonts w:ascii="Times New Roman" w:eastAsia="Times New Roman" w:hAnsi="Times New Roman"/>
          <w:lang w:val="en-GB" w:eastAsia="en-GB"/>
        </w:rPr>
        <w:t>5</w:t>
      </w:r>
      <w:r w:rsidRPr="00230CB4">
        <w:rPr>
          <w:rFonts w:ascii="Times New Roman" w:eastAsia="Times New Roman" w:hAnsi="Times New Roman"/>
          <w:lang w:val="en-GB" w:eastAsia="en-GB"/>
        </w:rPr>
        <w:t xml:space="preserve"> March 2023].</w:t>
      </w:r>
    </w:p>
    <w:p w14:paraId="338CA082" w14:textId="61BDF571"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The Supreme Court. 2022. </w:t>
      </w:r>
      <w:bookmarkStart w:id="6" w:name="_Hlk129288021"/>
      <w:r w:rsidRPr="00230CB4">
        <w:rPr>
          <w:rFonts w:ascii="Times New Roman" w:eastAsia="Times New Roman" w:hAnsi="Times New Roman"/>
          <w:lang w:val="en-GB" w:eastAsia="en-GB"/>
        </w:rPr>
        <w:t xml:space="preserve">Roberts v Gill &amp; Co. [2010] </w:t>
      </w:r>
      <w:bookmarkEnd w:id="6"/>
      <w:r w:rsidRPr="00230CB4">
        <w:rPr>
          <w:rFonts w:ascii="Times New Roman" w:eastAsia="Times New Roman" w:hAnsi="Times New Roman"/>
          <w:lang w:val="en-GB" w:eastAsia="en-GB"/>
        </w:rPr>
        <w:t xml:space="preserve">UKSA 22. [Online]. Available at: </w:t>
      </w:r>
      <w:hyperlink r:id="rId13" w:history="1">
        <w:r w:rsidRPr="00230CB4">
          <w:rPr>
            <w:rFonts w:ascii="Times New Roman" w:eastAsia="Times New Roman" w:hAnsi="Times New Roman"/>
            <w:u w:val="single"/>
            <w:lang w:val="en-GB" w:eastAsia="en-GB"/>
          </w:rPr>
          <w:t>https://www.supremecourt.uk/cases/uksc-2009-0071.html</w:t>
        </w:r>
      </w:hyperlink>
      <w:r w:rsidRPr="00230CB4">
        <w:rPr>
          <w:rFonts w:ascii="Times New Roman" w:eastAsia="Times New Roman" w:hAnsi="Times New Roman"/>
          <w:lang w:val="en-GB" w:eastAsia="en-GB"/>
        </w:rPr>
        <w:t>. [Accessed on: 0</w:t>
      </w:r>
      <w:r w:rsidR="00E7173A" w:rsidRPr="00230CB4">
        <w:rPr>
          <w:rFonts w:ascii="Times New Roman" w:eastAsia="Times New Roman" w:hAnsi="Times New Roman"/>
          <w:lang w:val="en-GB" w:eastAsia="en-GB"/>
        </w:rPr>
        <w:t>7</w:t>
      </w:r>
      <w:r w:rsidRPr="00230CB4">
        <w:rPr>
          <w:rFonts w:ascii="Times New Roman" w:eastAsia="Times New Roman" w:hAnsi="Times New Roman"/>
          <w:lang w:val="en-GB" w:eastAsia="en-GB"/>
        </w:rPr>
        <w:t xml:space="preserve"> March 2023].</w:t>
      </w:r>
    </w:p>
    <w:p w14:paraId="34F661F6"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Virgo, G. 2018. </w:t>
      </w:r>
      <w:r w:rsidRPr="00230CB4">
        <w:rPr>
          <w:rFonts w:ascii="Times New Roman" w:eastAsia="Times New Roman" w:hAnsi="Times New Roman"/>
          <w:i/>
          <w:lang w:val="en-GB" w:eastAsia="en-GB"/>
        </w:rPr>
        <w:t>The Principles of Equity &amp; Trusts</w:t>
      </w:r>
      <w:r w:rsidRPr="00230CB4">
        <w:rPr>
          <w:rFonts w:ascii="Times New Roman" w:eastAsia="Times New Roman" w:hAnsi="Times New Roman"/>
          <w:lang w:val="en-GB" w:eastAsia="en-GB"/>
        </w:rPr>
        <w:t>. London: Oxford University Press.</w:t>
      </w:r>
    </w:p>
    <w:p w14:paraId="6B18DFD3"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Watt, G. 2016. </w:t>
      </w:r>
      <w:r w:rsidRPr="00230CB4">
        <w:rPr>
          <w:rFonts w:ascii="Times New Roman" w:eastAsia="Times New Roman" w:hAnsi="Times New Roman"/>
          <w:i/>
          <w:lang w:val="en-GB" w:eastAsia="en-GB"/>
        </w:rPr>
        <w:t>Cases and Materials on Equity and Trusts.</w:t>
      </w:r>
      <w:r w:rsidRPr="00230CB4">
        <w:rPr>
          <w:rFonts w:ascii="Times New Roman" w:eastAsia="Times New Roman" w:hAnsi="Times New Roman"/>
          <w:lang w:val="en-GB" w:eastAsia="en-GB"/>
        </w:rPr>
        <w:t> London: Oxford University Press.</w:t>
      </w:r>
    </w:p>
    <w:p w14:paraId="344F8A1A" w14:textId="77777777"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Watt, G. 2016a. </w:t>
      </w:r>
      <w:r w:rsidRPr="00230CB4">
        <w:rPr>
          <w:rFonts w:ascii="Times New Roman" w:eastAsia="Times New Roman" w:hAnsi="Times New Roman"/>
          <w:i/>
          <w:lang w:val="en-GB" w:eastAsia="en-GB"/>
        </w:rPr>
        <w:t>Equity and Trusts Law Directions.</w:t>
      </w:r>
      <w:r w:rsidRPr="00230CB4">
        <w:rPr>
          <w:rFonts w:ascii="Times New Roman" w:eastAsia="Times New Roman" w:hAnsi="Times New Roman"/>
          <w:lang w:val="en-GB" w:eastAsia="en-GB"/>
        </w:rPr>
        <w:t> London: Oxford University Press.</w:t>
      </w:r>
    </w:p>
    <w:p w14:paraId="6A71E960" w14:textId="7126E5CA" w:rsidR="00B65A0A" w:rsidRPr="00230CB4" w:rsidRDefault="00B65A0A"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Watt, G. 2016b. </w:t>
      </w:r>
      <w:r w:rsidRPr="00230CB4">
        <w:rPr>
          <w:rFonts w:ascii="Times New Roman" w:eastAsia="Times New Roman" w:hAnsi="Times New Roman"/>
          <w:i/>
          <w:lang w:val="en-GB" w:eastAsia="en-GB"/>
        </w:rPr>
        <w:t>Trusts and Equity</w:t>
      </w:r>
      <w:r w:rsidRPr="00230CB4">
        <w:rPr>
          <w:rFonts w:ascii="Times New Roman" w:eastAsia="Times New Roman" w:hAnsi="Times New Roman"/>
          <w:lang w:val="en-GB" w:eastAsia="en-GB"/>
        </w:rPr>
        <w:t>. London: Oxford University Press.</w:t>
      </w:r>
    </w:p>
    <w:p w14:paraId="7C4A6E90" w14:textId="521E12FD" w:rsidR="00984EDD" w:rsidRDefault="00984EDD" w:rsidP="00B65A0A">
      <w:pPr>
        <w:spacing w:after="0" w:line="480" w:lineRule="auto"/>
        <w:ind w:left="720" w:hanging="720"/>
        <w:rPr>
          <w:rFonts w:ascii="Times New Roman" w:eastAsia="Times New Roman" w:hAnsi="Times New Roman"/>
          <w:lang w:val="en-GB" w:eastAsia="en-GB"/>
        </w:rPr>
      </w:pPr>
      <w:r w:rsidRPr="00230CB4">
        <w:rPr>
          <w:rFonts w:ascii="Times New Roman" w:eastAsia="Times New Roman" w:hAnsi="Times New Roman"/>
          <w:lang w:val="en-GB" w:eastAsia="en-GB"/>
        </w:rPr>
        <w:t xml:space="preserve">Wilson, S. 2015. </w:t>
      </w:r>
      <w:r w:rsidRPr="00230CB4">
        <w:rPr>
          <w:rFonts w:ascii="Times New Roman" w:eastAsia="Times New Roman" w:hAnsi="Times New Roman"/>
          <w:i/>
          <w:iCs/>
          <w:lang w:val="en-GB" w:eastAsia="en-GB"/>
        </w:rPr>
        <w:t xml:space="preserve">Todd &amp; Wilson’s textbook on trust and Equity. </w:t>
      </w:r>
      <w:r w:rsidRPr="00230CB4">
        <w:rPr>
          <w:rFonts w:ascii="Times New Roman" w:eastAsia="Times New Roman" w:hAnsi="Times New Roman"/>
          <w:lang w:val="en-GB" w:eastAsia="en-GB"/>
        </w:rPr>
        <w:t xml:space="preserve">London: Oxford University Press. </w:t>
      </w:r>
    </w:p>
    <w:p w14:paraId="66CB4E32" w14:textId="2083CFA6" w:rsidR="00F16A0D" w:rsidRDefault="00F16A0D" w:rsidP="00B65A0A">
      <w:pPr>
        <w:spacing w:after="0" w:line="480" w:lineRule="auto"/>
        <w:ind w:left="720" w:hanging="720"/>
        <w:rPr>
          <w:rFonts w:ascii="Times New Roman" w:eastAsia="Times New Roman" w:hAnsi="Times New Roman"/>
          <w:lang w:val="en-GB" w:eastAsia="en-GB"/>
        </w:rPr>
      </w:pPr>
    </w:p>
    <w:p w14:paraId="7BC1D3F7" w14:textId="66F5EB97" w:rsidR="00F16A0D" w:rsidRDefault="00F16A0D" w:rsidP="00B65A0A">
      <w:pPr>
        <w:spacing w:after="0" w:line="480" w:lineRule="auto"/>
        <w:ind w:left="720" w:hanging="720"/>
        <w:rPr>
          <w:rFonts w:ascii="Times New Roman" w:eastAsia="Times New Roman" w:hAnsi="Times New Roman"/>
          <w:b/>
          <w:bCs/>
          <w:lang w:val="en-GB" w:eastAsia="en-GB"/>
        </w:rPr>
      </w:pPr>
      <w:r>
        <w:rPr>
          <w:rFonts w:ascii="Times New Roman" w:eastAsia="Times New Roman" w:hAnsi="Times New Roman"/>
          <w:b/>
          <w:bCs/>
          <w:lang w:val="en-GB" w:eastAsia="en-GB"/>
        </w:rPr>
        <w:t>Case Law:</w:t>
      </w:r>
    </w:p>
    <w:p w14:paraId="035BF1D3" w14:textId="40200E09" w:rsidR="00AC10D7" w:rsidRPr="00AC10D7" w:rsidRDefault="00AC10D7" w:rsidP="00B65A0A">
      <w:pPr>
        <w:spacing w:after="0" w:line="480" w:lineRule="auto"/>
        <w:ind w:left="720" w:hanging="720"/>
        <w:rPr>
          <w:rFonts w:ascii="Times New Roman" w:eastAsia="Times New Roman" w:hAnsi="Times New Roman"/>
          <w:b/>
          <w:bCs/>
          <w:i/>
          <w:iCs/>
          <w:lang w:val="en-GB" w:eastAsia="en-GB"/>
        </w:rPr>
      </w:pPr>
      <w:r w:rsidRPr="00AC10D7">
        <w:rPr>
          <w:rFonts w:ascii="Times New Roman" w:eastAsia="Times New Roman" w:hAnsi="Times New Roman"/>
          <w:i/>
          <w:iCs/>
          <w:lang w:val="en-GB" w:eastAsia="en-GB"/>
        </w:rPr>
        <w:t>Roberts v Gill &amp; Co. [2010]</w:t>
      </w:r>
    </w:p>
    <w:p w14:paraId="358D3E6B" w14:textId="105AE1A2" w:rsidR="00F16A0D" w:rsidRPr="000B2556" w:rsidRDefault="00F16A0D" w:rsidP="00B65A0A">
      <w:pPr>
        <w:spacing w:after="0" w:line="480" w:lineRule="auto"/>
        <w:ind w:left="720" w:hanging="720"/>
        <w:rPr>
          <w:rFonts w:ascii="Times New Roman" w:eastAsia="Times New Roman" w:hAnsi="Times New Roman"/>
          <w:i/>
          <w:iCs/>
          <w:lang w:val="en-GB" w:eastAsia="en-GB"/>
        </w:rPr>
      </w:pPr>
      <w:r w:rsidRPr="000B2556">
        <w:rPr>
          <w:rFonts w:ascii="Times New Roman" w:eastAsia="Times New Roman" w:hAnsi="Times New Roman"/>
          <w:i/>
          <w:iCs/>
          <w:lang w:val="en-GB" w:eastAsia="en-GB"/>
        </w:rPr>
        <w:t xml:space="preserve">Re </w:t>
      </w:r>
      <w:proofErr w:type="spellStart"/>
      <w:r w:rsidRPr="000B2556">
        <w:rPr>
          <w:rFonts w:ascii="Times New Roman" w:eastAsia="Times New Roman" w:hAnsi="Times New Roman"/>
          <w:i/>
          <w:iCs/>
          <w:lang w:val="en-GB" w:eastAsia="en-GB"/>
        </w:rPr>
        <w:t>Denley</w:t>
      </w:r>
      <w:proofErr w:type="spellEnd"/>
      <w:r w:rsidRPr="000B2556">
        <w:rPr>
          <w:rFonts w:ascii="Times New Roman" w:eastAsia="Times New Roman" w:hAnsi="Times New Roman"/>
          <w:i/>
          <w:iCs/>
          <w:lang w:val="en-GB" w:eastAsia="en-GB"/>
        </w:rPr>
        <w:t xml:space="preserve"> [1969]</w:t>
      </w:r>
    </w:p>
    <w:p w14:paraId="098EACD7" w14:textId="34154B13" w:rsidR="00F16A0D" w:rsidRDefault="00F16A0D" w:rsidP="00B65A0A">
      <w:pPr>
        <w:spacing w:after="0" w:line="480" w:lineRule="auto"/>
        <w:ind w:left="720" w:hanging="720"/>
        <w:rPr>
          <w:rFonts w:ascii="Times New Roman" w:eastAsia="Times New Roman" w:hAnsi="Times New Roman"/>
          <w:i/>
          <w:iCs/>
          <w:lang w:val="en-GB" w:eastAsia="en-GB"/>
        </w:rPr>
      </w:pPr>
      <w:bookmarkStart w:id="7" w:name="_Hlk129287480"/>
      <w:proofErr w:type="spellStart"/>
      <w:r w:rsidRPr="000B2556">
        <w:rPr>
          <w:rFonts w:ascii="Times New Roman" w:eastAsia="Times New Roman" w:hAnsi="Times New Roman"/>
          <w:i/>
          <w:iCs/>
          <w:lang w:val="en-GB" w:eastAsia="en-GB"/>
        </w:rPr>
        <w:t>Morice</w:t>
      </w:r>
      <w:proofErr w:type="spellEnd"/>
      <w:r w:rsidRPr="000B2556">
        <w:rPr>
          <w:rFonts w:ascii="Times New Roman" w:eastAsia="Times New Roman" w:hAnsi="Times New Roman"/>
          <w:i/>
          <w:iCs/>
          <w:lang w:val="en-GB" w:eastAsia="en-GB"/>
        </w:rPr>
        <w:t xml:space="preserve"> vs Bishop of Durham [1804]</w:t>
      </w:r>
    </w:p>
    <w:p w14:paraId="2FEDE109" w14:textId="18FE6929" w:rsidR="00AC10D7" w:rsidRDefault="00AC10D7" w:rsidP="00B65A0A">
      <w:pPr>
        <w:spacing w:after="0" w:line="480" w:lineRule="auto"/>
        <w:ind w:left="720" w:hanging="720"/>
        <w:rPr>
          <w:rFonts w:ascii="Times New Roman" w:eastAsia="Times New Roman" w:hAnsi="Times New Roman"/>
          <w:i/>
          <w:iCs/>
          <w:lang w:val="en-GB" w:eastAsia="en-GB"/>
        </w:rPr>
      </w:pPr>
      <w:r w:rsidRPr="00AC10D7">
        <w:rPr>
          <w:rFonts w:ascii="Times New Roman" w:eastAsia="Times New Roman" w:hAnsi="Times New Roman"/>
          <w:i/>
          <w:iCs/>
          <w:lang w:val="en-GB" w:eastAsia="en-GB"/>
        </w:rPr>
        <w:t>Shalit v Joseph Nadler Ltd [1933]</w:t>
      </w:r>
    </w:p>
    <w:p w14:paraId="731501DD" w14:textId="4C6E0E0A" w:rsidR="00AC10D7" w:rsidRPr="00AC10D7" w:rsidRDefault="00AC10D7" w:rsidP="00B65A0A">
      <w:pPr>
        <w:spacing w:after="0" w:line="480" w:lineRule="auto"/>
        <w:ind w:left="720" w:hanging="720"/>
        <w:rPr>
          <w:rFonts w:ascii="Times New Roman" w:eastAsia="Times New Roman" w:hAnsi="Times New Roman"/>
          <w:i/>
          <w:iCs/>
          <w:lang w:val="en-GB" w:eastAsia="en-GB"/>
        </w:rPr>
      </w:pPr>
      <w:r w:rsidRPr="00AC10D7">
        <w:rPr>
          <w:rFonts w:ascii="Times New Roman" w:eastAsia="Times New Roman" w:hAnsi="Times New Roman"/>
          <w:i/>
          <w:iCs/>
          <w:lang w:val="en-GB" w:eastAsia="en-GB"/>
        </w:rPr>
        <w:t>Staden v Jones [2008]</w:t>
      </w:r>
    </w:p>
    <w:bookmarkEnd w:id="7"/>
    <w:p w14:paraId="751472AE" w14:textId="77777777" w:rsidR="00F16A0D" w:rsidRPr="00F16A0D" w:rsidRDefault="00F16A0D" w:rsidP="00B65A0A">
      <w:pPr>
        <w:spacing w:after="0" w:line="480" w:lineRule="auto"/>
        <w:ind w:left="720" w:hanging="720"/>
        <w:rPr>
          <w:rFonts w:ascii="Times New Roman" w:eastAsia="Times New Roman" w:hAnsi="Times New Roman"/>
          <w:lang w:val="en-GB" w:eastAsia="en-GB"/>
        </w:rPr>
      </w:pPr>
    </w:p>
    <w:p w14:paraId="617BA8D8" w14:textId="77777777" w:rsidR="00984EDD" w:rsidRPr="00984EDD" w:rsidRDefault="00984EDD" w:rsidP="00984EDD">
      <w:pPr>
        <w:spacing w:after="0" w:line="480" w:lineRule="auto"/>
        <w:contextualSpacing/>
        <w:rPr>
          <w:rFonts w:ascii="Times New Roman" w:hAnsi="Times New Roman"/>
        </w:rPr>
      </w:pPr>
    </w:p>
    <w:p w14:paraId="5A6A1A4F" w14:textId="77777777" w:rsidR="00984EDD" w:rsidRDefault="00984EDD" w:rsidP="00B65A0A">
      <w:pPr>
        <w:spacing w:after="0" w:line="480" w:lineRule="auto"/>
        <w:ind w:left="720" w:hanging="720"/>
        <w:rPr>
          <w:rFonts w:ascii="Times New Roman" w:eastAsia="Times New Roman" w:hAnsi="Times New Roman"/>
          <w:color w:val="000000"/>
          <w:lang w:val="en-GB" w:eastAsia="en-GB"/>
        </w:rPr>
      </w:pPr>
    </w:p>
    <w:p w14:paraId="683B24AF" w14:textId="3FFB3367" w:rsidR="00984EDD" w:rsidRDefault="00984EDD" w:rsidP="00B65A0A">
      <w:pPr>
        <w:spacing w:after="0" w:line="480" w:lineRule="auto"/>
        <w:ind w:left="720" w:hanging="720"/>
        <w:rPr>
          <w:rFonts w:ascii="Times New Roman" w:eastAsia="Times New Roman" w:hAnsi="Times New Roman"/>
          <w:color w:val="000000"/>
          <w:lang w:val="en-GB" w:eastAsia="en-GB"/>
        </w:rPr>
      </w:pPr>
    </w:p>
    <w:p w14:paraId="22EFCA7D" w14:textId="6437EF9B" w:rsidR="00984EDD" w:rsidRDefault="00984EDD" w:rsidP="00B65A0A">
      <w:pPr>
        <w:spacing w:after="0" w:line="480" w:lineRule="auto"/>
        <w:ind w:left="720" w:hanging="720"/>
        <w:rPr>
          <w:rFonts w:ascii="Times New Roman" w:eastAsia="Times New Roman" w:hAnsi="Times New Roman"/>
          <w:color w:val="000000"/>
          <w:lang w:val="en-GB" w:eastAsia="en-GB"/>
        </w:rPr>
      </w:pPr>
    </w:p>
    <w:p w14:paraId="50EFF11D" w14:textId="77777777" w:rsidR="00984EDD" w:rsidRDefault="00984EDD" w:rsidP="00B65A0A">
      <w:pPr>
        <w:spacing w:after="0" w:line="480" w:lineRule="auto"/>
        <w:ind w:left="720" w:hanging="720"/>
        <w:rPr>
          <w:rFonts w:ascii="Times New Roman" w:eastAsia="Times New Roman" w:hAnsi="Times New Roman"/>
          <w:color w:val="000000"/>
          <w:lang w:val="en-GB" w:eastAsia="en-GB"/>
        </w:rPr>
      </w:pPr>
    </w:p>
    <w:p w14:paraId="4706F662" w14:textId="77777777" w:rsidR="00984EDD" w:rsidRDefault="00984EDD" w:rsidP="00984EDD">
      <w:pPr>
        <w:spacing w:after="0" w:line="480" w:lineRule="auto"/>
        <w:contextualSpacing/>
        <w:rPr>
          <w:rFonts w:ascii="Times New Roman" w:hAnsi="Times New Roman"/>
          <w:sz w:val="28"/>
          <w:szCs w:val="28"/>
        </w:rPr>
      </w:pPr>
    </w:p>
    <w:p w14:paraId="3E680BE5" w14:textId="77777777" w:rsidR="00984EDD" w:rsidRDefault="00984EDD" w:rsidP="00DD68B3">
      <w:pPr>
        <w:spacing w:after="0" w:line="480" w:lineRule="auto"/>
        <w:contextualSpacing/>
        <w:rPr>
          <w:rFonts w:ascii="Times New Roman" w:hAnsi="Times New Roman"/>
          <w:sz w:val="28"/>
          <w:szCs w:val="28"/>
        </w:rPr>
      </w:pPr>
    </w:p>
    <w:sectPr w:rsidR="00984EDD" w:rsidSect="00C42F45">
      <w:footerReference w:type="default" r:id="rId14"/>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308F7" w14:textId="77777777" w:rsidR="0033143F" w:rsidRDefault="0033143F" w:rsidP="00DB01DD">
      <w:pPr>
        <w:spacing w:after="0" w:line="240" w:lineRule="auto"/>
      </w:pPr>
      <w:r>
        <w:separator/>
      </w:r>
    </w:p>
  </w:endnote>
  <w:endnote w:type="continuationSeparator" w:id="0">
    <w:p w14:paraId="2C1B670F" w14:textId="77777777" w:rsidR="0033143F" w:rsidRDefault="0033143F" w:rsidP="00DB0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9B6E64" w14:paraId="2F47DC72" w14:textId="77777777">
      <w:trPr>
        <w:trHeight w:hRule="exact" w:val="115"/>
        <w:jc w:val="center"/>
      </w:trPr>
      <w:tc>
        <w:tcPr>
          <w:tcW w:w="4686" w:type="dxa"/>
          <w:shd w:val="clear" w:color="auto" w:fill="4472C4" w:themeFill="accent1"/>
          <w:tcMar>
            <w:top w:w="0" w:type="dxa"/>
            <w:bottom w:w="0" w:type="dxa"/>
          </w:tcMar>
        </w:tcPr>
        <w:p w14:paraId="7CF79616" w14:textId="77777777" w:rsidR="009B6E64" w:rsidRDefault="009B6E64">
          <w:pPr>
            <w:pStyle w:val="Header"/>
            <w:rPr>
              <w:caps/>
              <w:sz w:val="18"/>
            </w:rPr>
          </w:pPr>
        </w:p>
      </w:tc>
      <w:tc>
        <w:tcPr>
          <w:tcW w:w="4674" w:type="dxa"/>
          <w:shd w:val="clear" w:color="auto" w:fill="4472C4" w:themeFill="accent1"/>
          <w:tcMar>
            <w:top w:w="0" w:type="dxa"/>
            <w:bottom w:w="0" w:type="dxa"/>
          </w:tcMar>
        </w:tcPr>
        <w:p w14:paraId="4145D6A2" w14:textId="77777777" w:rsidR="009B6E64" w:rsidRDefault="009B6E64">
          <w:pPr>
            <w:pStyle w:val="Header"/>
            <w:jc w:val="right"/>
            <w:rPr>
              <w:caps/>
              <w:sz w:val="18"/>
            </w:rPr>
          </w:pPr>
        </w:p>
      </w:tc>
    </w:tr>
    <w:tr w:rsidR="009B6E64" w14:paraId="5D80770C" w14:textId="77777777">
      <w:trPr>
        <w:jc w:val="center"/>
      </w:trPr>
      <w:sdt>
        <w:sdtPr>
          <w:rPr>
            <w:caps/>
            <w:color w:val="808080" w:themeColor="background1" w:themeShade="80"/>
            <w:sz w:val="18"/>
            <w:szCs w:val="18"/>
          </w:rPr>
          <w:alias w:val="Author"/>
          <w:tag w:val=""/>
          <w:id w:val="1534151868"/>
          <w:placeholder>
            <w:docPart w:val="67BDB04E893542F9AAE06116C3920B49"/>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2E0C1DA" w14:textId="0318680B" w:rsidR="009B6E64" w:rsidRDefault="00EA53B4">
              <w:pPr>
                <w:pStyle w:val="Footer"/>
                <w:rPr>
                  <w:caps/>
                  <w:color w:val="808080" w:themeColor="background1" w:themeShade="80"/>
                  <w:sz w:val="18"/>
                  <w:szCs w:val="18"/>
                </w:rPr>
              </w:pPr>
              <w:r>
                <w:rPr>
                  <w:caps/>
                  <w:color w:val="808080" w:themeColor="background1" w:themeShade="80"/>
                  <w:sz w:val="18"/>
                  <w:szCs w:val="18"/>
                </w:rPr>
                <w:t>Roshid</w:t>
              </w:r>
            </w:p>
          </w:tc>
        </w:sdtContent>
      </w:sdt>
      <w:tc>
        <w:tcPr>
          <w:tcW w:w="4674" w:type="dxa"/>
          <w:shd w:val="clear" w:color="auto" w:fill="auto"/>
          <w:vAlign w:val="center"/>
        </w:tcPr>
        <w:p w14:paraId="3379AA21" w14:textId="77777777" w:rsidR="009B6E64" w:rsidRDefault="009B6E6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A05EDCF" w14:textId="77777777" w:rsidR="009B6E64" w:rsidRDefault="009B6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485DB" w14:textId="77777777" w:rsidR="0033143F" w:rsidRDefault="0033143F" w:rsidP="00DB01DD">
      <w:pPr>
        <w:spacing w:after="0" w:line="240" w:lineRule="auto"/>
      </w:pPr>
      <w:r>
        <w:separator/>
      </w:r>
    </w:p>
  </w:footnote>
  <w:footnote w:type="continuationSeparator" w:id="0">
    <w:p w14:paraId="1CDCAB13" w14:textId="77777777" w:rsidR="0033143F" w:rsidRDefault="0033143F" w:rsidP="00DB01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C70B3"/>
    <w:multiLevelType w:val="hybridMultilevel"/>
    <w:tmpl w:val="A5E82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16324B"/>
    <w:multiLevelType w:val="hybridMultilevel"/>
    <w:tmpl w:val="A44A49AC"/>
    <w:lvl w:ilvl="0" w:tplc="CEBA5E7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4869216">
    <w:abstractNumId w:val="0"/>
  </w:num>
  <w:num w:numId="2" w16cid:durableId="1357849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83"/>
    <w:rsid w:val="000050C7"/>
    <w:rsid w:val="0001701F"/>
    <w:rsid w:val="00017ACF"/>
    <w:rsid w:val="00031A0F"/>
    <w:rsid w:val="00064BE4"/>
    <w:rsid w:val="00064CE4"/>
    <w:rsid w:val="00073D7A"/>
    <w:rsid w:val="000778BB"/>
    <w:rsid w:val="00083161"/>
    <w:rsid w:val="000916A7"/>
    <w:rsid w:val="00093034"/>
    <w:rsid w:val="000A2FF0"/>
    <w:rsid w:val="000A398B"/>
    <w:rsid w:val="000B2556"/>
    <w:rsid w:val="000D1E5B"/>
    <w:rsid w:val="000E0D3B"/>
    <w:rsid w:val="000E6CC8"/>
    <w:rsid w:val="00111452"/>
    <w:rsid w:val="00113479"/>
    <w:rsid w:val="00125F9B"/>
    <w:rsid w:val="001370F8"/>
    <w:rsid w:val="00140E1D"/>
    <w:rsid w:val="00142308"/>
    <w:rsid w:val="001439F2"/>
    <w:rsid w:val="00144C76"/>
    <w:rsid w:val="00152884"/>
    <w:rsid w:val="001700EC"/>
    <w:rsid w:val="00181629"/>
    <w:rsid w:val="00191C96"/>
    <w:rsid w:val="001B6D6A"/>
    <w:rsid w:val="001C4293"/>
    <w:rsid w:val="001D69F0"/>
    <w:rsid w:val="001E5747"/>
    <w:rsid w:val="002216F0"/>
    <w:rsid w:val="00222017"/>
    <w:rsid w:val="002271B8"/>
    <w:rsid w:val="00227F68"/>
    <w:rsid w:val="00230CB4"/>
    <w:rsid w:val="00250267"/>
    <w:rsid w:val="00252EA5"/>
    <w:rsid w:val="00260120"/>
    <w:rsid w:val="00274FA6"/>
    <w:rsid w:val="00275D68"/>
    <w:rsid w:val="00284846"/>
    <w:rsid w:val="00286BD4"/>
    <w:rsid w:val="0029713F"/>
    <w:rsid w:val="002B27C5"/>
    <w:rsid w:val="002C6915"/>
    <w:rsid w:val="002C795E"/>
    <w:rsid w:val="002D13B6"/>
    <w:rsid w:val="002E39A2"/>
    <w:rsid w:val="002E5BDD"/>
    <w:rsid w:val="002F1DEB"/>
    <w:rsid w:val="002F30D7"/>
    <w:rsid w:val="002F3554"/>
    <w:rsid w:val="00314F86"/>
    <w:rsid w:val="00317001"/>
    <w:rsid w:val="0033143F"/>
    <w:rsid w:val="00337937"/>
    <w:rsid w:val="00342BFB"/>
    <w:rsid w:val="00344D81"/>
    <w:rsid w:val="003452EA"/>
    <w:rsid w:val="00352867"/>
    <w:rsid w:val="00354C42"/>
    <w:rsid w:val="00357783"/>
    <w:rsid w:val="003719E1"/>
    <w:rsid w:val="003874B8"/>
    <w:rsid w:val="0039391B"/>
    <w:rsid w:val="00393E98"/>
    <w:rsid w:val="003A22A4"/>
    <w:rsid w:val="003B3452"/>
    <w:rsid w:val="003B4D87"/>
    <w:rsid w:val="003B7FDF"/>
    <w:rsid w:val="003D20D9"/>
    <w:rsid w:val="003E5153"/>
    <w:rsid w:val="00437D41"/>
    <w:rsid w:val="0044098F"/>
    <w:rsid w:val="00443199"/>
    <w:rsid w:val="00450C1D"/>
    <w:rsid w:val="004530F1"/>
    <w:rsid w:val="00463E10"/>
    <w:rsid w:val="004764D2"/>
    <w:rsid w:val="0048464E"/>
    <w:rsid w:val="00492532"/>
    <w:rsid w:val="00494D1B"/>
    <w:rsid w:val="004A0A44"/>
    <w:rsid w:val="004A72F6"/>
    <w:rsid w:val="004B5EF2"/>
    <w:rsid w:val="004C0EB1"/>
    <w:rsid w:val="004C1EE3"/>
    <w:rsid w:val="004E0B04"/>
    <w:rsid w:val="004F0757"/>
    <w:rsid w:val="004F0E2C"/>
    <w:rsid w:val="00503BEC"/>
    <w:rsid w:val="00504EDD"/>
    <w:rsid w:val="005061CA"/>
    <w:rsid w:val="00591BF8"/>
    <w:rsid w:val="00594EC8"/>
    <w:rsid w:val="005A218F"/>
    <w:rsid w:val="005B18CC"/>
    <w:rsid w:val="005B5205"/>
    <w:rsid w:val="005C2850"/>
    <w:rsid w:val="005D4DC8"/>
    <w:rsid w:val="005D52D2"/>
    <w:rsid w:val="005E4ABD"/>
    <w:rsid w:val="005E6FF2"/>
    <w:rsid w:val="006028E6"/>
    <w:rsid w:val="006052AB"/>
    <w:rsid w:val="00606378"/>
    <w:rsid w:val="00630C99"/>
    <w:rsid w:val="00635076"/>
    <w:rsid w:val="00636E0A"/>
    <w:rsid w:val="00687A8E"/>
    <w:rsid w:val="006A0319"/>
    <w:rsid w:val="006A0388"/>
    <w:rsid w:val="006A1813"/>
    <w:rsid w:val="006C6C7B"/>
    <w:rsid w:val="006D055B"/>
    <w:rsid w:val="007368AA"/>
    <w:rsid w:val="0074775A"/>
    <w:rsid w:val="0076006D"/>
    <w:rsid w:val="00790076"/>
    <w:rsid w:val="007B2C54"/>
    <w:rsid w:val="007B3294"/>
    <w:rsid w:val="007C0861"/>
    <w:rsid w:val="007D78BA"/>
    <w:rsid w:val="007D7E7F"/>
    <w:rsid w:val="007E6961"/>
    <w:rsid w:val="007F0EEF"/>
    <w:rsid w:val="007F286D"/>
    <w:rsid w:val="00803842"/>
    <w:rsid w:val="00805885"/>
    <w:rsid w:val="00807E16"/>
    <w:rsid w:val="00821867"/>
    <w:rsid w:val="00835A6A"/>
    <w:rsid w:val="00837DEE"/>
    <w:rsid w:val="008527E0"/>
    <w:rsid w:val="008645BC"/>
    <w:rsid w:val="0086637C"/>
    <w:rsid w:val="008716CE"/>
    <w:rsid w:val="008819F5"/>
    <w:rsid w:val="008A61A8"/>
    <w:rsid w:val="008A62E8"/>
    <w:rsid w:val="008D7EE4"/>
    <w:rsid w:val="008E0664"/>
    <w:rsid w:val="008E5B96"/>
    <w:rsid w:val="008F1174"/>
    <w:rsid w:val="008F571C"/>
    <w:rsid w:val="008F78DB"/>
    <w:rsid w:val="00933296"/>
    <w:rsid w:val="00944434"/>
    <w:rsid w:val="009464E5"/>
    <w:rsid w:val="00962252"/>
    <w:rsid w:val="009808B2"/>
    <w:rsid w:val="009837BF"/>
    <w:rsid w:val="00984EDD"/>
    <w:rsid w:val="009A7ABE"/>
    <w:rsid w:val="009B417E"/>
    <w:rsid w:val="009B6E64"/>
    <w:rsid w:val="009C67A4"/>
    <w:rsid w:val="009E446A"/>
    <w:rsid w:val="009E47E5"/>
    <w:rsid w:val="009E6B9B"/>
    <w:rsid w:val="00A00D96"/>
    <w:rsid w:val="00A12942"/>
    <w:rsid w:val="00A255C6"/>
    <w:rsid w:val="00A267B7"/>
    <w:rsid w:val="00A67DB2"/>
    <w:rsid w:val="00A85F0B"/>
    <w:rsid w:val="00AA2558"/>
    <w:rsid w:val="00AC10D7"/>
    <w:rsid w:val="00AC3100"/>
    <w:rsid w:val="00AC79F4"/>
    <w:rsid w:val="00AE464C"/>
    <w:rsid w:val="00B24969"/>
    <w:rsid w:val="00B31938"/>
    <w:rsid w:val="00B418E6"/>
    <w:rsid w:val="00B53990"/>
    <w:rsid w:val="00B65A0A"/>
    <w:rsid w:val="00B74123"/>
    <w:rsid w:val="00BA1350"/>
    <w:rsid w:val="00BA62D3"/>
    <w:rsid w:val="00BB1890"/>
    <w:rsid w:val="00BB2583"/>
    <w:rsid w:val="00C0077A"/>
    <w:rsid w:val="00C042A6"/>
    <w:rsid w:val="00C06915"/>
    <w:rsid w:val="00C41EB7"/>
    <w:rsid w:val="00C42F45"/>
    <w:rsid w:val="00C54742"/>
    <w:rsid w:val="00C57658"/>
    <w:rsid w:val="00C769FC"/>
    <w:rsid w:val="00C76DE1"/>
    <w:rsid w:val="00C8789D"/>
    <w:rsid w:val="00CD0203"/>
    <w:rsid w:val="00CD3082"/>
    <w:rsid w:val="00CE1C83"/>
    <w:rsid w:val="00CF5A43"/>
    <w:rsid w:val="00D017AD"/>
    <w:rsid w:val="00D204DB"/>
    <w:rsid w:val="00D2605A"/>
    <w:rsid w:val="00D334DA"/>
    <w:rsid w:val="00D34770"/>
    <w:rsid w:val="00D41C30"/>
    <w:rsid w:val="00D47C9A"/>
    <w:rsid w:val="00D50247"/>
    <w:rsid w:val="00D57504"/>
    <w:rsid w:val="00D70160"/>
    <w:rsid w:val="00DA4D7C"/>
    <w:rsid w:val="00DB01DD"/>
    <w:rsid w:val="00DD68B3"/>
    <w:rsid w:val="00DE27EB"/>
    <w:rsid w:val="00E13A19"/>
    <w:rsid w:val="00E16D66"/>
    <w:rsid w:val="00E2170A"/>
    <w:rsid w:val="00E2659D"/>
    <w:rsid w:val="00E33CCA"/>
    <w:rsid w:val="00E458C0"/>
    <w:rsid w:val="00E472F4"/>
    <w:rsid w:val="00E505EF"/>
    <w:rsid w:val="00E65C17"/>
    <w:rsid w:val="00E7173A"/>
    <w:rsid w:val="00E7268D"/>
    <w:rsid w:val="00E73463"/>
    <w:rsid w:val="00E75D0E"/>
    <w:rsid w:val="00E95074"/>
    <w:rsid w:val="00E95629"/>
    <w:rsid w:val="00EA0E42"/>
    <w:rsid w:val="00EA53B4"/>
    <w:rsid w:val="00EB121A"/>
    <w:rsid w:val="00EB140E"/>
    <w:rsid w:val="00EB5204"/>
    <w:rsid w:val="00EC0E9A"/>
    <w:rsid w:val="00EC1200"/>
    <w:rsid w:val="00EC2EA9"/>
    <w:rsid w:val="00EC395F"/>
    <w:rsid w:val="00EC528B"/>
    <w:rsid w:val="00EE1020"/>
    <w:rsid w:val="00EE3A13"/>
    <w:rsid w:val="00EF716A"/>
    <w:rsid w:val="00F15A55"/>
    <w:rsid w:val="00F16A0D"/>
    <w:rsid w:val="00F6053E"/>
    <w:rsid w:val="00F63759"/>
    <w:rsid w:val="00F65771"/>
    <w:rsid w:val="00F724F0"/>
    <w:rsid w:val="00F90FFE"/>
    <w:rsid w:val="00F912B9"/>
    <w:rsid w:val="00F9559C"/>
    <w:rsid w:val="00FA5EE6"/>
    <w:rsid w:val="00FB340A"/>
    <w:rsid w:val="00FC20D3"/>
    <w:rsid w:val="00FC3B34"/>
    <w:rsid w:val="00FD7A2C"/>
    <w:rsid w:val="00FF0E4E"/>
    <w:rsid w:val="00FF3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33604"/>
  <w15:chartTrackingRefBased/>
  <w15:docId w15:val="{FD7E8376-398F-4909-9675-CAAC5180F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583"/>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3874B8"/>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3874B8"/>
    <w:pPr>
      <w:keepNext/>
      <w:keepLines/>
      <w:spacing w:before="200" w:after="0"/>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iPriority w:val="9"/>
    <w:semiHidden/>
    <w:unhideWhenUsed/>
    <w:qFormat/>
    <w:rsid w:val="003874B8"/>
    <w:pPr>
      <w:keepNext/>
      <w:keepLines/>
      <w:spacing w:before="200" w:after="0"/>
      <w:outlineLvl w:val="2"/>
    </w:pPr>
    <w:rPr>
      <w:rFonts w:asciiTheme="majorHAnsi" w:eastAsiaTheme="majorEastAsia" w:hAnsiTheme="majorHAnsi" w:cstheme="majorBidi"/>
      <w:b/>
      <w:bCs/>
      <w:color w:val="4472C4" w:themeColor="accent1"/>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B2583"/>
    <w:pPr>
      <w:spacing w:after="0" w:line="240" w:lineRule="auto"/>
    </w:pPr>
    <w:rPr>
      <w:rFonts w:ascii="Calibri Light" w:hAnsi="Calibri Light"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874B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874B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3874B8"/>
    <w:rPr>
      <w:rFonts w:asciiTheme="majorHAnsi" w:eastAsiaTheme="majorEastAsia" w:hAnsiTheme="majorHAnsi" w:cstheme="majorBidi"/>
      <w:b/>
      <w:bCs/>
      <w:color w:val="4472C4" w:themeColor="accent1"/>
    </w:rPr>
  </w:style>
  <w:style w:type="paragraph" w:customStyle="1" w:styleId="Note">
    <w:name w:val="Note"/>
    <w:basedOn w:val="Normal"/>
    <w:link w:val="NoteChar"/>
    <w:uiPriority w:val="99"/>
    <w:rsid w:val="003874B8"/>
    <w:pPr>
      <w:widowControl w:val="0"/>
      <w:autoSpaceDE w:val="0"/>
      <w:autoSpaceDN w:val="0"/>
      <w:adjustRightInd w:val="0"/>
      <w:spacing w:after="0" w:line="240" w:lineRule="auto"/>
    </w:pPr>
    <w:rPr>
      <w:rFonts w:ascii="Arial" w:eastAsia="Times New Roman" w:hAnsi="Arial" w:cs="Arial"/>
      <w:color w:val="000080"/>
      <w:sz w:val="12"/>
      <w:szCs w:val="12"/>
      <w:lang w:val="en-GB" w:eastAsia="en-GB"/>
    </w:rPr>
  </w:style>
  <w:style w:type="character" w:customStyle="1" w:styleId="NoteChar">
    <w:name w:val="Note Char"/>
    <w:basedOn w:val="DefaultParagraphFont"/>
    <w:link w:val="Note"/>
    <w:uiPriority w:val="99"/>
    <w:locked/>
    <w:rsid w:val="003874B8"/>
    <w:rPr>
      <w:rFonts w:ascii="Arial" w:eastAsia="Times New Roman" w:hAnsi="Arial" w:cs="Arial"/>
      <w:color w:val="000080"/>
      <w:sz w:val="12"/>
      <w:szCs w:val="12"/>
      <w:lang w:eastAsia="en-GB"/>
    </w:rPr>
  </w:style>
  <w:style w:type="paragraph" w:styleId="NoSpacing">
    <w:name w:val="No Spacing"/>
    <w:link w:val="NoSpacingChar"/>
    <w:uiPriority w:val="1"/>
    <w:qFormat/>
    <w:rsid w:val="00387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4B8"/>
    <w:rPr>
      <w:rFonts w:eastAsiaTheme="minorEastAsia"/>
      <w:lang w:val="en-US"/>
    </w:rPr>
  </w:style>
  <w:style w:type="paragraph" w:styleId="ListParagraph">
    <w:name w:val="List Paragraph"/>
    <w:basedOn w:val="Normal"/>
    <w:uiPriority w:val="34"/>
    <w:qFormat/>
    <w:rsid w:val="003874B8"/>
    <w:pPr>
      <w:ind w:left="720"/>
      <w:contextualSpacing/>
    </w:pPr>
    <w:rPr>
      <w:rFonts w:asciiTheme="minorHAnsi" w:hAnsiTheme="minorHAnsi" w:cstheme="minorBidi"/>
      <w:sz w:val="22"/>
      <w:szCs w:val="22"/>
      <w:lang w:val="en-GB"/>
    </w:rPr>
  </w:style>
  <w:style w:type="paragraph" w:styleId="Header">
    <w:name w:val="header"/>
    <w:basedOn w:val="Normal"/>
    <w:link w:val="HeaderChar"/>
    <w:uiPriority w:val="99"/>
    <w:unhideWhenUsed/>
    <w:rsid w:val="00DB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DD"/>
    <w:rPr>
      <w:rFonts w:ascii="Calibri Light" w:hAnsi="Calibri Light" w:cs="Times New Roman"/>
      <w:sz w:val="24"/>
      <w:szCs w:val="24"/>
      <w:lang w:val="en-US"/>
    </w:rPr>
  </w:style>
  <w:style w:type="paragraph" w:styleId="Footer">
    <w:name w:val="footer"/>
    <w:basedOn w:val="Normal"/>
    <w:link w:val="FooterChar"/>
    <w:uiPriority w:val="99"/>
    <w:unhideWhenUsed/>
    <w:rsid w:val="00DB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DD"/>
    <w:rPr>
      <w:rFonts w:ascii="Calibri Light" w:hAnsi="Calibri Light" w:cs="Times New Roman"/>
      <w:sz w:val="24"/>
      <w:szCs w:val="24"/>
      <w:lang w:val="en-US"/>
    </w:rPr>
  </w:style>
  <w:style w:type="character" w:styleId="Hyperlink">
    <w:name w:val="Hyperlink"/>
    <w:basedOn w:val="DefaultParagraphFont"/>
    <w:uiPriority w:val="99"/>
    <w:unhideWhenUsed/>
    <w:rsid w:val="002F1DEB"/>
    <w:rPr>
      <w:color w:val="0563C1" w:themeColor="hyperlink"/>
      <w:u w:val="single"/>
    </w:rPr>
  </w:style>
  <w:style w:type="character" w:styleId="Emphasis">
    <w:name w:val="Emphasis"/>
    <w:basedOn w:val="DefaultParagraphFont"/>
    <w:qFormat/>
    <w:rsid w:val="008F78DB"/>
    <w:rPr>
      <w:i/>
      <w:iCs/>
    </w:rPr>
  </w:style>
  <w:style w:type="paragraph" w:styleId="NormalWeb">
    <w:name w:val="Normal (Web)"/>
    <w:rsid w:val="008F78DB"/>
    <w:pPr>
      <w:spacing w:beforeAutospacing="1" w:after="0" w:afterAutospacing="1" w:line="240" w:lineRule="auto"/>
    </w:pPr>
    <w:rPr>
      <w:rFonts w:ascii="Times New Roman" w:eastAsia="SimSun" w:hAnsi="Times New Roman" w:cs="Times New Roman"/>
      <w:sz w:val="24"/>
      <w:szCs w:val="24"/>
      <w:lang w:val="en-US" w:eastAsia="zh-CN"/>
    </w:rPr>
  </w:style>
  <w:style w:type="paragraph" w:styleId="TOC1">
    <w:name w:val="toc 1"/>
    <w:basedOn w:val="Normal"/>
    <w:next w:val="Normal"/>
    <w:autoRedefine/>
    <w:uiPriority w:val="39"/>
    <w:rsid w:val="008F78DB"/>
    <w:pPr>
      <w:spacing w:after="100" w:line="240" w:lineRule="auto"/>
    </w:pPr>
    <w:rPr>
      <w:rFonts w:asciiTheme="minorHAnsi" w:eastAsiaTheme="minorEastAsia" w:hAnsiTheme="minorHAnsi" w:cstheme="minorBidi"/>
      <w:sz w:val="20"/>
      <w:szCs w:val="20"/>
      <w:lang w:eastAsia="zh-CN"/>
    </w:rPr>
  </w:style>
  <w:style w:type="paragraph" w:styleId="FootnoteText">
    <w:name w:val="footnote text"/>
    <w:basedOn w:val="Normal"/>
    <w:link w:val="FootnoteTextChar"/>
    <w:uiPriority w:val="99"/>
    <w:semiHidden/>
    <w:unhideWhenUsed/>
    <w:rsid w:val="006C6C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6C7B"/>
    <w:rPr>
      <w:rFonts w:ascii="Calibri Light" w:hAnsi="Calibri Light" w:cs="Times New Roman"/>
      <w:sz w:val="20"/>
      <w:szCs w:val="20"/>
      <w:lang w:val="en-US"/>
    </w:rPr>
  </w:style>
  <w:style w:type="character" w:styleId="FootnoteReference">
    <w:name w:val="footnote reference"/>
    <w:uiPriority w:val="99"/>
    <w:semiHidden/>
    <w:unhideWhenUsed/>
    <w:rsid w:val="006C6C7B"/>
    <w:rPr>
      <w:vertAlign w:val="superscript"/>
    </w:rPr>
  </w:style>
  <w:style w:type="paragraph" w:styleId="TOC2">
    <w:name w:val="toc 2"/>
    <w:basedOn w:val="Normal"/>
    <w:next w:val="Normal"/>
    <w:autoRedefine/>
    <w:uiPriority w:val="39"/>
    <w:semiHidden/>
    <w:unhideWhenUsed/>
    <w:rsid w:val="0048464E"/>
    <w:pPr>
      <w:spacing w:after="100"/>
      <w:ind w:left="240"/>
    </w:pPr>
  </w:style>
  <w:style w:type="character" w:styleId="PlaceholderText">
    <w:name w:val="Placeholder Text"/>
    <w:basedOn w:val="DefaultParagraphFont"/>
    <w:uiPriority w:val="99"/>
    <w:semiHidden/>
    <w:rsid w:val="00EA53B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0428">
      <w:bodyDiv w:val="1"/>
      <w:marLeft w:val="0"/>
      <w:marRight w:val="0"/>
      <w:marTop w:val="0"/>
      <w:marBottom w:val="0"/>
      <w:divBdr>
        <w:top w:val="none" w:sz="0" w:space="0" w:color="auto"/>
        <w:left w:val="none" w:sz="0" w:space="0" w:color="auto"/>
        <w:bottom w:val="none" w:sz="0" w:space="0" w:color="auto"/>
        <w:right w:val="none" w:sz="0" w:space="0" w:color="auto"/>
      </w:divBdr>
    </w:div>
    <w:div w:id="1707749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upremecourt.uk/cases/uksc-2009-0071.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warb.co.uk/schalit-v-joseph-nadler-ltd-ca-193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warb.co.uk/staden-v-jones-ca-13-jun-2008/"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exisnexis.com/uk/lexispsl/privateclient/document/393819/5FN9-GY41-F18D-H32K-00000-00/Nature_and_classification_of_trusts_overview"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BDB04E893542F9AAE06116C3920B49"/>
        <w:category>
          <w:name w:val="General"/>
          <w:gallery w:val="placeholder"/>
        </w:category>
        <w:types>
          <w:type w:val="bbPlcHdr"/>
        </w:types>
        <w:behaviors>
          <w:behavior w:val="content"/>
        </w:behaviors>
        <w:guid w:val="{21824429-D08C-4325-815A-8599557527C9}"/>
      </w:docPartPr>
      <w:docPartBody>
        <w:p w:rsidR="00533DD8" w:rsidRDefault="001C6CA2" w:rsidP="001C6CA2">
          <w:pPr>
            <w:pStyle w:val="67BDB04E893542F9AAE06116C3920B49"/>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A2"/>
    <w:rsid w:val="000B4FB0"/>
    <w:rsid w:val="00113A63"/>
    <w:rsid w:val="001C6CA2"/>
    <w:rsid w:val="00206975"/>
    <w:rsid w:val="00402B44"/>
    <w:rsid w:val="004C7180"/>
    <w:rsid w:val="004E34B6"/>
    <w:rsid w:val="00533DD8"/>
    <w:rsid w:val="006F7A22"/>
    <w:rsid w:val="007B6D33"/>
    <w:rsid w:val="0094168A"/>
    <w:rsid w:val="00961F48"/>
    <w:rsid w:val="009A0216"/>
    <w:rsid w:val="00A45640"/>
    <w:rsid w:val="00B1106D"/>
    <w:rsid w:val="00B57BBE"/>
    <w:rsid w:val="00B63F4C"/>
    <w:rsid w:val="00BA5236"/>
    <w:rsid w:val="00C16169"/>
    <w:rsid w:val="00C91ABB"/>
    <w:rsid w:val="00E710AE"/>
    <w:rsid w:val="00E90BA2"/>
    <w:rsid w:val="00E94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34B6"/>
    <w:rPr>
      <w:color w:val="808080"/>
    </w:rPr>
  </w:style>
  <w:style w:type="paragraph" w:customStyle="1" w:styleId="67BDB04E893542F9AAE06116C3920B49">
    <w:name w:val="67BDB04E893542F9AAE06116C3920B49"/>
    <w:rsid w:val="001C6C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8606F-864E-44D9-8360-D705437F7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852</TotalTime>
  <Pages>11</Pages>
  <Words>2796</Words>
  <Characters>15941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 1: Equity and trusts</dc:subject>
  <dc:creator>Roshid</dc:creator>
  <cp:keywords/>
  <dc:description/>
  <cp:lastModifiedBy>Roshid</cp:lastModifiedBy>
  <cp:revision>239</cp:revision>
  <cp:lastPrinted>2021-01-15T14:40:00Z</cp:lastPrinted>
  <dcterms:created xsi:type="dcterms:W3CDTF">2021-01-04T14:46:00Z</dcterms:created>
  <dcterms:modified xsi:type="dcterms:W3CDTF">2023-03-09T21:18:00Z</dcterms:modified>
</cp:coreProperties>
</file>