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FB25B" w14:textId="77777777" w:rsidR="00A81005" w:rsidRPr="00A81005" w:rsidRDefault="00A81005" w:rsidP="00A81005">
      <w:pPr>
        <w:pStyle w:val="NormalWeb"/>
        <w:rPr>
          <w:rFonts w:ascii="Arial" w:hAnsi="Arial" w:cs="Arial"/>
        </w:rPr>
      </w:pPr>
      <w:r w:rsidRPr="00A81005">
        <w:rPr>
          <w:rFonts w:ascii="Arial" w:hAnsi="Arial" w:cs="Arial"/>
        </w:rPr>
        <w:t>Play-based approaches to early childhood education have long been recognised as vital for supporting children’s holistic development, fostering creativity, social skills, and cognitive growth (Wood and Attfield, 2005; Siraj-Blatchford, 2010). Central to these approaches is the concept of the ‘Unique Child’, which emphasises recognising and nurturing each child’s individual interests, abilities, and learning pace (Edwards, Gandini and Forman, 2012). This assignment critically examines two influential play-based pedagogies — the Montessori and Reggio Emilia approaches — comparing their philosophies, curricula guidance, and assessment practices. The first section provides a detailed comparative analysis of these approaches, highlighting how each promotes child-led learning within structured frameworks.</w:t>
      </w:r>
    </w:p>
    <w:p w14:paraId="71CA0FF8" w14:textId="77777777" w:rsidR="00A81005" w:rsidRPr="00A81005" w:rsidRDefault="00A81005" w:rsidP="00A81005">
      <w:pPr>
        <w:pStyle w:val="NormalWeb"/>
        <w:rPr>
          <w:rFonts w:ascii="Arial" w:hAnsi="Arial" w:cs="Arial"/>
        </w:rPr>
      </w:pPr>
      <w:r w:rsidRPr="00A81005">
        <w:rPr>
          <w:rFonts w:ascii="Arial" w:hAnsi="Arial" w:cs="Arial"/>
        </w:rPr>
        <w:t>Building on this foundation, the second section focuses on assessment within play-based curricula. It critically evaluates various methods of progress tracking and developmental models that align with the principle of the Unique Child, exploring how they balance individualisation with developmental expectations (</w:t>
      </w:r>
      <w:proofErr w:type="spellStart"/>
      <w:r w:rsidRPr="00A81005">
        <w:rPr>
          <w:rFonts w:ascii="Arial" w:hAnsi="Arial" w:cs="Arial"/>
        </w:rPr>
        <w:t>Broström</w:t>
      </w:r>
      <w:proofErr w:type="spellEnd"/>
      <w:r w:rsidRPr="00A81005">
        <w:rPr>
          <w:rFonts w:ascii="Arial" w:hAnsi="Arial" w:cs="Arial"/>
        </w:rPr>
        <w:t>, 2012; Brown and Johnson, 2018).</w:t>
      </w:r>
    </w:p>
    <w:p w14:paraId="6FD37ECC" w14:textId="77777777" w:rsidR="00A81005" w:rsidRPr="00A81005" w:rsidRDefault="00A81005" w:rsidP="00A81005">
      <w:pPr>
        <w:pStyle w:val="NormalWeb"/>
        <w:rPr>
          <w:rFonts w:ascii="Arial" w:hAnsi="Arial" w:cs="Arial"/>
        </w:rPr>
      </w:pPr>
      <w:r w:rsidRPr="00A81005">
        <w:rPr>
          <w:rFonts w:ascii="Arial" w:hAnsi="Arial" w:cs="Arial"/>
        </w:rPr>
        <w:t xml:space="preserve">Finally, the assignment culminates in a professional blog aimed at early years practitioners, discussing key considerations for implementing or adapting play-based curricula in contemporary settings. This includes reflecting on challenges, practitioner roles, and the importance of maintaining the integrity of play amidst curriculum changes (Pyle and </w:t>
      </w:r>
      <w:proofErr w:type="spellStart"/>
      <w:r w:rsidRPr="00A81005">
        <w:rPr>
          <w:rFonts w:ascii="Arial" w:hAnsi="Arial" w:cs="Arial"/>
        </w:rPr>
        <w:t>Danniels</w:t>
      </w:r>
      <w:proofErr w:type="spellEnd"/>
      <w:r w:rsidRPr="00A81005">
        <w:rPr>
          <w:rFonts w:ascii="Arial" w:hAnsi="Arial" w:cs="Arial"/>
        </w:rPr>
        <w:t>, 2017; Welsh Government, 2022). Through this comprehensive exploration, the assignment aims to contribute to a deeper understanding of effective play-based pedagogy that honours children’s unique learning journeys.</w:t>
      </w:r>
    </w:p>
    <w:p w14:paraId="4F2D67C1" w14:textId="5BDF233E" w:rsidR="00A81005" w:rsidRPr="00A81005" w:rsidRDefault="00A81005" w:rsidP="00A81005">
      <w:pPr>
        <w:pStyle w:val="NormalWeb"/>
        <w:rPr>
          <w:rFonts w:ascii="Arial" w:hAnsi="Arial" w:cs="Arial"/>
        </w:rPr>
      </w:pPr>
      <w:r w:rsidRPr="00A81005">
        <w:rPr>
          <w:rFonts w:ascii="Arial" w:hAnsi="Arial" w:cs="Arial"/>
        </w:rPr>
        <w:t>___________________________________________________________________</w:t>
      </w:r>
    </w:p>
    <w:p w14:paraId="24F26C45" w14:textId="77777777" w:rsidR="00A81005" w:rsidRPr="00A81005" w:rsidRDefault="00A81005" w:rsidP="00A81005">
      <w:pPr>
        <w:pStyle w:val="NormalWeb"/>
        <w:rPr>
          <w:rFonts w:ascii="Arial" w:hAnsi="Arial" w:cs="Arial"/>
        </w:rPr>
      </w:pPr>
      <w:r w:rsidRPr="00A81005">
        <w:rPr>
          <w:rFonts w:ascii="Arial" w:hAnsi="Arial" w:cs="Arial"/>
        </w:rPr>
        <w:t>Early childhood education plays a crucial role in shaping children’s development, learning, and wellbeing. Among the many pedagogical models, the Montessori and Reggio Emilia approaches stand out as influential frameworks that promote play-based, child-centred learning. Both approaches share a commitment to respecting children as active learners, yet they differ fundamentally in their philosophies, teaching practices, and curricular structures (Edwards, Gandini and Forman, 2012; Lillard, 2005).</w:t>
      </w:r>
    </w:p>
    <w:p w14:paraId="03306BDC" w14:textId="77777777" w:rsidR="00A81005" w:rsidRPr="00A81005" w:rsidRDefault="00A81005" w:rsidP="00A81005">
      <w:pPr>
        <w:pStyle w:val="NormalWeb"/>
        <w:rPr>
          <w:rFonts w:ascii="Arial" w:hAnsi="Arial" w:cs="Arial"/>
        </w:rPr>
      </w:pPr>
      <w:r w:rsidRPr="00A81005">
        <w:rPr>
          <w:rFonts w:ascii="Arial" w:hAnsi="Arial" w:cs="Arial"/>
        </w:rPr>
        <w:t>Montessori education emphasises structured environments and carefully designed materials that support independent exploration and developmental progression (Montessori, 1967). Conversely, the Reggio Emilia approach focuses on emergent curricula driven by children’s interests, collaboration, and expressive languages, with a strong emphasis on documentation and reflective practice (Rinaldi, 2006).</w:t>
      </w:r>
    </w:p>
    <w:p w14:paraId="4721773D" w14:textId="2E55413D" w:rsidR="00A81005" w:rsidRPr="00A81005" w:rsidRDefault="00A81005" w:rsidP="00A81005">
      <w:pPr>
        <w:pStyle w:val="NormalWeb"/>
        <w:rPr>
          <w:rFonts w:ascii="Arial" w:hAnsi="Arial" w:cs="Arial"/>
        </w:rPr>
      </w:pPr>
      <w:r w:rsidRPr="00A81005">
        <w:rPr>
          <w:rFonts w:ascii="Arial" w:hAnsi="Arial" w:cs="Arial"/>
        </w:rPr>
        <w:t>This assignment critically compares these two approaches and analyses how contemporary curriculum guidance supports or challenges their implementation. Understanding these differences is essential for educators aiming to create meaningful play-based learning experiences that are responsive to both children’s needs and policy frameworks.</w:t>
      </w:r>
    </w:p>
    <w:p w14:paraId="0BA634C6" w14:textId="29DC515B" w:rsidR="00A81005" w:rsidRPr="00A81005" w:rsidRDefault="00A81005" w:rsidP="00A81005">
      <w:pPr>
        <w:pStyle w:val="NormalWeb"/>
        <w:rPr>
          <w:rFonts w:ascii="Arial" w:hAnsi="Arial" w:cs="Arial"/>
        </w:rPr>
      </w:pPr>
      <w:r w:rsidRPr="00A81005">
        <w:rPr>
          <w:rFonts w:ascii="Arial" w:hAnsi="Arial" w:cs="Arial"/>
        </w:rPr>
        <w:t>___________________________________________________________________</w:t>
      </w:r>
    </w:p>
    <w:p w14:paraId="70180B20" w14:textId="69E830D4" w:rsidR="00A81005" w:rsidRPr="00A81005" w:rsidRDefault="00A81005" w:rsidP="00A81005">
      <w:pPr>
        <w:pStyle w:val="NormalWeb"/>
        <w:rPr>
          <w:rFonts w:ascii="Arial" w:hAnsi="Arial" w:cs="Arial"/>
        </w:rPr>
      </w:pPr>
      <w:r w:rsidRPr="00A81005">
        <w:rPr>
          <w:rFonts w:ascii="Arial" w:hAnsi="Arial" w:cs="Arial"/>
        </w:rPr>
        <w:lastRenderedPageBreak/>
        <w:t xml:space="preserve">The Montessori approach, developed by </w:t>
      </w:r>
      <w:proofErr w:type="spellStart"/>
      <w:r w:rsidRPr="00A81005">
        <w:rPr>
          <w:rFonts w:ascii="Arial" w:hAnsi="Arial" w:cs="Arial"/>
        </w:rPr>
        <w:t>Dr.</w:t>
      </w:r>
      <w:proofErr w:type="spellEnd"/>
      <w:r w:rsidRPr="00A81005">
        <w:rPr>
          <w:rFonts w:ascii="Arial" w:hAnsi="Arial" w:cs="Arial"/>
        </w:rPr>
        <w:t xml:space="preserve"> Maria Montessori in the early 20th century, is a child-centred educational method that emphasises independence, self-directed activity, and hands-on learning (Montessori, 1967). Rooted in a strong belief in the child’s natural desire to learn, this pedagogical approach fosters autonomy and responsibility by providing a carefully prepared environment tailored to support the holistic development of each child (Isaacs, 2012).</w:t>
      </w:r>
    </w:p>
    <w:p w14:paraId="656FB1E0" w14:textId="77777777" w:rsidR="00A81005" w:rsidRPr="00A81005" w:rsidRDefault="00A81005" w:rsidP="00A81005">
      <w:pPr>
        <w:pStyle w:val="NormalWeb"/>
        <w:rPr>
          <w:rFonts w:ascii="Arial" w:hAnsi="Arial" w:cs="Arial"/>
        </w:rPr>
      </w:pPr>
      <w:r w:rsidRPr="00A81005">
        <w:rPr>
          <w:rFonts w:ascii="Arial" w:hAnsi="Arial" w:cs="Arial"/>
        </w:rPr>
        <w:t>In Montessori settings, children are free to choose activities from a range of developmentally appropriate materials, which are designed to cultivate concentration, coordination, order, and independence (Lillard, 2017). The teacher, or ‘guide’, plays a facilitative rather than didactic role, observing and supporting rather than directing learning (Montessori, 1967; Edwards, 2002). The approach values uninterrupted work periods and multi-age classrooms, promoting peer learning and social development (Lillard, 2005).</w:t>
      </w:r>
    </w:p>
    <w:p w14:paraId="0907C3C2" w14:textId="77777777" w:rsidR="00A81005" w:rsidRPr="00A81005" w:rsidRDefault="00A81005" w:rsidP="00A81005">
      <w:pPr>
        <w:pStyle w:val="NormalWeb"/>
        <w:rPr>
          <w:rFonts w:ascii="Arial" w:hAnsi="Arial" w:cs="Arial"/>
        </w:rPr>
      </w:pPr>
      <w:r w:rsidRPr="00A81005">
        <w:rPr>
          <w:rFonts w:ascii="Arial" w:hAnsi="Arial" w:cs="Arial"/>
        </w:rPr>
        <w:t>Montessori education aligns with constructivist theories, particularly those of Piaget and Vygotsky, in its recognition of the importance of active learning and social interaction (Wood and Attfield, 2005). While widely praised for its structured yet flexible nature, critics argue that the rigidity of some Montessori practices may conflict with contemporary needs for creativity and cultural responsiveness in diverse settings (Miller and Pound, 2011). Nonetheless, it remains a significant influence in early years education globally and offers a distinctive model of play-based, purposeful learning.</w:t>
      </w:r>
    </w:p>
    <w:p w14:paraId="478C4682" w14:textId="0429E7CE" w:rsidR="00A81005" w:rsidRPr="00A81005" w:rsidRDefault="00A81005">
      <w:pPr>
        <w:rPr>
          <w:rFonts w:ascii="Arial" w:hAnsi="Arial" w:cs="Arial"/>
        </w:rPr>
      </w:pPr>
      <w:r w:rsidRPr="00A81005">
        <w:rPr>
          <w:rFonts w:ascii="Arial" w:hAnsi="Arial" w:cs="Arial"/>
        </w:rPr>
        <w:t>___________________________________________________________________</w:t>
      </w:r>
    </w:p>
    <w:p w14:paraId="350AA8C4" w14:textId="77777777" w:rsidR="00A81005" w:rsidRPr="00A81005" w:rsidRDefault="00A81005" w:rsidP="00A81005">
      <w:pPr>
        <w:pStyle w:val="NormalWeb"/>
        <w:rPr>
          <w:rFonts w:ascii="Arial" w:hAnsi="Arial" w:cs="Arial"/>
        </w:rPr>
      </w:pPr>
      <w:r w:rsidRPr="00A81005">
        <w:rPr>
          <w:rFonts w:ascii="Arial" w:hAnsi="Arial" w:cs="Arial"/>
        </w:rPr>
        <w:t>The Reggio Emilia approach is an innovative early childhood educational philosophy that originated in the northern Italian town of Reggio Emilia following World War II, developed under the leadership of educator Loris Malaguzzi and local parents (Edwards, Gandini and Forman, 2012). Deeply grounded in the values of democracy, collaboration, and respect for the child, the approach views children as capable, competent, and active participants in their own learning (Rinaldi, 2006).</w:t>
      </w:r>
    </w:p>
    <w:p w14:paraId="74F93D85" w14:textId="77777777" w:rsidR="00A81005" w:rsidRPr="00A81005" w:rsidRDefault="00A81005" w:rsidP="00A81005">
      <w:pPr>
        <w:pStyle w:val="NormalWeb"/>
        <w:rPr>
          <w:rFonts w:ascii="Arial" w:hAnsi="Arial" w:cs="Arial"/>
        </w:rPr>
      </w:pPr>
      <w:r w:rsidRPr="00A81005">
        <w:rPr>
          <w:rFonts w:ascii="Arial" w:hAnsi="Arial" w:cs="Arial"/>
        </w:rPr>
        <w:t xml:space="preserve">One of the central tenets of the Reggio Emilia approach is the concept of the </w:t>
      </w:r>
      <w:r w:rsidRPr="00A81005">
        <w:rPr>
          <w:rStyle w:val="Strong"/>
          <w:rFonts w:ascii="Arial" w:eastAsiaTheme="majorEastAsia" w:hAnsi="Arial" w:cs="Arial"/>
        </w:rPr>
        <w:t>"hundred languages of children"</w:t>
      </w:r>
      <w:r w:rsidRPr="00A81005">
        <w:rPr>
          <w:rFonts w:ascii="Arial" w:hAnsi="Arial" w:cs="Arial"/>
        </w:rPr>
        <w:t>—a metaphor for the multiple ways children express themselves, including through art, music, movement, and play (Malaguzzi, 1996). This philosophy embraces a project-based curriculum, emerging from children’s interests, where long-term investigations are carried out through exploration and inquiry (Edwards, 1998). Documentation, such as photographs, recordings, and children's work, plays a crucial role in making learning visible and fostering reflection among children, educators, and families (Vecchi, 2010).</w:t>
      </w:r>
    </w:p>
    <w:p w14:paraId="18B9FAC0" w14:textId="77777777" w:rsidR="00A81005" w:rsidRPr="00A81005" w:rsidRDefault="00A81005" w:rsidP="00A81005">
      <w:pPr>
        <w:pStyle w:val="NormalWeb"/>
        <w:rPr>
          <w:rFonts w:ascii="Arial" w:hAnsi="Arial" w:cs="Arial"/>
        </w:rPr>
      </w:pPr>
      <w:r w:rsidRPr="00A81005">
        <w:rPr>
          <w:rFonts w:ascii="Arial" w:hAnsi="Arial" w:cs="Arial"/>
        </w:rPr>
        <w:t>Unlike traditional curricula, the Reggio Emilia approach does not follow a standardised set of learning outcomes; instead, it values the learning process over the product and promotes co-construction of knowledge between children and adults (Gandini, 2011). The environment is considered the “third teacher” and is intentionally designed to be aesthetically rich, flexible, and responsive to the needs of the group (Strong-Wilson and Ellis, 2007).</w:t>
      </w:r>
    </w:p>
    <w:p w14:paraId="31D54CBA" w14:textId="77777777" w:rsidR="00A81005" w:rsidRPr="00A81005" w:rsidRDefault="00A81005" w:rsidP="00A81005">
      <w:pPr>
        <w:pStyle w:val="NormalWeb"/>
        <w:rPr>
          <w:rFonts w:ascii="Arial" w:hAnsi="Arial" w:cs="Arial"/>
        </w:rPr>
      </w:pPr>
      <w:r w:rsidRPr="00A81005">
        <w:rPr>
          <w:rFonts w:ascii="Arial" w:hAnsi="Arial" w:cs="Arial"/>
        </w:rPr>
        <w:lastRenderedPageBreak/>
        <w:t xml:space="preserve">Critics of the Reggio approach point to challenges in implementing it outside of its original cultural context, especially within more prescriptive educational systems (Moss, 2016). However, it is widely respected for its deep respect for children's agency and </w:t>
      </w:r>
      <w:proofErr w:type="gramStart"/>
      <w:r w:rsidRPr="00A81005">
        <w:rPr>
          <w:rFonts w:ascii="Arial" w:hAnsi="Arial" w:cs="Arial"/>
        </w:rPr>
        <w:t>creativity, and</w:t>
      </w:r>
      <w:proofErr w:type="gramEnd"/>
      <w:r w:rsidRPr="00A81005">
        <w:rPr>
          <w:rFonts w:ascii="Arial" w:hAnsi="Arial" w:cs="Arial"/>
        </w:rPr>
        <w:t xml:space="preserve"> continues to influence early years pedagogy around the world.</w:t>
      </w:r>
    </w:p>
    <w:p w14:paraId="3FC02949" w14:textId="56AE71D9" w:rsidR="00A81005" w:rsidRPr="00A81005" w:rsidRDefault="00A81005" w:rsidP="00A81005">
      <w:pPr>
        <w:pStyle w:val="NormalWeb"/>
        <w:rPr>
          <w:rFonts w:ascii="Arial" w:hAnsi="Arial" w:cs="Arial"/>
        </w:rPr>
      </w:pPr>
      <w:r w:rsidRPr="00A81005">
        <w:rPr>
          <w:rFonts w:ascii="Arial" w:hAnsi="Arial" w:cs="Arial"/>
        </w:rPr>
        <w:t>___________________________________________________________________</w:t>
      </w:r>
    </w:p>
    <w:p w14:paraId="2D1A313E"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The Montessori and Reggio Emilia approaches are two influential models of play-based early childhood education. While both share a belief in the child as an active, competent learner, their philosophical foundations, teaching practices, and curriculum structures differ in </w:t>
      </w:r>
      <w:proofErr w:type="gramStart"/>
      <w:r w:rsidRPr="00A81005">
        <w:rPr>
          <w:rFonts w:ascii="Arial" w:hAnsi="Arial" w:cs="Arial"/>
        </w:rPr>
        <w:t>key ways</w:t>
      </w:r>
      <w:proofErr w:type="gramEnd"/>
      <w:r w:rsidRPr="00A81005">
        <w:rPr>
          <w:rFonts w:ascii="Arial" w:hAnsi="Arial" w:cs="Arial"/>
        </w:rPr>
        <w:t xml:space="preserve"> (Edwards, 2002; Lillard, 2017).</w:t>
      </w:r>
    </w:p>
    <w:p w14:paraId="60DFF3E9"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Philosophical Foundations</w:t>
      </w:r>
    </w:p>
    <w:p w14:paraId="0A9D0A10"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Both approaches are rooted in </w:t>
      </w:r>
      <w:r w:rsidRPr="00A81005">
        <w:rPr>
          <w:rFonts w:ascii="Arial" w:hAnsi="Arial" w:cs="Arial"/>
          <w:b/>
          <w:bCs/>
        </w:rPr>
        <w:t>constructivist theories</w:t>
      </w:r>
      <w:r w:rsidRPr="00A81005">
        <w:rPr>
          <w:rFonts w:ascii="Arial" w:hAnsi="Arial" w:cs="Arial"/>
        </w:rPr>
        <w:t xml:space="preserve"> of learning, recognising the importance of active, hands-on engagement. Montessori education is heavily influenced by Maria Montessori’s belief in the child’s natural inclination to learn through structured interaction with the environment (Montessori, 1967). The Reggio Emilia approach, on the other hand, stems from Loris Malaguzzi’s view of learning as a </w:t>
      </w:r>
      <w:r w:rsidRPr="00A81005">
        <w:rPr>
          <w:rFonts w:ascii="Arial" w:hAnsi="Arial" w:cs="Arial"/>
          <w:b/>
          <w:bCs/>
        </w:rPr>
        <w:t>social, collaborative</w:t>
      </w:r>
      <w:r w:rsidRPr="00A81005">
        <w:rPr>
          <w:rFonts w:ascii="Arial" w:hAnsi="Arial" w:cs="Arial"/>
        </w:rPr>
        <w:t xml:space="preserve"> process, where knowledge is co-constructed between children and adults (Rinaldi, 2006; Moss, 2016).</w:t>
      </w:r>
    </w:p>
    <w:p w14:paraId="4597C82D"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Where Montessori emphasises </w:t>
      </w:r>
      <w:r w:rsidRPr="00A81005">
        <w:rPr>
          <w:rFonts w:ascii="Arial" w:hAnsi="Arial" w:cs="Arial"/>
          <w:b/>
          <w:bCs/>
        </w:rPr>
        <w:t>order, independence, and intrinsic discipline</w:t>
      </w:r>
      <w:r w:rsidRPr="00A81005">
        <w:rPr>
          <w:rFonts w:ascii="Arial" w:hAnsi="Arial" w:cs="Arial"/>
        </w:rPr>
        <w:t xml:space="preserve">, Reggio Emilia promotes </w:t>
      </w:r>
      <w:r w:rsidRPr="00A81005">
        <w:rPr>
          <w:rFonts w:ascii="Arial" w:hAnsi="Arial" w:cs="Arial"/>
          <w:b/>
          <w:bCs/>
        </w:rPr>
        <w:t>democracy, dialogue, and creativity</w:t>
      </w:r>
      <w:r w:rsidRPr="00A81005">
        <w:rPr>
          <w:rFonts w:ascii="Arial" w:hAnsi="Arial" w:cs="Arial"/>
        </w:rPr>
        <w:t>, encouraging multiple perspectives and interpretations (Lillard, 2005; Edwards, Gandini and Forman, 2012). This philosophical difference results in distinct pedagogical priorities.</w:t>
      </w:r>
    </w:p>
    <w:p w14:paraId="6AE7414F"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Role of the Teacher</w:t>
      </w:r>
    </w:p>
    <w:p w14:paraId="44C1612B"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In Montessori classrooms, the teacher assumes the role of a </w:t>
      </w:r>
      <w:r w:rsidRPr="00A81005">
        <w:rPr>
          <w:rFonts w:ascii="Arial" w:hAnsi="Arial" w:cs="Arial"/>
          <w:b/>
          <w:bCs/>
        </w:rPr>
        <w:t>‘guide’</w:t>
      </w:r>
      <w:r w:rsidRPr="00A81005">
        <w:rPr>
          <w:rFonts w:ascii="Arial" w:hAnsi="Arial" w:cs="Arial"/>
        </w:rPr>
        <w:t>, observing and facilitating rather than instructing (Isaacs, 2012). Children choose from pre-prepared, didactic materials designed to support self-correcting, independent learning (Montessori, 1967).</w:t>
      </w:r>
    </w:p>
    <w:p w14:paraId="49B996FF"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In contrast, Reggio Emilia educators act as </w:t>
      </w:r>
      <w:r w:rsidRPr="00A81005">
        <w:rPr>
          <w:rFonts w:ascii="Arial" w:hAnsi="Arial" w:cs="Arial"/>
          <w:b/>
          <w:bCs/>
        </w:rPr>
        <w:t>researchers and co-learners</w:t>
      </w:r>
      <w:r w:rsidRPr="00A81005">
        <w:rPr>
          <w:rFonts w:ascii="Arial" w:hAnsi="Arial" w:cs="Arial"/>
        </w:rPr>
        <w:t>, collaborating with children in ongoing projects that emerge from children's questions and curiosities (Edwards, 1998). This aligns with Reggio's rejection of pre-set curricula in favour of emergent learning (Gandini, 2011).</w:t>
      </w:r>
    </w:p>
    <w:p w14:paraId="6FE28F72"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Curriculum and Learning Environment</w:t>
      </w:r>
    </w:p>
    <w:p w14:paraId="61A60E4F"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Montessori classrooms are designed with </w:t>
      </w:r>
      <w:r w:rsidRPr="00A81005">
        <w:rPr>
          <w:rFonts w:ascii="Arial" w:hAnsi="Arial" w:cs="Arial"/>
          <w:b/>
          <w:bCs/>
        </w:rPr>
        <w:t>specific learning materials</w:t>
      </w:r>
      <w:r w:rsidRPr="00A81005">
        <w:rPr>
          <w:rFonts w:ascii="Arial" w:hAnsi="Arial" w:cs="Arial"/>
        </w:rPr>
        <w:t xml:space="preserve"> arranged to support sensitive periods in development. The environment is structured, with a strong emphasis on individual work and mastery of sequenced tasks (Lillard, 2005). Reggio Emilia classrooms, by contrast, are </w:t>
      </w:r>
      <w:r w:rsidRPr="00A81005">
        <w:rPr>
          <w:rFonts w:ascii="Arial" w:hAnsi="Arial" w:cs="Arial"/>
          <w:b/>
          <w:bCs/>
        </w:rPr>
        <w:t>aesthetically rich, flexible spaces</w:t>
      </w:r>
      <w:r w:rsidRPr="00A81005">
        <w:rPr>
          <w:rFonts w:ascii="Arial" w:hAnsi="Arial" w:cs="Arial"/>
        </w:rPr>
        <w:t xml:space="preserve"> that are considered the "third teacher", promoting exploration and group work (Strong-Wilson and Ellis, 2007).</w:t>
      </w:r>
    </w:p>
    <w:p w14:paraId="3A7FDD51"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lastRenderedPageBreak/>
        <w:t xml:space="preserve">In terms of curriculum, Montessori follows a </w:t>
      </w:r>
      <w:r w:rsidRPr="00A81005">
        <w:rPr>
          <w:rFonts w:ascii="Arial" w:hAnsi="Arial" w:cs="Arial"/>
          <w:b/>
          <w:bCs/>
        </w:rPr>
        <w:t>standardised set of materials and progressions</w:t>
      </w:r>
      <w:r w:rsidRPr="00A81005">
        <w:rPr>
          <w:rFonts w:ascii="Arial" w:hAnsi="Arial" w:cs="Arial"/>
        </w:rPr>
        <w:t xml:space="preserve">, often with a global framework provided by associations such as AMI (Association Montessori Internationale). In contrast, Reggio Emilia has </w:t>
      </w:r>
      <w:r w:rsidRPr="00A81005">
        <w:rPr>
          <w:rFonts w:ascii="Arial" w:hAnsi="Arial" w:cs="Arial"/>
          <w:b/>
          <w:bCs/>
        </w:rPr>
        <w:t>no fixed curriculum</w:t>
      </w:r>
      <w:r w:rsidRPr="00A81005">
        <w:rPr>
          <w:rFonts w:ascii="Arial" w:hAnsi="Arial" w:cs="Arial"/>
        </w:rPr>
        <w:t xml:space="preserve">; instead, it uses </w:t>
      </w:r>
      <w:r w:rsidRPr="00A81005">
        <w:rPr>
          <w:rFonts w:ascii="Arial" w:hAnsi="Arial" w:cs="Arial"/>
          <w:b/>
          <w:bCs/>
        </w:rPr>
        <w:t>project-based inquiry</w:t>
      </w:r>
      <w:r w:rsidRPr="00A81005">
        <w:rPr>
          <w:rFonts w:ascii="Arial" w:hAnsi="Arial" w:cs="Arial"/>
        </w:rPr>
        <w:t xml:space="preserve"> guided by the child’s interests (Edwards, Gandini and Forman, 2012). This makes Reggio more responsive but also more challenging to implement consistently outside of its original cultural context (Moss, 2016).</w:t>
      </w:r>
    </w:p>
    <w:p w14:paraId="565A467D"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View of Play and Learning</w:t>
      </w:r>
    </w:p>
    <w:p w14:paraId="604F0FFC"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While both approaches value play, Montessori distinguishes between </w:t>
      </w:r>
      <w:r w:rsidRPr="00A81005">
        <w:rPr>
          <w:rFonts w:ascii="Arial" w:hAnsi="Arial" w:cs="Arial"/>
          <w:b/>
          <w:bCs/>
        </w:rPr>
        <w:t>work and play</w:t>
      </w:r>
      <w:r w:rsidRPr="00A81005">
        <w:rPr>
          <w:rFonts w:ascii="Arial" w:hAnsi="Arial" w:cs="Arial"/>
        </w:rPr>
        <w:t>, often using the term "work" to describe purposeful, concentrated activity (Lillard, 2005). Montessori materials are didactic and goal-oriented, often discouraging imaginative play in favour of real-life tasks (Isaacs, 2012).</w:t>
      </w:r>
    </w:p>
    <w:p w14:paraId="542529EF"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In contrast, Reggio Emilia sees </w:t>
      </w:r>
      <w:r w:rsidRPr="00A81005">
        <w:rPr>
          <w:rFonts w:ascii="Arial" w:hAnsi="Arial" w:cs="Arial"/>
          <w:b/>
          <w:bCs/>
        </w:rPr>
        <w:t>all forms of play as valuable</w:t>
      </w:r>
      <w:r w:rsidRPr="00A81005">
        <w:rPr>
          <w:rFonts w:ascii="Arial" w:hAnsi="Arial" w:cs="Arial"/>
        </w:rPr>
        <w:t xml:space="preserve">, especially symbolic and imaginative forms, which are seen as central to </w:t>
      </w:r>
      <w:proofErr w:type="gramStart"/>
      <w:r w:rsidRPr="00A81005">
        <w:rPr>
          <w:rFonts w:ascii="Arial" w:hAnsi="Arial" w:cs="Arial"/>
        </w:rPr>
        <w:t>meaning-making</w:t>
      </w:r>
      <w:proofErr w:type="gramEnd"/>
      <w:r w:rsidRPr="00A81005">
        <w:rPr>
          <w:rFonts w:ascii="Arial" w:hAnsi="Arial" w:cs="Arial"/>
        </w:rPr>
        <w:t xml:space="preserve"> (Malaguzzi, 1996; Vecchi, 2010). This is captured in the idea of the </w:t>
      </w:r>
      <w:r w:rsidRPr="00A81005">
        <w:rPr>
          <w:rFonts w:ascii="Arial" w:hAnsi="Arial" w:cs="Arial"/>
          <w:b/>
          <w:bCs/>
        </w:rPr>
        <w:t>“hundred languages of children”</w:t>
      </w:r>
      <w:r w:rsidRPr="00A81005">
        <w:rPr>
          <w:rFonts w:ascii="Arial" w:hAnsi="Arial" w:cs="Arial"/>
        </w:rPr>
        <w:t>, highlighting diverse modes of expression through art, movement, and storytelling (Rinaldi, 2006).</w:t>
      </w:r>
    </w:p>
    <w:p w14:paraId="30C6AB8A"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Documentation and Assessment</w:t>
      </w:r>
    </w:p>
    <w:p w14:paraId="50AF8E52"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Assessment in Montessori is largely </w:t>
      </w:r>
      <w:r w:rsidRPr="00A81005">
        <w:rPr>
          <w:rFonts w:ascii="Arial" w:hAnsi="Arial" w:cs="Arial"/>
          <w:b/>
          <w:bCs/>
        </w:rPr>
        <w:t>observational</w:t>
      </w:r>
      <w:r w:rsidRPr="00A81005">
        <w:rPr>
          <w:rFonts w:ascii="Arial" w:hAnsi="Arial" w:cs="Arial"/>
        </w:rPr>
        <w:t xml:space="preserve">, focusing on mastery of developmental materials and self-correction (Lillard, 2017). The Reggio Emilia approach places significant emphasis on </w:t>
      </w:r>
      <w:r w:rsidRPr="00A81005">
        <w:rPr>
          <w:rFonts w:ascii="Arial" w:hAnsi="Arial" w:cs="Arial"/>
          <w:b/>
          <w:bCs/>
        </w:rPr>
        <w:t>pedagogical documentation</w:t>
      </w:r>
      <w:r w:rsidRPr="00A81005">
        <w:rPr>
          <w:rFonts w:ascii="Arial" w:hAnsi="Arial" w:cs="Arial"/>
        </w:rPr>
        <w:t>, including photos, transcripts, and artefacts of children's learning, which are used to reflect on the learning process and inform teaching (Vecchi, 2010).</w:t>
      </w:r>
    </w:p>
    <w:p w14:paraId="79F3BAAD"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Cultural and Practical Considerations</w:t>
      </w:r>
    </w:p>
    <w:p w14:paraId="0F7ACBB7"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Montessori education has been widely implemented internationally, often in private or fee-paying settings, and offers a </w:t>
      </w:r>
      <w:r w:rsidRPr="00A81005">
        <w:rPr>
          <w:rFonts w:ascii="Arial" w:hAnsi="Arial" w:cs="Arial"/>
          <w:b/>
          <w:bCs/>
        </w:rPr>
        <w:t>coherent, replicable model</w:t>
      </w:r>
      <w:r w:rsidRPr="00A81005">
        <w:rPr>
          <w:rFonts w:ascii="Arial" w:hAnsi="Arial" w:cs="Arial"/>
        </w:rPr>
        <w:t xml:space="preserve"> (Isaacs, 2012). Reggio Emilia, while inspirational worldwide, is more difficult to adopt in systems that require formal curricula or assessments, due to its </w:t>
      </w:r>
      <w:r w:rsidRPr="00A81005">
        <w:rPr>
          <w:rFonts w:ascii="Arial" w:hAnsi="Arial" w:cs="Arial"/>
          <w:b/>
          <w:bCs/>
        </w:rPr>
        <w:t>context-specific and fluid nature</w:t>
      </w:r>
      <w:r w:rsidRPr="00A81005">
        <w:rPr>
          <w:rFonts w:ascii="Arial" w:hAnsi="Arial" w:cs="Arial"/>
        </w:rPr>
        <w:t xml:space="preserve"> (Strong-Wilson and Ellis, 2007; Moss, 2016).</w:t>
      </w:r>
    </w:p>
    <w:p w14:paraId="396A694E" w14:textId="3E70FBDB" w:rsidR="00A81005" w:rsidRPr="00A81005" w:rsidRDefault="00A81005" w:rsidP="00A81005">
      <w:pPr>
        <w:spacing w:before="100" w:beforeAutospacing="1" w:after="100" w:afterAutospacing="1"/>
        <w:rPr>
          <w:rFonts w:ascii="Arial" w:hAnsi="Arial" w:cs="Arial"/>
        </w:rPr>
      </w:pPr>
      <w:r w:rsidRPr="00A81005">
        <w:rPr>
          <w:rFonts w:ascii="Arial" w:hAnsi="Arial" w:cs="Arial"/>
        </w:rPr>
        <w:t>In summary, both the Montessori and Reggio Emilia approaches provide rich, play-based experiences rooted in respect for the child. Montessori offers structure, independence, and clarity, while Reggio Emilia brings creativity, collaboration, and responsiveness. The choice between them may depend on cultural context, institutional goals, and educator philosophy.</w:t>
      </w:r>
    </w:p>
    <w:p w14:paraId="1FC98668" w14:textId="7D526B85" w:rsidR="00A81005" w:rsidRPr="00A81005" w:rsidRDefault="00A81005" w:rsidP="00A81005">
      <w:pPr>
        <w:spacing w:before="100" w:beforeAutospacing="1" w:after="100" w:afterAutospacing="1"/>
        <w:rPr>
          <w:rFonts w:ascii="Arial" w:hAnsi="Arial" w:cs="Arial"/>
        </w:rPr>
      </w:pPr>
      <w:r w:rsidRPr="00A81005">
        <w:rPr>
          <w:rFonts w:ascii="Arial" w:hAnsi="Arial" w:cs="Arial"/>
        </w:rPr>
        <w:t>___________________________________________________________________</w:t>
      </w:r>
    </w:p>
    <w:p w14:paraId="31A53865" w14:textId="77777777" w:rsidR="00A81005" w:rsidRPr="00A81005" w:rsidRDefault="00A81005" w:rsidP="00A81005">
      <w:pPr>
        <w:pStyle w:val="NormalWeb"/>
        <w:rPr>
          <w:rFonts w:ascii="Arial" w:hAnsi="Arial" w:cs="Arial"/>
        </w:rPr>
      </w:pPr>
      <w:r w:rsidRPr="00A81005">
        <w:rPr>
          <w:rFonts w:ascii="Arial" w:hAnsi="Arial" w:cs="Arial"/>
        </w:rPr>
        <w:t xml:space="preserve">Curriculum guidance significantly influences how educational approaches are applied in practice. The Montessori approach follows a </w:t>
      </w:r>
      <w:r w:rsidRPr="00A81005">
        <w:rPr>
          <w:rStyle w:val="Strong"/>
          <w:rFonts w:ascii="Arial" w:eastAsiaTheme="majorEastAsia" w:hAnsi="Arial" w:cs="Arial"/>
        </w:rPr>
        <w:t>structured, developmental curriculum</w:t>
      </w:r>
      <w:r w:rsidRPr="00A81005">
        <w:rPr>
          <w:rFonts w:ascii="Arial" w:hAnsi="Arial" w:cs="Arial"/>
        </w:rPr>
        <w:t xml:space="preserve"> with defined learning materials and sequences (Lillard, 2005). This structure aligns with frameworks like the </w:t>
      </w:r>
      <w:r w:rsidRPr="00A81005">
        <w:rPr>
          <w:rStyle w:val="Strong"/>
          <w:rFonts w:ascii="Arial" w:eastAsiaTheme="majorEastAsia" w:hAnsi="Arial" w:cs="Arial"/>
        </w:rPr>
        <w:t>EYFS</w:t>
      </w:r>
      <w:r w:rsidRPr="00A81005">
        <w:rPr>
          <w:rFonts w:ascii="Arial" w:hAnsi="Arial" w:cs="Arial"/>
        </w:rPr>
        <w:t xml:space="preserve"> in England, particularly in areas such as mathematics and practical life skills (DfE, 2021). However, Montessori’s emphasis </w:t>
      </w:r>
      <w:r w:rsidRPr="00A81005">
        <w:rPr>
          <w:rFonts w:ascii="Arial" w:hAnsi="Arial" w:cs="Arial"/>
        </w:rPr>
        <w:lastRenderedPageBreak/>
        <w:t xml:space="preserve">on order and independence may conflict with EYFS priorities on </w:t>
      </w:r>
      <w:r w:rsidRPr="00A81005">
        <w:rPr>
          <w:rStyle w:val="Strong"/>
          <w:rFonts w:ascii="Arial" w:eastAsiaTheme="majorEastAsia" w:hAnsi="Arial" w:cs="Arial"/>
        </w:rPr>
        <w:t>imaginative play</w:t>
      </w:r>
      <w:r w:rsidRPr="00A81005">
        <w:rPr>
          <w:rFonts w:ascii="Arial" w:hAnsi="Arial" w:cs="Arial"/>
        </w:rPr>
        <w:t xml:space="preserve"> and </w:t>
      </w:r>
      <w:r w:rsidRPr="00A81005">
        <w:rPr>
          <w:rStyle w:val="Strong"/>
          <w:rFonts w:ascii="Arial" w:eastAsiaTheme="majorEastAsia" w:hAnsi="Arial" w:cs="Arial"/>
        </w:rPr>
        <w:t>adult-child interaction</w:t>
      </w:r>
      <w:r w:rsidRPr="00A81005">
        <w:rPr>
          <w:rFonts w:ascii="Arial" w:hAnsi="Arial" w:cs="Arial"/>
        </w:rPr>
        <w:t xml:space="preserve"> (Isaacs, 2012).</w:t>
      </w:r>
    </w:p>
    <w:p w14:paraId="2A7139B5" w14:textId="77777777" w:rsidR="00A81005" w:rsidRPr="00A81005" w:rsidRDefault="00A81005" w:rsidP="00A81005">
      <w:pPr>
        <w:pStyle w:val="NormalWeb"/>
        <w:rPr>
          <w:rFonts w:ascii="Arial" w:hAnsi="Arial" w:cs="Arial"/>
        </w:rPr>
      </w:pPr>
      <w:r w:rsidRPr="00A81005">
        <w:rPr>
          <w:rFonts w:ascii="Arial" w:hAnsi="Arial" w:cs="Arial"/>
        </w:rPr>
        <w:t xml:space="preserve">In contrast, Reggio Emilia adopts an </w:t>
      </w:r>
      <w:r w:rsidRPr="00A81005">
        <w:rPr>
          <w:rStyle w:val="Strong"/>
          <w:rFonts w:ascii="Arial" w:eastAsiaTheme="majorEastAsia" w:hAnsi="Arial" w:cs="Arial"/>
        </w:rPr>
        <w:t>emergent, child-led curriculum</w:t>
      </w:r>
      <w:r w:rsidRPr="00A81005">
        <w:rPr>
          <w:rFonts w:ascii="Arial" w:hAnsi="Arial" w:cs="Arial"/>
        </w:rPr>
        <w:t xml:space="preserve">, built around projects that stem from children's interests (Rinaldi, 2006). It avoids standardisation and instead uses </w:t>
      </w:r>
      <w:r w:rsidRPr="00A81005">
        <w:rPr>
          <w:rStyle w:val="Strong"/>
          <w:rFonts w:ascii="Arial" w:eastAsiaTheme="majorEastAsia" w:hAnsi="Arial" w:cs="Arial"/>
        </w:rPr>
        <w:t>documentation</w:t>
      </w:r>
      <w:r w:rsidRPr="00A81005">
        <w:rPr>
          <w:rFonts w:ascii="Arial" w:hAnsi="Arial" w:cs="Arial"/>
        </w:rPr>
        <w:t xml:space="preserve"> to track and reflect on learning (Vecchi, 2010). This flexibility aligns well with the </w:t>
      </w:r>
      <w:r w:rsidRPr="00A81005">
        <w:rPr>
          <w:rStyle w:val="Strong"/>
          <w:rFonts w:ascii="Arial" w:eastAsiaTheme="majorEastAsia" w:hAnsi="Arial" w:cs="Arial"/>
        </w:rPr>
        <w:t>Curriculum for Wales</w:t>
      </w:r>
      <w:r w:rsidRPr="00A81005">
        <w:rPr>
          <w:rFonts w:ascii="Arial" w:hAnsi="Arial" w:cs="Arial"/>
        </w:rPr>
        <w:t>, which emphasises creativity, learner voice, and holistic development (Welsh Government, 2022). However, Reggio’s lack of predefined outcomes can challenge policy-driven systems that rely on measurable progress (Moss, 2016).</w:t>
      </w:r>
    </w:p>
    <w:p w14:paraId="54BFA560" w14:textId="77777777" w:rsidR="00A81005" w:rsidRDefault="00A81005" w:rsidP="00A81005">
      <w:pPr>
        <w:pStyle w:val="NormalWeb"/>
        <w:pBdr>
          <w:bottom w:val="single" w:sz="12" w:space="1" w:color="auto"/>
        </w:pBdr>
        <w:rPr>
          <w:rFonts w:ascii="Arial" w:hAnsi="Arial" w:cs="Arial"/>
        </w:rPr>
      </w:pPr>
      <w:r w:rsidRPr="00A81005">
        <w:rPr>
          <w:rFonts w:ascii="Arial" w:hAnsi="Arial" w:cs="Arial"/>
        </w:rPr>
        <w:t xml:space="preserve">While Montessori offers </w:t>
      </w:r>
      <w:r w:rsidRPr="00A81005">
        <w:rPr>
          <w:rStyle w:val="Strong"/>
          <w:rFonts w:ascii="Arial" w:eastAsiaTheme="majorEastAsia" w:hAnsi="Arial" w:cs="Arial"/>
        </w:rPr>
        <w:t>clear guidance and replicability</w:t>
      </w:r>
      <w:r w:rsidRPr="00A81005">
        <w:rPr>
          <w:rFonts w:ascii="Arial" w:hAnsi="Arial" w:cs="Arial"/>
        </w:rPr>
        <w:t xml:space="preserve">, it may restrict spontaneous exploration. Reggio Emilia supports </w:t>
      </w:r>
      <w:r w:rsidRPr="00A81005">
        <w:rPr>
          <w:rStyle w:val="Strong"/>
          <w:rFonts w:ascii="Arial" w:eastAsiaTheme="majorEastAsia" w:hAnsi="Arial" w:cs="Arial"/>
        </w:rPr>
        <w:t>responsive pedagogy</w:t>
      </w:r>
      <w:r w:rsidRPr="00A81005">
        <w:rPr>
          <w:rFonts w:ascii="Arial" w:hAnsi="Arial" w:cs="Arial"/>
        </w:rPr>
        <w:t xml:space="preserve">, but its success relies heavily on </w:t>
      </w:r>
      <w:r w:rsidRPr="00A81005">
        <w:rPr>
          <w:rStyle w:val="Strong"/>
          <w:rFonts w:ascii="Arial" w:eastAsiaTheme="majorEastAsia" w:hAnsi="Arial" w:cs="Arial"/>
        </w:rPr>
        <w:t>professional autonomy and training</w:t>
      </w:r>
      <w:r w:rsidRPr="00A81005">
        <w:rPr>
          <w:rFonts w:ascii="Arial" w:hAnsi="Arial" w:cs="Arial"/>
        </w:rPr>
        <w:t xml:space="preserve"> (Strong-Wilson and Ellis, 2007). Curriculum frameworks that allow </w:t>
      </w:r>
      <w:r w:rsidRPr="00A81005">
        <w:rPr>
          <w:rStyle w:val="Strong"/>
          <w:rFonts w:ascii="Arial" w:eastAsiaTheme="majorEastAsia" w:hAnsi="Arial" w:cs="Arial"/>
        </w:rPr>
        <w:t>practitioner flexibility</w:t>
      </w:r>
      <w:r w:rsidRPr="00A81005">
        <w:rPr>
          <w:rFonts w:ascii="Arial" w:hAnsi="Arial" w:cs="Arial"/>
        </w:rPr>
        <w:t>—such as Curriculum for Wales—can accommodate elements of both approaches, encouraging meaningful, play-based learning.</w:t>
      </w:r>
    </w:p>
    <w:p w14:paraId="69D03F23" w14:textId="77777777" w:rsidR="00A81005" w:rsidRPr="00A81005" w:rsidRDefault="00A81005" w:rsidP="00A81005">
      <w:pPr>
        <w:pStyle w:val="NormalWeb"/>
        <w:rPr>
          <w:rFonts w:ascii="Arial" w:hAnsi="Arial" w:cs="Arial"/>
        </w:rPr>
      </w:pPr>
    </w:p>
    <w:p w14:paraId="30FDBB24" w14:textId="752F3213" w:rsidR="00A81005" w:rsidRDefault="00A81005" w:rsidP="00A81005">
      <w:pPr>
        <w:pStyle w:val="NormalWeb"/>
        <w:pBdr>
          <w:top w:val="single" w:sz="12" w:space="1" w:color="auto"/>
          <w:bottom w:val="single" w:sz="12" w:space="0" w:color="auto"/>
        </w:pBdr>
        <w:rPr>
          <w:rFonts w:ascii="Arial" w:hAnsi="Arial" w:cs="Arial"/>
        </w:rPr>
      </w:pPr>
      <w:r w:rsidRPr="00A81005">
        <w:rPr>
          <w:rFonts w:ascii="Arial" w:hAnsi="Arial" w:cs="Arial"/>
        </w:rPr>
        <w:t>In summary, the Montessori and Reggio Emilia approaches offer distinct yet complementary visions of play-based learning. Montessori’s structured curriculum provides clear developmental pathways and fosters independence, while Reggio Emilia’s emergent, flexible curriculum prioritises creativity, collaboration, and responsiveness to children’s interests. Both face challenges when aligned with formal curriculum frameworks, but allowing flexibility and professional judgement can help educators effectively integrate their principles. Recognising the strengths of each approach enables more holistic and child-centred early childhood education.</w:t>
      </w:r>
    </w:p>
    <w:p w14:paraId="733D2654" w14:textId="77777777" w:rsidR="00A81005" w:rsidRPr="00A81005" w:rsidRDefault="00A81005" w:rsidP="00A81005">
      <w:pPr>
        <w:pStyle w:val="NormalWeb"/>
        <w:pBdr>
          <w:top w:val="single" w:sz="12" w:space="1" w:color="auto"/>
          <w:bottom w:val="single" w:sz="12" w:space="0" w:color="auto"/>
        </w:pBdr>
        <w:rPr>
          <w:rFonts w:ascii="Arial" w:hAnsi="Arial" w:cs="Arial"/>
        </w:rPr>
      </w:pPr>
    </w:p>
    <w:p w14:paraId="474559BF" w14:textId="77777777" w:rsidR="00A81005" w:rsidRPr="00A81005" w:rsidRDefault="00A81005" w:rsidP="00A81005">
      <w:pPr>
        <w:pStyle w:val="NormalWeb"/>
        <w:rPr>
          <w:rFonts w:ascii="Arial" w:hAnsi="Arial" w:cs="Arial"/>
        </w:rPr>
      </w:pPr>
      <w:r w:rsidRPr="00A81005">
        <w:rPr>
          <w:rFonts w:ascii="Arial" w:hAnsi="Arial" w:cs="Arial"/>
        </w:rPr>
        <w:t>The concept of the ‘Unique Child’ is fundamental in early childhood education, recognising each child as an individual with distinct abilities, interests, and developmental trajectories (DfE, 2021). This perspective underpins play-based curricula, which prioritise personalised learning experiences that foster holistic development through exploration and interaction (Siraj-Blatchford, 2010). Assessment and progress tracking in such settings aim to support children’s growth without constraining their individuality or undermining the intrinsic value of play.</w:t>
      </w:r>
    </w:p>
    <w:p w14:paraId="4A90DB7D" w14:textId="77777777" w:rsidR="00A81005" w:rsidRPr="00A81005" w:rsidRDefault="00A81005" w:rsidP="00A81005">
      <w:pPr>
        <w:pStyle w:val="NormalWeb"/>
        <w:rPr>
          <w:rFonts w:ascii="Arial" w:hAnsi="Arial" w:cs="Arial"/>
        </w:rPr>
      </w:pPr>
      <w:r w:rsidRPr="00A81005">
        <w:rPr>
          <w:rFonts w:ascii="Arial" w:hAnsi="Arial" w:cs="Arial"/>
        </w:rPr>
        <w:t>However, balancing the need for meaningful assessment with respect for the ‘Unique Child’ presents challenges. Traditional developmental stage models and standardised assessments can offer useful benchmarks but risk oversimplifying the diverse ways children learn and develop (Brown and Johnson, 2018). Conversely, observational and formative methods emphasised in play-based approaches seek to capture the complexity of each child’s learning journey but may lack consistency or be difficult to communicate to wider audiences (Edwards, Gandini and Forman, 2012).</w:t>
      </w:r>
    </w:p>
    <w:p w14:paraId="324121DA" w14:textId="77777777" w:rsidR="00A81005" w:rsidRPr="00A81005" w:rsidRDefault="00A81005" w:rsidP="00A81005">
      <w:pPr>
        <w:pStyle w:val="NormalWeb"/>
        <w:rPr>
          <w:rFonts w:ascii="Arial" w:hAnsi="Arial" w:cs="Arial"/>
        </w:rPr>
      </w:pPr>
      <w:r w:rsidRPr="00A81005">
        <w:rPr>
          <w:rFonts w:ascii="Arial" w:hAnsi="Arial" w:cs="Arial"/>
        </w:rPr>
        <w:lastRenderedPageBreak/>
        <w:t>This section critically evaluates various methods of assessment and progress tracking within play-based curricula, considering how they align with the principle of the ‘Unique Child’. It explores models used across different approaches, including Montessori and Reggio Emilia, highlighting strengths, limitations, and practical implications for educators.</w:t>
      </w:r>
    </w:p>
    <w:p w14:paraId="68B978B6"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___________________________________________________________________</w:t>
      </w:r>
    </w:p>
    <w:p w14:paraId="72E13153" w14:textId="78BD5916" w:rsidR="00A81005" w:rsidRPr="00A81005" w:rsidRDefault="00A81005" w:rsidP="00A81005">
      <w:pPr>
        <w:spacing w:before="100" w:beforeAutospacing="1" w:after="100" w:afterAutospacing="1"/>
        <w:rPr>
          <w:rFonts w:ascii="Arial" w:hAnsi="Arial" w:cs="Arial"/>
        </w:rPr>
      </w:pPr>
      <w:r w:rsidRPr="00A81005">
        <w:rPr>
          <w:rFonts w:ascii="Arial" w:hAnsi="Arial" w:cs="Arial"/>
        </w:rPr>
        <w:t>T</w:t>
      </w:r>
      <w:r w:rsidRPr="00A81005">
        <w:rPr>
          <w:rFonts w:ascii="Arial" w:hAnsi="Arial" w:cs="Arial"/>
        </w:rPr>
        <w:t>he ‘Unique Child’ concept is central to early childhood education, emphasising that every child has individual strengths, needs, interests, and developmental paths (Department for Education [DfE], 2021). This principle underpins play-based curricula, which seek to support holistic, child-centred learning environments where children can explore at their own pace (Siraj-Blatchford, 2010). Consequently, assessment and progress tracking methods must reflect and respect children’s individuality, avoiding rigid or reductive measures.</w:t>
      </w:r>
    </w:p>
    <w:p w14:paraId="442E3975"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Assessment in early childhood aims to inform teaching practices and support children’s development, yet it must do so without compromising the child’s agency or the natural, exploratory nature of play (Brown and Johnson, 2018). Developmental stage models and standardised assessments provide useful frameworks for identifying typical growth patterns but can risk overlooking individual variation and contextual factors (Wood, 2014). In contrast, observational and formative assessment approaches prioritise capturing the nuances of each child’s learning journey but may face challenges regarding reliability and communication (Edwards, Gandini and Forman, 2012).</w:t>
      </w:r>
    </w:p>
    <w:p w14:paraId="3C5F2488"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This section critically evaluates methods of assessment and progress tracking used within play-based curricula, focusing on how these methods align with the ‘Unique Child’ concept. It further considers age and stage-related development models and discusses examples from Montessori and Reggio Emilia approaches, highlighting their practical implications for educators.</w:t>
      </w:r>
    </w:p>
    <w:p w14:paraId="290945E2"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The ‘Unique Child’ Concept in Play-Based Learning</w:t>
      </w:r>
    </w:p>
    <w:p w14:paraId="63CAA5B9"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Recognising the ‘Unique Child’ means understanding that development is non-linear and influenced by a range of genetic, social, and environmental factors (Sylva et al., 2010). Play-based curricula value child-led learning and personalised experiences, allowing children to construct knowledge through interaction with their environment and peers (Wood, 2014). This focus requires assessment methods that are flexible, sensitive, and holistic, capturing multiple dimensions of development beyond cognitive milestones alone.</w:t>
      </w:r>
    </w:p>
    <w:p w14:paraId="70449401"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Methods of Assessment in Play-Based Curricula</w:t>
      </w:r>
    </w:p>
    <w:p w14:paraId="11EED67D" w14:textId="77777777" w:rsidR="00A81005" w:rsidRPr="00A81005" w:rsidRDefault="00A81005" w:rsidP="00A81005">
      <w:pPr>
        <w:numPr>
          <w:ilvl w:val="0"/>
          <w:numId w:val="1"/>
        </w:numPr>
        <w:spacing w:before="100" w:beforeAutospacing="1" w:after="100" w:afterAutospacing="1"/>
        <w:rPr>
          <w:rFonts w:ascii="Arial" w:hAnsi="Arial" w:cs="Arial"/>
        </w:rPr>
      </w:pPr>
      <w:r w:rsidRPr="00A81005">
        <w:rPr>
          <w:rFonts w:ascii="Arial" w:hAnsi="Arial" w:cs="Arial"/>
          <w:b/>
          <w:bCs/>
        </w:rPr>
        <w:t>Observational Assessment</w:t>
      </w:r>
      <w:r w:rsidRPr="00A81005">
        <w:rPr>
          <w:rFonts w:ascii="Arial" w:hAnsi="Arial" w:cs="Arial"/>
        </w:rPr>
        <w:br/>
        <w:t>Observational assessment is widely advocated in play-based settings due to its non-intrusive nature and alignment with child-centred practice (Carr, 2001). Practitioners observe children in naturalistic play, noting skills, behaviours, and interactions to inform planning. This method supports the ‘Unique Child’ by respecting individual learning rhythms and contexts (</w:t>
      </w:r>
      <w:proofErr w:type="spellStart"/>
      <w:r w:rsidRPr="00A81005">
        <w:rPr>
          <w:rFonts w:ascii="Arial" w:hAnsi="Arial" w:cs="Arial"/>
        </w:rPr>
        <w:t>Broström</w:t>
      </w:r>
      <w:proofErr w:type="spellEnd"/>
      <w:r w:rsidRPr="00A81005">
        <w:rPr>
          <w:rFonts w:ascii="Arial" w:hAnsi="Arial" w:cs="Arial"/>
        </w:rPr>
        <w:t>, 2012).</w:t>
      </w:r>
    </w:p>
    <w:p w14:paraId="12A73116" w14:textId="77777777" w:rsidR="00A81005" w:rsidRPr="00A81005" w:rsidRDefault="00A81005" w:rsidP="00A81005">
      <w:pPr>
        <w:numPr>
          <w:ilvl w:val="0"/>
          <w:numId w:val="1"/>
        </w:numPr>
        <w:spacing w:before="100" w:beforeAutospacing="1" w:after="100" w:afterAutospacing="1"/>
        <w:rPr>
          <w:rFonts w:ascii="Arial" w:hAnsi="Arial" w:cs="Arial"/>
        </w:rPr>
      </w:pPr>
      <w:r w:rsidRPr="00A81005">
        <w:rPr>
          <w:rFonts w:ascii="Arial" w:hAnsi="Arial" w:cs="Arial"/>
          <w:b/>
          <w:bCs/>
        </w:rPr>
        <w:lastRenderedPageBreak/>
        <w:t>Formative Assessment and Documentation</w:t>
      </w:r>
      <w:r w:rsidRPr="00A81005">
        <w:rPr>
          <w:rFonts w:ascii="Arial" w:hAnsi="Arial" w:cs="Arial"/>
        </w:rPr>
        <w:br/>
        <w:t>Formative assessment through documentation (e.g., learning stories, portfolios, photographic records) is a hallmark of approaches like Reggio Emilia (Edwards, Gandini and Forman, 2012). It encourages reflection by educators, children, and families, making learning visible and supporting ongoing development. Such methods allow children’s voices and interests to shape assessment, preserving their individuality.</w:t>
      </w:r>
    </w:p>
    <w:p w14:paraId="3312CAE5" w14:textId="77777777" w:rsidR="00A81005" w:rsidRPr="00A81005" w:rsidRDefault="00A81005" w:rsidP="00A81005">
      <w:pPr>
        <w:numPr>
          <w:ilvl w:val="0"/>
          <w:numId w:val="1"/>
        </w:numPr>
        <w:spacing w:before="100" w:beforeAutospacing="1" w:after="100" w:afterAutospacing="1"/>
        <w:rPr>
          <w:rFonts w:ascii="Arial" w:hAnsi="Arial" w:cs="Arial"/>
        </w:rPr>
      </w:pPr>
      <w:r w:rsidRPr="00A81005">
        <w:rPr>
          <w:rFonts w:ascii="Arial" w:hAnsi="Arial" w:cs="Arial"/>
          <w:b/>
          <w:bCs/>
        </w:rPr>
        <w:t>Standardised Assessments and Developmental Checklists</w:t>
      </w:r>
      <w:r w:rsidRPr="00A81005">
        <w:rPr>
          <w:rFonts w:ascii="Arial" w:hAnsi="Arial" w:cs="Arial"/>
        </w:rPr>
        <w:br/>
        <w:t>Some curricula employ standardised tools or developmental checklists to track progress against age-related milestones (e.g., EYFS Development Matters) (DfE, 2021). These provide benchmarks for identifying delays or concerns but may inadequately capture the diverse ways children express learning, particularly in culturally diverse or atypical learners (Brown and Johnson, 2018).</w:t>
      </w:r>
    </w:p>
    <w:p w14:paraId="72FE8BFB"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Progress Tracking and Age-Stage Related Development Models</w:t>
      </w:r>
    </w:p>
    <w:p w14:paraId="2A4CFF64"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Age and stage-related models, such as the Ages &amp; Stages Questionnaires (ASQ) or the EYFS Development Matters, offer frameworks to understand typical developmental progress in domains such as communication, motor skills, and social-emotional growth (Squires et al., 2009; DfE, 2021). These models support early identification of needs and can guide targeted interventions.</w:t>
      </w:r>
    </w:p>
    <w:p w14:paraId="66EE65AF"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However, their application must be critically considered. The reliance on normative data can </w:t>
      </w:r>
      <w:proofErr w:type="spellStart"/>
      <w:r w:rsidRPr="00A81005">
        <w:rPr>
          <w:rFonts w:ascii="Arial" w:hAnsi="Arial" w:cs="Arial"/>
        </w:rPr>
        <w:t>pathologise</w:t>
      </w:r>
      <w:proofErr w:type="spellEnd"/>
      <w:r w:rsidRPr="00A81005">
        <w:rPr>
          <w:rFonts w:ascii="Arial" w:hAnsi="Arial" w:cs="Arial"/>
        </w:rPr>
        <w:t xml:space="preserve"> natural variation and limit appreciation of individual learning trajectories (Wood, 2014). Moreover, developmental progress in play-based contexts often reflects qualitative changes that do not always align neatly with quantitative milestone checklists (Pyle and </w:t>
      </w:r>
      <w:proofErr w:type="spellStart"/>
      <w:r w:rsidRPr="00A81005">
        <w:rPr>
          <w:rFonts w:ascii="Arial" w:hAnsi="Arial" w:cs="Arial"/>
        </w:rPr>
        <w:t>Danniels</w:t>
      </w:r>
      <w:proofErr w:type="spellEnd"/>
      <w:r w:rsidRPr="00A81005">
        <w:rPr>
          <w:rFonts w:ascii="Arial" w:hAnsi="Arial" w:cs="Arial"/>
        </w:rPr>
        <w:t>, 2017).</w:t>
      </w:r>
    </w:p>
    <w:p w14:paraId="62BFD9EA"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Critical Evaluation</w:t>
      </w:r>
    </w:p>
    <w:p w14:paraId="7517E30F"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Assessment methods in play-based curricula must balance the tension between providing meaningful information about children’s development and preserving the ‘Unique Child’s’ individuality. Observational and formative assessments are well-suited to this task as they are flexible and holistic, enabling practitioners to document a wide range of learning outcomes in authentic contexts (Carr, 2001). However, they require skilled practitioners who can interpret behaviours without bias and who have time for thorough documentation, which may not always be feasible (</w:t>
      </w:r>
      <w:proofErr w:type="spellStart"/>
      <w:r w:rsidRPr="00A81005">
        <w:rPr>
          <w:rFonts w:ascii="Arial" w:hAnsi="Arial" w:cs="Arial"/>
        </w:rPr>
        <w:t>Broström</w:t>
      </w:r>
      <w:proofErr w:type="spellEnd"/>
      <w:r w:rsidRPr="00A81005">
        <w:rPr>
          <w:rFonts w:ascii="Arial" w:hAnsi="Arial" w:cs="Arial"/>
        </w:rPr>
        <w:t>, 2012).</w:t>
      </w:r>
    </w:p>
    <w:p w14:paraId="306EBCB9"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Standardised assessments and stage models contribute by identifying developmental concerns early and offering common language among professionals (Squires et al., 2009). Yet, overreliance on these </w:t>
      </w:r>
      <w:proofErr w:type="gramStart"/>
      <w:r w:rsidRPr="00A81005">
        <w:rPr>
          <w:rFonts w:ascii="Arial" w:hAnsi="Arial" w:cs="Arial"/>
        </w:rPr>
        <w:t>tools</w:t>
      </w:r>
      <w:proofErr w:type="gramEnd"/>
      <w:r w:rsidRPr="00A81005">
        <w:rPr>
          <w:rFonts w:ascii="Arial" w:hAnsi="Arial" w:cs="Arial"/>
        </w:rPr>
        <w:t xml:space="preserve"> risks imposing rigid expectations that may marginalise children whose learning differs from norms, including those with disabilities or from diverse cultural backgrounds (Brown and Johnson, 2018).</w:t>
      </w:r>
    </w:p>
    <w:p w14:paraId="234ACBDE" w14:textId="77777777" w:rsidR="00A81005" w:rsidRPr="00A81005" w:rsidRDefault="00A81005" w:rsidP="00A81005">
      <w:pPr>
        <w:spacing w:before="100" w:beforeAutospacing="1" w:after="100" w:afterAutospacing="1"/>
        <w:rPr>
          <w:rFonts w:ascii="Arial" w:hAnsi="Arial" w:cs="Arial"/>
        </w:rPr>
      </w:pPr>
      <w:r w:rsidRPr="00A81005">
        <w:rPr>
          <w:rFonts w:ascii="Arial" w:hAnsi="Arial" w:cs="Arial"/>
        </w:rPr>
        <w:t xml:space="preserve">Therefore, an integrated approach that uses developmental frameworks as guides, complemented by ongoing observational and reflective assessments, is ideal. This </w:t>
      </w:r>
      <w:r w:rsidRPr="00A81005">
        <w:rPr>
          <w:rFonts w:ascii="Arial" w:hAnsi="Arial" w:cs="Arial"/>
        </w:rPr>
        <w:lastRenderedPageBreak/>
        <w:t>supports children’s holistic development while respecting their unique characteristics and experiences (Wood, 2014).</w:t>
      </w:r>
    </w:p>
    <w:p w14:paraId="077BC224" w14:textId="77777777" w:rsid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Examples from Montessori and Reggio Emilia</w:t>
      </w:r>
    </w:p>
    <w:p w14:paraId="318347E2" w14:textId="77777777" w:rsidR="00A81005" w:rsidRPr="00A81005" w:rsidRDefault="00A81005" w:rsidP="00A81005">
      <w:pPr>
        <w:pStyle w:val="NormalWeb"/>
        <w:rPr>
          <w:rFonts w:ascii="Arial" w:hAnsi="Arial" w:cs="Arial"/>
        </w:rPr>
      </w:pPr>
      <w:r w:rsidRPr="00A81005">
        <w:rPr>
          <w:rFonts w:ascii="Arial" w:hAnsi="Arial" w:cs="Arial"/>
        </w:rPr>
        <w:t>The Montessori approach utilises continuous observational assessment as a core method to track each child's mastery of materials and developmental readiness, deliberately avoiding formal testing or standardised assessments (Lillard, 2005). Teachers act as careful observers, attentively watching how children interact with specially designed learning materials to identify their interests, skills, and emerging needs. This observational process allows educators to personalise lessons and activities to the child’s individual pace, ensuring that each child engages with tasks that are neither too easy nor too challenging (Isaacs, 2012). In this way, the Montessori method respects the child’s intrinsic motivation and natural developmental trajectory, fostering autonomy and self-directed learning. Progress tracking in Montessori settings focuses on individual achievements and competence, rather than comparing children against normative benchmarks or peer performance (Lillard, 2011). This emphasis on personal growth aligns closely with the Montessori belief in the ‘absorbent mind,’ where children absorb knowledge best when they are developmentally ready and engaged by their own curiosity (Montessori, 1967).</w:t>
      </w:r>
    </w:p>
    <w:p w14:paraId="1469808C" w14:textId="77777777" w:rsidR="00A81005" w:rsidRPr="00A81005" w:rsidRDefault="00A81005" w:rsidP="00A81005">
      <w:pPr>
        <w:pStyle w:val="NormalWeb"/>
        <w:rPr>
          <w:rFonts w:ascii="Arial" w:hAnsi="Arial" w:cs="Arial"/>
        </w:rPr>
      </w:pPr>
      <w:r w:rsidRPr="00A81005">
        <w:rPr>
          <w:rFonts w:ascii="Arial" w:hAnsi="Arial" w:cs="Arial"/>
        </w:rPr>
        <w:t>In contrast, the Reggio Emilia approach employs pedagogical documentation as both a key assessment method and a powerful learning tool. Educators carefully record children’s conversations, artistic creations, photographs of their play, and collaborative projects, which collectively capture the evolving ideas, hypotheses, and understandings of the children over time (Rinaldi, 2006). This documentation serves multiple functions: it makes learning visible to children, parents, and educators; provides a basis for reflection and dialogue; and supports curriculum planning that responds to children’s interests and inquiries (Edwards, Gandini and Forman, 2012). Through this reflective practice, the Reggio approach actively involves children in assessing and making meaning of their own learning experiences, thereby validating multiple modes of expression such as drawing, storytelling, and dramatic play (Vecchi, 2010). This method honours the ‘Unique Child’ by recognising that each learner constructs knowledge differently and that their voices and perspectives are essential in shaping their educational journey.</w:t>
      </w:r>
    </w:p>
    <w:p w14:paraId="2E752D5D" w14:textId="77777777" w:rsidR="00A81005" w:rsidRPr="00A81005" w:rsidRDefault="00A81005" w:rsidP="00A81005">
      <w:pPr>
        <w:pStyle w:val="NormalWeb"/>
        <w:rPr>
          <w:rFonts w:ascii="Arial" w:hAnsi="Arial" w:cs="Arial"/>
        </w:rPr>
      </w:pPr>
      <w:r w:rsidRPr="00A81005">
        <w:rPr>
          <w:rFonts w:ascii="Arial" w:hAnsi="Arial" w:cs="Arial"/>
        </w:rPr>
        <w:t>Both Montessori and Reggio Emilia demonstrate assessment approaches deeply embedded in their philosophies of child-led learning and holistic development. Unlike traditional education models focused on standardised tests and measurable outcomes, these methods prioritise qualitative, process-oriented assessment that captures the richness of each child’s experience and developmental progress. However, both approaches also require practitioners to possess significant expertise, observational skills, and a high degree of reflective practice to accurately interpret children’s behaviours and document learning meaningfully (Hewett, 2001; Lillard, 2005). These qualities ensure that assessment supports, rather than constrains, children’s natural curiosity and capacity for self-directed growth.</w:t>
      </w:r>
    </w:p>
    <w:p w14:paraId="4CBBFA2C" w14:textId="77777777" w:rsidR="00A81005" w:rsidRPr="00A81005" w:rsidRDefault="00A81005" w:rsidP="00A81005">
      <w:pPr>
        <w:spacing w:before="100" w:beforeAutospacing="1" w:after="100" w:afterAutospacing="1"/>
        <w:outlineLvl w:val="3"/>
        <w:rPr>
          <w:rFonts w:ascii="Arial" w:hAnsi="Arial" w:cs="Arial"/>
        </w:rPr>
      </w:pPr>
    </w:p>
    <w:p w14:paraId="455E5B11" w14:textId="77777777" w:rsidR="00A81005" w:rsidRPr="00A81005" w:rsidRDefault="00A81005" w:rsidP="00A81005">
      <w:pPr>
        <w:spacing w:before="100" w:beforeAutospacing="1" w:after="100" w:afterAutospacing="1"/>
        <w:outlineLvl w:val="3"/>
        <w:rPr>
          <w:rFonts w:ascii="Arial" w:hAnsi="Arial" w:cs="Arial"/>
          <w:b/>
          <w:bCs/>
        </w:rPr>
      </w:pPr>
      <w:r w:rsidRPr="00A81005">
        <w:rPr>
          <w:rFonts w:ascii="Arial" w:hAnsi="Arial" w:cs="Arial"/>
          <w:b/>
          <w:bCs/>
        </w:rPr>
        <w:t>Conclusion</w:t>
      </w:r>
    </w:p>
    <w:p w14:paraId="4FD868E0" w14:textId="77777777" w:rsidR="00A81005" w:rsidRDefault="00A81005" w:rsidP="00A81005">
      <w:pPr>
        <w:pBdr>
          <w:bottom w:val="single" w:sz="12" w:space="1" w:color="auto"/>
        </w:pBdr>
        <w:spacing w:before="100" w:beforeAutospacing="1" w:after="100" w:afterAutospacing="1"/>
        <w:rPr>
          <w:rFonts w:ascii="Arial" w:hAnsi="Arial" w:cs="Arial"/>
        </w:rPr>
      </w:pPr>
      <w:r w:rsidRPr="00A81005">
        <w:rPr>
          <w:rFonts w:ascii="Arial" w:hAnsi="Arial" w:cs="Arial"/>
        </w:rPr>
        <w:lastRenderedPageBreak/>
        <w:t>In conclusion, respecting the ‘Unique Child’ within play-based curricula necessitates assessment methods that are flexible, holistic, and sensitive to individual differences. Observational and formative assessment approaches align well with this principle by valuing authentic learning experiences and multiple developmental domains. While developmental stage models and standardised tools provide useful benchmarks, they must be applied judiciously to avoid limiting diverse expressions of growth. Montessori and Reggio Emilia approaches offer practical examples of assessment that honour individuality and support meaningful progress tracking. Ultimately, effective assessment in play-based contexts balances the need for structure with respect for each child’s unique developmental journey.</w:t>
      </w:r>
    </w:p>
    <w:p w14:paraId="5B8C8A3F" w14:textId="77777777" w:rsidR="00A81005" w:rsidRPr="00A81005" w:rsidRDefault="00A81005" w:rsidP="00A81005">
      <w:pPr>
        <w:pBdr>
          <w:bottom w:val="single" w:sz="12" w:space="1" w:color="auto"/>
        </w:pBdr>
        <w:spacing w:before="100" w:beforeAutospacing="1" w:after="100" w:afterAutospacing="1"/>
        <w:rPr>
          <w:rFonts w:ascii="Arial" w:hAnsi="Arial" w:cs="Arial"/>
        </w:rPr>
      </w:pPr>
    </w:p>
    <w:p w14:paraId="007CB8B9" w14:textId="77777777" w:rsidR="00A81005" w:rsidRPr="00A81005" w:rsidRDefault="00A81005" w:rsidP="00A81005">
      <w:pPr>
        <w:pStyle w:val="NormalWeb"/>
        <w:rPr>
          <w:rFonts w:ascii="Arial" w:hAnsi="Arial" w:cs="Arial"/>
        </w:rPr>
      </w:pPr>
    </w:p>
    <w:p w14:paraId="66EA1759" w14:textId="77777777" w:rsidR="00A81005" w:rsidRPr="00A81005" w:rsidRDefault="00A81005" w:rsidP="00A81005">
      <w:pPr>
        <w:pStyle w:val="Heading3"/>
        <w:rPr>
          <w:rFonts w:ascii="Arial" w:hAnsi="Arial" w:cs="Arial"/>
        </w:rPr>
      </w:pPr>
      <w:r w:rsidRPr="00A81005">
        <w:rPr>
          <w:rFonts w:ascii="Arial" w:hAnsi="Arial" w:cs="Arial"/>
        </w:rPr>
        <w:t>Implementing a Play-Based Curriculum: Practical Considerations for Early Years Settings</w:t>
      </w:r>
    </w:p>
    <w:p w14:paraId="3D8EAD57" w14:textId="77777777" w:rsidR="00A81005" w:rsidRPr="00A81005" w:rsidRDefault="00A81005" w:rsidP="00A81005">
      <w:pPr>
        <w:pStyle w:val="NormalWeb"/>
        <w:rPr>
          <w:rFonts w:ascii="Arial" w:hAnsi="Arial" w:cs="Arial"/>
        </w:rPr>
      </w:pPr>
      <w:r w:rsidRPr="00A81005">
        <w:rPr>
          <w:rFonts w:ascii="Arial" w:hAnsi="Arial" w:cs="Arial"/>
        </w:rPr>
        <w:t>Play-based learning is widely recognised as a vital element of early childhood education. Rooted in the understanding that play is children’s natural mode for making sense of the world, it supports cognitive, social, emotional, and physical development simultaneously (Siraj-Blatchford, 2010; Wood, 2014). Across the UK and internationally, early years settings are increasingly adopting play-based curricula or revising existing frameworks to better embed this approach (DfE, 2021; Welsh Government, 2022).</w:t>
      </w:r>
    </w:p>
    <w:p w14:paraId="259CADB0" w14:textId="77777777" w:rsidR="00A81005" w:rsidRPr="00A81005" w:rsidRDefault="00A81005" w:rsidP="00A81005">
      <w:pPr>
        <w:pStyle w:val="NormalWeb"/>
        <w:rPr>
          <w:rFonts w:ascii="Arial" w:hAnsi="Arial" w:cs="Arial"/>
        </w:rPr>
      </w:pPr>
      <w:r w:rsidRPr="00A81005">
        <w:rPr>
          <w:rFonts w:ascii="Arial" w:hAnsi="Arial" w:cs="Arial"/>
        </w:rPr>
        <w:t>However, implementing or changing to a play-based curriculum is a complex process that requires more than just introducing play opportunities. It demands a clear philosophical understanding, effective leadership, staff development, environmental adaptations, and strong family partnerships. This blog outlines key considerations to support practitioners and managers undertaking this important work.</w:t>
      </w:r>
    </w:p>
    <w:p w14:paraId="06BFEC91"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14AD3BB9">
          <v:rect id="_x0000_i1033" alt="" style="width:451.3pt;height:.05pt;mso-width-percent:0;mso-height-percent:0;mso-width-percent:0;mso-height-percent:0" o:hralign="center" o:hrstd="t" o:hr="t" fillcolor="#a0a0a0" stroked="f"/>
        </w:pict>
      </w:r>
    </w:p>
    <w:p w14:paraId="0BE32FED" w14:textId="77777777" w:rsidR="00A81005" w:rsidRPr="00A81005" w:rsidRDefault="00A81005" w:rsidP="00A81005">
      <w:pPr>
        <w:pStyle w:val="Heading4"/>
        <w:rPr>
          <w:rFonts w:ascii="Arial" w:hAnsi="Arial" w:cs="Arial"/>
        </w:rPr>
      </w:pPr>
      <w:r w:rsidRPr="00A81005">
        <w:rPr>
          <w:rFonts w:ascii="Arial" w:hAnsi="Arial" w:cs="Arial"/>
        </w:rPr>
        <w:t>1. Shared Understanding of Play-Based Learning Philosophy</w:t>
      </w:r>
    </w:p>
    <w:p w14:paraId="25B241E2" w14:textId="77777777" w:rsidR="00A81005" w:rsidRPr="00A81005" w:rsidRDefault="00A81005" w:rsidP="00A81005">
      <w:pPr>
        <w:pStyle w:val="NormalWeb"/>
        <w:rPr>
          <w:rFonts w:ascii="Arial" w:hAnsi="Arial" w:cs="Arial"/>
        </w:rPr>
      </w:pPr>
      <w:r w:rsidRPr="00A81005">
        <w:rPr>
          <w:rFonts w:ascii="Arial" w:hAnsi="Arial" w:cs="Arial"/>
        </w:rPr>
        <w:t>Before any practical steps, it is essential that all team members—managers, teachers, teaching assistants, and support staff—develop a shared understanding of the role and value of play in learning. Play is not just recreation; it is a purposeful activity through which children explore ideas, develop language, solve problems, and negotiate social roles (Wood, 2014; Pellegrini, 2009).</w:t>
      </w:r>
    </w:p>
    <w:p w14:paraId="42964A13" w14:textId="77777777" w:rsidR="00A81005" w:rsidRPr="00A81005" w:rsidRDefault="00A81005" w:rsidP="00A81005">
      <w:pPr>
        <w:pStyle w:val="NormalWeb"/>
        <w:rPr>
          <w:rFonts w:ascii="Arial" w:hAnsi="Arial" w:cs="Arial"/>
        </w:rPr>
      </w:pPr>
      <w:r w:rsidRPr="00A81005">
        <w:rPr>
          <w:rFonts w:ascii="Arial" w:hAnsi="Arial" w:cs="Arial"/>
        </w:rPr>
        <w:t xml:space="preserve">Research shows that children learn best when they are active participants in their own learning, able to initiate and direct play within supportive environments (Brown, 2013). Misconceptions about play being ‘just fun’ or ‘less </w:t>
      </w:r>
      <w:proofErr w:type="spellStart"/>
      <w:r w:rsidRPr="00A81005">
        <w:rPr>
          <w:rFonts w:ascii="Arial" w:hAnsi="Arial" w:cs="Arial"/>
        </w:rPr>
        <w:t>serious’</w:t>
      </w:r>
      <w:proofErr w:type="spellEnd"/>
      <w:r w:rsidRPr="00A81005">
        <w:rPr>
          <w:rFonts w:ascii="Arial" w:hAnsi="Arial" w:cs="Arial"/>
        </w:rPr>
        <w:t xml:space="preserve"> than formal teaching can undermine implementation. Therefore, clear communication and professional dialogue about the evidence base underpinning play-based curricula are vital (Siraj-Blatchford et al., 2002).</w:t>
      </w:r>
    </w:p>
    <w:p w14:paraId="1AA4A5FA"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54D8F4EF">
          <v:rect id="_x0000_i1032" alt="" style="width:451.3pt;height:.05pt;mso-width-percent:0;mso-height-percent:0;mso-width-percent:0;mso-height-percent:0" o:hralign="center" o:hrstd="t" o:hr="t" fillcolor="#a0a0a0" stroked="f"/>
        </w:pict>
      </w:r>
    </w:p>
    <w:p w14:paraId="398030F3" w14:textId="77777777" w:rsidR="00A81005" w:rsidRPr="00A81005" w:rsidRDefault="00A81005" w:rsidP="00A81005">
      <w:pPr>
        <w:pStyle w:val="Heading4"/>
        <w:rPr>
          <w:rFonts w:ascii="Arial" w:hAnsi="Arial" w:cs="Arial"/>
        </w:rPr>
      </w:pPr>
      <w:r w:rsidRPr="00A81005">
        <w:rPr>
          <w:rFonts w:ascii="Arial" w:hAnsi="Arial" w:cs="Arial"/>
        </w:rPr>
        <w:lastRenderedPageBreak/>
        <w:t>2. Leadership and Team Engagement</w:t>
      </w:r>
    </w:p>
    <w:p w14:paraId="05E2BEE9" w14:textId="77777777" w:rsidR="00A81005" w:rsidRPr="00A81005" w:rsidRDefault="00A81005" w:rsidP="00A81005">
      <w:pPr>
        <w:pStyle w:val="NormalWeb"/>
        <w:rPr>
          <w:rFonts w:ascii="Arial" w:hAnsi="Arial" w:cs="Arial"/>
        </w:rPr>
      </w:pPr>
      <w:r w:rsidRPr="00A81005">
        <w:rPr>
          <w:rFonts w:ascii="Arial" w:hAnsi="Arial" w:cs="Arial"/>
        </w:rPr>
        <w:t>Successful curriculum change is driven by strong leadership that models and supports play-based pedagogy (Nutbrown, 2018). Leaders must involve the whole team from the outset, creating opportunities for staff to express concerns and contribute ideas.</w:t>
      </w:r>
    </w:p>
    <w:p w14:paraId="66C2A1F2" w14:textId="77777777" w:rsidR="00A81005" w:rsidRPr="00A81005" w:rsidRDefault="00A81005" w:rsidP="00A81005">
      <w:pPr>
        <w:pStyle w:val="NormalWeb"/>
        <w:rPr>
          <w:rFonts w:ascii="Arial" w:hAnsi="Arial" w:cs="Arial"/>
        </w:rPr>
      </w:pPr>
      <w:r w:rsidRPr="00A81005">
        <w:rPr>
          <w:rFonts w:ascii="Arial" w:hAnsi="Arial" w:cs="Arial"/>
        </w:rPr>
        <w:t xml:space="preserve">Staff training is fundamental. Many early years practitioners have limited initial training on how to intentionally support learning through play, particularly in observing and scaffolding children’s play experiences (Pyle and </w:t>
      </w:r>
      <w:proofErr w:type="spellStart"/>
      <w:r w:rsidRPr="00A81005">
        <w:rPr>
          <w:rFonts w:ascii="Arial" w:hAnsi="Arial" w:cs="Arial"/>
        </w:rPr>
        <w:t>Danniels</w:t>
      </w:r>
      <w:proofErr w:type="spellEnd"/>
      <w:r w:rsidRPr="00A81005">
        <w:rPr>
          <w:rFonts w:ascii="Arial" w:hAnsi="Arial" w:cs="Arial"/>
        </w:rPr>
        <w:t>, 2017). Providing ongoing, practical professional development—such as workshops, coaching, and peer observations—helps build confidence and skills.</w:t>
      </w:r>
    </w:p>
    <w:p w14:paraId="53CBAEAF" w14:textId="77777777" w:rsidR="00A81005" w:rsidRPr="00A81005" w:rsidRDefault="00A81005" w:rsidP="00A81005">
      <w:pPr>
        <w:pStyle w:val="NormalWeb"/>
        <w:rPr>
          <w:rFonts w:ascii="Arial" w:hAnsi="Arial" w:cs="Arial"/>
        </w:rPr>
      </w:pPr>
      <w:r w:rsidRPr="00A81005">
        <w:rPr>
          <w:rFonts w:ascii="Arial" w:hAnsi="Arial" w:cs="Arial"/>
        </w:rPr>
        <w:t>Creating a culture of reflection and dialogue encourages staff to critically evaluate their own practice and celebrate successes, fostering continuous improvement (</w:t>
      </w:r>
      <w:proofErr w:type="spellStart"/>
      <w:r w:rsidRPr="00A81005">
        <w:rPr>
          <w:rFonts w:ascii="Arial" w:hAnsi="Arial" w:cs="Arial"/>
        </w:rPr>
        <w:t>Broström</w:t>
      </w:r>
      <w:proofErr w:type="spellEnd"/>
      <w:r w:rsidRPr="00A81005">
        <w:rPr>
          <w:rFonts w:ascii="Arial" w:hAnsi="Arial" w:cs="Arial"/>
        </w:rPr>
        <w:t>, 2012).</w:t>
      </w:r>
    </w:p>
    <w:p w14:paraId="47F94D62"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22394EAA">
          <v:rect id="_x0000_i1031" alt="" style="width:451.3pt;height:.05pt;mso-width-percent:0;mso-height-percent:0;mso-width-percent:0;mso-height-percent:0" o:hralign="center" o:hrstd="t" o:hr="t" fillcolor="#a0a0a0" stroked="f"/>
        </w:pict>
      </w:r>
    </w:p>
    <w:p w14:paraId="421A9253" w14:textId="77777777" w:rsidR="00A81005" w:rsidRPr="00A81005" w:rsidRDefault="00A81005" w:rsidP="00A81005">
      <w:pPr>
        <w:pStyle w:val="Heading4"/>
        <w:rPr>
          <w:rFonts w:ascii="Arial" w:hAnsi="Arial" w:cs="Arial"/>
        </w:rPr>
      </w:pPr>
      <w:r w:rsidRPr="00A81005">
        <w:rPr>
          <w:rFonts w:ascii="Arial" w:hAnsi="Arial" w:cs="Arial"/>
        </w:rPr>
        <w:t>3. Environment as the ‘Third Teacher’</w:t>
      </w:r>
    </w:p>
    <w:p w14:paraId="106C5F4F" w14:textId="77777777" w:rsidR="00A81005" w:rsidRPr="00A81005" w:rsidRDefault="00A81005" w:rsidP="00A81005">
      <w:pPr>
        <w:pStyle w:val="NormalWeb"/>
        <w:rPr>
          <w:rFonts w:ascii="Arial" w:hAnsi="Arial" w:cs="Arial"/>
        </w:rPr>
      </w:pPr>
      <w:r w:rsidRPr="00A81005">
        <w:rPr>
          <w:rFonts w:ascii="Arial" w:hAnsi="Arial" w:cs="Arial"/>
        </w:rPr>
        <w:t>Play flourishes in environments that invite exploration, creativity, and independence (Edwards, Gandini and Forman, 2012). Settings may need to reconsider their physical layout to provide accessible, flexible, and stimulating spaces.</w:t>
      </w:r>
    </w:p>
    <w:p w14:paraId="2891156B" w14:textId="77777777" w:rsidR="00A81005" w:rsidRPr="00A81005" w:rsidRDefault="00A81005" w:rsidP="00A81005">
      <w:pPr>
        <w:pStyle w:val="NormalWeb"/>
        <w:rPr>
          <w:rFonts w:ascii="Arial" w:hAnsi="Arial" w:cs="Arial"/>
        </w:rPr>
      </w:pPr>
      <w:r w:rsidRPr="00A81005">
        <w:rPr>
          <w:rFonts w:ascii="Arial" w:hAnsi="Arial" w:cs="Arial"/>
        </w:rPr>
        <w:t>Incorporating open-ended resources—such as natural materials, loose parts, and sensory items—encourages imaginative play and problem-solving (Nicholson, 1971; Gray, 2011). Outdoor areas should be valued equally with indoor spaces, offering opportunities for risk-taking and physical development (Little, 2011).</w:t>
      </w:r>
    </w:p>
    <w:p w14:paraId="60EF7ACB" w14:textId="77777777" w:rsidR="00A81005" w:rsidRPr="00A81005" w:rsidRDefault="00A81005" w:rsidP="00A81005">
      <w:pPr>
        <w:pStyle w:val="NormalWeb"/>
        <w:rPr>
          <w:rFonts w:ascii="Arial" w:hAnsi="Arial" w:cs="Arial"/>
        </w:rPr>
      </w:pPr>
      <w:r w:rsidRPr="00A81005">
        <w:rPr>
          <w:rFonts w:ascii="Arial" w:hAnsi="Arial" w:cs="Arial"/>
        </w:rPr>
        <w:t>Accessibility and inclusivity are essential considerations. Spaces must accommodate children with diverse needs, enabling all to engage fully in play (Moyles, Adams and Musgrove, 2002).</w:t>
      </w:r>
    </w:p>
    <w:p w14:paraId="5E469E2D"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0B8BA16F">
          <v:rect id="_x0000_i1030" alt="" style="width:451.3pt;height:.05pt;mso-width-percent:0;mso-height-percent:0;mso-width-percent:0;mso-height-percent:0" o:hralign="center" o:hrstd="t" o:hr="t" fillcolor="#a0a0a0" stroked="f"/>
        </w:pict>
      </w:r>
    </w:p>
    <w:p w14:paraId="562F1BC8" w14:textId="77777777" w:rsidR="00A81005" w:rsidRPr="00A81005" w:rsidRDefault="00A81005" w:rsidP="00A81005">
      <w:pPr>
        <w:pStyle w:val="Heading4"/>
        <w:rPr>
          <w:rFonts w:ascii="Arial" w:hAnsi="Arial" w:cs="Arial"/>
        </w:rPr>
      </w:pPr>
      <w:r w:rsidRPr="00A81005">
        <w:rPr>
          <w:rFonts w:ascii="Arial" w:hAnsi="Arial" w:cs="Arial"/>
        </w:rPr>
        <w:t>4. Balancing Child-Led and Adult-Led Learning</w:t>
      </w:r>
    </w:p>
    <w:p w14:paraId="6849B606" w14:textId="77777777" w:rsidR="00A81005" w:rsidRPr="00A81005" w:rsidRDefault="00A81005" w:rsidP="00A81005">
      <w:pPr>
        <w:pStyle w:val="NormalWeb"/>
        <w:rPr>
          <w:rFonts w:ascii="Arial" w:hAnsi="Arial" w:cs="Arial"/>
        </w:rPr>
      </w:pPr>
      <w:r w:rsidRPr="00A81005">
        <w:rPr>
          <w:rFonts w:ascii="Arial" w:hAnsi="Arial" w:cs="Arial"/>
        </w:rPr>
        <w:t>Play-based learning requires balancing children’s autonomy with adult guidance. While children should be free to explore their interests, adults have an important role in scaffolding learning through sensitive intervention (Vygotsky, 1978).</w:t>
      </w:r>
    </w:p>
    <w:p w14:paraId="6ED8F35F" w14:textId="77777777" w:rsidR="00A81005" w:rsidRPr="00A81005" w:rsidRDefault="00A81005" w:rsidP="00A81005">
      <w:pPr>
        <w:pStyle w:val="NormalWeb"/>
        <w:rPr>
          <w:rFonts w:ascii="Arial" w:hAnsi="Arial" w:cs="Arial"/>
        </w:rPr>
      </w:pPr>
      <w:r w:rsidRPr="00A81005">
        <w:rPr>
          <w:rFonts w:ascii="Arial" w:hAnsi="Arial" w:cs="Arial"/>
        </w:rPr>
        <w:t>Practitioners can extend play by asking open-ended questions, introducing new vocabulary, or suggesting challenges that stretch thinking without taking control (Carr, 2001). This approach aligns with national frameworks like the EYFS, which emphasise learning through play but also stress practitioner responsibility in guiding development towards outcomes (DfE, 2021).</w:t>
      </w:r>
    </w:p>
    <w:p w14:paraId="13FD72A2" w14:textId="77777777" w:rsidR="00A81005" w:rsidRPr="00A81005" w:rsidRDefault="00A81005" w:rsidP="00A81005">
      <w:pPr>
        <w:pStyle w:val="NormalWeb"/>
        <w:rPr>
          <w:rFonts w:ascii="Arial" w:hAnsi="Arial" w:cs="Arial"/>
        </w:rPr>
      </w:pPr>
      <w:r w:rsidRPr="00A81005">
        <w:rPr>
          <w:rFonts w:ascii="Arial" w:hAnsi="Arial" w:cs="Arial"/>
        </w:rPr>
        <w:t>The ability to flexibly respond to children’s needs and interests is a hallmark of effective play-based pedagogy (Wood, 2014).</w:t>
      </w:r>
    </w:p>
    <w:p w14:paraId="7D2372B6" w14:textId="77777777" w:rsidR="00A81005" w:rsidRPr="00A81005" w:rsidRDefault="008D2281" w:rsidP="00A81005">
      <w:pPr>
        <w:rPr>
          <w:rFonts w:ascii="Arial" w:hAnsi="Arial" w:cs="Arial"/>
        </w:rPr>
      </w:pPr>
      <w:r w:rsidRPr="008D2281">
        <w:rPr>
          <w:rFonts w:ascii="Arial" w:hAnsi="Arial" w:cs="Arial"/>
          <w:noProof/>
          <w14:ligatures w14:val="standardContextual"/>
        </w:rPr>
        <w:lastRenderedPageBreak/>
        <w:pict w14:anchorId="06BCD25B">
          <v:rect id="_x0000_i1029" alt="" style="width:451.3pt;height:.05pt;mso-width-percent:0;mso-height-percent:0;mso-width-percent:0;mso-height-percent:0" o:hralign="center" o:hrstd="t" o:hr="t" fillcolor="#a0a0a0" stroked="f"/>
        </w:pict>
      </w:r>
    </w:p>
    <w:p w14:paraId="53F4A35B" w14:textId="77777777" w:rsidR="00A81005" w:rsidRPr="00A81005" w:rsidRDefault="00A81005" w:rsidP="00A81005">
      <w:pPr>
        <w:pStyle w:val="Heading4"/>
        <w:rPr>
          <w:rFonts w:ascii="Arial" w:hAnsi="Arial" w:cs="Arial"/>
        </w:rPr>
      </w:pPr>
      <w:r w:rsidRPr="00A81005">
        <w:rPr>
          <w:rFonts w:ascii="Arial" w:hAnsi="Arial" w:cs="Arial"/>
        </w:rPr>
        <w:t>5. Assessment and Documentation</w:t>
      </w:r>
    </w:p>
    <w:p w14:paraId="6B2BC1D5" w14:textId="77777777" w:rsidR="00A81005" w:rsidRPr="00A81005" w:rsidRDefault="00A81005" w:rsidP="00A81005">
      <w:pPr>
        <w:pStyle w:val="NormalWeb"/>
        <w:rPr>
          <w:rFonts w:ascii="Arial" w:hAnsi="Arial" w:cs="Arial"/>
        </w:rPr>
      </w:pPr>
      <w:r w:rsidRPr="00A81005">
        <w:rPr>
          <w:rFonts w:ascii="Arial" w:hAnsi="Arial" w:cs="Arial"/>
        </w:rPr>
        <w:t>Assessment within play-based curricula must honour the ‘Unique Child’ and the complexity of learning through play (DfE, 2021). Rather than formal testing, observational and formative assessment approaches are preferred. These include narrative observations, learning stories, portfolios, and photographic documentation (Carr, 2001; Edwards, Gandini and Forman, 2012).</w:t>
      </w:r>
    </w:p>
    <w:p w14:paraId="08B7F82D" w14:textId="77777777" w:rsidR="00A81005" w:rsidRPr="00A81005" w:rsidRDefault="00A81005" w:rsidP="00A81005">
      <w:pPr>
        <w:pStyle w:val="NormalWeb"/>
        <w:rPr>
          <w:rFonts w:ascii="Arial" w:hAnsi="Arial" w:cs="Arial"/>
        </w:rPr>
      </w:pPr>
      <w:r w:rsidRPr="00A81005">
        <w:rPr>
          <w:rFonts w:ascii="Arial" w:hAnsi="Arial" w:cs="Arial"/>
        </w:rPr>
        <w:t>Documenting learning makes progress visible to practitioners, families, and children themselves, supporting reflection and next-step planning (Siraj-Blatchford, 2010). However, the documentation process should be manageable and meaningful, avoiding excessive paperwork that detracts from interaction with children (</w:t>
      </w:r>
      <w:proofErr w:type="spellStart"/>
      <w:r w:rsidRPr="00A81005">
        <w:rPr>
          <w:rFonts w:ascii="Arial" w:hAnsi="Arial" w:cs="Arial"/>
        </w:rPr>
        <w:t>Broström</w:t>
      </w:r>
      <w:proofErr w:type="spellEnd"/>
      <w:r w:rsidRPr="00A81005">
        <w:rPr>
          <w:rFonts w:ascii="Arial" w:hAnsi="Arial" w:cs="Arial"/>
        </w:rPr>
        <w:t>, 2012).</w:t>
      </w:r>
    </w:p>
    <w:p w14:paraId="14B88A20" w14:textId="77777777" w:rsidR="00A81005" w:rsidRPr="00A81005" w:rsidRDefault="00A81005" w:rsidP="00A81005">
      <w:pPr>
        <w:pStyle w:val="NormalWeb"/>
        <w:rPr>
          <w:rFonts w:ascii="Arial" w:hAnsi="Arial" w:cs="Arial"/>
        </w:rPr>
      </w:pPr>
      <w:r w:rsidRPr="00A81005">
        <w:rPr>
          <w:rFonts w:ascii="Arial" w:hAnsi="Arial" w:cs="Arial"/>
        </w:rPr>
        <w:t>Using technology such as tablets can streamline documentation and enable real-time sharing with parents, enhancing partnership (</w:t>
      </w:r>
      <w:proofErr w:type="spellStart"/>
      <w:r w:rsidRPr="00A81005">
        <w:rPr>
          <w:rFonts w:ascii="Arial" w:hAnsi="Arial" w:cs="Arial"/>
        </w:rPr>
        <w:t>Neaum</w:t>
      </w:r>
      <w:proofErr w:type="spellEnd"/>
      <w:r w:rsidRPr="00A81005">
        <w:rPr>
          <w:rFonts w:ascii="Arial" w:hAnsi="Arial" w:cs="Arial"/>
        </w:rPr>
        <w:t>, 2018).</w:t>
      </w:r>
    </w:p>
    <w:p w14:paraId="0697B4D0"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14DE94EC">
          <v:rect id="_x0000_i1028" alt="" style="width:451.3pt;height:.05pt;mso-width-percent:0;mso-height-percent:0;mso-width-percent:0;mso-height-percent:0" o:hralign="center" o:hrstd="t" o:hr="t" fillcolor="#a0a0a0" stroked="f"/>
        </w:pict>
      </w:r>
    </w:p>
    <w:p w14:paraId="0500321C" w14:textId="77777777" w:rsidR="00A81005" w:rsidRPr="00A81005" w:rsidRDefault="00A81005" w:rsidP="00A81005">
      <w:pPr>
        <w:pStyle w:val="Heading4"/>
        <w:rPr>
          <w:rFonts w:ascii="Arial" w:hAnsi="Arial" w:cs="Arial"/>
        </w:rPr>
      </w:pPr>
      <w:r w:rsidRPr="00A81005">
        <w:rPr>
          <w:rFonts w:ascii="Arial" w:hAnsi="Arial" w:cs="Arial"/>
        </w:rPr>
        <w:t>6. Involving Families and Communities</w:t>
      </w:r>
    </w:p>
    <w:p w14:paraId="738F0588" w14:textId="77777777" w:rsidR="00A81005" w:rsidRPr="00A81005" w:rsidRDefault="00A81005" w:rsidP="00A81005">
      <w:pPr>
        <w:pStyle w:val="NormalWeb"/>
        <w:rPr>
          <w:rFonts w:ascii="Arial" w:hAnsi="Arial" w:cs="Arial"/>
        </w:rPr>
      </w:pPr>
      <w:r w:rsidRPr="00A81005">
        <w:rPr>
          <w:rFonts w:ascii="Arial" w:hAnsi="Arial" w:cs="Arial"/>
        </w:rPr>
        <w:t>Family engagement is critical when implementing a play-based curriculum, especially when parents are more familiar with traditional, adult-led teaching methods (Goodall and Montgomery, 2014). Providing information sessions, workshops, and opportunities to observe or participate in play can build understanding and support.</w:t>
      </w:r>
    </w:p>
    <w:p w14:paraId="50D4166F" w14:textId="77777777" w:rsidR="00A81005" w:rsidRPr="00A81005" w:rsidRDefault="00A81005" w:rsidP="00A81005">
      <w:pPr>
        <w:pStyle w:val="NormalWeb"/>
        <w:rPr>
          <w:rFonts w:ascii="Arial" w:hAnsi="Arial" w:cs="Arial"/>
        </w:rPr>
      </w:pPr>
      <w:r w:rsidRPr="00A81005">
        <w:rPr>
          <w:rFonts w:ascii="Arial" w:hAnsi="Arial" w:cs="Arial"/>
        </w:rPr>
        <w:t>Encouraging families to share children’s interests and learning at home creates continuity and reinforces the ‘Unique Child’ perspective (Department of Education and Early Childhood Development, 2014). Additionally, collaborating with local communities can enrich play resources and learning experiences, linking children to their wider cultural context (Edwards, Gandini and Forman, 2012).</w:t>
      </w:r>
    </w:p>
    <w:p w14:paraId="736D8D0B"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3A03ED7D">
          <v:rect id="_x0000_i1027" alt="" style="width:451.3pt;height:.05pt;mso-width-percent:0;mso-height-percent:0;mso-width-percent:0;mso-height-percent:0" o:hralign="center" o:hrstd="t" o:hr="t" fillcolor="#a0a0a0" stroked="f"/>
        </w:pict>
      </w:r>
    </w:p>
    <w:p w14:paraId="4CC8CE57" w14:textId="77777777" w:rsidR="00A81005" w:rsidRPr="00A81005" w:rsidRDefault="00A81005" w:rsidP="00A81005">
      <w:pPr>
        <w:pStyle w:val="Heading4"/>
        <w:rPr>
          <w:rFonts w:ascii="Arial" w:hAnsi="Arial" w:cs="Arial"/>
        </w:rPr>
      </w:pPr>
      <w:r w:rsidRPr="00A81005">
        <w:rPr>
          <w:rFonts w:ascii="Arial" w:hAnsi="Arial" w:cs="Arial"/>
        </w:rPr>
        <w:t>7. Addressing Challenges and Resistance</w:t>
      </w:r>
    </w:p>
    <w:p w14:paraId="4EA0B64C" w14:textId="77777777" w:rsidR="00A81005" w:rsidRPr="00A81005" w:rsidRDefault="00A81005" w:rsidP="00A81005">
      <w:pPr>
        <w:pStyle w:val="NormalWeb"/>
        <w:rPr>
          <w:rFonts w:ascii="Arial" w:hAnsi="Arial" w:cs="Arial"/>
        </w:rPr>
      </w:pPr>
      <w:r w:rsidRPr="00A81005">
        <w:rPr>
          <w:rFonts w:ascii="Arial" w:hAnsi="Arial" w:cs="Arial"/>
        </w:rPr>
        <w:t xml:space="preserve">Resistance to play-based curriculum change is not uncommon. Concerns often relate to perceived lack of structure, pressure to meet academic targets, or unfamiliarity with play pedagogy (Pyle and </w:t>
      </w:r>
      <w:proofErr w:type="spellStart"/>
      <w:r w:rsidRPr="00A81005">
        <w:rPr>
          <w:rFonts w:ascii="Arial" w:hAnsi="Arial" w:cs="Arial"/>
        </w:rPr>
        <w:t>Danniels</w:t>
      </w:r>
      <w:proofErr w:type="spellEnd"/>
      <w:r w:rsidRPr="00A81005">
        <w:rPr>
          <w:rFonts w:ascii="Arial" w:hAnsi="Arial" w:cs="Arial"/>
        </w:rPr>
        <w:t>, 2017).</w:t>
      </w:r>
    </w:p>
    <w:p w14:paraId="067E6185" w14:textId="77777777" w:rsidR="00A81005" w:rsidRPr="00A81005" w:rsidRDefault="00A81005" w:rsidP="00A81005">
      <w:pPr>
        <w:pStyle w:val="NormalWeb"/>
        <w:rPr>
          <w:rFonts w:ascii="Arial" w:hAnsi="Arial" w:cs="Arial"/>
        </w:rPr>
      </w:pPr>
      <w:r w:rsidRPr="00A81005">
        <w:rPr>
          <w:rFonts w:ascii="Arial" w:hAnsi="Arial" w:cs="Arial"/>
        </w:rPr>
        <w:t>Leaders can mitigate resistance by sharing evidence from research demonstrating the long-term benefits of play for literacy, numeracy, social skills, and emotional resilience (Sylva et al., 2010; Gray, 2011). Highlighting local success stories and providing incremental changes rather than wholesale transformation can ease transition.</w:t>
      </w:r>
    </w:p>
    <w:p w14:paraId="396FF1F9" w14:textId="77777777" w:rsidR="00A81005" w:rsidRPr="00A81005" w:rsidRDefault="00A81005" w:rsidP="00A81005">
      <w:pPr>
        <w:pStyle w:val="NormalWeb"/>
        <w:rPr>
          <w:rFonts w:ascii="Arial" w:hAnsi="Arial" w:cs="Arial"/>
        </w:rPr>
      </w:pPr>
      <w:r w:rsidRPr="00A81005">
        <w:rPr>
          <w:rFonts w:ascii="Arial" w:hAnsi="Arial" w:cs="Arial"/>
        </w:rPr>
        <w:t>Staff wellbeing should also be prioritised to avoid burnout during periods of change (Nutbrown, 2018).</w:t>
      </w:r>
    </w:p>
    <w:p w14:paraId="16A2C250" w14:textId="77777777" w:rsidR="00A81005" w:rsidRPr="00A81005" w:rsidRDefault="008D2281" w:rsidP="00A81005">
      <w:pPr>
        <w:rPr>
          <w:rFonts w:ascii="Arial" w:hAnsi="Arial" w:cs="Arial"/>
        </w:rPr>
      </w:pPr>
      <w:r w:rsidRPr="008D2281">
        <w:rPr>
          <w:rFonts w:ascii="Arial" w:hAnsi="Arial" w:cs="Arial"/>
          <w:noProof/>
          <w14:ligatures w14:val="standardContextual"/>
        </w:rPr>
        <w:lastRenderedPageBreak/>
        <w:pict w14:anchorId="43BAA063">
          <v:rect id="_x0000_i1026" alt="" style="width:451.3pt;height:.05pt;mso-width-percent:0;mso-height-percent:0;mso-width-percent:0;mso-height-percent:0" o:hralign="center" o:hrstd="t" o:hr="t" fillcolor="#a0a0a0" stroked="f"/>
        </w:pict>
      </w:r>
    </w:p>
    <w:p w14:paraId="7D053D44" w14:textId="77777777" w:rsidR="00A81005" w:rsidRPr="00A81005" w:rsidRDefault="00A81005" w:rsidP="00A81005">
      <w:pPr>
        <w:pStyle w:val="Heading4"/>
        <w:rPr>
          <w:rFonts w:ascii="Arial" w:hAnsi="Arial" w:cs="Arial"/>
        </w:rPr>
      </w:pPr>
      <w:r w:rsidRPr="00A81005">
        <w:rPr>
          <w:rFonts w:ascii="Arial" w:hAnsi="Arial" w:cs="Arial"/>
        </w:rPr>
        <w:t>8. Commitment to Ongoing Professional Development</w:t>
      </w:r>
    </w:p>
    <w:p w14:paraId="4D0C6179" w14:textId="77777777" w:rsidR="00A81005" w:rsidRPr="00A81005" w:rsidRDefault="00A81005" w:rsidP="00A81005">
      <w:pPr>
        <w:pStyle w:val="NormalWeb"/>
        <w:rPr>
          <w:rFonts w:ascii="Arial" w:hAnsi="Arial" w:cs="Arial"/>
        </w:rPr>
      </w:pPr>
      <w:r w:rsidRPr="00A81005">
        <w:rPr>
          <w:rFonts w:ascii="Arial" w:hAnsi="Arial" w:cs="Arial"/>
        </w:rPr>
        <w:t xml:space="preserve">Implementing a play-based curriculum is not a one-off event but a journey. Continuous professional development is essential to keep abreast of new research, refine practice, and support evolving staff needs (Pyle and </w:t>
      </w:r>
      <w:proofErr w:type="spellStart"/>
      <w:r w:rsidRPr="00A81005">
        <w:rPr>
          <w:rFonts w:ascii="Arial" w:hAnsi="Arial" w:cs="Arial"/>
        </w:rPr>
        <w:t>Danniels</w:t>
      </w:r>
      <w:proofErr w:type="spellEnd"/>
      <w:r w:rsidRPr="00A81005">
        <w:rPr>
          <w:rFonts w:ascii="Arial" w:hAnsi="Arial" w:cs="Arial"/>
        </w:rPr>
        <w:t>, 2017).</w:t>
      </w:r>
    </w:p>
    <w:p w14:paraId="6F043DE3" w14:textId="77777777" w:rsidR="00A81005" w:rsidRPr="00A81005" w:rsidRDefault="00A81005" w:rsidP="00A81005">
      <w:pPr>
        <w:pStyle w:val="NormalWeb"/>
        <w:rPr>
          <w:rFonts w:ascii="Arial" w:hAnsi="Arial" w:cs="Arial"/>
        </w:rPr>
      </w:pPr>
      <w:r w:rsidRPr="00A81005">
        <w:rPr>
          <w:rFonts w:ascii="Arial" w:hAnsi="Arial" w:cs="Arial"/>
        </w:rPr>
        <w:t>Participation in professional networks, conferences, and collaborative research projects can inspire innovation and maintain momentum (Moyles, Adams and Musgrove, 2002).</w:t>
      </w:r>
    </w:p>
    <w:p w14:paraId="10C732FE" w14:textId="77777777" w:rsidR="00A81005" w:rsidRPr="00A81005" w:rsidRDefault="008D2281" w:rsidP="00A81005">
      <w:pPr>
        <w:rPr>
          <w:rFonts w:ascii="Arial" w:hAnsi="Arial" w:cs="Arial"/>
        </w:rPr>
      </w:pPr>
      <w:r w:rsidRPr="008D2281">
        <w:rPr>
          <w:rFonts w:ascii="Arial" w:hAnsi="Arial" w:cs="Arial"/>
          <w:noProof/>
          <w14:ligatures w14:val="standardContextual"/>
        </w:rPr>
        <w:pict w14:anchorId="69A7D6D8">
          <v:rect id="_x0000_i1025" alt="" style="width:451.3pt;height:.05pt;mso-width-percent:0;mso-height-percent:0;mso-width-percent:0;mso-height-percent:0" o:hralign="center" o:hrstd="t" o:hr="t" fillcolor="#a0a0a0" stroked="f"/>
        </w:pict>
      </w:r>
    </w:p>
    <w:p w14:paraId="44FBE19C" w14:textId="77777777" w:rsidR="00A81005" w:rsidRPr="00A81005" w:rsidRDefault="00A81005" w:rsidP="00A81005">
      <w:pPr>
        <w:pStyle w:val="Heading3"/>
        <w:rPr>
          <w:rFonts w:ascii="Arial" w:hAnsi="Arial" w:cs="Arial"/>
        </w:rPr>
      </w:pPr>
      <w:r w:rsidRPr="00A81005">
        <w:rPr>
          <w:rFonts w:ascii="Arial" w:hAnsi="Arial" w:cs="Arial"/>
        </w:rPr>
        <w:t>Conclusion</w:t>
      </w:r>
    </w:p>
    <w:p w14:paraId="0E0B0560" w14:textId="77777777" w:rsidR="00A81005" w:rsidRPr="00A81005" w:rsidRDefault="00A81005" w:rsidP="00A81005">
      <w:pPr>
        <w:pStyle w:val="NormalWeb"/>
        <w:rPr>
          <w:rFonts w:ascii="Arial" w:hAnsi="Arial" w:cs="Arial"/>
        </w:rPr>
      </w:pPr>
      <w:r w:rsidRPr="00A81005">
        <w:rPr>
          <w:rFonts w:ascii="Arial" w:hAnsi="Arial" w:cs="Arial"/>
        </w:rPr>
        <w:t>Transitioning to a play-based curriculum or introducing related curriculum changes is a complex but highly rewarding process. It requires strong leadership, shared vision, and commitment to reflective practice. When done well, it honours the individuality of every child, creating rich learning experiences that foster curiosity, creativity, and a lifelong love of learning.</w:t>
      </w:r>
    </w:p>
    <w:p w14:paraId="57D9F656" w14:textId="77777777" w:rsidR="00A81005" w:rsidRDefault="00A81005" w:rsidP="00A81005">
      <w:pPr>
        <w:pStyle w:val="NormalWeb"/>
        <w:rPr>
          <w:rFonts w:ascii="Arial" w:hAnsi="Arial" w:cs="Arial"/>
        </w:rPr>
      </w:pPr>
      <w:r w:rsidRPr="00A81005">
        <w:rPr>
          <w:rFonts w:ascii="Arial" w:hAnsi="Arial" w:cs="Arial"/>
        </w:rPr>
        <w:t>By understanding the philosophy behind play, engaging and training staff, adapting environments, balancing child-led and adult-guided learning, using meaningful assessment, involving families, addressing challenges proactively, and committing to continuous development, early years settings can successfully embed play as the cornerstone of their curriculum.</w:t>
      </w:r>
    </w:p>
    <w:p w14:paraId="7C3654CD" w14:textId="77777777" w:rsidR="00A81005" w:rsidRDefault="00A81005" w:rsidP="00A81005">
      <w:pPr>
        <w:pStyle w:val="NormalWeb"/>
        <w:rPr>
          <w:rFonts w:ascii="Arial" w:hAnsi="Arial" w:cs="Arial"/>
        </w:rPr>
      </w:pPr>
    </w:p>
    <w:p w14:paraId="45E4EBF1" w14:textId="77777777" w:rsidR="00A81005" w:rsidRDefault="00A81005" w:rsidP="00A81005">
      <w:pPr>
        <w:pStyle w:val="NormalWeb"/>
        <w:rPr>
          <w:rFonts w:ascii="Arial" w:hAnsi="Arial" w:cs="Arial"/>
        </w:rPr>
      </w:pPr>
    </w:p>
    <w:p w14:paraId="6889B5B7" w14:textId="77777777" w:rsidR="00A81005" w:rsidRDefault="00A81005" w:rsidP="00A81005">
      <w:pPr>
        <w:pStyle w:val="NormalWeb"/>
      </w:pPr>
      <w:r>
        <w:rPr>
          <w:rStyle w:val="Strong"/>
          <w:rFonts w:eastAsiaTheme="majorEastAsia"/>
        </w:rPr>
        <w:t>Reference List</w:t>
      </w:r>
    </w:p>
    <w:p w14:paraId="060D20E0" w14:textId="77777777" w:rsidR="00A81005" w:rsidRDefault="00A81005" w:rsidP="00A81005">
      <w:pPr>
        <w:pStyle w:val="NormalWeb"/>
      </w:pPr>
      <w:proofErr w:type="spellStart"/>
      <w:r>
        <w:t>Broström</w:t>
      </w:r>
      <w:proofErr w:type="spellEnd"/>
      <w:r>
        <w:t xml:space="preserve">, S. (2012) ‘Assessment and documentation in early childhood education: Balancing different perspectives’, </w:t>
      </w:r>
      <w:r>
        <w:rPr>
          <w:rStyle w:val="Emphasis"/>
          <w:rFonts w:eastAsiaTheme="majorEastAsia"/>
        </w:rPr>
        <w:t>European Early Childhood Education Research Journal</w:t>
      </w:r>
      <w:r>
        <w:t>, 20(4), pp. 523–535.</w:t>
      </w:r>
    </w:p>
    <w:p w14:paraId="40B2DA5C" w14:textId="77777777" w:rsidR="00A81005" w:rsidRDefault="00A81005" w:rsidP="00A81005">
      <w:pPr>
        <w:pStyle w:val="NormalWeb"/>
      </w:pPr>
      <w:r>
        <w:t xml:space="preserve">Brown, C. and Johnson, H. (2018) ‘Re-examining developmental norms in early years assessment’, </w:t>
      </w:r>
      <w:r>
        <w:rPr>
          <w:rStyle w:val="Emphasis"/>
          <w:rFonts w:eastAsiaTheme="majorEastAsia"/>
        </w:rPr>
        <w:t>International Journal of Early Years Education</w:t>
      </w:r>
      <w:r>
        <w:t>, 26(2), pp. 115–131.</w:t>
      </w:r>
    </w:p>
    <w:p w14:paraId="286FE2F9" w14:textId="77777777" w:rsidR="00A81005" w:rsidRDefault="00A81005" w:rsidP="00A81005">
      <w:pPr>
        <w:pStyle w:val="NormalWeb"/>
      </w:pPr>
      <w:r>
        <w:t xml:space="preserve">Brown, S. (2013) ‘Why play matters’, </w:t>
      </w:r>
      <w:r>
        <w:rPr>
          <w:rStyle w:val="Emphasis"/>
          <w:rFonts w:eastAsiaTheme="majorEastAsia"/>
        </w:rPr>
        <w:t>Early Years Educator</w:t>
      </w:r>
      <w:r>
        <w:t>, 15(3), pp. 34–37.</w:t>
      </w:r>
    </w:p>
    <w:p w14:paraId="67634558" w14:textId="77777777" w:rsidR="00A81005" w:rsidRDefault="00A81005" w:rsidP="00A81005">
      <w:pPr>
        <w:pStyle w:val="NormalWeb"/>
      </w:pPr>
      <w:r>
        <w:t xml:space="preserve">Carr, M. (2001) </w:t>
      </w:r>
      <w:r>
        <w:rPr>
          <w:rStyle w:val="Emphasis"/>
          <w:rFonts w:eastAsiaTheme="majorEastAsia"/>
        </w:rPr>
        <w:t>Assessment in early childhood settings: Learning stories</w:t>
      </w:r>
      <w:r>
        <w:t>. London: Paul Chapman.</w:t>
      </w:r>
    </w:p>
    <w:p w14:paraId="66682778" w14:textId="77777777" w:rsidR="00A81005" w:rsidRDefault="00A81005" w:rsidP="00A81005">
      <w:pPr>
        <w:pStyle w:val="NormalWeb"/>
      </w:pPr>
      <w:r>
        <w:t xml:space="preserve">Department for Education (DfE) (2021) </w:t>
      </w:r>
      <w:r>
        <w:rPr>
          <w:rStyle w:val="Emphasis"/>
          <w:rFonts w:eastAsiaTheme="majorEastAsia"/>
        </w:rPr>
        <w:t>Statutory framework for the Early Years Foundation Stage</w:t>
      </w:r>
      <w:r>
        <w:t xml:space="preserve">. Available at: </w:t>
      </w:r>
      <w:hyperlink r:id="rId5" w:tgtFrame="_new" w:history="1">
        <w:r>
          <w:rPr>
            <w:rStyle w:val="Hyperlink"/>
            <w:rFonts w:eastAsiaTheme="majorEastAsia"/>
          </w:rPr>
          <w:t>https://www.gov.uk/government/publications/early-years-foundation-stage-framework--2</w:t>
        </w:r>
      </w:hyperlink>
      <w:r>
        <w:t xml:space="preserve"> (Accessed: 6 June 2025).</w:t>
      </w:r>
    </w:p>
    <w:p w14:paraId="44BF1304" w14:textId="77777777" w:rsidR="00A81005" w:rsidRDefault="00A81005" w:rsidP="00A81005">
      <w:pPr>
        <w:pStyle w:val="NormalWeb"/>
      </w:pPr>
      <w:r>
        <w:lastRenderedPageBreak/>
        <w:t xml:space="preserve">Department of Education and Early Childhood Development (2014) </w:t>
      </w:r>
      <w:r>
        <w:rPr>
          <w:rStyle w:val="Emphasis"/>
          <w:rFonts w:eastAsiaTheme="majorEastAsia"/>
        </w:rPr>
        <w:t>Family engagement framework</w:t>
      </w:r>
      <w:r>
        <w:t>. Melbourne: DEECD.</w:t>
      </w:r>
    </w:p>
    <w:p w14:paraId="714953EC" w14:textId="77777777" w:rsidR="00A81005" w:rsidRDefault="00A81005" w:rsidP="00A81005">
      <w:pPr>
        <w:pStyle w:val="NormalWeb"/>
      </w:pPr>
      <w:r>
        <w:t xml:space="preserve">Edwards, C. (1998) ‘Partner, nurturer, and guide: The role of the teacher’, in Edwards, C., Gandini, L. and Forman, G. (eds.) </w:t>
      </w:r>
      <w:r>
        <w:rPr>
          <w:rStyle w:val="Emphasis"/>
          <w:rFonts w:eastAsiaTheme="majorEastAsia"/>
        </w:rPr>
        <w:t>The hundred languages of children: The Reggio Emilia approach—Advanced reflections</w:t>
      </w:r>
      <w:r>
        <w:t xml:space="preserve">. 2nd </w:t>
      </w:r>
      <w:proofErr w:type="spellStart"/>
      <w:r>
        <w:t>edn</w:t>
      </w:r>
      <w:proofErr w:type="spellEnd"/>
      <w:r>
        <w:t xml:space="preserve">. Greenwich, CT: </w:t>
      </w:r>
      <w:proofErr w:type="spellStart"/>
      <w:r>
        <w:t>Ablex</w:t>
      </w:r>
      <w:proofErr w:type="spellEnd"/>
      <w:r>
        <w:t>, pp. 179–198.</w:t>
      </w:r>
    </w:p>
    <w:p w14:paraId="25256BEA" w14:textId="77777777" w:rsidR="00A81005" w:rsidRDefault="00A81005" w:rsidP="00A81005">
      <w:pPr>
        <w:pStyle w:val="NormalWeb"/>
      </w:pPr>
      <w:r>
        <w:t xml:space="preserve">Edwards, C. P. (2002) ‘Three approaches from Europe: Waldorf, Montessori, and Reggio Emilia’, </w:t>
      </w:r>
      <w:r>
        <w:rPr>
          <w:rStyle w:val="Emphasis"/>
          <w:rFonts w:eastAsiaTheme="majorEastAsia"/>
        </w:rPr>
        <w:t>Early Childhood Research &amp; Practice</w:t>
      </w:r>
      <w:r>
        <w:t xml:space="preserve">, 4(1). Available at: </w:t>
      </w:r>
      <w:hyperlink r:id="rId6" w:tgtFrame="_new" w:history="1">
        <w:r>
          <w:rPr>
            <w:rStyle w:val="Hyperlink"/>
            <w:rFonts w:eastAsiaTheme="majorEastAsia"/>
          </w:rPr>
          <w:t>https://ecrp.uiuc.edu/v4n1/edwards.html</w:t>
        </w:r>
      </w:hyperlink>
      <w:r>
        <w:t xml:space="preserve"> (Accessed: 6 June 2025).</w:t>
      </w:r>
    </w:p>
    <w:p w14:paraId="27A9A822" w14:textId="77777777" w:rsidR="00A81005" w:rsidRDefault="00A81005" w:rsidP="00A81005">
      <w:pPr>
        <w:pStyle w:val="NormalWeb"/>
      </w:pPr>
      <w:r>
        <w:t xml:space="preserve">Edwards, C., Gandini, L. and Forman, G. (2012) </w:t>
      </w:r>
      <w:r>
        <w:rPr>
          <w:rStyle w:val="Emphasis"/>
          <w:rFonts w:eastAsiaTheme="majorEastAsia"/>
        </w:rPr>
        <w:t>The hundred languages of children: The Reggio Emilia experience in transformation</w:t>
      </w:r>
      <w:r>
        <w:t xml:space="preserve">. 3rd </w:t>
      </w:r>
      <w:proofErr w:type="spellStart"/>
      <w:r>
        <w:t>edn</w:t>
      </w:r>
      <w:proofErr w:type="spellEnd"/>
      <w:r>
        <w:t>. Santa Barbara, CA: Praeger.</w:t>
      </w:r>
    </w:p>
    <w:p w14:paraId="32A3D5B4" w14:textId="77777777" w:rsidR="00A81005" w:rsidRDefault="00A81005" w:rsidP="00A81005">
      <w:pPr>
        <w:pStyle w:val="NormalWeb"/>
      </w:pPr>
      <w:r>
        <w:t xml:space="preserve">Gandini, L. (2011) ‘Play and the hundred languages of children’, </w:t>
      </w:r>
      <w:r>
        <w:rPr>
          <w:rStyle w:val="Emphasis"/>
          <w:rFonts w:eastAsiaTheme="majorEastAsia"/>
        </w:rPr>
        <w:t>American Journal of Play</w:t>
      </w:r>
      <w:r>
        <w:t>, 4(1), pp. 1–19.</w:t>
      </w:r>
    </w:p>
    <w:p w14:paraId="524A1A74" w14:textId="77777777" w:rsidR="00A81005" w:rsidRDefault="00A81005" w:rsidP="00A81005">
      <w:pPr>
        <w:pStyle w:val="NormalWeb"/>
      </w:pPr>
      <w:r>
        <w:t xml:space="preserve">Goodall, J. and Montgomery, C. (2014) ‘Parental involvement to parental engagement: A continuum’, </w:t>
      </w:r>
      <w:r>
        <w:rPr>
          <w:rStyle w:val="Emphasis"/>
          <w:rFonts w:eastAsiaTheme="majorEastAsia"/>
        </w:rPr>
        <w:t>Educational Review</w:t>
      </w:r>
      <w:r>
        <w:t>, 66(4), pp. 399–410.</w:t>
      </w:r>
    </w:p>
    <w:p w14:paraId="7FE5B997" w14:textId="77777777" w:rsidR="00A81005" w:rsidRDefault="00A81005" w:rsidP="00A81005">
      <w:pPr>
        <w:pStyle w:val="NormalWeb"/>
      </w:pPr>
      <w:r>
        <w:t xml:space="preserve">Gray, P. (2011) ‘The decline of play and the rise of psychopathology in children and adolescents’, </w:t>
      </w:r>
      <w:r>
        <w:rPr>
          <w:rStyle w:val="Emphasis"/>
          <w:rFonts w:eastAsiaTheme="majorEastAsia"/>
        </w:rPr>
        <w:t>American Journal of Play</w:t>
      </w:r>
      <w:r>
        <w:t>, 3(4), pp. 443–463.</w:t>
      </w:r>
    </w:p>
    <w:p w14:paraId="2B0DD3D0" w14:textId="77777777" w:rsidR="00A81005" w:rsidRDefault="00A81005" w:rsidP="00A81005">
      <w:pPr>
        <w:pStyle w:val="NormalWeb"/>
      </w:pPr>
      <w:r>
        <w:t xml:space="preserve">Hewett, V. M. (2001) ‘Assessing young children’s learning and development: Observations, portfolios and checklists’, </w:t>
      </w:r>
      <w:r>
        <w:rPr>
          <w:rStyle w:val="Emphasis"/>
          <w:rFonts w:eastAsiaTheme="majorEastAsia"/>
        </w:rPr>
        <w:t>Early Child Development and Care</w:t>
      </w:r>
      <w:r>
        <w:t>, 166(1), pp. 23–35.</w:t>
      </w:r>
    </w:p>
    <w:p w14:paraId="4C839313" w14:textId="77777777" w:rsidR="00A81005" w:rsidRDefault="00A81005" w:rsidP="00A81005">
      <w:pPr>
        <w:pStyle w:val="NormalWeb"/>
      </w:pPr>
      <w:r>
        <w:t xml:space="preserve">Isaacs, B. (2012) </w:t>
      </w:r>
      <w:r>
        <w:rPr>
          <w:rStyle w:val="Emphasis"/>
          <w:rFonts w:eastAsiaTheme="majorEastAsia"/>
        </w:rPr>
        <w:t>Understanding the Montessori approach: Early years education in practice</w:t>
      </w:r>
      <w:r>
        <w:t>. London: Routledge.</w:t>
      </w:r>
    </w:p>
    <w:p w14:paraId="6EAE28CD" w14:textId="77777777" w:rsidR="00A81005" w:rsidRDefault="00A81005" w:rsidP="00A81005">
      <w:pPr>
        <w:pStyle w:val="NormalWeb"/>
      </w:pPr>
      <w:r>
        <w:t xml:space="preserve">Lillard, A. S. (2005) </w:t>
      </w:r>
      <w:r>
        <w:rPr>
          <w:rStyle w:val="Emphasis"/>
          <w:rFonts w:eastAsiaTheme="majorEastAsia"/>
        </w:rPr>
        <w:t>Montessori: The science behind the genius</w:t>
      </w:r>
      <w:r>
        <w:t>. New York: Oxford University Press.</w:t>
      </w:r>
    </w:p>
    <w:p w14:paraId="2A6025B4" w14:textId="77777777" w:rsidR="00A81005" w:rsidRDefault="00A81005" w:rsidP="00A81005">
      <w:pPr>
        <w:pStyle w:val="NormalWeb"/>
      </w:pPr>
      <w:r>
        <w:t xml:space="preserve">Lillard, A. S. (2011) ‘Mindfulness practices in education: Montessori’s approach’, </w:t>
      </w:r>
      <w:r>
        <w:rPr>
          <w:rStyle w:val="Emphasis"/>
          <w:rFonts w:eastAsiaTheme="majorEastAsia"/>
        </w:rPr>
        <w:t>Mind, Brain, and Education</w:t>
      </w:r>
      <w:r>
        <w:t>, 5(2), pp. 89–96.</w:t>
      </w:r>
    </w:p>
    <w:p w14:paraId="45932D27" w14:textId="77777777" w:rsidR="00A81005" w:rsidRDefault="00A81005" w:rsidP="00A81005">
      <w:pPr>
        <w:pStyle w:val="NormalWeb"/>
      </w:pPr>
      <w:r>
        <w:t xml:space="preserve">Lillard, A. S. (2017) ‘Montessori: The essence’, </w:t>
      </w:r>
      <w:r>
        <w:rPr>
          <w:rStyle w:val="Emphasis"/>
          <w:rFonts w:eastAsiaTheme="majorEastAsia"/>
        </w:rPr>
        <w:t>Journal of Montessori Research</w:t>
      </w:r>
      <w:r>
        <w:t>, 3(1), pp. 1–12.</w:t>
      </w:r>
    </w:p>
    <w:p w14:paraId="3A3804F0" w14:textId="77777777" w:rsidR="00A81005" w:rsidRDefault="00A81005" w:rsidP="00A81005">
      <w:pPr>
        <w:pStyle w:val="NormalWeb"/>
      </w:pPr>
      <w:r>
        <w:t xml:space="preserve">Little, H. (2011) ‘Outdoor play: Does avoiding the risks reduce the benefits?’, </w:t>
      </w:r>
      <w:r>
        <w:rPr>
          <w:rStyle w:val="Emphasis"/>
          <w:rFonts w:eastAsiaTheme="majorEastAsia"/>
        </w:rPr>
        <w:t>European Early Childhood Education Research Journal</w:t>
      </w:r>
      <w:r>
        <w:t>, 19(1), pp. 113–125.</w:t>
      </w:r>
    </w:p>
    <w:p w14:paraId="122247E0" w14:textId="77777777" w:rsidR="00A81005" w:rsidRDefault="00A81005" w:rsidP="00A81005">
      <w:pPr>
        <w:pStyle w:val="NormalWeb"/>
      </w:pPr>
      <w:r>
        <w:t xml:space="preserve">Malaguzzi, L. (1996) ‘The hundred languages of children’, in Edwards, C., Gandini, L. and Forman, G. (eds.) </w:t>
      </w:r>
      <w:r>
        <w:rPr>
          <w:rStyle w:val="Emphasis"/>
          <w:rFonts w:eastAsiaTheme="majorEastAsia"/>
        </w:rPr>
        <w:t>The hundred languages of children: The Reggio Emilia approach—Advanced reflections</w:t>
      </w:r>
      <w:r>
        <w:t xml:space="preserve">. 2nd </w:t>
      </w:r>
      <w:proofErr w:type="spellStart"/>
      <w:r>
        <w:t>edn</w:t>
      </w:r>
      <w:proofErr w:type="spellEnd"/>
      <w:r>
        <w:t xml:space="preserve">. Greenwich, CT: </w:t>
      </w:r>
      <w:proofErr w:type="spellStart"/>
      <w:r>
        <w:t>Ablex</w:t>
      </w:r>
      <w:proofErr w:type="spellEnd"/>
      <w:r>
        <w:t>, pp. 3–10.</w:t>
      </w:r>
    </w:p>
    <w:p w14:paraId="482C2A4D" w14:textId="77777777" w:rsidR="00A81005" w:rsidRDefault="00A81005" w:rsidP="00A81005">
      <w:pPr>
        <w:pStyle w:val="NormalWeb"/>
      </w:pPr>
      <w:r>
        <w:t xml:space="preserve">Miller, L. and Pound, L. (2011) </w:t>
      </w:r>
      <w:r>
        <w:rPr>
          <w:rStyle w:val="Emphasis"/>
          <w:rFonts w:eastAsiaTheme="majorEastAsia"/>
        </w:rPr>
        <w:t>Theories and approaches to learning in the early years</w:t>
      </w:r>
      <w:r>
        <w:t>. London: SAGE.</w:t>
      </w:r>
    </w:p>
    <w:p w14:paraId="615FA237" w14:textId="77777777" w:rsidR="00A81005" w:rsidRDefault="00A81005" w:rsidP="00A81005">
      <w:pPr>
        <w:pStyle w:val="NormalWeb"/>
      </w:pPr>
      <w:r>
        <w:t xml:space="preserve">Montessori, M. (1967) </w:t>
      </w:r>
      <w:r>
        <w:rPr>
          <w:rStyle w:val="Emphasis"/>
          <w:rFonts w:eastAsiaTheme="majorEastAsia"/>
        </w:rPr>
        <w:t>The absorbent mind</w:t>
      </w:r>
      <w:r>
        <w:t>. New York: Holt, Rinehart &amp; Winston.</w:t>
      </w:r>
    </w:p>
    <w:p w14:paraId="2CDEF472" w14:textId="77777777" w:rsidR="00A81005" w:rsidRDefault="00A81005" w:rsidP="00A81005">
      <w:pPr>
        <w:pStyle w:val="NormalWeb"/>
      </w:pPr>
      <w:r>
        <w:lastRenderedPageBreak/>
        <w:t xml:space="preserve">Montessori, M. (1967) </w:t>
      </w:r>
      <w:r>
        <w:rPr>
          <w:rStyle w:val="Emphasis"/>
          <w:rFonts w:eastAsiaTheme="majorEastAsia"/>
        </w:rPr>
        <w:t>The discovery of the child</w:t>
      </w:r>
      <w:r>
        <w:t>. New York: Ballantine Books.</w:t>
      </w:r>
    </w:p>
    <w:p w14:paraId="00547270" w14:textId="77777777" w:rsidR="00A81005" w:rsidRDefault="00A81005" w:rsidP="00A81005">
      <w:pPr>
        <w:pStyle w:val="NormalWeb"/>
      </w:pPr>
      <w:r>
        <w:t xml:space="preserve">Moss, P. (2016) </w:t>
      </w:r>
      <w:r>
        <w:rPr>
          <w:rStyle w:val="Emphasis"/>
          <w:rFonts w:eastAsiaTheme="majorEastAsia"/>
        </w:rPr>
        <w:t>Loris Malaguzzi and the schools of Reggio Emilia: A selection of his writings and speeches, 1945–1993</w:t>
      </w:r>
      <w:r>
        <w:t>. London: Routledge.</w:t>
      </w:r>
    </w:p>
    <w:p w14:paraId="42B6EEEE" w14:textId="77777777" w:rsidR="00A81005" w:rsidRDefault="00A81005" w:rsidP="00A81005">
      <w:pPr>
        <w:pStyle w:val="NormalWeb"/>
      </w:pPr>
      <w:r>
        <w:t xml:space="preserve">Moyles, J., Adams, S. and Musgrove, A. (2002) </w:t>
      </w:r>
      <w:r>
        <w:rPr>
          <w:rStyle w:val="Emphasis"/>
          <w:rFonts w:eastAsiaTheme="majorEastAsia"/>
        </w:rPr>
        <w:t>Play in the early years</w:t>
      </w:r>
      <w:r>
        <w:t xml:space="preserve">. 3rd </w:t>
      </w:r>
      <w:proofErr w:type="spellStart"/>
      <w:r>
        <w:t>edn</w:t>
      </w:r>
      <w:proofErr w:type="spellEnd"/>
      <w:r>
        <w:t>. London: Open University Press.</w:t>
      </w:r>
    </w:p>
    <w:p w14:paraId="7EF8FBCC" w14:textId="77777777" w:rsidR="00A81005" w:rsidRDefault="00A81005" w:rsidP="00A81005">
      <w:pPr>
        <w:pStyle w:val="NormalWeb"/>
      </w:pPr>
      <w:proofErr w:type="spellStart"/>
      <w:r>
        <w:t>Neaum</w:t>
      </w:r>
      <w:proofErr w:type="spellEnd"/>
      <w:r>
        <w:t xml:space="preserve">, S. (2018) </w:t>
      </w:r>
      <w:r>
        <w:rPr>
          <w:rStyle w:val="Emphasis"/>
          <w:rFonts w:eastAsiaTheme="majorEastAsia"/>
        </w:rPr>
        <w:t>Child development: A practitioner’s guide</w:t>
      </w:r>
      <w:r>
        <w:t xml:space="preserve">. 3rd </w:t>
      </w:r>
      <w:proofErr w:type="spellStart"/>
      <w:r>
        <w:t>edn</w:t>
      </w:r>
      <w:proofErr w:type="spellEnd"/>
      <w:r>
        <w:t>. London: Sage.</w:t>
      </w:r>
    </w:p>
    <w:p w14:paraId="30E0B972" w14:textId="77777777" w:rsidR="00A81005" w:rsidRDefault="00A81005" w:rsidP="00A81005">
      <w:pPr>
        <w:pStyle w:val="NormalWeb"/>
      </w:pPr>
      <w:r>
        <w:t xml:space="preserve">Nicholson, S. (1971) ‘How not to cheat children: The theory of loose parts’, </w:t>
      </w:r>
      <w:r>
        <w:rPr>
          <w:rStyle w:val="Emphasis"/>
          <w:rFonts w:eastAsiaTheme="majorEastAsia"/>
        </w:rPr>
        <w:t>Landscape Architecture</w:t>
      </w:r>
      <w:r>
        <w:t>, 62(1), pp. 30–34.</w:t>
      </w:r>
    </w:p>
    <w:p w14:paraId="38371950" w14:textId="77777777" w:rsidR="00A81005" w:rsidRDefault="00A81005" w:rsidP="00A81005">
      <w:pPr>
        <w:pStyle w:val="NormalWeb"/>
      </w:pPr>
      <w:r>
        <w:t xml:space="preserve">Nutbrown, C. (2018) </w:t>
      </w:r>
      <w:r>
        <w:rPr>
          <w:rStyle w:val="Emphasis"/>
          <w:rFonts w:eastAsiaTheme="majorEastAsia"/>
        </w:rPr>
        <w:t>Early childhood education: History, philosophy and experience</w:t>
      </w:r>
      <w:r>
        <w:t xml:space="preserve">. 2nd </w:t>
      </w:r>
      <w:proofErr w:type="spellStart"/>
      <w:r>
        <w:t>edn</w:t>
      </w:r>
      <w:proofErr w:type="spellEnd"/>
      <w:r>
        <w:t>. London: Sage.</w:t>
      </w:r>
    </w:p>
    <w:p w14:paraId="34D2F62B" w14:textId="77777777" w:rsidR="00A81005" w:rsidRDefault="00A81005" w:rsidP="00A81005">
      <w:pPr>
        <w:pStyle w:val="NormalWeb"/>
      </w:pPr>
      <w:r>
        <w:t xml:space="preserve">Pellegrini, A. (2009) </w:t>
      </w:r>
      <w:r>
        <w:rPr>
          <w:rStyle w:val="Emphasis"/>
          <w:rFonts w:eastAsiaTheme="majorEastAsia"/>
        </w:rPr>
        <w:t>The role of play in human development</w:t>
      </w:r>
      <w:r>
        <w:t>. Oxford: Oxford University Press.</w:t>
      </w:r>
    </w:p>
    <w:p w14:paraId="1C3A9CE0" w14:textId="77777777" w:rsidR="00A81005" w:rsidRDefault="00A81005" w:rsidP="00A81005">
      <w:pPr>
        <w:pStyle w:val="NormalWeb"/>
      </w:pPr>
      <w:r>
        <w:t xml:space="preserve">Pyle, A. and </w:t>
      </w:r>
      <w:proofErr w:type="spellStart"/>
      <w:r>
        <w:t>Danniels</w:t>
      </w:r>
      <w:proofErr w:type="spellEnd"/>
      <w:r>
        <w:t xml:space="preserve">, E. (2017) ‘A continuum of play-based learning: The role of the teacher in play-based pedagogy and the fear of hijacking play’, </w:t>
      </w:r>
      <w:r>
        <w:rPr>
          <w:rStyle w:val="Emphasis"/>
          <w:rFonts w:eastAsiaTheme="majorEastAsia"/>
        </w:rPr>
        <w:t>Early Education and Development</w:t>
      </w:r>
      <w:r>
        <w:t>, 28(3), pp. 274–289.</w:t>
      </w:r>
    </w:p>
    <w:p w14:paraId="0FA0FB45" w14:textId="77777777" w:rsidR="00A81005" w:rsidRDefault="00A81005" w:rsidP="00A81005">
      <w:pPr>
        <w:pStyle w:val="NormalWeb"/>
      </w:pPr>
      <w:r>
        <w:t xml:space="preserve">Rinaldi, C. (2006) </w:t>
      </w:r>
      <w:r>
        <w:rPr>
          <w:rStyle w:val="Emphasis"/>
          <w:rFonts w:eastAsiaTheme="majorEastAsia"/>
        </w:rPr>
        <w:t>In dialogue with Reggio Emilia: Listening, researching and learning</w:t>
      </w:r>
      <w:r>
        <w:t>. London: Routledge.</w:t>
      </w:r>
    </w:p>
    <w:p w14:paraId="2DD43AE4" w14:textId="77777777" w:rsidR="00A81005" w:rsidRDefault="00A81005" w:rsidP="00A81005">
      <w:pPr>
        <w:pStyle w:val="NormalWeb"/>
      </w:pPr>
      <w:r>
        <w:t xml:space="preserve">Siraj-Blatchford, I. (2010) ‘The challenge of learning through play’, </w:t>
      </w:r>
      <w:r>
        <w:rPr>
          <w:rStyle w:val="Emphasis"/>
          <w:rFonts w:eastAsiaTheme="majorEastAsia"/>
        </w:rPr>
        <w:t>Early Years</w:t>
      </w:r>
      <w:r>
        <w:t>, 30(2), pp. 143–154.</w:t>
      </w:r>
    </w:p>
    <w:p w14:paraId="41E418D7" w14:textId="77777777" w:rsidR="00A81005" w:rsidRDefault="00A81005" w:rsidP="00A81005">
      <w:pPr>
        <w:pStyle w:val="NormalWeb"/>
      </w:pPr>
      <w:r>
        <w:t xml:space="preserve">Strong-Wilson, T. and Ellis, J. (2007) ‘Children and place: Reggio Emilia’s environment as third teacher’, </w:t>
      </w:r>
      <w:r>
        <w:rPr>
          <w:rStyle w:val="Emphasis"/>
          <w:rFonts w:eastAsiaTheme="majorEastAsia"/>
        </w:rPr>
        <w:t>Theory into Practice</w:t>
      </w:r>
      <w:r>
        <w:t>, 46(1), pp. 40–47.</w:t>
      </w:r>
    </w:p>
    <w:p w14:paraId="6699CC0A" w14:textId="77777777" w:rsidR="00A81005" w:rsidRDefault="00A81005" w:rsidP="00A81005">
      <w:pPr>
        <w:pStyle w:val="NormalWeb"/>
      </w:pPr>
      <w:r>
        <w:t xml:space="preserve">Squires, J., Bricker, D., Heo, K., Twombly, E. and Murphy, K. (2009) </w:t>
      </w:r>
      <w:r>
        <w:rPr>
          <w:rStyle w:val="Emphasis"/>
          <w:rFonts w:eastAsiaTheme="majorEastAsia"/>
        </w:rPr>
        <w:t>Ages &amp; Stages Questionnaires, Third Edition (ASQ-3)</w:t>
      </w:r>
      <w:r>
        <w:t>. Baltimore, MD: Brookes Publishing.</w:t>
      </w:r>
    </w:p>
    <w:p w14:paraId="353596F7" w14:textId="77777777" w:rsidR="00A81005" w:rsidRDefault="00A81005" w:rsidP="00A81005">
      <w:pPr>
        <w:pStyle w:val="NormalWeb"/>
      </w:pPr>
      <w:r>
        <w:t xml:space="preserve">Sylva, K., </w:t>
      </w:r>
      <w:proofErr w:type="spellStart"/>
      <w:r>
        <w:t>Melhuish</w:t>
      </w:r>
      <w:proofErr w:type="spellEnd"/>
      <w:r>
        <w:t xml:space="preserve">, E., Sammons, P., Siraj-Blatchford, I. and Taggart, B. (2010) </w:t>
      </w:r>
      <w:r>
        <w:rPr>
          <w:rStyle w:val="Emphasis"/>
          <w:rFonts w:eastAsiaTheme="majorEastAsia"/>
        </w:rPr>
        <w:t>Early childhood matters: Evidence from the Effective Pre-school and Primary Education project</w:t>
      </w:r>
      <w:r>
        <w:t>. London: Routledge.</w:t>
      </w:r>
    </w:p>
    <w:p w14:paraId="63ED5AD1" w14:textId="77777777" w:rsidR="00A81005" w:rsidRDefault="00A81005" w:rsidP="00A81005">
      <w:pPr>
        <w:pStyle w:val="NormalWeb"/>
      </w:pPr>
      <w:r>
        <w:t xml:space="preserve">Vecchi, V. (2010) </w:t>
      </w:r>
      <w:r>
        <w:rPr>
          <w:rStyle w:val="Emphasis"/>
          <w:rFonts w:eastAsiaTheme="majorEastAsia"/>
        </w:rPr>
        <w:t>Art and creativity in Reggio Emilia: Exploring the role and potential of ateliers in early childhood education</w:t>
      </w:r>
      <w:r>
        <w:t>. London: Routledge.</w:t>
      </w:r>
    </w:p>
    <w:p w14:paraId="23C20302" w14:textId="77777777" w:rsidR="00A81005" w:rsidRDefault="00A81005" w:rsidP="00A81005">
      <w:pPr>
        <w:pStyle w:val="NormalWeb"/>
      </w:pPr>
      <w:r>
        <w:t xml:space="preserve">Welsh Government (2022) </w:t>
      </w:r>
      <w:r>
        <w:rPr>
          <w:rStyle w:val="Emphasis"/>
          <w:rFonts w:eastAsiaTheme="majorEastAsia"/>
        </w:rPr>
        <w:t>Curriculum for Wales: Framework Guidance</w:t>
      </w:r>
      <w:r>
        <w:t xml:space="preserve">. Available at: </w:t>
      </w:r>
      <w:hyperlink r:id="rId7" w:tgtFrame="_new" w:history="1">
        <w:r>
          <w:rPr>
            <w:rStyle w:val="Hyperlink"/>
            <w:rFonts w:eastAsiaTheme="majorEastAsia"/>
          </w:rPr>
          <w:t>https://hwb.gov.wales/curriculum-for-wales</w:t>
        </w:r>
      </w:hyperlink>
      <w:r>
        <w:t xml:space="preserve"> (Accessed: 6 June 2025).</w:t>
      </w:r>
    </w:p>
    <w:p w14:paraId="64FA1999" w14:textId="77777777" w:rsidR="00A81005" w:rsidRDefault="00A81005" w:rsidP="00A81005">
      <w:pPr>
        <w:pStyle w:val="NormalWeb"/>
      </w:pPr>
      <w:r>
        <w:t xml:space="preserve">Wood, E. (2014) </w:t>
      </w:r>
      <w:r>
        <w:rPr>
          <w:rStyle w:val="Emphasis"/>
          <w:rFonts w:eastAsiaTheme="majorEastAsia"/>
        </w:rPr>
        <w:t>Play, learning and the early childhood curriculum</w:t>
      </w:r>
      <w:r>
        <w:t xml:space="preserve">. 3rd </w:t>
      </w:r>
      <w:proofErr w:type="spellStart"/>
      <w:r>
        <w:t>edn</w:t>
      </w:r>
      <w:proofErr w:type="spellEnd"/>
      <w:r>
        <w:t>. London: SAGE.</w:t>
      </w:r>
    </w:p>
    <w:p w14:paraId="69B4F36C" w14:textId="77777777" w:rsidR="00A81005" w:rsidRDefault="00A81005" w:rsidP="00A81005">
      <w:pPr>
        <w:pStyle w:val="NormalWeb"/>
      </w:pPr>
      <w:r>
        <w:t xml:space="preserve">Wood, E. and Attfield, J. (2005) </w:t>
      </w:r>
      <w:r>
        <w:rPr>
          <w:rStyle w:val="Emphasis"/>
          <w:rFonts w:eastAsiaTheme="majorEastAsia"/>
        </w:rPr>
        <w:t>Play, learning and the early childhood curriculum</w:t>
      </w:r>
      <w:r>
        <w:t xml:space="preserve">. 2nd </w:t>
      </w:r>
      <w:proofErr w:type="spellStart"/>
      <w:r>
        <w:t>edn</w:t>
      </w:r>
      <w:proofErr w:type="spellEnd"/>
      <w:r>
        <w:t>. London: Paul Chapman.</w:t>
      </w:r>
    </w:p>
    <w:p w14:paraId="78C520BF" w14:textId="77777777" w:rsidR="00A81005" w:rsidRPr="00A81005" w:rsidRDefault="00A81005" w:rsidP="00A81005">
      <w:pPr>
        <w:pStyle w:val="NormalWeb"/>
        <w:rPr>
          <w:rFonts w:ascii="Arial" w:hAnsi="Arial" w:cs="Arial"/>
        </w:rPr>
      </w:pPr>
    </w:p>
    <w:p w14:paraId="28C64BB9" w14:textId="77777777" w:rsidR="00A81005" w:rsidRPr="00A81005" w:rsidRDefault="00A81005">
      <w:pPr>
        <w:rPr>
          <w:rFonts w:ascii="Arial" w:hAnsi="Arial" w:cs="Arial"/>
        </w:rPr>
      </w:pPr>
    </w:p>
    <w:sectPr w:rsidR="00A81005" w:rsidRPr="00A81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E31463"/>
    <w:multiLevelType w:val="multilevel"/>
    <w:tmpl w:val="7D1C0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2371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005"/>
    <w:rsid w:val="008D2281"/>
    <w:rsid w:val="00A81005"/>
    <w:rsid w:val="00D0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32BA2"/>
  <w15:chartTrackingRefBased/>
  <w15:docId w15:val="{F1DA165B-D66A-5A4B-8DF9-7C37F91F3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00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810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0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10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810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0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0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0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0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0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0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0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10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810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0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0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0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0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005"/>
    <w:rPr>
      <w:rFonts w:eastAsiaTheme="majorEastAsia" w:cstheme="majorBidi"/>
      <w:color w:val="272727" w:themeColor="text1" w:themeTint="D8"/>
    </w:rPr>
  </w:style>
  <w:style w:type="paragraph" w:styleId="Title">
    <w:name w:val="Title"/>
    <w:basedOn w:val="Normal"/>
    <w:next w:val="Normal"/>
    <w:link w:val="TitleChar"/>
    <w:uiPriority w:val="10"/>
    <w:qFormat/>
    <w:rsid w:val="00A810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0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0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0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005"/>
    <w:pPr>
      <w:spacing w:before="160"/>
      <w:jc w:val="center"/>
    </w:pPr>
    <w:rPr>
      <w:i/>
      <w:iCs/>
      <w:color w:val="404040" w:themeColor="text1" w:themeTint="BF"/>
    </w:rPr>
  </w:style>
  <w:style w:type="character" w:customStyle="1" w:styleId="QuoteChar">
    <w:name w:val="Quote Char"/>
    <w:basedOn w:val="DefaultParagraphFont"/>
    <w:link w:val="Quote"/>
    <w:uiPriority w:val="29"/>
    <w:rsid w:val="00A81005"/>
    <w:rPr>
      <w:i/>
      <w:iCs/>
      <w:color w:val="404040" w:themeColor="text1" w:themeTint="BF"/>
    </w:rPr>
  </w:style>
  <w:style w:type="paragraph" w:styleId="ListParagraph">
    <w:name w:val="List Paragraph"/>
    <w:basedOn w:val="Normal"/>
    <w:uiPriority w:val="34"/>
    <w:qFormat/>
    <w:rsid w:val="00A81005"/>
    <w:pPr>
      <w:ind w:left="720"/>
      <w:contextualSpacing/>
    </w:pPr>
  </w:style>
  <w:style w:type="character" w:styleId="IntenseEmphasis">
    <w:name w:val="Intense Emphasis"/>
    <w:basedOn w:val="DefaultParagraphFont"/>
    <w:uiPriority w:val="21"/>
    <w:qFormat/>
    <w:rsid w:val="00A81005"/>
    <w:rPr>
      <w:i/>
      <w:iCs/>
      <w:color w:val="0F4761" w:themeColor="accent1" w:themeShade="BF"/>
    </w:rPr>
  </w:style>
  <w:style w:type="paragraph" w:styleId="IntenseQuote">
    <w:name w:val="Intense Quote"/>
    <w:basedOn w:val="Normal"/>
    <w:next w:val="Normal"/>
    <w:link w:val="IntenseQuoteChar"/>
    <w:uiPriority w:val="30"/>
    <w:qFormat/>
    <w:rsid w:val="00A810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005"/>
    <w:rPr>
      <w:i/>
      <w:iCs/>
      <w:color w:val="0F4761" w:themeColor="accent1" w:themeShade="BF"/>
    </w:rPr>
  </w:style>
  <w:style w:type="character" w:styleId="IntenseReference">
    <w:name w:val="Intense Reference"/>
    <w:basedOn w:val="DefaultParagraphFont"/>
    <w:uiPriority w:val="32"/>
    <w:qFormat/>
    <w:rsid w:val="00A81005"/>
    <w:rPr>
      <w:b/>
      <w:bCs/>
      <w:smallCaps/>
      <w:color w:val="0F4761" w:themeColor="accent1" w:themeShade="BF"/>
      <w:spacing w:val="5"/>
    </w:rPr>
  </w:style>
  <w:style w:type="paragraph" w:styleId="NormalWeb">
    <w:name w:val="Normal (Web)"/>
    <w:basedOn w:val="Normal"/>
    <w:uiPriority w:val="99"/>
    <w:unhideWhenUsed/>
    <w:rsid w:val="00A81005"/>
    <w:pPr>
      <w:spacing w:before="100" w:beforeAutospacing="1" w:after="100" w:afterAutospacing="1"/>
    </w:pPr>
  </w:style>
  <w:style w:type="character" w:styleId="Strong">
    <w:name w:val="Strong"/>
    <w:basedOn w:val="DefaultParagraphFont"/>
    <w:uiPriority w:val="22"/>
    <w:qFormat/>
    <w:rsid w:val="00A81005"/>
    <w:rPr>
      <w:b/>
      <w:bCs/>
    </w:rPr>
  </w:style>
  <w:style w:type="character" w:styleId="Emphasis">
    <w:name w:val="Emphasis"/>
    <w:basedOn w:val="DefaultParagraphFont"/>
    <w:uiPriority w:val="20"/>
    <w:qFormat/>
    <w:rsid w:val="00A81005"/>
    <w:rPr>
      <w:i/>
      <w:iCs/>
    </w:rPr>
  </w:style>
  <w:style w:type="character" w:styleId="Hyperlink">
    <w:name w:val="Hyperlink"/>
    <w:basedOn w:val="DefaultParagraphFont"/>
    <w:uiPriority w:val="99"/>
    <w:semiHidden/>
    <w:unhideWhenUsed/>
    <w:rsid w:val="00A810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460700">
      <w:bodyDiv w:val="1"/>
      <w:marLeft w:val="0"/>
      <w:marRight w:val="0"/>
      <w:marTop w:val="0"/>
      <w:marBottom w:val="0"/>
      <w:divBdr>
        <w:top w:val="none" w:sz="0" w:space="0" w:color="auto"/>
        <w:left w:val="none" w:sz="0" w:space="0" w:color="auto"/>
        <w:bottom w:val="none" w:sz="0" w:space="0" w:color="auto"/>
        <w:right w:val="none" w:sz="0" w:space="0" w:color="auto"/>
      </w:divBdr>
    </w:div>
    <w:div w:id="414784562">
      <w:bodyDiv w:val="1"/>
      <w:marLeft w:val="0"/>
      <w:marRight w:val="0"/>
      <w:marTop w:val="0"/>
      <w:marBottom w:val="0"/>
      <w:divBdr>
        <w:top w:val="none" w:sz="0" w:space="0" w:color="auto"/>
        <w:left w:val="none" w:sz="0" w:space="0" w:color="auto"/>
        <w:bottom w:val="none" w:sz="0" w:space="0" w:color="auto"/>
        <w:right w:val="none" w:sz="0" w:space="0" w:color="auto"/>
      </w:divBdr>
    </w:div>
    <w:div w:id="417484331">
      <w:bodyDiv w:val="1"/>
      <w:marLeft w:val="0"/>
      <w:marRight w:val="0"/>
      <w:marTop w:val="0"/>
      <w:marBottom w:val="0"/>
      <w:divBdr>
        <w:top w:val="none" w:sz="0" w:space="0" w:color="auto"/>
        <w:left w:val="none" w:sz="0" w:space="0" w:color="auto"/>
        <w:bottom w:val="none" w:sz="0" w:space="0" w:color="auto"/>
        <w:right w:val="none" w:sz="0" w:space="0" w:color="auto"/>
      </w:divBdr>
    </w:div>
    <w:div w:id="589125356">
      <w:bodyDiv w:val="1"/>
      <w:marLeft w:val="0"/>
      <w:marRight w:val="0"/>
      <w:marTop w:val="0"/>
      <w:marBottom w:val="0"/>
      <w:divBdr>
        <w:top w:val="none" w:sz="0" w:space="0" w:color="auto"/>
        <w:left w:val="none" w:sz="0" w:space="0" w:color="auto"/>
        <w:bottom w:val="none" w:sz="0" w:space="0" w:color="auto"/>
        <w:right w:val="none" w:sz="0" w:space="0" w:color="auto"/>
      </w:divBdr>
    </w:div>
    <w:div w:id="685640915">
      <w:bodyDiv w:val="1"/>
      <w:marLeft w:val="0"/>
      <w:marRight w:val="0"/>
      <w:marTop w:val="0"/>
      <w:marBottom w:val="0"/>
      <w:divBdr>
        <w:top w:val="none" w:sz="0" w:space="0" w:color="auto"/>
        <w:left w:val="none" w:sz="0" w:space="0" w:color="auto"/>
        <w:bottom w:val="none" w:sz="0" w:space="0" w:color="auto"/>
        <w:right w:val="none" w:sz="0" w:space="0" w:color="auto"/>
      </w:divBdr>
    </w:div>
    <w:div w:id="829833704">
      <w:bodyDiv w:val="1"/>
      <w:marLeft w:val="0"/>
      <w:marRight w:val="0"/>
      <w:marTop w:val="0"/>
      <w:marBottom w:val="0"/>
      <w:divBdr>
        <w:top w:val="none" w:sz="0" w:space="0" w:color="auto"/>
        <w:left w:val="none" w:sz="0" w:space="0" w:color="auto"/>
        <w:bottom w:val="none" w:sz="0" w:space="0" w:color="auto"/>
        <w:right w:val="none" w:sz="0" w:space="0" w:color="auto"/>
      </w:divBdr>
    </w:div>
    <w:div w:id="960917725">
      <w:bodyDiv w:val="1"/>
      <w:marLeft w:val="0"/>
      <w:marRight w:val="0"/>
      <w:marTop w:val="0"/>
      <w:marBottom w:val="0"/>
      <w:divBdr>
        <w:top w:val="none" w:sz="0" w:space="0" w:color="auto"/>
        <w:left w:val="none" w:sz="0" w:space="0" w:color="auto"/>
        <w:bottom w:val="none" w:sz="0" w:space="0" w:color="auto"/>
        <w:right w:val="none" w:sz="0" w:space="0" w:color="auto"/>
      </w:divBdr>
    </w:div>
    <w:div w:id="1070300916">
      <w:bodyDiv w:val="1"/>
      <w:marLeft w:val="0"/>
      <w:marRight w:val="0"/>
      <w:marTop w:val="0"/>
      <w:marBottom w:val="0"/>
      <w:divBdr>
        <w:top w:val="none" w:sz="0" w:space="0" w:color="auto"/>
        <w:left w:val="none" w:sz="0" w:space="0" w:color="auto"/>
        <w:bottom w:val="none" w:sz="0" w:space="0" w:color="auto"/>
        <w:right w:val="none" w:sz="0" w:space="0" w:color="auto"/>
      </w:divBdr>
    </w:div>
    <w:div w:id="1103693485">
      <w:bodyDiv w:val="1"/>
      <w:marLeft w:val="0"/>
      <w:marRight w:val="0"/>
      <w:marTop w:val="0"/>
      <w:marBottom w:val="0"/>
      <w:divBdr>
        <w:top w:val="none" w:sz="0" w:space="0" w:color="auto"/>
        <w:left w:val="none" w:sz="0" w:space="0" w:color="auto"/>
        <w:bottom w:val="none" w:sz="0" w:space="0" w:color="auto"/>
        <w:right w:val="none" w:sz="0" w:space="0" w:color="auto"/>
      </w:divBdr>
    </w:div>
    <w:div w:id="1261111266">
      <w:bodyDiv w:val="1"/>
      <w:marLeft w:val="0"/>
      <w:marRight w:val="0"/>
      <w:marTop w:val="0"/>
      <w:marBottom w:val="0"/>
      <w:divBdr>
        <w:top w:val="none" w:sz="0" w:space="0" w:color="auto"/>
        <w:left w:val="none" w:sz="0" w:space="0" w:color="auto"/>
        <w:bottom w:val="none" w:sz="0" w:space="0" w:color="auto"/>
        <w:right w:val="none" w:sz="0" w:space="0" w:color="auto"/>
      </w:divBdr>
    </w:div>
    <w:div w:id="1272977968">
      <w:bodyDiv w:val="1"/>
      <w:marLeft w:val="0"/>
      <w:marRight w:val="0"/>
      <w:marTop w:val="0"/>
      <w:marBottom w:val="0"/>
      <w:divBdr>
        <w:top w:val="none" w:sz="0" w:space="0" w:color="auto"/>
        <w:left w:val="none" w:sz="0" w:space="0" w:color="auto"/>
        <w:bottom w:val="none" w:sz="0" w:space="0" w:color="auto"/>
        <w:right w:val="none" w:sz="0" w:space="0" w:color="auto"/>
      </w:divBdr>
    </w:div>
    <w:div w:id="1289163889">
      <w:bodyDiv w:val="1"/>
      <w:marLeft w:val="0"/>
      <w:marRight w:val="0"/>
      <w:marTop w:val="0"/>
      <w:marBottom w:val="0"/>
      <w:divBdr>
        <w:top w:val="none" w:sz="0" w:space="0" w:color="auto"/>
        <w:left w:val="none" w:sz="0" w:space="0" w:color="auto"/>
        <w:bottom w:val="none" w:sz="0" w:space="0" w:color="auto"/>
        <w:right w:val="none" w:sz="0" w:space="0" w:color="auto"/>
      </w:divBdr>
    </w:div>
    <w:div w:id="183148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crp.uiuc.edu/v4n1/edwards.html" TargetMode="External"/><Relationship Id="rId5" Type="http://schemas.openxmlformats.org/officeDocument/2006/relationships/hyperlink" Target="https://www.gov.uk/government/publications/early-years-foundation-stage-framework--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15</Pages>
  <Words>5664</Words>
  <Characters>32286</Characters>
  <Application>Microsoft Office Word</Application>
  <DocSecurity>0</DocSecurity>
  <Lines>269</Lines>
  <Paragraphs>75</Paragraphs>
  <ScaleCrop>false</ScaleCrop>
  <Company/>
  <LinksUpToDate>false</LinksUpToDate>
  <CharactersWithSpaces>37875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stebbings</dc:creator>
  <cp:keywords/>
  <dc:description/>
  <cp:lastModifiedBy>chloe stebbings</cp:lastModifiedBy>
  <cp:revision>1</cp:revision>
  <dcterms:created xsi:type="dcterms:W3CDTF">2025-06-06T16:34:00Z</dcterms:created>
  <dcterms:modified xsi:type="dcterms:W3CDTF">2025-06-06T17:10:00Z</dcterms:modified>
</cp:coreProperties>
</file>