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10.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nts/font6.odttf" ContentType="application/vnd.openxmlformats-officedocument.obfuscatedFont"/>
  <Override PartName="/word/fonts/font7.odttf" ContentType="application/vnd.openxmlformats-officedocument.obfuscatedFont"/>
  <Override PartName="/word/fonts/font8.odttf" ContentType="application/vnd.openxmlformats-officedocument.obfuscatedFont"/>
  <Override PartName="/word/fonts/font9.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14:paraId="00000002">
      <w:pPr>
        <w:jc w:val="center"/>
        <w:rPr>
          <w:rFonts w:hint="default"/>
          <w:b/>
          <w:bCs/>
          <w:sz w:val="32"/>
          <w:szCs w:val="32"/>
          <w:lang w:val="en-GB"/>
        </w:rPr>
      </w:pPr>
      <w:r>
        <w:rPr>
          <w:rFonts w:hint="default"/>
          <w:b/>
          <w:bCs/>
          <w:sz w:val="32"/>
          <w:szCs w:val="32"/>
          <w:lang w:val="en-GB"/>
        </w:rPr>
        <w:tab/>
      </w:r>
      <w:r>
        <w:rPr>
          <w:rFonts w:hint="default"/>
          <w:b/>
          <w:bCs/>
          <w:sz w:val="32"/>
          <w:szCs w:val="32"/>
          <w:lang w:val="en-GB"/>
        </w:rPr>
        <w:tab/>
      </w:r>
    </w:p>
    <w:p w14:paraId="00000004">
      <w:pPr>
        <w:jc w:val="center"/>
        <w:rPr>
          <w:b/>
          <w:bCs/>
          <w:sz w:val="32"/>
          <w:szCs w:val="32"/>
        </w:rPr>
      </w:pPr>
      <w:r>
        <w:rPr>
          <w:rFonts w:hint="default"/>
          <w:b/>
          <w:bCs/>
          <w:sz w:val="32"/>
          <w:szCs w:val="32"/>
          <w:lang w:val="en-GB"/>
        </w:rPr>
        <w:drawing>
          <wp:inline distT="0" distB="0" distL="114300" distR="114300">
            <wp:extent cx="3651885" cy="1628775"/>
            <wp:effectExtent l="0" t="0" r="5715" b="1905"/>
            <wp:docPr id="10" name="Picture 10" descr="WhatsApp Image 2025-12-12 at 20.05.09_54a4c5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WhatsApp Image 2025-12-12 at 20.05.09_54a4c5b0"/>
                    <pic:cNvPicPr>
                      <a:picLocks noChangeAspect="1"/>
                    </pic:cNvPicPr>
                  </pic:nvPicPr>
                  <pic:blipFill>
                    <a:blip r:embed="rId12"/>
                    <a:stretch>
                      <a:fillRect/>
                    </a:stretch>
                  </pic:blipFill>
                  <pic:spPr>
                    <a:xfrm>
                      <a:off x="0" y="0"/>
                      <a:ext cx="3651885" cy="1628775"/>
                    </a:xfrm>
                    <a:prstGeom prst="rect">
                      <a:avLst/>
                    </a:prstGeom>
                  </pic:spPr>
                </pic:pic>
              </a:graphicData>
            </a:graphic>
          </wp:inline>
        </w:drawing>
      </w:r>
    </w:p>
    <w:p w14:paraId="0F2CC9F1">
      <w:pPr>
        <w:jc w:val="center"/>
        <w:rPr>
          <w:rFonts w:hint="default"/>
          <w:b/>
          <w:bCs/>
          <w:color w:val="4F81BD" w:themeColor="accent1"/>
          <w:sz w:val="32"/>
          <w:szCs w:val="32"/>
          <w:lang w:val="en-GB"/>
          <w14:textFill>
            <w14:solidFill>
              <w14:schemeClr w14:val="accent1"/>
            </w14:solidFill>
          </w14:textFill>
        </w:rPr>
      </w:pPr>
      <w:r>
        <w:rPr>
          <w:b/>
          <w:bCs/>
          <w:color w:val="4F81BD" w:themeColor="accent1"/>
          <w:sz w:val="32"/>
          <w:szCs w:val="32"/>
          <w14:textFill>
            <w14:solidFill>
              <w14:schemeClr w14:val="accent1"/>
            </w14:solidFill>
          </w14:textFill>
        </w:rPr>
        <w:t>UNDERSTANDING THE ROLE OF SUSTAINABILITY IN STRATEGIC DECISION-MAKING PERSPECTIVES FROM MANAGERS IN THE UK RETAIL SECTO</w:t>
      </w:r>
      <w:r>
        <w:rPr>
          <w:rFonts w:hint="default"/>
          <w:b/>
          <w:bCs/>
          <w:color w:val="4F81BD" w:themeColor="accent1"/>
          <w:sz w:val="32"/>
          <w:szCs w:val="32"/>
          <w:lang w:val="en-GB"/>
          <w14:textFill>
            <w14:solidFill>
              <w14:schemeClr w14:val="accent1"/>
            </w14:solidFill>
          </w14:textFill>
        </w:rPr>
        <w:t xml:space="preserve">R    </w:t>
      </w:r>
    </w:p>
    <w:p w14:paraId="1FB8EA30">
      <w:pPr>
        <w:jc w:val="center"/>
        <w:rPr>
          <w:rFonts w:hint="default"/>
          <w:b/>
          <w:bCs/>
          <w:sz w:val="32"/>
          <w:szCs w:val="32"/>
          <w:vertAlign w:val="baseline"/>
          <w:lang w:val="en-GB"/>
        </w:rPr>
      </w:pPr>
    </w:p>
    <w:tbl>
      <w:tblPr>
        <w:tblStyle w:val="1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547"/>
        <w:gridCol w:w="6469"/>
      </w:tblGrid>
      <w:tr w14:paraId="57E91F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2547" w:type="dxa"/>
          </w:tcPr>
          <w:p w14:paraId="34C11CA2">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b/>
                <w:bCs/>
                <w:color w:val="000000"/>
                <w:sz w:val="22"/>
                <w:szCs w:val="22"/>
              </w:rPr>
              <w:t>Name Of the Student</w:t>
            </w:r>
          </w:p>
        </w:tc>
        <w:tc>
          <w:tcPr>
            <w:tcW w:w="6469" w:type="dxa"/>
          </w:tcPr>
          <w:p w14:paraId="2240968D">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rFonts w:hint="default"/>
                <w:color w:val="000000"/>
                <w:sz w:val="22"/>
                <w:szCs w:val="22"/>
                <w:lang w:val="en-GB"/>
              </w:rPr>
            </w:pPr>
            <w:r>
              <w:rPr>
                <w:color w:val="000000"/>
                <w:sz w:val="22"/>
                <w:szCs w:val="22"/>
              </w:rPr>
              <w:tab/>
            </w:r>
            <w:r>
              <w:rPr>
                <w:rFonts w:hint="default"/>
                <w:color w:val="000000"/>
                <w:sz w:val="22"/>
                <w:szCs w:val="22"/>
                <w:lang w:val="en-GB"/>
              </w:rPr>
              <w:t>Kothakapu Varun Kumar Reddy</w:t>
            </w:r>
          </w:p>
        </w:tc>
      </w:tr>
      <w:tr w14:paraId="19344A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47" w:type="dxa"/>
          </w:tcPr>
          <w:p w14:paraId="256775BC">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b/>
                <w:bCs/>
                <w:color w:val="000000"/>
                <w:sz w:val="22"/>
                <w:szCs w:val="22"/>
              </w:rPr>
              <w:t>Date Of Submission</w:t>
            </w:r>
          </w:p>
        </w:tc>
        <w:tc>
          <w:tcPr>
            <w:tcW w:w="6469" w:type="dxa"/>
          </w:tcPr>
          <w:p w14:paraId="0D1C7EAC">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rFonts w:hint="default"/>
                <w:color w:val="000000"/>
                <w:sz w:val="22"/>
                <w:szCs w:val="22"/>
                <w:lang w:val="en-GB"/>
              </w:rPr>
            </w:pPr>
            <w:r>
              <w:rPr>
                <w:color w:val="000000"/>
                <w:sz w:val="22"/>
                <w:szCs w:val="22"/>
              </w:rPr>
              <w:tab/>
            </w:r>
            <w:r>
              <w:rPr>
                <w:color w:val="000000"/>
                <w:sz w:val="22"/>
                <w:szCs w:val="22"/>
              </w:rPr>
              <w:t>1</w:t>
            </w:r>
            <w:r>
              <w:rPr>
                <w:rFonts w:hint="default"/>
                <w:color w:val="000000"/>
                <w:sz w:val="22"/>
                <w:szCs w:val="22"/>
                <w:lang w:val="en-GB"/>
              </w:rPr>
              <w:t>2/12/2025</w:t>
            </w:r>
          </w:p>
        </w:tc>
      </w:tr>
      <w:tr w14:paraId="1FDEA6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547" w:type="dxa"/>
          </w:tcPr>
          <w:p w14:paraId="0607C0B7">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b/>
                <w:bCs/>
                <w:color w:val="000000"/>
                <w:sz w:val="22"/>
                <w:szCs w:val="22"/>
              </w:rPr>
              <w:t>Course ID</w:t>
            </w:r>
          </w:p>
        </w:tc>
        <w:tc>
          <w:tcPr>
            <w:tcW w:w="6469" w:type="dxa"/>
          </w:tcPr>
          <w:p w14:paraId="7278D05E">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rFonts w:hint="default"/>
                <w:color w:val="000000"/>
                <w:sz w:val="22"/>
                <w:szCs w:val="22"/>
                <w:lang w:val="en-GB"/>
              </w:rPr>
            </w:pPr>
            <w:r>
              <w:rPr>
                <w:color w:val="000000"/>
                <w:sz w:val="22"/>
                <w:szCs w:val="22"/>
              </w:rPr>
              <w:tab/>
            </w:r>
            <w:r>
              <w:rPr>
                <w:bCs/>
                <w:color w:val="000000"/>
                <w:sz w:val="22"/>
                <w:szCs w:val="22"/>
              </w:rPr>
              <w:t>BMMB</w:t>
            </w:r>
            <w:r>
              <w:rPr>
                <w:rFonts w:hint="default"/>
                <w:bCs/>
                <w:color w:val="000000"/>
                <w:sz w:val="22"/>
                <w:szCs w:val="22"/>
                <w:lang w:val="en-GB"/>
              </w:rPr>
              <w:t>7003</w:t>
            </w:r>
          </w:p>
        </w:tc>
      </w:tr>
      <w:tr w14:paraId="221C8FC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2547" w:type="dxa"/>
          </w:tcPr>
          <w:p w14:paraId="3BA93C21">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b/>
                <w:bCs/>
                <w:color w:val="000000"/>
                <w:sz w:val="22"/>
                <w:szCs w:val="22"/>
              </w:rPr>
              <w:t>Course Name</w:t>
            </w:r>
          </w:p>
        </w:tc>
        <w:tc>
          <w:tcPr>
            <w:tcW w:w="6469" w:type="dxa"/>
          </w:tcPr>
          <w:p w14:paraId="667498F3">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color w:val="000000"/>
                <w:sz w:val="22"/>
                <w:szCs w:val="22"/>
              </w:rPr>
            </w:pPr>
            <w:r>
              <w:rPr>
                <w:color w:val="000000"/>
                <w:sz w:val="22"/>
                <w:szCs w:val="22"/>
              </w:rPr>
              <w:tab/>
            </w:r>
            <w:r>
              <w:rPr>
                <w:color w:val="000000"/>
                <w:sz w:val="22"/>
                <w:szCs w:val="22"/>
              </w:rPr>
              <w:t xml:space="preserve">Master of business administration </w:t>
            </w:r>
          </w:p>
        </w:tc>
      </w:tr>
      <w:tr w14:paraId="56872D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0" w:hRule="atLeast"/>
        </w:trPr>
        <w:tc>
          <w:tcPr>
            <w:tcW w:w="2547" w:type="dxa"/>
          </w:tcPr>
          <w:p w14:paraId="3CC37AB0">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rFonts w:hint="default"/>
                <w:b/>
                <w:bCs/>
                <w:color w:val="000000"/>
                <w:sz w:val="22"/>
                <w:szCs w:val="22"/>
                <w:lang w:val="en-GB"/>
              </w:rPr>
              <w:t>Supervisor</w:t>
            </w:r>
            <w:r>
              <w:rPr>
                <w:b/>
                <w:bCs/>
                <w:color w:val="000000"/>
                <w:sz w:val="22"/>
                <w:szCs w:val="22"/>
              </w:rPr>
              <w:t xml:space="preserve"> Name</w:t>
            </w:r>
          </w:p>
        </w:tc>
        <w:tc>
          <w:tcPr>
            <w:tcW w:w="6469" w:type="dxa"/>
          </w:tcPr>
          <w:p w14:paraId="324685C9">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color w:val="000000"/>
                <w:sz w:val="22"/>
                <w:szCs w:val="22"/>
              </w:rPr>
            </w:pPr>
            <w:r>
              <w:rPr>
                <w:color w:val="000000"/>
                <w:sz w:val="22"/>
                <w:szCs w:val="22"/>
              </w:rPr>
              <w:tab/>
            </w:r>
            <w:r>
              <w:rPr>
                <w:color w:val="000000"/>
                <w:sz w:val="22"/>
                <w:szCs w:val="22"/>
              </w:rPr>
              <w:t>Marie pitson</w:t>
            </w:r>
          </w:p>
        </w:tc>
      </w:tr>
      <w:tr w14:paraId="00462FA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 w:hRule="atLeast"/>
        </w:trPr>
        <w:tc>
          <w:tcPr>
            <w:tcW w:w="2547" w:type="dxa"/>
          </w:tcPr>
          <w:p w14:paraId="1AE21FDF">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b/>
                <w:bCs/>
                <w:color w:val="000000"/>
                <w:sz w:val="22"/>
                <w:szCs w:val="22"/>
              </w:rPr>
            </w:pPr>
            <w:r>
              <w:rPr>
                <w:b/>
                <w:bCs/>
                <w:color w:val="000000"/>
                <w:sz w:val="22"/>
                <w:szCs w:val="22"/>
              </w:rPr>
              <w:t>University Name</w:t>
            </w:r>
          </w:p>
        </w:tc>
        <w:tc>
          <w:tcPr>
            <w:tcW w:w="6469" w:type="dxa"/>
          </w:tcPr>
          <w:p w14:paraId="6FED5E43">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color w:val="000000"/>
                <w:sz w:val="22"/>
                <w:szCs w:val="22"/>
              </w:rPr>
            </w:pPr>
            <w:r>
              <w:rPr>
                <w:color w:val="000000"/>
                <w:sz w:val="22"/>
                <w:szCs w:val="22"/>
              </w:rPr>
              <w:t xml:space="preserve">       University of Wales Trinity saint David</w:t>
            </w:r>
          </w:p>
        </w:tc>
      </w:tr>
      <w:tr w14:paraId="7ABC7C2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7" w:hRule="atLeast"/>
        </w:trPr>
        <w:tc>
          <w:tcPr>
            <w:tcW w:w="2547" w:type="dxa"/>
          </w:tcPr>
          <w:p w14:paraId="1F9E97CC">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rFonts w:hint="default"/>
                <w:b/>
                <w:bCs/>
                <w:color w:val="000000"/>
                <w:sz w:val="22"/>
                <w:szCs w:val="22"/>
                <w:lang w:val="en-GB"/>
              </w:rPr>
            </w:pPr>
            <w:r>
              <w:rPr>
                <w:rFonts w:hint="default"/>
                <w:b/>
                <w:bCs/>
                <w:color w:val="000000"/>
                <w:sz w:val="22"/>
                <w:szCs w:val="22"/>
                <w:lang w:val="en-GB"/>
              </w:rPr>
              <w:t>Student ID</w:t>
            </w:r>
          </w:p>
        </w:tc>
        <w:tc>
          <w:tcPr>
            <w:tcW w:w="6469" w:type="dxa"/>
          </w:tcPr>
          <w:p w14:paraId="22323232">
            <w:pPr>
              <w:widowControl w:val="0"/>
              <w:pBdr>
                <w:top w:val="none" w:color="auto" w:sz="0" w:space="0"/>
                <w:left w:val="none" w:color="auto" w:sz="0" w:space="0"/>
                <w:bottom w:val="none" w:color="auto" w:sz="0" w:space="0"/>
                <w:right w:val="none" w:color="auto" w:sz="0" w:space="0"/>
                <w:between w:val="none" w:color="auto" w:sz="0" w:space="0"/>
              </w:pBdr>
              <w:tabs>
                <w:tab w:val="left" w:pos="390"/>
              </w:tabs>
              <w:spacing w:before="30" w:after="30" w:line="360" w:lineRule="auto"/>
              <w:ind w:left="0" w:right="0"/>
              <w:rPr>
                <w:rFonts w:hint="default"/>
                <w:color w:val="000000"/>
                <w:sz w:val="22"/>
                <w:szCs w:val="22"/>
                <w:lang w:val="en-GB"/>
              </w:rPr>
            </w:pPr>
            <w:r>
              <w:rPr>
                <w:rFonts w:hint="default"/>
                <w:color w:val="000000"/>
                <w:sz w:val="22"/>
                <w:szCs w:val="22"/>
                <w:lang w:val="en-GB"/>
              </w:rPr>
              <w:t xml:space="preserve">      2416235</w:t>
            </w:r>
          </w:p>
        </w:tc>
      </w:tr>
    </w:tbl>
    <w:p w14:paraId="3AE042AF">
      <w:pPr>
        <w:jc w:val="center"/>
        <w:rPr>
          <w:rFonts w:hint="default"/>
          <w:b/>
          <w:bCs/>
          <w:sz w:val="32"/>
          <w:szCs w:val="32"/>
          <w:lang w:val="en-GB"/>
        </w:rPr>
      </w:pPr>
    </w:p>
    <w:p w14:paraId="0BBCA78E">
      <w:pPr>
        <w:jc w:val="center"/>
        <w:rPr>
          <w:rFonts w:hint="default"/>
          <w:b/>
          <w:bCs/>
          <w:sz w:val="32"/>
          <w:szCs w:val="32"/>
          <w:lang w:val="en-GB"/>
        </w:rPr>
      </w:pPr>
    </w:p>
    <w:p w14:paraId="04B4838B">
      <w:pPr>
        <w:jc w:val="center"/>
        <w:rPr>
          <w:rFonts w:hint="default"/>
          <w:b/>
          <w:bCs/>
          <w:sz w:val="32"/>
          <w:szCs w:val="32"/>
          <w:lang w:val="en-GB"/>
        </w:rPr>
      </w:pPr>
    </w:p>
    <w:p w14:paraId="0792E6F5">
      <w:pPr>
        <w:spacing w:line="360" w:lineRule="auto"/>
        <w:rPr>
          <w:b/>
          <w:bCs/>
          <w:sz w:val="32"/>
          <w:szCs w:val="32"/>
        </w:rPr>
      </w:pPr>
      <w:r>
        <w:rPr>
          <w:b/>
          <w:bCs/>
          <w:sz w:val="32"/>
          <w:szCs w:val="32"/>
        </w:rPr>
        <w:br w:type="page"/>
      </w:r>
    </w:p>
    <w:p w14:paraId="5026D898">
      <w:pPr>
        <w:jc w:val="center"/>
        <w:rPr>
          <w:b/>
          <w:bCs/>
          <w:sz w:val="36"/>
          <w:szCs w:val="36"/>
        </w:rPr>
      </w:pPr>
      <w:r>
        <w:rPr>
          <w:b/>
          <w:bCs/>
          <w:sz w:val="36"/>
          <w:szCs w:val="36"/>
        </w:rPr>
        <w:t>Declaration</w:t>
      </w:r>
    </w:p>
    <w:p w14:paraId="70F9AE03">
      <w:pPr>
        <w:spacing w:after="0" w:line="240" w:lineRule="auto"/>
        <w:ind w:left="720"/>
        <w:jc w:val="both"/>
        <w:rPr>
          <w:rFonts w:ascii="Arial" w:hAnsi="Arial" w:cs="Arial"/>
          <w:spacing w:val="-2"/>
        </w:rPr>
      </w:pPr>
    </w:p>
    <w:p w14:paraId="359595A9">
      <w:pPr>
        <w:spacing w:after="0" w:line="240" w:lineRule="auto"/>
        <w:ind w:left="720" w:hanging="630"/>
        <w:jc w:val="both"/>
        <w:rPr>
          <w:rFonts w:ascii="Arial" w:hAnsi="Arial" w:cs="Arial"/>
          <w:spacing w:val="-2"/>
        </w:rPr>
      </w:pPr>
      <w:r>
        <w:rPr>
          <w:rFonts w:ascii="Arial" w:hAnsi="Arial" w:cs="Arial"/>
          <w:spacing w:val="-2"/>
        </w:rPr>
        <w:tab/>
      </w:r>
    </w:p>
    <w:p w14:paraId="469B55E0">
      <w:pPr>
        <w:spacing w:after="0" w:line="240" w:lineRule="auto"/>
        <w:ind w:left="720"/>
        <w:jc w:val="both"/>
        <w:rPr>
          <w:rFonts w:ascii="Arial" w:hAnsi="Arial" w:cs="Arial"/>
          <w:spacing w:val="-2"/>
        </w:rPr>
      </w:pPr>
      <w:r>
        <w:rPr>
          <w:rFonts w:ascii="Arial" w:hAnsi="Arial" w:cs="Arial"/>
          <w:spacing w:val="-2"/>
        </w:rPr>
        <w:t>This work has not previously been accepted in substance for any degree and is not being concurrently submitted in candidature for any degree.</w:t>
      </w:r>
      <w:r>
        <w:rPr>
          <w:rFonts w:ascii="Arial" w:hAnsi="Arial" w:cs="Arial"/>
          <w:spacing w:val="-2"/>
        </w:rPr>
        <w:tab/>
      </w:r>
    </w:p>
    <w:p w14:paraId="503A5847">
      <w:pPr>
        <w:spacing w:after="0" w:line="240" w:lineRule="auto"/>
        <w:ind w:left="720"/>
        <w:jc w:val="both"/>
        <w:rPr>
          <w:rFonts w:ascii="Arial" w:hAnsi="Arial" w:cs="Arial"/>
          <w:spacing w:val="-2"/>
        </w:rPr>
      </w:pPr>
    </w:p>
    <w:p w14:paraId="695976D4">
      <w:pPr>
        <w:spacing w:after="0" w:line="240" w:lineRule="auto"/>
        <w:ind w:left="720"/>
        <w:jc w:val="both"/>
        <w:rPr>
          <w:rFonts w:ascii="Arial" w:hAnsi="Arial" w:cs="Arial"/>
          <w:spacing w:val="-2"/>
        </w:rPr>
      </w:pPr>
    </w:p>
    <w:p w14:paraId="28309775">
      <w:pPr>
        <w:spacing w:after="0" w:line="240" w:lineRule="auto"/>
        <w:ind w:left="720"/>
        <w:jc w:val="both"/>
        <w:rPr>
          <w:rFonts w:ascii="Arial" w:hAnsi="Arial" w:cs="Arial"/>
          <w:spacing w:val="-2"/>
        </w:rPr>
      </w:pPr>
      <w:r>
        <w:rPr>
          <w:rFonts w:ascii="Arial" w:hAnsi="Arial" w:cs="Arial"/>
          <w:spacing w:val="-2"/>
        </w:rPr>
        <w:t>Signed ..</w:t>
      </w:r>
      <w:r>
        <w:rPr>
          <w:rFonts w:hint="default" w:ascii="Arial" w:hAnsi="Arial" w:cs="Arial"/>
          <w:spacing w:val="-2"/>
          <w:lang w:val="en-GB"/>
        </w:rPr>
        <w:t xml:space="preserve"> kothakapu varun kumar reddy</w:t>
      </w:r>
      <w:r>
        <w:rPr>
          <w:rFonts w:ascii="Arial" w:hAnsi="Arial" w:cs="Arial"/>
          <w:spacing w:val="-2"/>
        </w:rPr>
        <w:t xml:space="preserve"> (candidate)</w:t>
      </w:r>
      <w:r>
        <w:rPr>
          <w:rFonts w:ascii="Arial" w:hAnsi="Arial" w:cs="Arial"/>
          <w:spacing w:val="-2"/>
        </w:rPr>
        <w:tab/>
      </w:r>
    </w:p>
    <w:p w14:paraId="6B2F2151">
      <w:pPr>
        <w:spacing w:after="0" w:line="240" w:lineRule="auto"/>
        <w:ind w:left="720"/>
        <w:jc w:val="both"/>
        <w:rPr>
          <w:rFonts w:ascii="Arial" w:hAnsi="Arial" w:cs="Arial"/>
          <w:spacing w:val="-2"/>
        </w:rPr>
      </w:pPr>
    </w:p>
    <w:p w14:paraId="0A1E1B03">
      <w:pPr>
        <w:spacing w:after="0" w:line="240" w:lineRule="auto"/>
        <w:ind w:left="720"/>
        <w:jc w:val="both"/>
        <w:rPr>
          <w:rFonts w:hint="default" w:ascii="Arial" w:hAnsi="Arial" w:cs="Arial"/>
          <w:spacing w:val="-2"/>
          <w:lang w:val="en-GB"/>
        </w:rPr>
      </w:pPr>
      <w:r>
        <w:rPr>
          <w:rFonts w:ascii="Arial" w:hAnsi="Arial" w:cs="Arial"/>
          <w:spacing w:val="-2"/>
        </w:rPr>
        <w:t>Date .</w:t>
      </w:r>
      <w:r>
        <w:rPr>
          <w:rFonts w:hint="default" w:ascii="Arial" w:hAnsi="Arial" w:cs="Arial"/>
          <w:spacing w:val="-2"/>
          <w:lang w:val="en-GB"/>
        </w:rPr>
        <w:t xml:space="preserve"> </w:t>
      </w:r>
      <w:r>
        <w:rPr>
          <w:rFonts w:ascii="Arial" w:hAnsi="Arial" w:cs="Arial"/>
          <w:spacing w:val="-2"/>
        </w:rPr>
        <w:tab/>
      </w:r>
      <w:r>
        <w:rPr>
          <w:rFonts w:hint="default" w:ascii="Arial" w:hAnsi="Arial" w:cs="Arial"/>
          <w:spacing w:val="-2"/>
          <w:lang w:val="en-GB"/>
        </w:rPr>
        <w:t>12.12.2025</w:t>
      </w:r>
    </w:p>
    <w:p w14:paraId="3FFEFBDC">
      <w:pPr>
        <w:spacing w:after="0" w:line="240" w:lineRule="auto"/>
        <w:ind w:left="720"/>
        <w:jc w:val="both"/>
        <w:rPr>
          <w:rFonts w:ascii="Arial" w:hAnsi="Arial" w:cs="Arial"/>
          <w:spacing w:val="-2"/>
        </w:rPr>
      </w:pPr>
    </w:p>
    <w:p w14:paraId="3411027C">
      <w:pPr>
        <w:spacing w:after="0" w:line="240" w:lineRule="auto"/>
        <w:ind w:left="720"/>
        <w:jc w:val="both"/>
        <w:rPr>
          <w:rFonts w:ascii="Arial" w:hAnsi="Arial" w:cs="Arial"/>
          <w:spacing w:val="-2"/>
        </w:rPr>
      </w:pPr>
    </w:p>
    <w:p w14:paraId="0B99278A">
      <w:pPr>
        <w:spacing w:after="0" w:line="240" w:lineRule="auto"/>
        <w:ind w:left="720"/>
        <w:jc w:val="both"/>
        <w:rPr>
          <w:rFonts w:ascii="Arial" w:hAnsi="Arial" w:cs="Arial"/>
          <w:spacing w:val="-2"/>
        </w:rPr>
      </w:pPr>
      <w:r>
        <w:rPr>
          <w:rFonts w:ascii="Arial" w:hAnsi="Arial" w:cs="Arial"/>
          <w:spacing w:val="-2"/>
        </w:rPr>
        <w:t>STATEMENT 1</w:t>
      </w:r>
      <w:r>
        <w:rPr>
          <w:rFonts w:ascii="Arial" w:hAnsi="Arial" w:cs="Arial"/>
          <w:spacing w:val="-2"/>
        </w:rPr>
        <w:tab/>
      </w:r>
    </w:p>
    <w:p w14:paraId="0D8EA078">
      <w:pPr>
        <w:spacing w:after="0" w:line="240" w:lineRule="auto"/>
        <w:ind w:left="720"/>
        <w:jc w:val="both"/>
        <w:rPr>
          <w:rFonts w:ascii="Arial" w:hAnsi="Arial" w:cs="Arial"/>
          <w:spacing w:val="-2"/>
        </w:rPr>
      </w:pPr>
    </w:p>
    <w:p w14:paraId="33AECC13">
      <w:pPr>
        <w:spacing w:after="0" w:line="240" w:lineRule="auto"/>
        <w:ind w:left="720"/>
        <w:jc w:val="both"/>
        <w:rPr>
          <w:rFonts w:ascii="Arial" w:hAnsi="Arial" w:cs="Arial"/>
          <w:spacing w:val="-2"/>
        </w:rPr>
      </w:pPr>
      <w:r>
        <w:rPr>
          <w:rFonts w:ascii="Arial" w:hAnsi="Arial" w:cs="Arial"/>
          <w:spacing w:val="-2"/>
        </w:rPr>
        <w:t xml:space="preserve">This work is the result of my own investigations, except where otherwise stated. </w:t>
      </w:r>
    </w:p>
    <w:p w14:paraId="53D7BC62">
      <w:pPr>
        <w:spacing w:after="0" w:line="240" w:lineRule="auto"/>
        <w:ind w:left="720"/>
        <w:jc w:val="both"/>
        <w:rPr>
          <w:rFonts w:ascii="Arial" w:hAnsi="Arial" w:cs="Arial"/>
          <w:spacing w:val="-2"/>
        </w:rPr>
      </w:pPr>
    </w:p>
    <w:p w14:paraId="1662E062">
      <w:pPr>
        <w:spacing w:after="0" w:line="240" w:lineRule="auto"/>
        <w:ind w:left="720"/>
        <w:jc w:val="both"/>
        <w:rPr>
          <w:rFonts w:ascii="Arial" w:hAnsi="Arial" w:cs="Arial"/>
          <w:spacing w:val="-2"/>
        </w:rPr>
      </w:pPr>
      <w:r>
        <w:rPr>
          <w:rFonts w:ascii="Arial" w:hAnsi="Arial" w:cs="Arial"/>
          <w:spacing w:val="-2"/>
        </w:rPr>
        <w:t>Other sources are acknowledged by footnotes giving explicit references.  A bibliography is appended.</w:t>
      </w:r>
    </w:p>
    <w:p w14:paraId="6A46CED7">
      <w:pPr>
        <w:spacing w:after="0" w:line="240" w:lineRule="auto"/>
        <w:ind w:left="720"/>
        <w:jc w:val="both"/>
        <w:rPr>
          <w:rFonts w:ascii="Arial" w:hAnsi="Arial" w:cs="Arial"/>
          <w:spacing w:val="-2"/>
        </w:rPr>
      </w:pPr>
    </w:p>
    <w:p w14:paraId="3979F3A2">
      <w:pPr>
        <w:spacing w:after="0" w:line="240" w:lineRule="auto"/>
        <w:ind w:left="720"/>
        <w:jc w:val="both"/>
        <w:rPr>
          <w:rFonts w:ascii="Arial" w:hAnsi="Arial" w:cs="Arial"/>
          <w:spacing w:val="-2"/>
        </w:rPr>
      </w:pPr>
    </w:p>
    <w:p w14:paraId="16846C6A">
      <w:pPr>
        <w:spacing w:after="0" w:line="240" w:lineRule="auto"/>
        <w:ind w:left="720"/>
        <w:jc w:val="both"/>
        <w:rPr>
          <w:rFonts w:ascii="Arial" w:hAnsi="Arial" w:cs="Arial"/>
          <w:spacing w:val="-2"/>
        </w:rPr>
      </w:pPr>
      <w:r>
        <w:rPr>
          <w:rFonts w:ascii="Arial" w:hAnsi="Arial" w:cs="Arial"/>
          <w:spacing w:val="-2"/>
        </w:rPr>
        <w:t>Signed ..................................................................... (candidate)</w:t>
      </w:r>
      <w:r>
        <w:rPr>
          <w:rFonts w:ascii="Arial" w:hAnsi="Arial" w:cs="Arial"/>
          <w:spacing w:val="-2"/>
        </w:rPr>
        <w:tab/>
      </w:r>
    </w:p>
    <w:p w14:paraId="713FDAD3">
      <w:pPr>
        <w:spacing w:after="0" w:line="240" w:lineRule="auto"/>
        <w:ind w:left="720"/>
        <w:jc w:val="both"/>
        <w:rPr>
          <w:rFonts w:ascii="Arial" w:hAnsi="Arial" w:cs="Arial"/>
          <w:spacing w:val="-2"/>
        </w:rPr>
      </w:pPr>
    </w:p>
    <w:p w14:paraId="39BAB2F5">
      <w:pPr>
        <w:spacing w:after="0" w:line="240" w:lineRule="auto"/>
        <w:ind w:left="720"/>
        <w:jc w:val="both"/>
        <w:rPr>
          <w:rFonts w:ascii="Arial" w:hAnsi="Arial" w:cs="Arial"/>
          <w:spacing w:val="-2"/>
        </w:rPr>
      </w:pPr>
      <w:r>
        <w:rPr>
          <w:rFonts w:ascii="Arial" w:hAnsi="Arial" w:cs="Arial"/>
          <w:spacing w:val="-2"/>
        </w:rPr>
        <w:t xml:space="preserve">Date </w:t>
      </w:r>
      <w:r>
        <w:rPr>
          <w:rFonts w:hint="default" w:ascii="Arial" w:hAnsi="Arial" w:cs="Arial"/>
          <w:spacing w:val="-2"/>
          <w:lang w:val="en-GB"/>
        </w:rPr>
        <w:t>12.12.2025</w:t>
      </w:r>
      <w:r>
        <w:rPr>
          <w:rFonts w:ascii="Arial" w:hAnsi="Arial" w:cs="Arial"/>
          <w:spacing w:val="-2"/>
        </w:rPr>
        <w:tab/>
      </w:r>
    </w:p>
    <w:p w14:paraId="4A7046D5">
      <w:pPr>
        <w:spacing w:after="0" w:line="240" w:lineRule="auto"/>
        <w:ind w:left="720"/>
        <w:jc w:val="both"/>
        <w:rPr>
          <w:rFonts w:ascii="Arial" w:hAnsi="Arial" w:cs="Arial"/>
          <w:spacing w:val="-2"/>
        </w:rPr>
      </w:pPr>
    </w:p>
    <w:p w14:paraId="505A2D73">
      <w:pPr>
        <w:spacing w:after="0" w:line="240" w:lineRule="auto"/>
        <w:ind w:left="720"/>
        <w:jc w:val="both"/>
        <w:rPr>
          <w:rFonts w:ascii="Arial" w:hAnsi="Arial" w:cs="Arial"/>
          <w:spacing w:val="-2"/>
        </w:rPr>
      </w:pPr>
    </w:p>
    <w:p w14:paraId="2E8E66FA">
      <w:pPr>
        <w:spacing w:after="0" w:line="240" w:lineRule="auto"/>
        <w:ind w:left="720"/>
        <w:jc w:val="both"/>
        <w:rPr>
          <w:rFonts w:ascii="Arial" w:hAnsi="Arial" w:cs="Arial"/>
          <w:spacing w:val="-2"/>
        </w:rPr>
      </w:pPr>
      <w:r>
        <w:rPr>
          <w:rFonts w:ascii="Arial" w:hAnsi="Arial" w:cs="Arial"/>
          <w:spacing w:val="-2"/>
        </w:rPr>
        <w:t>STATEMENT 2</w:t>
      </w:r>
      <w:r>
        <w:rPr>
          <w:rFonts w:ascii="Arial" w:hAnsi="Arial" w:cs="Arial"/>
          <w:spacing w:val="-2"/>
        </w:rPr>
        <w:tab/>
      </w:r>
    </w:p>
    <w:p w14:paraId="28114243">
      <w:pPr>
        <w:spacing w:after="0" w:line="240" w:lineRule="auto"/>
        <w:ind w:left="720"/>
        <w:jc w:val="both"/>
        <w:rPr>
          <w:rFonts w:ascii="Arial" w:hAnsi="Arial" w:cs="Arial"/>
          <w:spacing w:val="-2"/>
        </w:rPr>
      </w:pPr>
    </w:p>
    <w:p w14:paraId="3927DC15">
      <w:pPr>
        <w:spacing w:after="0" w:line="240" w:lineRule="auto"/>
        <w:ind w:left="720"/>
        <w:jc w:val="both"/>
        <w:rPr>
          <w:rFonts w:ascii="Arial" w:hAnsi="Arial" w:cs="Arial"/>
          <w:spacing w:val="-2"/>
        </w:rPr>
      </w:pPr>
      <w:r>
        <w:rPr>
          <w:rFonts w:ascii="Arial" w:hAnsi="Arial" w:cs="Arial"/>
          <w:spacing w:val="-2"/>
        </w:rPr>
        <w:t>I hereby give consent for my work, if accepted, to be available for photocopying and for inter-library loan, and for the title and summary to be made available to outside organisations.</w:t>
      </w:r>
      <w:r>
        <w:rPr>
          <w:rFonts w:ascii="Arial" w:hAnsi="Arial" w:cs="Arial"/>
          <w:spacing w:val="-2"/>
        </w:rPr>
        <w:tab/>
      </w:r>
    </w:p>
    <w:p w14:paraId="4932E001">
      <w:pPr>
        <w:spacing w:after="0" w:line="240" w:lineRule="auto"/>
        <w:ind w:left="720"/>
        <w:jc w:val="both"/>
        <w:rPr>
          <w:rFonts w:ascii="Arial" w:hAnsi="Arial" w:cs="Arial"/>
          <w:spacing w:val="-2"/>
        </w:rPr>
      </w:pPr>
    </w:p>
    <w:p w14:paraId="3FC8600E">
      <w:pPr>
        <w:spacing w:after="0" w:line="240" w:lineRule="auto"/>
        <w:ind w:left="720"/>
        <w:jc w:val="both"/>
        <w:rPr>
          <w:rFonts w:ascii="Arial" w:hAnsi="Arial" w:cs="Arial"/>
          <w:spacing w:val="-2"/>
        </w:rPr>
      </w:pPr>
    </w:p>
    <w:p w14:paraId="0519BCD3">
      <w:pPr>
        <w:spacing w:after="0" w:line="240" w:lineRule="auto"/>
        <w:ind w:left="720"/>
        <w:jc w:val="both"/>
        <w:rPr>
          <w:rFonts w:ascii="Arial" w:hAnsi="Arial" w:cs="Arial"/>
          <w:spacing w:val="-2"/>
        </w:rPr>
      </w:pPr>
      <w:r>
        <w:rPr>
          <w:rFonts w:ascii="Arial" w:hAnsi="Arial" w:cs="Arial"/>
          <w:spacing w:val="-2"/>
        </w:rPr>
        <w:t>Signed ..................................................................... (candidate)</w:t>
      </w:r>
      <w:r>
        <w:rPr>
          <w:rFonts w:ascii="Arial" w:hAnsi="Arial" w:cs="Arial"/>
          <w:spacing w:val="-2"/>
        </w:rPr>
        <w:tab/>
      </w:r>
    </w:p>
    <w:p w14:paraId="476DA5EC">
      <w:pPr>
        <w:spacing w:after="0" w:line="240" w:lineRule="auto"/>
        <w:ind w:left="720"/>
        <w:jc w:val="both"/>
        <w:rPr>
          <w:rFonts w:ascii="Arial" w:hAnsi="Arial" w:cs="Arial"/>
          <w:spacing w:val="-2"/>
        </w:rPr>
      </w:pPr>
    </w:p>
    <w:p w14:paraId="54831C36">
      <w:pPr>
        <w:spacing w:after="0" w:line="240" w:lineRule="auto"/>
        <w:ind w:left="720"/>
        <w:jc w:val="both"/>
        <w:rPr>
          <w:rFonts w:hint="default" w:ascii="Arial" w:hAnsi="Arial" w:cs="Arial"/>
          <w:spacing w:val="-2"/>
          <w:lang w:val="en-GB"/>
        </w:rPr>
      </w:pPr>
      <w:r>
        <w:rPr>
          <w:rFonts w:ascii="Arial" w:hAnsi="Arial" w:cs="Arial"/>
          <w:spacing w:val="-2"/>
        </w:rPr>
        <w:t>D</w:t>
      </w:r>
      <w:r>
        <w:rPr>
          <w:rFonts w:hint="default" w:ascii="Arial" w:hAnsi="Arial" w:cs="Arial"/>
          <w:spacing w:val="-2"/>
          <w:lang w:val="en-GB"/>
        </w:rPr>
        <w:t>ate 12.12.2025</w:t>
      </w:r>
    </w:p>
    <w:p w14:paraId="580AE16F">
      <w:r>
        <w:br w:type="page"/>
      </w:r>
    </w:p>
    <w:p w14:paraId="5BEE9464">
      <w:pPr>
        <w:jc w:val="center"/>
        <w:rPr>
          <w:rFonts w:hint="default"/>
          <w:b/>
          <w:bCs/>
          <w:sz w:val="28"/>
          <w:szCs w:val="28"/>
          <w:lang w:val="en-GB"/>
        </w:rPr>
      </w:pPr>
      <w:r>
        <w:rPr>
          <w:b/>
          <w:bCs/>
          <w:sz w:val="32"/>
          <w:szCs w:val="32"/>
        </w:rPr>
        <w:t>Acknowledgements</w:t>
      </w:r>
      <w:r>
        <w:rPr>
          <w:rFonts w:hint="default"/>
          <w:b/>
          <w:bCs/>
          <w:sz w:val="32"/>
          <w:szCs w:val="32"/>
          <w:lang w:val="en-GB"/>
        </w:rPr>
        <w:t xml:space="preserve"> </w:t>
      </w:r>
    </w:p>
    <w:p w14:paraId="3D027218">
      <w:r>
        <w:t>I am most grateful to my academic supervisor who has ensured the critical guidance, intellectual direction and constructive recommendations during the course of the research. I would like to credit the academic staff because of providing me with the theoretical and methodological base to do this study. I also applaud those retail managers who were involved in the research and gave their professional views. Finally, I would like to mention the support of my family and colleagues, which was always great and supportive to complete this piece of work. This dissertation could not have been completed without their help, supporting behaviour and guidance.</w:t>
      </w:r>
    </w:p>
    <w:p w14:paraId="06D5FC51">
      <w:pPr>
        <w:spacing w:line="360" w:lineRule="auto"/>
        <w:rPr>
          <w:b/>
          <w:bCs/>
          <w:sz w:val="28"/>
          <w:szCs w:val="28"/>
        </w:rPr>
      </w:pPr>
      <w:r>
        <w:rPr>
          <w:b/>
          <w:bCs/>
          <w:sz w:val="28"/>
          <w:szCs w:val="28"/>
        </w:rPr>
        <w:br w:type="page"/>
      </w:r>
    </w:p>
    <w:p w14:paraId="2636B370">
      <w:pPr>
        <w:jc w:val="center"/>
        <w:rPr>
          <w:b/>
          <w:bCs/>
          <w:sz w:val="28"/>
          <w:szCs w:val="28"/>
        </w:rPr>
      </w:pPr>
      <w:r>
        <w:rPr>
          <w:b/>
          <w:bCs/>
          <w:sz w:val="28"/>
          <w:szCs w:val="28"/>
        </w:rPr>
        <w:t>Abstract</w:t>
      </w:r>
    </w:p>
    <w:p w14:paraId="2D786423">
      <w:r>
        <w:t xml:space="preserve">This dissertation explores the perceptions and integration of sustainability by managers in the UK retail industry to answer the key question of the study; How do the perceptions of managers and their </w:t>
      </w:r>
      <w:r>
        <w:rPr>
          <w:lang w:val="en-GB"/>
        </w:rPr>
        <w:t>organizational</w:t>
      </w:r>
      <w:r>
        <w:t xml:space="preserve"> capabilities together with institutional pressures determine the integration of sustainability into the long-term business objectives? The work reacts to the growing regulatory, societal and competitive demands that define sustainability as a strategic requirement but not an optional project. The qualitative research design was adopted, where semi-structured interviews were used to conduct interviews on retail managers to get in-depth insights into sustainability practices. The Institutional Theory, Stakeholder Theory, and the Resource-Based View were used to inform the analysis since the three theories explain how external pressures, stakeholder expectations, and internal capability development affect the process of integrating sustainability.</w:t>
      </w:r>
    </w:p>
    <w:p w14:paraId="630B6461">
      <w:r>
        <w:t xml:space="preserve">Results show that managers acknowledge sustainability as the key to long-term competitiveness, brand trust, and resilience of operations, but its implementation is still not consistent in all retail formats because of the lack of capabilities, cultural bias, and immediate financial demands. Environmental programs, especially waste management, energy conservation, and digital visibility are more systematically integrated than social goals, which usually have no quantifiable systems. Although technology helps to improve the precision of sustainability measurements, its success is limited by the readiness of </w:t>
      </w:r>
      <w:r>
        <w:rPr>
          <w:lang w:val="en-GB"/>
        </w:rPr>
        <w:t>organizations</w:t>
      </w:r>
      <w:r>
        <w:t xml:space="preserve"> and their strategic orientation. The paper finds that sustainability has great opportunities of value creation, loyalty of stakeholder and resilience of supply-chain, however these prospects are dependent on well-defined governance systems, cross-functional coordination and maturity of fluid capabilities. </w:t>
      </w:r>
    </w:p>
    <w:p w14:paraId="232CD28C">
      <w:pPr>
        <w:spacing w:line="360" w:lineRule="auto"/>
        <w:rPr>
          <w:b/>
          <w:bCs/>
          <w:sz w:val="32"/>
          <w:szCs w:val="32"/>
        </w:rPr>
      </w:pPr>
      <w:r>
        <w:rPr>
          <w:b/>
          <w:bCs/>
          <w:sz w:val="32"/>
          <w:szCs w:val="32"/>
        </w:rPr>
        <w:br w:type="page"/>
      </w:r>
    </w:p>
    <w:sdt>
      <w:sdtPr>
        <w:rPr>
          <w:rFonts w:ascii="Times New Roman" w:hAnsi="Times New Roman" w:eastAsia="Times New Roman" w:cs="Times New Roman"/>
          <w:color w:val="auto"/>
          <w:sz w:val="24"/>
          <w:szCs w:val="24"/>
          <w:lang w:val="en-GB" w:eastAsia="en-IN"/>
        </w:rPr>
        <w:id w:val="2072923000"/>
        <w:docPartObj>
          <w:docPartGallery w:val="Table of Contents"/>
          <w:docPartUnique/>
        </w:docPartObj>
      </w:sdtPr>
      <w:sdtEndPr>
        <w:rPr>
          <w:rFonts w:ascii="Times New Roman" w:hAnsi="Times New Roman" w:eastAsia="Times New Roman" w:cs="Times New Roman"/>
          <w:b/>
          <w:bCs/>
          <w:color w:val="auto"/>
          <w:sz w:val="24"/>
          <w:szCs w:val="24"/>
          <w:lang w:val="en-GB" w:eastAsia="en-IN"/>
        </w:rPr>
      </w:sdtEndPr>
      <w:sdtContent>
        <w:p w14:paraId="1987D536">
          <w:pPr>
            <w:pStyle w:val="25"/>
            <w:spacing w:before="0" w:line="360" w:lineRule="auto"/>
            <w:jc w:val="center"/>
            <w:rPr>
              <w:rFonts w:hint="default" w:ascii="Times New Roman" w:hAnsi="Times New Roman" w:cs="Times New Roman"/>
              <w:b/>
              <w:bCs/>
              <w:color w:val="000000" w:themeColor="text1"/>
              <w:sz w:val="28"/>
              <w:szCs w:val="28"/>
              <w:lang w:val="en-GB"/>
              <w14:textFill>
                <w14:solidFill>
                  <w14:schemeClr w14:val="tx1"/>
                </w14:solidFill>
              </w14:textFill>
            </w:rPr>
          </w:pPr>
          <w:r>
            <w:rPr>
              <w:rFonts w:ascii="Times New Roman" w:hAnsi="Times New Roman" w:cs="Times New Roman"/>
              <w:b/>
              <w:bCs/>
              <w:color w:val="000000" w:themeColor="text1"/>
              <w:sz w:val="28"/>
              <w:szCs w:val="28"/>
              <w14:textFill>
                <w14:solidFill>
                  <w14:schemeClr w14:val="tx1"/>
                </w14:solidFill>
              </w14:textFill>
            </w:rPr>
            <w:t>Table of Content</w:t>
          </w:r>
          <w:r>
            <w:rPr>
              <w:rFonts w:hint="default" w:ascii="Times New Roman" w:hAnsi="Times New Roman" w:cs="Times New Roman"/>
              <w:b/>
              <w:bCs/>
              <w:color w:val="000000" w:themeColor="text1"/>
              <w:sz w:val="28"/>
              <w:szCs w:val="28"/>
              <w:lang w:val="en-GB"/>
              <w14:textFill>
                <w14:solidFill>
                  <w14:schemeClr w14:val="tx1"/>
                </w14:solidFill>
              </w14:textFill>
            </w:rPr>
            <w:t xml:space="preserve">                                            </w:t>
          </w:r>
        </w:p>
        <w:p w14:paraId="75042B17">
          <w:pPr>
            <w:ind w:firstLine="840" w:firstLineChars="350"/>
            <w:rPr>
              <w:rFonts w:hint="default"/>
              <w:lang w:val="en-GB"/>
            </w:rPr>
          </w:pPr>
          <w:r>
            <w:rPr>
              <w:rFonts w:hint="default"/>
              <w:lang w:val="en-GB"/>
            </w:rPr>
            <w:t>* Declaration and statement</w:t>
          </w:r>
        </w:p>
        <w:p w14:paraId="57A65361">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TOC \o "1-3" \h \z \u </w:instrText>
          </w:r>
          <w:r>
            <w:fldChar w:fldCharType="separate"/>
          </w:r>
          <w:r>
            <w:fldChar w:fldCharType="begin"/>
          </w:r>
          <w:r>
            <w:instrText xml:space="preserve"> HYPERLINK \l "_Toc216431665" </w:instrText>
          </w:r>
          <w:r>
            <w:fldChar w:fldCharType="separate"/>
          </w:r>
          <w:r>
            <w:rPr>
              <w:rStyle w:val="13"/>
            </w:rPr>
            <w:t>Chapter 1: Introduction</w:t>
          </w:r>
          <w:r>
            <w:tab/>
          </w:r>
          <w:r>
            <w:fldChar w:fldCharType="begin"/>
          </w:r>
          <w:r>
            <w:instrText xml:space="preserve"> PAGEREF _Toc216431665 \h </w:instrText>
          </w:r>
          <w:r>
            <w:fldChar w:fldCharType="separate"/>
          </w:r>
          <w:r>
            <w:t>9</w:t>
          </w:r>
          <w:r>
            <w:fldChar w:fldCharType="end"/>
          </w:r>
          <w:r>
            <w:fldChar w:fldCharType="end"/>
          </w:r>
        </w:p>
        <w:p w14:paraId="22D9A055">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"_Toc216431666" </w:instrText>
          </w:r>
          <w:r>
            <w:fldChar w:fldCharType="separate"/>
          </w:r>
          <w:r>
            <w:rPr>
              <w:rStyle w:val="13"/>
            </w:rPr>
            <w:t>1.1 Background of the Study</w:t>
          </w:r>
          <w:r>
            <w:tab/>
          </w:r>
          <w:r>
            <w:fldChar w:fldCharType="begin"/>
          </w:r>
          <w:r>
            <w:instrText xml:space="preserve"> PAGEREF _Toc216431666 \h </w:instrText>
          </w:r>
          <w:r>
            <w:fldChar w:fldCharType="separate"/>
          </w:r>
          <w:r>
            <w:t>9</w:t>
          </w:r>
          <w:r>
            <w:fldChar w:fldCharType="end"/>
          </w:r>
          <w:r>
            <w:fldChar w:fldCharType="end"/>
          </w:r>
        </w:p>
        <w:p w14:paraId="11E8AC88">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"_Toc216431667" </w:instrText>
          </w:r>
          <w:r>
            <w:fldChar w:fldCharType="separate"/>
          </w:r>
          <w:r>
            <w:rPr>
              <w:rStyle w:val="13"/>
            </w:rPr>
            <w:t>1.2 Research Focus / Problem Focus</w:t>
          </w:r>
          <w:r>
            <w:tab/>
          </w:r>
          <w:r>
            <w:fldChar w:fldCharType="begin"/>
          </w:r>
          <w:r>
            <w:instrText xml:space="preserve"> PAGEREF _Toc216431667 \h </w:instrText>
          </w:r>
          <w:r>
            <w:fldChar w:fldCharType="separate"/>
          </w:r>
          <w:r>
            <w:t>10</w:t>
          </w:r>
          <w:r>
            <w:fldChar w:fldCharType="end"/>
          </w:r>
          <w:r>
            <w:fldChar w:fldCharType="end"/>
          </w:r>
        </w:p>
        <w:p w14:paraId="262F941B">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"_Toc216431668" </w:instrText>
          </w:r>
          <w:r>
            <w:fldChar w:fldCharType="separate"/>
          </w:r>
          <w:r>
            <w:rPr>
              <w:rStyle w:val="13"/>
            </w:rPr>
            <w:t>1.3 Rationale for the Study</w:t>
          </w:r>
          <w:r>
            <w:tab/>
          </w:r>
          <w:r>
            <w:fldChar w:fldCharType="begin"/>
          </w:r>
          <w:r>
            <w:instrText xml:space="preserve"> PAGEREF _Toc216431668 \h </w:instrText>
          </w:r>
          <w:r>
            <w:fldChar w:fldCharType="separate"/>
          </w:r>
          <w:r>
            <w:t>12</w:t>
          </w:r>
          <w:r>
            <w:fldChar w:fldCharType="end"/>
          </w:r>
          <w:r>
            <w:fldChar w:fldCharType="end"/>
          </w:r>
        </w:p>
        <w:p w14:paraId="0A519A37">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"_Toc216431669" </w:instrText>
          </w:r>
          <w:r>
            <w:fldChar w:fldCharType="separate"/>
          </w:r>
          <w:r>
            <w:rPr>
              <w:rStyle w:val="13"/>
            </w:rPr>
            <w:t>1.4 Research Aim</w:t>
          </w:r>
          <w:r>
            <w:tab/>
          </w:r>
          <w:r>
            <w:fldChar w:fldCharType="begin"/>
          </w:r>
          <w:r>
            <w:instrText xml:space="preserve"> PAGEREF _Toc216431669 \h </w:instrText>
          </w:r>
          <w:r>
            <w:fldChar w:fldCharType="separate"/>
          </w:r>
          <w:r>
            <w:t>13</w:t>
          </w:r>
          <w:r>
            <w:fldChar w:fldCharType="end"/>
          </w:r>
          <w:r>
            <w:fldChar w:fldCharType="end"/>
          </w:r>
        </w:p>
        <w:p w14:paraId="7795F19D">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"_Toc216431670" </w:instrText>
          </w:r>
          <w:r>
            <w:fldChar w:fldCharType="separate"/>
          </w:r>
          <w:r>
            <w:rPr>
              <w:rStyle w:val="13"/>
            </w:rPr>
            <w:t>1.5 Research Objectives</w:t>
          </w:r>
          <w:r>
            <w:tab/>
          </w:r>
          <w:r>
            <w:fldChar w:fldCharType="begin"/>
          </w:r>
          <w:r>
            <w:instrText xml:space="preserve"> PAGEREF _Toc216431670 \h </w:instrText>
          </w:r>
          <w:r>
            <w:fldChar w:fldCharType="separate"/>
          </w:r>
          <w:r>
            <w:t>13</w:t>
          </w:r>
          <w:r>
            <w:fldChar w:fldCharType="end"/>
          </w:r>
          <w:r>
            <w:fldChar w:fldCharType="end"/>
          </w:r>
        </w:p>
        <w:p w14:paraId="4E6318BC">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"_Toc216431671" </w:instrText>
          </w:r>
          <w:r>
            <w:fldChar w:fldCharType="separate"/>
          </w:r>
          <w:r>
            <w:rPr>
              <w:rStyle w:val="13"/>
            </w:rPr>
            <w:t>1.6 Scope and Boundaries</w:t>
          </w:r>
          <w:r>
            <w:tab/>
          </w:r>
          <w:r>
            <w:fldChar w:fldCharType="begin"/>
          </w:r>
          <w:r>
            <w:instrText xml:space="preserve"> PAGEREF _Toc216431671 \h </w:instrText>
          </w:r>
          <w:r>
            <w:fldChar w:fldCharType="separate"/>
          </w:r>
          <w:r>
            <w:t>14</w:t>
          </w:r>
          <w:r>
            <w:fldChar w:fldCharType="end"/>
          </w:r>
          <w:r>
            <w:fldChar w:fldCharType="end"/>
          </w:r>
        </w:p>
        <w:p w14:paraId="4AB8B226">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"_Toc216431672" </w:instrText>
          </w:r>
          <w:r>
            <w:fldChar w:fldCharType="separate"/>
          </w:r>
          <w:r>
            <w:rPr>
              <w:rStyle w:val="13"/>
            </w:rPr>
            <w:t>1.7 Structure of the Dissertation</w:t>
          </w:r>
          <w:r>
            <w:tab/>
          </w:r>
          <w:r>
            <w:fldChar w:fldCharType="begin"/>
          </w:r>
          <w:r>
            <w:instrText xml:space="preserve"> PAGEREF _Toc216431672 \h </w:instrText>
          </w:r>
          <w:r>
            <w:fldChar w:fldCharType="separate"/>
          </w:r>
          <w:r>
            <w:t>15</w:t>
          </w:r>
          <w:r>
            <w:fldChar w:fldCharType="end"/>
          </w:r>
          <w:r>
            <w:fldChar w:fldCharType="end"/>
          </w:r>
        </w:p>
        <w:p w14:paraId="2A972B15">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"_Toc216431673" </w:instrText>
          </w:r>
          <w:r>
            <w:fldChar w:fldCharType="separate"/>
          </w:r>
          <w:r>
            <w:rPr>
              <w:rStyle w:val="13"/>
            </w:rPr>
            <w:t>1.8 Summary of the Chapter</w:t>
          </w:r>
          <w:r>
            <w:tab/>
          </w:r>
          <w:r>
            <w:fldChar w:fldCharType="begin"/>
          </w:r>
          <w:r>
            <w:instrText xml:space="preserve"> PAGEREF _Toc216431673 \h </w:instrText>
          </w:r>
          <w:r>
            <w:fldChar w:fldCharType="separate"/>
          </w:r>
          <w:r>
            <w:t>16</w:t>
          </w:r>
          <w:r>
            <w:fldChar w:fldCharType="end"/>
          </w:r>
          <w:r>
            <w:fldChar w:fldCharType="end"/>
          </w:r>
        </w:p>
        <w:p w14:paraId="045C7EDA">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"_Toc216431674" </w:instrText>
          </w:r>
          <w:r>
            <w:fldChar w:fldCharType="separate"/>
          </w:r>
          <w:r>
            <w:rPr>
              <w:rStyle w:val="13"/>
            </w:rPr>
            <w:t>Chapter 2: Literature Review</w:t>
          </w:r>
          <w:r>
            <w:tab/>
          </w:r>
          <w:r>
            <w:fldChar w:fldCharType="begin"/>
          </w:r>
          <w:r>
            <w:instrText xml:space="preserve"> PAGEREF _Toc216431674 \h </w:instrText>
          </w:r>
          <w:r>
            <w:fldChar w:fldCharType="separate"/>
          </w:r>
          <w:r>
            <w:t>17</w:t>
          </w:r>
          <w:r>
            <w:fldChar w:fldCharType="end"/>
          </w:r>
          <w:r>
            <w:fldChar w:fldCharType="end"/>
          </w:r>
        </w:p>
        <w:p w14:paraId="6B7B29D7">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"_Toc216431675" </w:instrText>
          </w:r>
          <w:r>
            <w:fldChar w:fldCharType="separate"/>
          </w:r>
          <w:r>
            <w:rPr>
              <w:rStyle w:val="13"/>
            </w:rPr>
            <w:t>2.1 Introduction</w:t>
          </w:r>
          <w:r>
            <w:tab/>
          </w:r>
          <w:r>
            <w:fldChar w:fldCharType="begin"/>
          </w:r>
          <w:r>
            <w:instrText xml:space="preserve"> PAGEREF _Toc216431675 \h </w:instrText>
          </w:r>
          <w:r>
            <w:fldChar w:fldCharType="separate"/>
          </w:r>
          <w:r>
            <w:t>17</w:t>
          </w:r>
          <w:r>
            <w:fldChar w:fldCharType="end"/>
          </w:r>
          <w:r>
            <w:fldChar w:fldCharType="end"/>
          </w:r>
        </w:p>
        <w:p w14:paraId="6F01033B">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"_Toc216431676" </w:instrText>
          </w:r>
          <w:r>
            <w:fldChar w:fldCharType="separate"/>
          </w:r>
          <w:r>
            <w:rPr>
              <w:rStyle w:val="13"/>
            </w:rPr>
            <w:t>2.2 Conceptual Framework</w:t>
          </w:r>
          <w:r>
            <w:tab/>
          </w:r>
          <w:r>
            <w:fldChar w:fldCharType="begin"/>
          </w:r>
          <w:r>
            <w:instrText xml:space="preserve"> PAGEREF _Toc216431676 \h </w:instrText>
          </w:r>
          <w:r>
            <w:fldChar w:fldCharType="separate"/>
          </w:r>
          <w:r>
            <w:t>17</w:t>
          </w:r>
          <w:r>
            <w:fldChar w:fldCharType="end"/>
          </w:r>
          <w:r>
            <w:fldChar w:fldCharType="end"/>
          </w:r>
        </w:p>
        <w:p w14:paraId="14E5DE74">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"_Toc216431677" </w:instrText>
          </w:r>
          <w:r>
            <w:fldChar w:fldCharType="separate"/>
          </w:r>
          <w:r>
            <w:rPr>
              <w:rStyle w:val="13"/>
            </w:rPr>
            <w:t>2.3 The perceptions of UK retail managers regarding the role of sustainability in business strategy</w:t>
          </w:r>
          <w:r>
            <w:tab/>
          </w:r>
          <w:r>
            <w:fldChar w:fldCharType="begin"/>
          </w:r>
          <w:r>
            <w:instrText xml:space="preserve"> PAGEREF _Toc216431677 \h </w:instrText>
          </w:r>
          <w:r>
            <w:fldChar w:fldCharType="separate"/>
          </w:r>
          <w:r>
            <w:t>19</w:t>
          </w:r>
          <w:r>
            <w:fldChar w:fldCharType="end"/>
          </w:r>
          <w:r>
            <w:fldChar w:fldCharType="end"/>
          </w:r>
        </w:p>
        <w:p w14:paraId="5193D0E5">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"_Toc216431678" </w:instrText>
          </w:r>
          <w:r>
            <w:fldChar w:fldCharType="separate"/>
          </w:r>
          <w:r>
            <w:rPr>
              <w:rStyle w:val="13"/>
              <w:lang w:val="en-IN"/>
            </w:rPr>
            <w:t>2.4 The practical implementation and measurement of sustainability initiatives in retail operations</w:t>
          </w:r>
          <w:r>
            <w:tab/>
          </w:r>
          <w:r>
            <w:fldChar w:fldCharType="begin"/>
          </w:r>
          <w:r>
            <w:instrText xml:space="preserve"> PAGEREF _Toc216431678 \h </w:instrText>
          </w:r>
          <w:r>
            <w:fldChar w:fldCharType="separate"/>
          </w:r>
          <w:r>
            <w:t>21</w:t>
          </w:r>
          <w:r>
            <w:fldChar w:fldCharType="end"/>
          </w:r>
          <w:r>
            <w:fldChar w:fldCharType="end"/>
          </w:r>
        </w:p>
        <w:p w14:paraId="2EC1C958">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"_Toc216431679" </w:instrText>
          </w:r>
          <w:r>
            <w:fldChar w:fldCharType="separate"/>
          </w:r>
          <w:r>
            <w:rPr>
              <w:rStyle w:val="13"/>
              <w:lang w:val="en-IN"/>
            </w:rPr>
            <w:t>2.5 Opportunities faced by managers in embedding sustainability within long-term business goals</w:t>
          </w:r>
          <w:r>
            <w:tab/>
          </w:r>
          <w:r>
            <w:fldChar w:fldCharType="begin"/>
          </w:r>
          <w:r>
            <w:instrText xml:space="preserve"> PAGEREF _Toc216431679 \h </w:instrText>
          </w:r>
          <w:r>
            <w:fldChar w:fldCharType="separate"/>
          </w:r>
          <w:r>
            <w:t>23</w:t>
          </w:r>
          <w:r>
            <w:fldChar w:fldCharType="end"/>
          </w:r>
          <w:r>
            <w:fldChar w:fldCharType="end"/>
          </w:r>
        </w:p>
        <w:p w14:paraId="5B55FAE0">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"_Toc216431680" </w:instrText>
          </w:r>
          <w:r>
            <w:fldChar w:fldCharType="separate"/>
          </w:r>
          <w:r>
            <w:rPr>
              <w:rStyle w:val="13"/>
              <w:lang w:val="en-IN"/>
            </w:rPr>
            <w:t>2.6 Challenges faced by managers in embedding sustainability within long-term business goals</w:t>
          </w:r>
          <w:r>
            <w:tab/>
          </w:r>
          <w:r>
            <w:fldChar w:fldCharType="begin"/>
          </w:r>
          <w:r>
            <w:instrText xml:space="preserve"> PAGEREF _Toc216431680 \h </w:instrText>
          </w:r>
          <w:r>
            <w:fldChar w:fldCharType="separate"/>
          </w:r>
          <w:r>
            <w:t>25</w:t>
          </w:r>
          <w:r>
            <w:fldChar w:fldCharType="end"/>
          </w:r>
          <w:r>
            <w:fldChar w:fldCharType="end"/>
          </w:r>
        </w:p>
        <w:p w14:paraId="0C864F46">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"_Toc216431681" </w:instrText>
          </w:r>
          <w:r>
            <w:fldChar w:fldCharType="separate"/>
          </w:r>
          <w:r>
            <w:rPr>
              <w:rStyle w:val="13"/>
              <w:lang w:val="en-IN"/>
            </w:rPr>
            <w:t>2.7 Theoretical Implications</w:t>
          </w:r>
          <w:r>
            <w:tab/>
          </w:r>
          <w:r>
            <w:fldChar w:fldCharType="begin"/>
          </w:r>
          <w:r>
            <w:instrText xml:space="preserve"> PAGEREF _Toc216431681 \h </w:instrText>
          </w:r>
          <w:r>
            <w:fldChar w:fldCharType="separate"/>
          </w:r>
          <w:r>
            <w:t>27</w:t>
          </w:r>
          <w:r>
            <w:fldChar w:fldCharType="end"/>
          </w:r>
          <w:r>
            <w:fldChar w:fldCharType="end"/>
          </w:r>
        </w:p>
        <w:p w14:paraId="179BF97D">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"_Toc216431682" </w:instrText>
          </w:r>
          <w:r>
            <w:fldChar w:fldCharType="separate"/>
          </w:r>
          <w:r>
            <w:rPr>
              <w:rStyle w:val="13"/>
              <w:lang w:val="en-IN"/>
            </w:rPr>
            <w:t>2.8 Literature Gap</w:t>
          </w:r>
          <w:r>
            <w:tab/>
          </w:r>
          <w:r>
            <w:fldChar w:fldCharType="begin"/>
          </w:r>
          <w:r>
            <w:instrText xml:space="preserve"> PAGEREF _Toc216431682 \h </w:instrText>
          </w:r>
          <w:r>
            <w:fldChar w:fldCharType="separate"/>
          </w:r>
          <w:r>
            <w:t>28</w:t>
          </w:r>
          <w:r>
            <w:fldChar w:fldCharType="end"/>
          </w:r>
          <w:r>
            <w:fldChar w:fldCharType="end"/>
          </w:r>
        </w:p>
        <w:p w14:paraId="55BEE7B5">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"_Toc216431683" </w:instrText>
          </w:r>
          <w:r>
            <w:fldChar w:fldCharType="separate"/>
          </w:r>
          <w:r>
            <w:rPr>
              <w:rStyle w:val="13"/>
              <w:lang w:val="en-IN"/>
            </w:rPr>
            <w:t>2.9 Summary</w:t>
          </w:r>
          <w:r>
            <w:tab/>
          </w:r>
          <w:r>
            <w:fldChar w:fldCharType="begin"/>
          </w:r>
          <w:r>
            <w:instrText xml:space="preserve"> PAGEREF _Toc216431683 \h </w:instrText>
          </w:r>
          <w:r>
            <w:fldChar w:fldCharType="separate"/>
          </w:r>
          <w:r>
            <w:t>29</w:t>
          </w:r>
          <w:r>
            <w:fldChar w:fldCharType="end"/>
          </w:r>
          <w:r>
            <w:fldChar w:fldCharType="end"/>
          </w:r>
        </w:p>
        <w:p w14:paraId="17CBE68B">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"_Toc216431684" </w:instrText>
          </w:r>
          <w:r>
            <w:fldChar w:fldCharType="separate"/>
          </w:r>
          <w:r>
            <w:rPr>
              <w:rStyle w:val="13"/>
            </w:rPr>
            <w:t>Chapter 3: Methodology</w:t>
          </w:r>
          <w:r>
            <w:tab/>
          </w:r>
          <w:r>
            <w:fldChar w:fldCharType="begin"/>
          </w:r>
          <w:r>
            <w:instrText xml:space="preserve"> PAGEREF _Toc216431684 \h </w:instrText>
          </w:r>
          <w:r>
            <w:fldChar w:fldCharType="separate"/>
          </w:r>
          <w:r>
            <w:t>30</w:t>
          </w:r>
          <w:r>
            <w:fldChar w:fldCharType="end"/>
          </w:r>
          <w:r>
            <w:fldChar w:fldCharType="end"/>
          </w:r>
        </w:p>
        <w:p w14:paraId="04582988">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"_Toc216431685" </w:instrText>
          </w:r>
          <w:r>
            <w:fldChar w:fldCharType="separate"/>
          </w:r>
          <w:r>
            <w:rPr>
              <w:rStyle w:val="13"/>
            </w:rPr>
            <w:t>3.1 Research Objectives</w:t>
          </w:r>
          <w:r>
            <w:tab/>
          </w:r>
          <w:r>
            <w:fldChar w:fldCharType="begin"/>
          </w:r>
          <w:r>
            <w:instrText xml:space="preserve"> PAGEREF _Toc216431685 \h </w:instrText>
          </w:r>
          <w:r>
            <w:fldChar w:fldCharType="separate"/>
          </w:r>
          <w:r>
            <w:t>30</w:t>
          </w:r>
          <w:r>
            <w:fldChar w:fldCharType="end"/>
          </w:r>
          <w:r>
            <w:fldChar w:fldCharType="end"/>
          </w:r>
        </w:p>
        <w:p w14:paraId="453E0160">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"_Toc216431686" </w:instrText>
          </w:r>
          <w:r>
            <w:fldChar w:fldCharType="separate"/>
          </w:r>
          <w:r>
            <w:rPr>
              <w:rStyle w:val="13"/>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3.2 Research Rationale</w:t>
          </w:r>
          <w:r>
            <w:tab/>
          </w:r>
          <w:r>
            <w:fldChar w:fldCharType="begin"/>
          </w:r>
          <w:r>
            <w:instrText xml:space="preserve"> PAGEREF _Toc216431686 \h </w:instrText>
          </w:r>
          <w:r>
            <w:fldChar w:fldCharType="separate"/>
          </w:r>
          <w:r>
            <w:t>30</w:t>
          </w:r>
          <w:r>
            <w:fldChar w:fldCharType="end"/>
          </w:r>
          <w:r>
            <w:fldChar w:fldCharType="end"/>
          </w:r>
        </w:p>
        <w:p w14:paraId="76C797D6">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"_Toc216431687" </w:instrText>
          </w:r>
          <w:r>
            <w:fldChar w:fldCharType="separate"/>
          </w:r>
          <w:r>
            <w:rPr>
              <w:rStyle w:val="13"/>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3.3 Research Design</w:t>
          </w:r>
          <w:r>
            <w:tab/>
          </w:r>
          <w:r>
            <w:fldChar w:fldCharType="begin"/>
          </w:r>
          <w:r>
            <w:instrText xml:space="preserve"> PAGEREF _Toc216431687 \h </w:instrText>
          </w:r>
          <w:r>
            <w:fldChar w:fldCharType="separate"/>
          </w:r>
          <w:r>
            <w:t>31</w:t>
          </w:r>
          <w:r>
            <w:fldChar w:fldCharType="end"/>
          </w:r>
          <w:r>
            <w:fldChar w:fldCharType="end"/>
          </w:r>
        </w:p>
        <w:p w14:paraId="6218F662">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"_Toc216431688" </w:instrText>
          </w:r>
          <w:r>
            <w:fldChar w:fldCharType="separate"/>
          </w:r>
          <w:r>
            <w:rPr>
              <w:rStyle w:val="13"/>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3.4 Research Paradigm / Philosophy</w:t>
          </w:r>
          <w:r>
            <w:tab/>
          </w:r>
          <w:r>
            <w:fldChar w:fldCharType="begin"/>
          </w:r>
          <w:r>
            <w:instrText xml:space="preserve"> PAGEREF _Toc216431688 \h </w:instrText>
          </w:r>
          <w:r>
            <w:fldChar w:fldCharType="separate"/>
          </w:r>
          <w:r>
            <w:t>32</w:t>
          </w:r>
          <w:r>
            <w:fldChar w:fldCharType="end"/>
          </w:r>
          <w:r>
            <w:fldChar w:fldCharType="end"/>
          </w:r>
        </w:p>
        <w:p w14:paraId="72B1015D">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"_Toc216431689" </w:instrText>
          </w:r>
          <w:r>
            <w:fldChar w:fldCharType="separate"/>
          </w:r>
          <w:r>
            <w:rPr>
              <w:rStyle w:val="13"/>
            </w:rPr>
            <w:t>3.5 Data Collection</w:t>
          </w:r>
          <w:r>
            <w:tab/>
          </w:r>
          <w:r>
            <w:fldChar w:fldCharType="begin"/>
          </w:r>
          <w:r>
            <w:instrText xml:space="preserve"> PAGEREF _Toc216431689 \h </w:instrText>
          </w:r>
          <w:r>
            <w:fldChar w:fldCharType="separate"/>
          </w:r>
          <w:r>
            <w:t>33</w:t>
          </w:r>
          <w:r>
            <w:fldChar w:fldCharType="end"/>
          </w:r>
          <w:r>
            <w:fldChar w:fldCharType="end"/>
          </w:r>
        </w:p>
        <w:p w14:paraId="0B8E3EFB">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"_Toc216431690" </w:instrText>
          </w:r>
          <w:r>
            <w:fldChar w:fldCharType="separate"/>
          </w:r>
          <w:r>
            <w:rPr>
              <w:rStyle w:val="13"/>
            </w:rPr>
            <w:t>3.6 Population and Sample</w:t>
          </w:r>
          <w:r>
            <w:tab/>
          </w:r>
          <w:r>
            <w:fldChar w:fldCharType="begin"/>
          </w:r>
          <w:r>
            <w:instrText xml:space="preserve"> PAGEREF _Toc216431690 \h </w:instrText>
          </w:r>
          <w:r>
            <w:fldChar w:fldCharType="separate"/>
          </w:r>
          <w:r>
            <w:t>35</w:t>
          </w:r>
          <w:r>
            <w:fldChar w:fldCharType="end"/>
          </w:r>
          <w:r>
            <w:fldChar w:fldCharType="end"/>
          </w:r>
        </w:p>
        <w:p w14:paraId="6B12CFC3">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"_Toc216431691" </w:instrText>
          </w:r>
          <w:r>
            <w:fldChar w:fldCharType="separate"/>
          </w:r>
          <w:r>
            <w:rPr>
              <w:rStyle w:val="13"/>
            </w:rPr>
            <w:t>3.7 Data Analysis</w:t>
          </w:r>
          <w:r>
            <w:tab/>
          </w:r>
          <w:r>
            <w:fldChar w:fldCharType="begin"/>
          </w:r>
          <w:r>
            <w:instrText xml:space="preserve"> PAGEREF _Toc216431691 \h </w:instrText>
          </w:r>
          <w:r>
            <w:fldChar w:fldCharType="separate"/>
          </w:r>
          <w:r>
            <w:t>37</w:t>
          </w:r>
          <w:r>
            <w:fldChar w:fldCharType="end"/>
          </w:r>
          <w:r>
            <w:fldChar w:fldCharType="end"/>
          </w:r>
        </w:p>
        <w:p w14:paraId="4BB96EF7">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"_Toc216431692" </w:instrText>
          </w:r>
          <w:r>
            <w:fldChar w:fldCharType="separate"/>
          </w:r>
          <w:r>
            <w:rPr>
              <w:rStyle w:val="13"/>
            </w:rPr>
            <w:t>3.8 Reliability and Validity</w:t>
          </w:r>
          <w:r>
            <w:tab/>
          </w:r>
          <w:r>
            <w:fldChar w:fldCharType="begin"/>
          </w:r>
          <w:r>
            <w:instrText xml:space="preserve"> PAGEREF _Toc216431692 \h </w:instrText>
          </w:r>
          <w:r>
            <w:fldChar w:fldCharType="separate"/>
          </w:r>
          <w:r>
            <w:t>38</w:t>
          </w:r>
          <w:r>
            <w:fldChar w:fldCharType="end"/>
          </w:r>
          <w:r>
            <w:fldChar w:fldCharType="end"/>
          </w:r>
        </w:p>
        <w:p w14:paraId="23E2CEC7">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"_Toc216431693" </w:instrText>
          </w:r>
          <w:r>
            <w:fldChar w:fldCharType="separate"/>
          </w:r>
          <w:r>
            <w:rPr>
              <w:rStyle w:val="13"/>
            </w:rPr>
            <w:t>3.9 Limitations of the Research</w:t>
          </w:r>
          <w:r>
            <w:tab/>
          </w:r>
          <w:r>
            <w:fldChar w:fldCharType="begin"/>
          </w:r>
          <w:r>
            <w:instrText xml:space="preserve"> PAGEREF _Toc216431693 \h </w:instrText>
          </w:r>
          <w:r>
            <w:fldChar w:fldCharType="separate"/>
          </w:r>
          <w:r>
            <w:t>39</w:t>
          </w:r>
          <w:r>
            <w:fldChar w:fldCharType="end"/>
          </w:r>
          <w:r>
            <w:fldChar w:fldCharType="end"/>
          </w:r>
        </w:p>
        <w:p w14:paraId="4F2361FD">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"_Toc216431694" </w:instrText>
          </w:r>
          <w:r>
            <w:fldChar w:fldCharType="separate"/>
          </w:r>
          <w:r>
            <w:rPr>
              <w:rStyle w:val="13"/>
            </w:rPr>
            <w:t>3.10 Research Ethics</w:t>
          </w:r>
          <w:r>
            <w:tab/>
          </w:r>
          <w:r>
            <w:fldChar w:fldCharType="begin"/>
          </w:r>
          <w:r>
            <w:instrText xml:space="preserve"> PAGEREF _Toc216431694 \h </w:instrText>
          </w:r>
          <w:r>
            <w:fldChar w:fldCharType="separate"/>
          </w:r>
          <w:r>
            <w:t>39</w:t>
          </w:r>
          <w:r>
            <w:fldChar w:fldCharType="end"/>
          </w:r>
          <w:r>
            <w:fldChar w:fldCharType="end"/>
          </w:r>
        </w:p>
        <w:p w14:paraId="1B72FB82">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"_Toc216431695" </w:instrText>
          </w:r>
          <w:r>
            <w:fldChar w:fldCharType="separate"/>
          </w:r>
          <w:r>
            <w:rPr>
              <w:rStyle w:val="13"/>
            </w:rPr>
            <w:t>Chapter 4: Data Analysis</w:t>
          </w:r>
          <w:r>
            <w:tab/>
          </w:r>
          <w:r>
            <w:fldChar w:fldCharType="begin"/>
          </w:r>
          <w:r>
            <w:instrText xml:space="preserve"> PAGEREF _Toc216431695 \h </w:instrText>
          </w:r>
          <w:r>
            <w:fldChar w:fldCharType="separate"/>
          </w:r>
          <w:r>
            <w:t>41</w:t>
          </w:r>
          <w:r>
            <w:fldChar w:fldCharType="end"/>
          </w:r>
          <w:r>
            <w:fldChar w:fldCharType="end"/>
          </w:r>
        </w:p>
        <w:p w14:paraId="2527607A">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"_Toc216431696" </w:instrText>
          </w:r>
          <w:r>
            <w:fldChar w:fldCharType="separate"/>
          </w:r>
          <w:r>
            <w:rPr>
              <w:rStyle w:val="13"/>
            </w:rPr>
            <w:t>4.1 Introduction</w:t>
          </w:r>
          <w:r>
            <w:tab/>
          </w:r>
          <w:r>
            <w:fldChar w:fldCharType="begin"/>
          </w:r>
          <w:r>
            <w:instrText xml:space="preserve"> PAGEREF _Toc216431696 \h </w:instrText>
          </w:r>
          <w:r>
            <w:fldChar w:fldCharType="separate"/>
          </w:r>
          <w:r>
            <w:t>41</w:t>
          </w:r>
          <w:r>
            <w:fldChar w:fldCharType="end"/>
          </w:r>
          <w:r>
            <w:fldChar w:fldCharType="end"/>
          </w:r>
        </w:p>
        <w:p w14:paraId="72ACEF46">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"_Toc216431697" </w:instrText>
          </w:r>
          <w:r>
            <w:fldChar w:fldCharType="separate"/>
          </w:r>
          <w:r>
            <w:rPr>
              <w:rStyle w:val="13"/>
            </w:rPr>
            <w:t>4.2 Frequency Analysis</w:t>
          </w:r>
          <w:r>
            <w:tab/>
          </w:r>
          <w:r>
            <w:fldChar w:fldCharType="begin"/>
          </w:r>
          <w:r>
            <w:instrText xml:space="preserve"> PAGEREF _Toc216431697 \h </w:instrText>
          </w:r>
          <w:r>
            <w:fldChar w:fldCharType="separate"/>
          </w:r>
          <w:r>
            <w:t>41</w:t>
          </w:r>
          <w:r>
            <w:fldChar w:fldCharType="end"/>
          </w:r>
          <w:r>
            <w:fldChar w:fldCharType="end"/>
          </w:r>
        </w:p>
        <w:p w14:paraId="6F645127">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"_Toc216431698" </w:instrText>
          </w:r>
          <w:r>
            <w:fldChar w:fldCharType="separate"/>
          </w:r>
          <w:r>
            <w:rPr>
              <w:rStyle w:val="13"/>
            </w:rPr>
            <w:t>4.3 Hypothesis Analysis</w:t>
          </w:r>
          <w:r>
            <w:tab/>
          </w:r>
          <w:r>
            <w:fldChar w:fldCharType="begin"/>
          </w:r>
          <w:r>
            <w:instrText xml:space="preserve"> PAGEREF _Toc216431698 \h </w:instrText>
          </w:r>
          <w:r>
            <w:fldChar w:fldCharType="separate"/>
          </w:r>
          <w:r>
            <w:t>48</w:t>
          </w:r>
          <w:r>
            <w:fldChar w:fldCharType="end"/>
          </w:r>
          <w:r>
            <w:fldChar w:fldCharType="end"/>
          </w:r>
        </w:p>
        <w:p w14:paraId="768A47C4">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"_Toc216431699" </w:instrText>
          </w:r>
          <w:r>
            <w:fldChar w:fldCharType="separate"/>
          </w:r>
          <w:r>
            <w:rPr>
              <w:rStyle w:val="13"/>
            </w:rPr>
            <w:t>4.4 Chapter Summary</w:t>
          </w:r>
          <w:r>
            <w:tab/>
          </w:r>
          <w:r>
            <w:fldChar w:fldCharType="begin"/>
          </w:r>
          <w:r>
            <w:instrText xml:space="preserve"> PAGEREF _Toc216431699 \h </w:instrText>
          </w:r>
          <w:r>
            <w:fldChar w:fldCharType="separate"/>
          </w:r>
          <w:r>
            <w:t>56</w:t>
          </w:r>
          <w:r>
            <w:fldChar w:fldCharType="end"/>
          </w:r>
          <w:r>
            <w:fldChar w:fldCharType="end"/>
          </w:r>
        </w:p>
        <w:p w14:paraId="31F01B1F">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"_Toc216431700" </w:instrText>
          </w:r>
          <w:r>
            <w:fldChar w:fldCharType="separate"/>
          </w:r>
          <w:r>
            <w:rPr>
              <w:rStyle w:val="13"/>
            </w:rPr>
            <w:t>Chapter 5: Conclusions and Recommendations</w:t>
          </w:r>
          <w:r>
            <w:tab/>
          </w:r>
          <w:r>
            <w:fldChar w:fldCharType="begin"/>
          </w:r>
          <w:r>
            <w:instrText xml:space="preserve"> PAGEREF _Toc216431700 \h </w:instrText>
          </w:r>
          <w:r>
            <w:fldChar w:fldCharType="separate"/>
          </w:r>
          <w:r>
            <w:t>58</w:t>
          </w:r>
          <w:r>
            <w:fldChar w:fldCharType="end"/>
          </w:r>
          <w:r>
            <w:fldChar w:fldCharType="end"/>
          </w:r>
        </w:p>
        <w:p w14:paraId="634D43E9">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"_Toc216431701" </w:instrText>
          </w:r>
          <w:r>
            <w:fldChar w:fldCharType="separate"/>
          </w:r>
          <w:r>
            <w:rPr>
              <w:rStyle w:val="13"/>
            </w:rPr>
            <w:t>5.1 Summary of Findings</w:t>
          </w:r>
          <w:r>
            <w:tab/>
          </w:r>
          <w:r>
            <w:fldChar w:fldCharType="begin"/>
          </w:r>
          <w:r>
            <w:instrText xml:space="preserve"> PAGEREF _Toc216431701 \h </w:instrText>
          </w:r>
          <w:r>
            <w:fldChar w:fldCharType="separate"/>
          </w:r>
          <w:r>
            <w:t>58</w:t>
          </w:r>
          <w:r>
            <w:fldChar w:fldCharType="end"/>
          </w:r>
          <w:r>
            <w:fldChar w:fldCharType="end"/>
          </w:r>
        </w:p>
        <w:p w14:paraId="26331EB5">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"_Toc216431702" </w:instrText>
          </w:r>
          <w:r>
            <w:fldChar w:fldCharType="separate"/>
          </w:r>
          <w:r>
            <w:rPr>
              <w:rStyle w:val="13"/>
            </w:rPr>
            <w:t>5.2 Importance of Findings</w:t>
          </w:r>
          <w:r>
            <w:tab/>
          </w:r>
          <w:r>
            <w:fldChar w:fldCharType="begin"/>
          </w:r>
          <w:r>
            <w:instrText xml:space="preserve"> PAGEREF _Toc216431702 \h </w:instrText>
          </w:r>
          <w:r>
            <w:fldChar w:fldCharType="separate"/>
          </w:r>
          <w:r>
            <w:t>59</w:t>
          </w:r>
          <w:r>
            <w:fldChar w:fldCharType="end"/>
          </w:r>
          <w:r>
            <w:fldChar w:fldCharType="end"/>
          </w:r>
        </w:p>
        <w:p w14:paraId="122DD029">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"_Toc216431703" </w:instrText>
          </w:r>
          <w:r>
            <w:fldChar w:fldCharType="separate"/>
          </w:r>
          <w:r>
            <w:rPr>
              <w:rStyle w:val="13"/>
            </w:rPr>
            <w:t>5.3 Linking with Objectives</w:t>
          </w:r>
          <w:r>
            <w:tab/>
          </w:r>
          <w:r>
            <w:fldChar w:fldCharType="begin"/>
          </w:r>
          <w:r>
            <w:instrText xml:space="preserve"> PAGEREF _Toc216431703 \h </w:instrText>
          </w:r>
          <w:r>
            <w:fldChar w:fldCharType="separate"/>
          </w:r>
          <w:r>
            <w:t>60</w:t>
          </w:r>
          <w:r>
            <w:fldChar w:fldCharType="end"/>
          </w:r>
          <w:r>
            <w:fldChar w:fldCharType="end"/>
          </w:r>
        </w:p>
        <w:p w14:paraId="02977689">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"_Toc216431704" </w:instrText>
          </w:r>
          <w:r>
            <w:fldChar w:fldCharType="separate"/>
          </w:r>
          <w:r>
            <w:rPr>
              <w:rStyle w:val="13"/>
            </w:rPr>
            <w:t>5.4 Research Limitations</w:t>
          </w:r>
          <w:r>
            <w:tab/>
          </w:r>
          <w:r>
            <w:fldChar w:fldCharType="begin"/>
          </w:r>
          <w:r>
            <w:instrText xml:space="preserve"> PAGEREF _Toc216431704 \h </w:instrText>
          </w:r>
          <w:r>
            <w:fldChar w:fldCharType="separate"/>
          </w:r>
          <w:r>
            <w:t>62</w:t>
          </w:r>
          <w:r>
            <w:fldChar w:fldCharType="end"/>
          </w:r>
          <w:r>
            <w:fldChar w:fldCharType="end"/>
          </w:r>
        </w:p>
        <w:p w14:paraId="07AB1DBF">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"_Toc216431705" </w:instrText>
          </w:r>
          <w:r>
            <w:fldChar w:fldCharType="separate"/>
          </w:r>
          <w:r>
            <w:rPr>
              <w:rStyle w:val="13"/>
            </w:rPr>
            <w:t>5.5 Future Scope</w:t>
          </w:r>
          <w:r>
            <w:tab/>
          </w:r>
          <w:r>
            <w:fldChar w:fldCharType="begin"/>
          </w:r>
          <w:r>
            <w:instrText xml:space="preserve"> PAGEREF _Toc216431705 \h </w:instrText>
          </w:r>
          <w:r>
            <w:fldChar w:fldCharType="separate"/>
          </w:r>
          <w:r>
            <w:t>63</w:t>
          </w:r>
          <w:r>
            <w:fldChar w:fldCharType="end"/>
          </w:r>
          <w:r>
            <w:fldChar w:fldCharType="end"/>
          </w:r>
        </w:p>
        <w:p w14:paraId="4AA0CFCD">
          <w:pPr>
            <w:pStyle w:val="21"/>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"_Toc216431706" </w:instrText>
          </w:r>
          <w:r>
            <w:fldChar w:fldCharType="separate"/>
          </w:r>
          <w:r>
            <w:rPr>
              <w:rStyle w:val="13"/>
            </w:rPr>
            <w:t>5.6 Recommendations</w:t>
          </w:r>
          <w:r>
            <w:tab/>
          </w:r>
          <w:r>
            <w:fldChar w:fldCharType="begin"/>
          </w:r>
          <w:r>
            <w:instrText xml:space="preserve"> PAGEREF _Toc216431706 \h </w:instrText>
          </w:r>
          <w:r>
            <w:fldChar w:fldCharType="separate"/>
          </w:r>
          <w:r>
            <w:t>64</w:t>
          </w:r>
          <w:r>
            <w:fldChar w:fldCharType="end"/>
          </w:r>
          <w:r>
            <w:fldChar w:fldCharType="end"/>
          </w:r>
        </w:p>
        <w:p w14:paraId="1650CAC6">
          <w:pPr>
            <w:pStyle w:val="20"/>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"_Toc216431707" </w:instrText>
          </w:r>
          <w:r>
            <w:fldChar w:fldCharType="separate"/>
          </w:r>
          <w:r>
            <w:rPr>
              <w:rStyle w:val="13"/>
              <w:lang w:val="en-US"/>
            </w:rPr>
            <w:t>References</w:t>
          </w:r>
          <w:r>
            <w:tab/>
          </w:r>
          <w:r>
            <w:fldChar w:fldCharType="begin"/>
          </w:r>
          <w:r>
            <w:instrText xml:space="preserve"> PAGEREF _Toc216431707 \h </w:instrText>
          </w:r>
          <w:r>
            <w:fldChar w:fldCharType="separate"/>
          </w:r>
          <w:r>
            <w:t>67</w:t>
          </w:r>
          <w:r>
            <w:fldChar w:fldCharType="end"/>
          </w:r>
          <w:r>
            <w:fldChar w:fldCharType="end"/>
          </w:r>
        </w:p>
        <w:p w14:paraId="0B0B3D41">
          <w:r>
            <w:rPr>
              <w:b/>
              <w:bCs/>
            </w:rPr>
            <w:fldChar w:fldCharType="end"/>
          </w:r>
        </w:p>
      </w:sdtContent>
    </w:sdt>
    <w:p w14:paraId="3A8B760B">
      <w:pPr>
        <w:spacing w:line="360" w:lineRule="auto"/>
        <w:rPr>
          <w:b/>
          <w:bCs/>
          <w:sz w:val="28"/>
          <w:szCs w:val="28"/>
        </w:rPr>
      </w:pPr>
      <w:r>
        <w:rPr>
          <w:b/>
          <w:bCs/>
          <w:sz w:val="28"/>
          <w:szCs w:val="28"/>
        </w:rPr>
        <w:br w:type="page"/>
      </w:r>
    </w:p>
    <w:p w14:paraId="035F72B5">
      <w:pPr>
        <w:jc w:val="center"/>
        <w:rPr>
          <w:b/>
          <w:bCs/>
          <w:sz w:val="28"/>
          <w:szCs w:val="28"/>
        </w:rPr>
      </w:pPr>
      <w:r>
        <w:rPr>
          <w:b/>
          <w:bCs/>
          <w:sz w:val="28"/>
          <w:szCs w:val="28"/>
        </w:rPr>
        <w:t>List of Figures</w:t>
      </w:r>
    </w:p>
    <w:p w14:paraId="17F286F4">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TOC \h \z \t "Heading 4" \c </w:instrText>
      </w:r>
      <w:r>
        <w:fldChar w:fldCharType="separate"/>
      </w:r>
      <w:r>
        <w:fldChar w:fldCharType="begin"/>
      </w:r>
      <w:r>
        <w:instrText xml:space="preserve"> HYPERLINK \l "_Toc216431657" </w:instrText>
      </w:r>
      <w:r>
        <w:fldChar w:fldCharType="separate"/>
      </w:r>
      <w:r>
        <w:rPr>
          <w:rStyle w:val="13"/>
        </w:rPr>
        <w:t>Figure 1: Correlation Analysis for Hypothesis 1</w:t>
      </w:r>
      <w:r>
        <w:tab/>
      </w:r>
      <w:r>
        <w:fldChar w:fldCharType="begin"/>
      </w:r>
      <w:r>
        <w:instrText xml:space="preserve"> PAGEREF _Toc216431657 \h </w:instrText>
      </w:r>
      <w:r>
        <w:fldChar w:fldCharType="separate"/>
      </w:r>
      <w:r>
        <w:t>49</w:t>
      </w:r>
      <w:r>
        <w:fldChar w:fldCharType="end"/>
      </w:r>
      <w:r>
        <w:fldChar w:fldCharType="end"/>
      </w:r>
    </w:p>
    <w:p w14:paraId="4E2FFC28">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"_Toc216431658" </w:instrText>
      </w:r>
      <w:r>
        <w:fldChar w:fldCharType="separate"/>
      </w:r>
      <w:r>
        <w:rPr>
          <w:rStyle w:val="13"/>
        </w:rPr>
        <w:t>Figure 2: Regression Analysis for Hypothesis 1</w:t>
      </w:r>
      <w:r>
        <w:tab/>
      </w:r>
      <w:r>
        <w:fldChar w:fldCharType="begin"/>
      </w:r>
      <w:r>
        <w:instrText xml:space="preserve"> PAGEREF _Toc216431658 \h </w:instrText>
      </w:r>
      <w:r>
        <w:fldChar w:fldCharType="separate"/>
      </w:r>
      <w:r>
        <w:t>49</w:t>
      </w:r>
      <w:r>
        <w:fldChar w:fldCharType="end"/>
      </w:r>
      <w:r>
        <w:fldChar w:fldCharType="end"/>
      </w:r>
    </w:p>
    <w:p w14:paraId="21E9693E">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"_Toc216431659" </w:instrText>
      </w:r>
      <w:r>
        <w:fldChar w:fldCharType="separate"/>
      </w:r>
      <w:r>
        <w:rPr>
          <w:rStyle w:val="13"/>
        </w:rPr>
        <w:t>Figure 3: Correlation Analysis for Hypothesis 2</w:t>
      </w:r>
      <w:r>
        <w:tab/>
      </w:r>
      <w:r>
        <w:fldChar w:fldCharType="begin"/>
      </w:r>
      <w:r>
        <w:instrText xml:space="preserve"> PAGEREF _Toc216431659 \h </w:instrText>
      </w:r>
      <w:r>
        <w:fldChar w:fldCharType="separate"/>
      </w:r>
      <w:r>
        <w:t>51</w:t>
      </w:r>
      <w:r>
        <w:fldChar w:fldCharType="end"/>
      </w:r>
      <w:r>
        <w:fldChar w:fldCharType="end"/>
      </w:r>
    </w:p>
    <w:p w14:paraId="127739C8">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"_Toc216431660" </w:instrText>
      </w:r>
      <w:r>
        <w:fldChar w:fldCharType="separate"/>
      </w:r>
      <w:r>
        <w:rPr>
          <w:rStyle w:val="13"/>
        </w:rPr>
        <w:t>Figure 4: Regression Analysis for Hypothesis 2</w:t>
      </w:r>
      <w:r>
        <w:tab/>
      </w:r>
      <w:r>
        <w:fldChar w:fldCharType="begin"/>
      </w:r>
      <w:r>
        <w:instrText xml:space="preserve"> PAGEREF _Toc216431660 \h </w:instrText>
      </w:r>
      <w:r>
        <w:fldChar w:fldCharType="separate"/>
      </w:r>
      <w:r>
        <w:t>51</w:t>
      </w:r>
      <w:r>
        <w:fldChar w:fldCharType="end"/>
      </w:r>
      <w:r>
        <w:fldChar w:fldCharType="end"/>
      </w:r>
    </w:p>
    <w:p w14:paraId="02F0615C">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"_Toc216431661" </w:instrText>
      </w:r>
      <w:r>
        <w:fldChar w:fldCharType="separate"/>
      </w:r>
      <w:r>
        <w:rPr>
          <w:rStyle w:val="13"/>
        </w:rPr>
        <w:t>Figure 5: Correlation Analysis for Hypothesis 3</w:t>
      </w:r>
      <w:r>
        <w:tab/>
      </w:r>
      <w:r>
        <w:fldChar w:fldCharType="begin"/>
      </w:r>
      <w:r>
        <w:instrText xml:space="preserve"> PAGEREF _Toc216431661 \h </w:instrText>
      </w:r>
      <w:r>
        <w:fldChar w:fldCharType="separate"/>
      </w:r>
      <w:r>
        <w:t>53</w:t>
      </w:r>
      <w:r>
        <w:fldChar w:fldCharType="end"/>
      </w:r>
      <w:r>
        <w:fldChar w:fldCharType="end"/>
      </w:r>
    </w:p>
    <w:p w14:paraId="5AD3C6A2">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"_Toc216431662" </w:instrText>
      </w:r>
      <w:r>
        <w:fldChar w:fldCharType="separate"/>
      </w:r>
      <w:r>
        <w:rPr>
          <w:rStyle w:val="13"/>
        </w:rPr>
        <w:t>Figure 6: Regression Analysis for Hypothesis 3</w:t>
      </w:r>
      <w:r>
        <w:tab/>
      </w:r>
      <w:r>
        <w:fldChar w:fldCharType="begin"/>
      </w:r>
      <w:r>
        <w:instrText xml:space="preserve"> PAGEREF _Toc216431662 \h </w:instrText>
      </w:r>
      <w:r>
        <w:fldChar w:fldCharType="separate"/>
      </w:r>
      <w:r>
        <w:t>53</w:t>
      </w:r>
      <w:r>
        <w:fldChar w:fldCharType="end"/>
      </w:r>
      <w:r>
        <w:fldChar w:fldCharType="end"/>
      </w:r>
    </w:p>
    <w:p w14:paraId="0978283F">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"_Toc216431663" </w:instrText>
      </w:r>
      <w:r>
        <w:fldChar w:fldCharType="separate"/>
      </w:r>
      <w:r>
        <w:rPr>
          <w:rStyle w:val="13"/>
        </w:rPr>
        <w:t>Figure 7: Correlation Analysis for Hypothesis 4</w:t>
      </w:r>
      <w:r>
        <w:tab/>
      </w:r>
      <w:r>
        <w:fldChar w:fldCharType="begin"/>
      </w:r>
      <w:r>
        <w:instrText xml:space="preserve"> PAGEREF _Toc216431663 \h </w:instrText>
      </w:r>
      <w:r>
        <w:fldChar w:fldCharType="separate"/>
      </w:r>
      <w:r>
        <w:t>55</w:t>
      </w:r>
      <w:r>
        <w:fldChar w:fldCharType="end"/>
      </w:r>
      <w:r>
        <w:fldChar w:fldCharType="end"/>
      </w:r>
    </w:p>
    <w:p w14:paraId="61ACB8E0">
      <w:pPr>
        <w:pStyle w:val="18"/>
        <w:tabs>
          <w:tab w:val="right" w:leader="dot" w:pos="9016"/>
        </w:tabs>
        <w:rPr>
          <w:rFonts w:asciiTheme="minorHAnsi" w:hAnsiTheme="minorHAnsi" w:eastAsiaTheme="minorEastAsia" w:cstheme="minorBidi"/>
          <w:kern w:val="2"/>
          <w:lang w:val="en-IN"/>
          <w14:ligatures w14:val="standardContextual"/>
        </w:rPr>
      </w:pPr>
      <w:r>
        <w:fldChar w:fldCharType="begin"/>
      </w:r>
      <w:r>
        <w:instrText xml:space="preserve"> HYPERLINK \l "_Toc216431664" </w:instrText>
      </w:r>
      <w:r>
        <w:fldChar w:fldCharType="separate"/>
      </w:r>
      <w:r>
        <w:rPr>
          <w:rStyle w:val="13"/>
        </w:rPr>
        <w:t>Figure 8: Regression Analysis for Hypothesis 4</w:t>
      </w:r>
      <w:r>
        <w:tab/>
      </w:r>
      <w:r>
        <w:fldChar w:fldCharType="begin"/>
      </w:r>
      <w:r>
        <w:instrText xml:space="preserve"> PAGEREF _Toc216431664 \h </w:instrText>
      </w:r>
      <w:r>
        <w:fldChar w:fldCharType="separate"/>
      </w:r>
      <w:r>
        <w:t>55</w:t>
      </w:r>
      <w:r>
        <w:fldChar w:fldCharType="end"/>
      </w:r>
      <w:r>
        <w:fldChar w:fldCharType="end"/>
      </w:r>
    </w:p>
    <w:p w14:paraId="00000005">
      <w:r>
        <w:fldChar w:fldCharType="end"/>
      </w:r>
      <w:r>
        <w:br w:type="page"/>
      </w:r>
    </w:p>
    <w:p w14:paraId="00000006">
      <w:pPr>
        <w:pStyle w:val="2"/>
      </w:pPr>
      <w:bookmarkStart w:id="0" w:name="_dsv31wgesmm4" w:colFirst="0" w:colLast="0"/>
      <w:bookmarkEnd w:id="0"/>
      <w:bookmarkStart w:id="1" w:name="_Toc216431665"/>
      <w:r>
        <w:t>Chapter 1: Introduction</w:t>
      </w:r>
      <w:bookmarkEnd w:id="1"/>
    </w:p>
    <w:p w14:paraId="00000007">
      <w:pPr>
        <w:pStyle w:val="3"/>
      </w:pPr>
      <w:bookmarkStart w:id="2" w:name="_ogm6ru1nr2qw" w:colFirst="0" w:colLast="0"/>
      <w:bookmarkEnd w:id="2"/>
      <w:bookmarkStart w:id="3" w:name="_Toc216431666"/>
      <w:r>
        <w:t>1.1 Background of the Study</w:t>
      </w:r>
      <w:bookmarkEnd w:id="3"/>
    </w:p>
    <w:p w14:paraId="00000008">
      <w:r>
        <w:t xml:space="preserve">The issue of sustainability has been a core item on the agenda of the retailing industry as </w:t>
      </w:r>
      <w:r>
        <w:rPr>
          <w:lang w:val="en-GB"/>
        </w:rPr>
        <w:t>organization</w:t>
      </w:r>
      <w:r>
        <w:t xml:space="preserve"> increasingly deal with increasing pressure on the part of consumers, regulators, and global supply chains. According to Mountfield </w:t>
      </w:r>
      <w:r>
        <w:rPr>
          <w:i/>
          <w:iCs/>
        </w:rPr>
        <w:t xml:space="preserve">et al. </w:t>
      </w:r>
      <w:r>
        <w:t xml:space="preserve">(2021), despite the fact that sustainability is now becoming a common strategic requirement, middle managers face a significant challenge of converting sustainability requirements into practical implementation due to </w:t>
      </w:r>
      <w:r>
        <w:rPr>
          <w:lang w:val="en-GB"/>
        </w:rPr>
        <w:t>organizational</w:t>
      </w:r>
      <w:r>
        <w:t xml:space="preserve"> ambiguity and conflicting commercial interests. This is indicative of a more profound conflict between efficiency models on one side and sustainability models of change on the other in retail settings. Dagilienė </w:t>
      </w:r>
      <w:r>
        <w:rPr>
          <w:i/>
          <w:iCs/>
        </w:rPr>
        <w:t xml:space="preserve">et al. </w:t>
      </w:r>
      <w:r>
        <w:t xml:space="preserve">(2022) support such an argument and reveal that institutional competing </w:t>
      </w:r>
      <w:r>
        <w:rPr>
          <w:lang w:val="en-GB"/>
        </w:rPr>
        <w:t>logic's</w:t>
      </w:r>
      <w:r>
        <w:t xml:space="preserve"> tend to be likely in retail chains where commercial, operational, and ethical imperatives conflict, leading to inconsistent or symbolic sustainability practices. Conversely, Morcillo-Bellido and Duran-Heras (2020) propose that the tension can be resolved through well-designed sustainability governance tools involving the incorporation of precise oversight frameworks and accountability channels along the supply chains. Nevertheless, their perspective presupposes the necessary </w:t>
      </w:r>
      <w:r>
        <w:rPr>
          <w:lang w:val="en-GB"/>
        </w:rPr>
        <w:t>organizational</w:t>
      </w:r>
      <w:r>
        <w:t xml:space="preserve"> maturity that most retail companies, especially in fast-moving consumer goods (FMCG), do not have yet, which confirms the previous statement of Mountfield et al. that capacity gaps are still a significant obstacle.</w:t>
      </w:r>
    </w:p>
    <w:p w14:paraId="00000009">
      <w:r>
        <w:t xml:space="preserve">Consumers are becoming demanding of retailers to show visible and real sustainability commitments. Marín-García </w:t>
      </w:r>
      <w:r>
        <w:rPr>
          <w:i/>
          <w:iCs/>
        </w:rPr>
        <w:t>et al.</w:t>
      </w:r>
      <w:r>
        <w:t xml:space="preserve"> (2021) demonstrate that the sustainability programs can enhance the store equity and customer satisfaction, but the changes may depend on the demographic characteristics, including gender. Although this implies that sustainability can provide a strategic advantage, it also implies that sustainability results are not universal and that they need a delicate managerial insight. A synthesis of these two views will indicate that sustainability in the retail sector is not an ethical issue but a strategic and operational challenge influenced by the internal competencies, external pressures, and consumer expectations.</w:t>
      </w:r>
    </w:p>
    <w:p w14:paraId="0000000A">
      <w:r>
        <w:t xml:space="preserve">In general, the literature presents sustainability as a challenge and an opportunity to retail managers. Others focus on the lack of capability and operational paradoxes and some on governance frameworks and customer-related benefits (Mountfield </w:t>
      </w:r>
      <w:r>
        <w:rPr>
          <w:i/>
          <w:iCs/>
        </w:rPr>
        <w:t>et al.</w:t>
      </w:r>
      <w:r>
        <w:t xml:space="preserve"> 2021; Dagilienė </w:t>
      </w:r>
      <w:r>
        <w:rPr>
          <w:i/>
          <w:iCs/>
        </w:rPr>
        <w:t>et al.</w:t>
      </w:r>
      <w:r>
        <w:t xml:space="preserve"> 2022; Morcillo-Bellido and Duran-Heras, 2020; Marín-Garcia </w:t>
      </w:r>
      <w:r>
        <w:rPr>
          <w:i/>
          <w:iCs/>
        </w:rPr>
        <w:t xml:space="preserve">et al. </w:t>
      </w:r>
      <w:r>
        <w:t xml:space="preserve">2021). It highlights one of the main questions of this paper, which is the effectiveness of sustainability in retail not only based on </w:t>
      </w:r>
      <w:r>
        <w:rPr>
          <w:lang w:val="en-GB"/>
        </w:rPr>
        <w:t>organizational</w:t>
      </w:r>
      <w:r>
        <w:t xml:space="preserve"> systems but also based in particular on the interpretation, priorities and implementation of the principles of sustainability as part of the management of strategic decisions.</w:t>
      </w:r>
    </w:p>
    <w:p w14:paraId="0000000B">
      <w:pPr>
        <w:pStyle w:val="3"/>
      </w:pPr>
      <w:bookmarkStart w:id="4" w:name="_q0wq3erhwoao" w:colFirst="0" w:colLast="0"/>
      <w:bookmarkEnd w:id="4"/>
      <w:bookmarkStart w:id="5" w:name="_Toc216431667"/>
      <w:r>
        <w:t>1.2 Research Focus / Problem Focus</w:t>
      </w:r>
      <w:bookmarkEnd w:id="5"/>
    </w:p>
    <w:p w14:paraId="0000000C">
      <w:r>
        <w:t xml:space="preserve">Even though sustainability has become a crucial element of corporate strategy in industries around the world, there have been high levels of tensions as managers strive to implement sustainability principles in the strategic decision-making process. One of the most enduring dilemmas, as Haessler (2020) points out, is the necessity to </w:t>
      </w:r>
      <w:r>
        <w:rPr>
          <w:lang w:val="en-GB"/>
        </w:rPr>
        <w:t>maximize</w:t>
      </w:r>
      <w:r>
        <w:t xml:space="preserve"> profits in the short-term and be sustainable in the long-term. Managers are usually pressured to show instant financial performance, which may hamper the intention or capability of investing in sustainability projects that may not yield benefits in the short run. As Haessler (20200) puts this is a natural trade-off based on traditional strategic priorities. Jayashree</w:t>
      </w:r>
      <w:r>
        <w:rPr>
          <w:i/>
          <w:iCs/>
        </w:rPr>
        <w:t xml:space="preserve"> et al.</w:t>
      </w:r>
      <w:r>
        <w:t xml:space="preserve"> (2021) refuted the point that technological innovations related to Industry 4.0 can alleviate such tension by facilitating more efficient and sustainable operations. Even their optimistic results, however, indicate a huge disparity in adoption, indicating that potential in technologies does not necessarily lead to strategic sustainability unless managerial knowledge and devotion exist.</w:t>
      </w:r>
    </w:p>
    <w:p w14:paraId="0000000D">
      <w:r>
        <w:t xml:space="preserve">The second issue is the tools and frameworks that would be used to support decisions related to sustainability. As Coteur </w:t>
      </w:r>
      <w:r>
        <w:rPr>
          <w:i/>
          <w:iCs/>
        </w:rPr>
        <w:t xml:space="preserve">et al. </w:t>
      </w:r>
      <w:r>
        <w:t>(2020) show, current sustainability assessment instruments do not usually respond to the requirements of the management as they are either excessive, too technical, or not in line with the real-life business restrictions. Such a mismatch between the tools and practices implies that managers might not be guided to make sustainable decisions despite being motivated to do so. On the contrary, Aungkulanon et al. (2023) show that decision-making models, which include fuzzy analytical hierarchy processes, can be used to treat uncertainty and complexity when making sustainability decisions. However, the implications of their results confirm the practical obstacles mentioned by Coteur et al.</w:t>
      </w:r>
    </w:p>
    <w:p w14:paraId="0000000E">
      <w:r>
        <w:t xml:space="preserve">The problem is also caused by structural and </w:t>
      </w:r>
      <w:r>
        <w:rPr>
          <w:lang w:val="en-GB"/>
        </w:rPr>
        <w:t>organizational</w:t>
      </w:r>
      <w:r>
        <w:t xml:space="preserve"> constraints. Lehtimaki </w:t>
      </w:r>
      <w:r>
        <w:rPr>
          <w:i/>
          <w:iCs/>
        </w:rPr>
        <w:t xml:space="preserve">et al. </w:t>
      </w:r>
      <w:r>
        <w:t xml:space="preserve">(2020) focus on the contribution of path dependency and lock-in and demonstrate that </w:t>
      </w:r>
      <w:r>
        <w:rPr>
          <w:lang w:val="en-GB"/>
        </w:rPr>
        <w:t>organizations</w:t>
      </w:r>
      <w:r>
        <w:t xml:space="preserve"> tend to revert to known business models even when more sustainable ones are available. It is that the current practices, relationship with suppliers and performance measures strengthen past decisions and strategic change becomes a challenge. They analyse that the agency of managers is not sufficient in situations where there is a strong </w:t>
      </w:r>
      <w:r>
        <w:rPr>
          <w:lang w:val="en-GB"/>
        </w:rPr>
        <w:t>organizational</w:t>
      </w:r>
      <w:r>
        <w:t xml:space="preserve"> system. This opinion, however, is different from the more capability-driven views that hold that managers with effective strategic and innovation skills can overcome inertia. The difference in these results implies that the limitations to sustainability decision-making vary considerably among the firms based on culture, leadership and resource base.</w:t>
      </w:r>
    </w:p>
    <w:p w14:paraId="0000000F">
      <w:r>
        <w:t xml:space="preserve">Combined, the literature suggests that not the lack of sustainability knowledge, frameworks or technological opportunities but the obscure nature of how managers convert sustainability into strategic decisions is the core challenge in situations where commercial demands, </w:t>
      </w:r>
      <w:r>
        <w:rPr>
          <w:lang w:val="en-GB"/>
        </w:rPr>
        <w:t>organizational</w:t>
      </w:r>
      <w:r>
        <w:t xml:space="preserve"> paralysis and analytical complexity prevail. These tensions are increasing in the UK retail industry, where competition is fierce, margins are low and consumer demands are changing rapidly. Sustainable decision-making can be difficult since retail managers have to balance between cost efficiency, supply chain dynamics, customer demands, and environmental responsibilities. Thus, one of the research gaps is the way in which retail managers must manage these pressures, in which sustainability should be a priority among other strategic goals, and how decisions have to be made in the face of trade-offs and uncertainty. This research aims to bridge this gap by investigating how managers perceive sustainability in the process of strategic decision-making in the UK retail industry.</w:t>
      </w:r>
    </w:p>
    <w:p w14:paraId="00000010">
      <w:pPr>
        <w:pStyle w:val="3"/>
      </w:pPr>
      <w:bookmarkStart w:id="6" w:name="_oqez11uiwdlq" w:colFirst="0" w:colLast="0"/>
      <w:bookmarkEnd w:id="6"/>
      <w:bookmarkStart w:id="7" w:name="_Toc216431668"/>
      <w:r>
        <w:t>1.3 Rationale for the Study</w:t>
      </w:r>
      <w:bookmarkEnd w:id="7"/>
    </w:p>
    <w:p w14:paraId="00000011">
      <w:r>
        <w:t xml:space="preserve">The way that managers interact with sustainability is an important issue both academically and practically. Sustainability, in terms of academics, has developed beyond a compliance-based concept into one that is closely linked to competitive strategy. Knudsen </w:t>
      </w:r>
      <w:r>
        <w:rPr>
          <w:i/>
          <w:iCs/>
        </w:rPr>
        <w:t xml:space="preserve">et al. </w:t>
      </w:r>
      <w:r>
        <w:t xml:space="preserve">(2021) suggest that </w:t>
      </w:r>
      <w:r>
        <w:rPr>
          <w:lang w:val="en-GB"/>
        </w:rPr>
        <w:t>digitization</w:t>
      </w:r>
      <w:r>
        <w:t xml:space="preserve"> would help to </w:t>
      </w:r>
      <w:r>
        <w:rPr>
          <w:lang w:val="en-GB"/>
        </w:rPr>
        <w:t>stabilize</w:t>
      </w:r>
      <w:r>
        <w:t xml:space="preserve"> the competitive edge in turbulent times by making the sustainability practices more transparent and efficient. This argument, however, is based on the premise that firms have the dynamic capabilities that are required to </w:t>
      </w:r>
      <w:r>
        <w:rPr>
          <w:lang w:val="en-GB"/>
        </w:rPr>
        <w:t>capitalize</w:t>
      </w:r>
      <w:r>
        <w:t xml:space="preserve"> on digital tools. Bari </w:t>
      </w:r>
      <w:r>
        <w:rPr>
          <w:i/>
          <w:iCs/>
        </w:rPr>
        <w:t>et al.</w:t>
      </w:r>
      <w:r>
        <w:t xml:space="preserve"> (2022) argue that successful integration of sustainability is based on dynamic capabilities, which makes sustainability a strategic competence and not a moral obligation. However, both studies observe that these capabilities are not evenly distributed across industries, which suggests that the extent to which sustainability affects managerial decisions is very diverse.</w:t>
      </w:r>
    </w:p>
    <w:p w14:paraId="00000012">
      <w:r>
        <w:t xml:space="preserve">The contradictions that have been evident in the literature also present a need to conduct additional research. To give an illustration, though Alsayegh </w:t>
      </w:r>
      <w:r>
        <w:rPr>
          <w:i/>
          <w:iCs/>
        </w:rPr>
        <w:t xml:space="preserve">et al. </w:t>
      </w:r>
      <w:r>
        <w:t xml:space="preserve">(2020) conclude that ESG disclosure enhances the economic, environmental, and social sustainability performance, they warn that disclosure does not ensure that significant actions are taken. This is consistent with the observation of Ahmadi-Gh and Bello-Pintado (2022) that sustainability practices are adopted selectively, with the majority of </w:t>
      </w:r>
      <w:r>
        <w:rPr>
          <w:lang w:val="en-GB"/>
        </w:rPr>
        <w:t>organizations</w:t>
      </w:r>
      <w:r>
        <w:t xml:space="preserve"> basing their activities on the areas with the top </w:t>
      </w:r>
      <w:r>
        <w:rPr>
          <w:lang w:val="en-GB"/>
        </w:rPr>
        <w:t>reputation</w:t>
      </w:r>
      <w:r>
        <w:t xml:space="preserve"> payoff, instead of considering those with the most significant environmental or social impact. According to their findings, the managerial motivations and interpretations can largely influence the sustainability outcomes, which confirms the necessity to research the managerial perspectives directly.</w:t>
      </w:r>
    </w:p>
    <w:p w14:paraId="00000013">
      <w:r>
        <w:t xml:space="preserve">In practical terms, retail </w:t>
      </w:r>
      <w:r>
        <w:rPr>
          <w:lang w:val="en-GB"/>
        </w:rPr>
        <w:t>organizations</w:t>
      </w:r>
      <w:r>
        <w:t xml:space="preserve"> are under more and more scrutiny as far as regulators, investors, and consumers are concerned. Newman </w:t>
      </w:r>
      <w:r>
        <w:rPr>
          <w:i/>
          <w:iCs/>
        </w:rPr>
        <w:t>et al.</w:t>
      </w:r>
      <w:r>
        <w:t xml:space="preserve"> (2020) demonstrate that companies that are socially responsible experience better productivity, but also indicate that competitive forces might warp the sustainability initiative, sometimes making companies shift to both symbolic and strategic CSR instead of actually changing. This observation is especially relevant in the context of the UK retail industry, where the level of competition is intense and the margins are slim, which increases the strategic dilemma that managers are confronted with.</w:t>
      </w:r>
    </w:p>
    <w:p w14:paraId="00000014">
      <w:r>
        <w:t xml:space="preserve">Combined, the literature shows that the impact of sustainability on strategic decision-making is not always clear and simple to comprehend. The former authors focus on sustainability as the driver of long-term benefit, whereas the latter make emphasis on the selective, even superficial, implementation of sustainable practices (Knudsen </w:t>
      </w:r>
      <w:r>
        <w:rPr>
          <w:i/>
          <w:iCs/>
        </w:rPr>
        <w:t>et al.</w:t>
      </w:r>
      <w:r>
        <w:t xml:space="preserve"> 2021; Bari </w:t>
      </w:r>
      <w:r>
        <w:rPr>
          <w:i/>
          <w:iCs/>
        </w:rPr>
        <w:t xml:space="preserve">et al. </w:t>
      </w:r>
      <w:r>
        <w:t xml:space="preserve">2022; Alsayegh </w:t>
      </w:r>
      <w:r>
        <w:rPr>
          <w:i/>
          <w:iCs/>
        </w:rPr>
        <w:t xml:space="preserve">et al. </w:t>
      </w:r>
      <w:r>
        <w:t xml:space="preserve">2020; Ahmadi-Gh and Bello-Pintado, 2022). This tension brings out a serious requirement of knowing how managers negotiate such pressures in actual </w:t>
      </w:r>
      <w:r>
        <w:rPr>
          <w:lang w:val="en-GB"/>
        </w:rPr>
        <w:t>organizational</w:t>
      </w:r>
      <w:r>
        <w:t xml:space="preserve"> contexts. This research is timely and thus required. With its analysis of sustainability in terms of managerial decisions in the UK retailing industry, it connects the theoretical argument about the dynamic capabilities and the effects on the ESG to the real-world issue related to the </w:t>
      </w:r>
      <w:r>
        <w:rPr>
          <w:lang w:val="en-GB"/>
        </w:rPr>
        <w:t>organizational</w:t>
      </w:r>
      <w:r>
        <w:t xml:space="preserve"> behaviour, competition, and the actual implementation of sustainability.</w:t>
      </w:r>
    </w:p>
    <w:p w14:paraId="00000015">
      <w:pPr>
        <w:pStyle w:val="3"/>
      </w:pPr>
      <w:bookmarkStart w:id="8" w:name="_ebflsjverv3i" w:colFirst="0" w:colLast="0"/>
      <w:bookmarkEnd w:id="8"/>
      <w:bookmarkStart w:id="9" w:name="_Toc216431669"/>
      <w:r>
        <w:t>1.4 Research Aim</w:t>
      </w:r>
      <w:bookmarkEnd w:id="9"/>
    </w:p>
    <w:p w14:paraId="00000016">
      <w:r>
        <w:t>The current research aims to critically evaluate how sustainability influences strategic decision-making among managers in the UK retail sector.</w:t>
      </w:r>
    </w:p>
    <w:p w14:paraId="00000017">
      <w:pPr>
        <w:pStyle w:val="3"/>
      </w:pPr>
      <w:bookmarkStart w:id="10" w:name="_v3vzwfm4fi7" w:colFirst="0" w:colLast="0"/>
      <w:bookmarkEnd w:id="10"/>
      <w:bookmarkStart w:id="11" w:name="_Toc216431670"/>
      <w:r>
        <w:t>1.5 Research Objectives</w:t>
      </w:r>
      <w:bookmarkEnd w:id="11"/>
    </w:p>
    <w:p w14:paraId="00000018">
      <w:pPr>
        <w:numPr>
          <w:ilvl w:val="0"/>
          <w:numId w:val="1"/>
        </w:numPr>
      </w:pPr>
      <w:r>
        <w:t>To analyse the perceptions of UK retail managers regarding the role of sustainability in business strategy</w:t>
      </w:r>
    </w:p>
    <w:p w14:paraId="00000019">
      <w:pPr>
        <w:numPr>
          <w:ilvl w:val="0"/>
          <w:numId w:val="1"/>
        </w:numPr>
      </w:pPr>
      <w:r>
        <w:t>To evaluate the extent to which environmental and social concerns are integrated into strategic decision-making processes</w:t>
      </w:r>
    </w:p>
    <w:p w14:paraId="0000001A">
      <w:pPr>
        <w:numPr>
          <w:ilvl w:val="0"/>
          <w:numId w:val="1"/>
        </w:numPr>
      </w:pPr>
      <w:r>
        <w:t>To explore the practical implementation and measurement of sustainability initiatives in retail operations</w:t>
      </w:r>
    </w:p>
    <w:p w14:paraId="0000001B">
      <w:pPr>
        <w:numPr>
          <w:ilvl w:val="0"/>
          <w:numId w:val="1"/>
        </w:numPr>
      </w:pPr>
      <w:r>
        <w:t>To identify the key challenges and opportunities faced by managers in embedding sustainability within long-term business goals</w:t>
      </w:r>
    </w:p>
    <w:p w14:paraId="0000001C">
      <w:pPr>
        <w:rPr>
          <w:b/>
          <w:bCs/>
          <w:i/>
          <w:iCs/>
        </w:rPr>
      </w:pPr>
      <w:r>
        <w:rPr>
          <w:b/>
          <w:bCs/>
          <w:i/>
          <w:iCs/>
        </w:rPr>
        <w:t>Research Questions</w:t>
      </w:r>
    </w:p>
    <w:p w14:paraId="0000001D">
      <w:pPr>
        <w:numPr>
          <w:ilvl w:val="0"/>
          <w:numId w:val="2"/>
        </w:numPr>
      </w:pPr>
      <w:r>
        <w:t>RQ1: What are UK retail managers' perceptions about the importance of sustainability in the business strategy?</w:t>
      </w:r>
    </w:p>
    <w:p w14:paraId="0000001E">
      <w:pPr>
        <w:numPr>
          <w:ilvl w:val="0"/>
          <w:numId w:val="2"/>
        </w:numPr>
      </w:pPr>
      <w:r>
        <w:t>RQ2: How deeply are the environmental and social issues incorporated in the strategic decision-making in the UK retail industry?</w:t>
      </w:r>
    </w:p>
    <w:p w14:paraId="0000001F">
      <w:pPr>
        <w:numPr>
          <w:ilvl w:val="0"/>
          <w:numId w:val="2"/>
        </w:numPr>
      </w:pPr>
      <w:r>
        <w:t>RQ3: How do sustainability initiatives work in practice, and how are they measured in terms of retail operations?</w:t>
      </w:r>
    </w:p>
    <w:p w14:paraId="00000020">
      <w:pPr>
        <w:numPr>
          <w:ilvl w:val="0"/>
          <w:numId w:val="2"/>
        </w:numPr>
      </w:pPr>
      <w:r>
        <w:t>RQ4: What are the main challenges and opportunities that managers face when integrating sustainability into the long-term business objectives?</w:t>
      </w:r>
    </w:p>
    <w:p w14:paraId="00000021">
      <w:pPr>
        <w:pStyle w:val="3"/>
      </w:pPr>
      <w:bookmarkStart w:id="12" w:name="_gnux6uuwmaqg" w:colFirst="0" w:colLast="0"/>
      <w:bookmarkEnd w:id="12"/>
      <w:bookmarkStart w:id="13" w:name="_Toc216431671"/>
      <w:r>
        <w:t>1.6 Scope and Boundaries</w:t>
      </w:r>
      <w:bookmarkEnd w:id="13"/>
    </w:p>
    <w:p w14:paraId="00000022">
      <w:r>
        <w:t xml:space="preserve">The study targets managers working in the retailing industry in the United Kingdom, and how managers understand sustainability concepts and </w:t>
      </w:r>
      <w:r>
        <w:rPr>
          <w:lang w:val="en-GB"/>
        </w:rPr>
        <w:t>utilize</w:t>
      </w:r>
      <w:r>
        <w:t xml:space="preserve"> them in strategic decision-making. The paper has limitations in its scope since it concentrates on the economic, environmental, and social aspects of sustainability, which represent the synergistic relationships outlined by Andersson et al. (2022), who show that they have both an indirect and direct relationship in the conduct of business. The study thus acknowledges the concept of sustainability as a multidimensional phenomenon, but only analyses it through managerial views rather than consumer or supplier views.</w:t>
      </w:r>
    </w:p>
    <w:p w14:paraId="00000023">
      <w:r>
        <w:t xml:space="preserve">The geographical coverage is limited to the United Kingdom, given that the regulatory contexts, cultural demands and market forces can vary considerably across nations. Another aspect on which the study is not effective is strategic decision-making, as opposed to operational implementation and day-to-day sustainability practices are not under the study. Although the study reflects on several different retail formats, the results may not be applicable in other areas like manufacturing or logistics. Lastly, the research does not assess the sustainability performance, but rather investigates the reasoning of managers regarding sustainability in the context of strategy, which provides an insight into cognitive and </w:t>
      </w:r>
      <w:r>
        <w:rPr>
          <w:lang w:val="en-GB"/>
        </w:rPr>
        <w:t>organizational</w:t>
      </w:r>
      <w:r>
        <w:t xml:space="preserve"> limits that determine sustainability adoption.</w:t>
      </w:r>
    </w:p>
    <w:p w14:paraId="00000024">
      <w:pPr>
        <w:pStyle w:val="3"/>
      </w:pPr>
      <w:bookmarkStart w:id="14" w:name="_im1mwq6drkzx" w:colFirst="0" w:colLast="0"/>
      <w:bookmarkEnd w:id="14"/>
      <w:bookmarkStart w:id="15" w:name="_Toc216431672"/>
      <w:r>
        <w:t>1.7 Structure of the Dissertation</w:t>
      </w:r>
      <w:bookmarkEnd w:id="15"/>
    </w:p>
    <w:p w14:paraId="00000025">
      <w:r>
        <w:t>The present dissertation will be divided into five key chapters that will be reviewed towards a thorough analysis of sustainability in UK retail sector in relation to strategic decision-making.</w:t>
      </w:r>
    </w:p>
    <w:p w14:paraId="00000026">
      <w:pPr>
        <w:numPr>
          <w:ilvl w:val="0"/>
          <w:numId w:val="3"/>
        </w:numPr>
      </w:pPr>
      <w:r>
        <w:t>“</w:t>
      </w:r>
      <w:r>
        <w:rPr>
          <w:b/>
          <w:bCs/>
          <w:i/>
          <w:iCs/>
        </w:rPr>
        <w:t>Chapter 1: Introduction</w:t>
      </w:r>
      <w:r>
        <w:t>”: In this chapter, the context of the study is determined, the research problem is stated, the reasons are given, and the research aim, objectives, scope and boundaries are identified. It forms the premise of comprehending why sustainability is a strategic issue that is important and quite complicated for retail managers.</w:t>
      </w:r>
    </w:p>
    <w:p w14:paraId="00000027">
      <w:pPr>
        <w:numPr>
          <w:ilvl w:val="0"/>
          <w:numId w:val="3"/>
        </w:numPr>
      </w:pPr>
      <w:r>
        <w:t>“</w:t>
      </w:r>
      <w:r>
        <w:rPr>
          <w:b/>
          <w:bCs/>
          <w:i/>
          <w:iCs/>
        </w:rPr>
        <w:t>Chapter 2: Literature Review</w:t>
      </w:r>
      <w:r>
        <w:t>”: The literature review is a critical analysis of the current research on sustainability, strategic decision-making, managerial perspectives and the retail industry. It determines theoretical controversies, the body of evidence and gaps that the study at hand aims to fill.</w:t>
      </w:r>
    </w:p>
    <w:p w14:paraId="00000028">
      <w:pPr>
        <w:numPr>
          <w:ilvl w:val="0"/>
          <w:numId w:val="3"/>
        </w:numPr>
      </w:pPr>
      <w:r>
        <w:t>“</w:t>
      </w:r>
      <w:r>
        <w:rPr>
          <w:b/>
          <w:bCs/>
          <w:i/>
          <w:iCs/>
        </w:rPr>
        <w:t>Chapter 3: Methodology</w:t>
      </w:r>
      <w:r>
        <w:t>”: The chapter describes the research philosophy, research design, sampling plan, data collection methods and analysis plan. It explains the reason why the adopted methodology is suitable for determining managerial interpretations of sustainability.</w:t>
      </w:r>
    </w:p>
    <w:p w14:paraId="00000029">
      <w:pPr>
        <w:numPr>
          <w:ilvl w:val="0"/>
          <w:numId w:val="3"/>
        </w:numPr>
      </w:pPr>
      <w:r>
        <w:t>“</w:t>
      </w:r>
      <w:r>
        <w:rPr>
          <w:b/>
          <w:bCs/>
          <w:i/>
          <w:iCs/>
        </w:rPr>
        <w:t>Chapter 4: Data Analysis</w:t>
      </w:r>
      <w:r>
        <w:t>”: It gives the results of the empirical research and explains the findings with references to the literature. It brings out important themes that show how managers integrate or find it difficult to integrate sustainability into strategy decisions.</w:t>
      </w:r>
    </w:p>
    <w:p w14:paraId="0000002A">
      <w:pPr>
        <w:numPr>
          <w:ilvl w:val="0"/>
          <w:numId w:val="3"/>
        </w:numPr>
      </w:pPr>
      <w:r>
        <w:t>“</w:t>
      </w:r>
      <w:r>
        <w:rPr>
          <w:b/>
          <w:bCs/>
          <w:i/>
          <w:iCs/>
        </w:rPr>
        <w:t>Chapter 5: Conclusion and Recommendations</w:t>
      </w:r>
      <w:r>
        <w:t>”: The last chapter gives a summary of the findings of the study, assesses whether the research objectives were achieved or not, and gives insights into the theoretical and practical contributions. It also provides suggestions to the retail managers and defines future research directions.</w:t>
      </w:r>
    </w:p>
    <w:p w14:paraId="0000002B">
      <w:pPr>
        <w:pStyle w:val="3"/>
      </w:pPr>
      <w:bookmarkStart w:id="16" w:name="_zbv424ugvre8" w:colFirst="0" w:colLast="0"/>
      <w:bookmarkEnd w:id="16"/>
      <w:bookmarkStart w:id="17" w:name="_Toc216431673"/>
      <w:r>
        <w:t>1.8 Summary of the Chapter</w:t>
      </w:r>
      <w:bookmarkEnd w:id="17"/>
    </w:p>
    <w:p w14:paraId="0000002C">
      <w:r>
        <w:t xml:space="preserve">The chapter provided an awareness of the relevance of sustainability in the UK retail sector and explained the reasons why it has become a key and difficult aspect of strategic decision-making. It illuminated the manner in which managers function in an environment that is based on the clashing financial, operational, and ethical demands, which lead to diverse understandings and implementations of sustainability. The chapter has highlighted the enduring gaps in capabilities, tensions within institutions and limitations in governance that impede meaningful integration of sustainability by reviewing opposite academic views. The research problem was clearly identified in the form of a gap in the knowledge of how managers negotiate such pressures in making strategic decisions. The chapter </w:t>
      </w:r>
      <w:r>
        <w:rPr>
          <w:lang w:val="en-GB"/>
        </w:rPr>
        <w:t>rationalized</w:t>
      </w:r>
      <w:r>
        <w:t xml:space="preserve"> the academic and practical significance of research on managerial perspectives, the proposed research aim and objectives, and the scope and limits of the study. Lastly, the dissertation format was outlined to give a clear outline on how the study should be conducted through a theoretical foundation to empirical examination and concluding observations.</w:t>
      </w:r>
    </w:p>
    <w:p w14:paraId="6D95056E">
      <w:pPr>
        <w:spacing w:line="360" w:lineRule="auto"/>
      </w:pPr>
      <w:r>
        <w:br w:type="page"/>
      </w:r>
    </w:p>
    <w:p w14:paraId="41BF4EAB">
      <w:pPr>
        <w:pStyle w:val="2"/>
      </w:pPr>
      <w:bookmarkStart w:id="18" w:name="_Toc216431674"/>
      <w:r>
        <w:t>Chapter 2: Literature Review</w:t>
      </w:r>
      <w:bookmarkEnd w:id="18"/>
    </w:p>
    <w:p w14:paraId="08FE39B0">
      <w:pPr>
        <w:pStyle w:val="2"/>
      </w:pPr>
      <w:bookmarkStart w:id="19" w:name="_Toc216431675"/>
      <w:r>
        <w:t>2.1 Introduction</w:t>
      </w:r>
      <w:bookmarkEnd w:id="19"/>
    </w:p>
    <w:p w14:paraId="4BADEB8C">
      <w:r>
        <w:t xml:space="preserve">The chapter makes a review of the available literature in an effort to examine how sustainability influences the strategic decision-making throughout the UK retail industry. It begins by analyzing the conceptual basis of sustainability, how it has evolved over time being a peripheral or even secondary issue into a strategic core matter due to evolving consumer demands, regulatory pressures and competition. The management perceptions are then analyzed in the chapter with the issues of practical implementation and opportunities of the embedding of the sustainability in the business long term objectives. It also compares theoretical insights, such as the Institutional Theory, Stakeholder Theory and the Resource-Based View, to determine the effect that sustainability has on </w:t>
      </w:r>
      <w:r>
        <w:rPr>
          <w:lang w:val="en-GB"/>
        </w:rPr>
        <w:t>organizational</w:t>
      </w:r>
      <w:r>
        <w:t xml:space="preserve"> behaviour. The review ends with the identification of some gaps to explain why the current research is necessary.</w:t>
      </w:r>
    </w:p>
    <w:p w14:paraId="1D77BFC7">
      <w:pPr>
        <w:pStyle w:val="3"/>
      </w:pPr>
      <w:bookmarkStart w:id="20" w:name="_Toc216431676"/>
      <w:r>
        <w:t>2.2 Conceptual Framework</w:t>
      </w:r>
      <w:bookmarkEnd w:id="20"/>
    </w:p>
    <w:p w14:paraId="094C7927">
      <w:bookmarkStart w:id="21" w:name="_hp3nrk10z4vr" w:colFirst="0" w:colLast="0"/>
      <w:bookmarkEnd w:id="21"/>
      <w:r>
        <w:t xml:space="preserve">Sustainability has gradually evolved into a peripheral factor to a central factor to strategic decision-making in the retail sector of the United Kingdom. As stated by Alkaraan </w:t>
      </w:r>
      <w:r>
        <w:rPr>
          <w:i/>
          <w:iCs/>
        </w:rPr>
        <w:t xml:space="preserve">et al. </w:t>
      </w:r>
      <w:r>
        <w:t>(2023), to a large number of executives, the motivation to engage in sustainable practices is not delivered as a one-dimensional factor; instead, it is a derivative of an intricate blend of regulatory requirements, shifting consumer beliefs and operational risks, as well as competitive pressures. As argued by Wu and Yang (2021), with the growing environmental awareness of the retail environment, there is a pressure on the managers to question business assumptions, as well as business operational priorities in favour of long-term resilience.</w:t>
      </w:r>
    </w:p>
    <w:p w14:paraId="3B2EC840">
      <w:r>
        <w:t xml:space="preserve">One of the most significant influences is produced by consumer expectation. The UK consumers have become highly conscious of the policies and practices that affect the environment, such as carbon emissions and plastic waste, as well as, ethical sourcing and labour practices </w:t>
      </w:r>
      <w:r>
        <w:rPr>
          <w:color w:val="000000" w:themeColor="text1"/>
          <w14:textFill>
            <w14:solidFill>
              <w14:schemeClr w14:val="tx1"/>
            </w14:solidFill>
          </w14:textFill>
        </w:rPr>
        <w:t>(Statista, 2025)</w:t>
      </w:r>
      <w:r>
        <w:t xml:space="preserve">. As mentioned by Tian </w:t>
      </w:r>
      <w:r>
        <w:rPr>
          <w:i/>
          <w:iCs/>
        </w:rPr>
        <w:t xml:space="preserve">et al. </w:t>
      </w:r>
      <w:r>
        <w:t>(2023), this change cannot be overlooked by managers because brand reputation and retention of customers are directly related to perceived environmental responsibility. As such, sustainability can now be applied in decisions concerning material sourcing, supplier choice, product line design and even in the development of the store format. As opined by Benkert (2021), retailers are trying circular business models, product-repair programs, and recycling programs. These are not only moral decisions, but they are strategic ones that are aimed at fostering trust and brand differentiation in an already saturated market.</w:t>
      </w:r>
    </w:p>
    <w:p w14:paraId="017FCC19">
      <w:pPr>
        <w:rPr>
          <w:lang w:val="en-US"/>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Managerial decision-making is also subject to significant pressure because of growing regulatory requirements and legal obligations related to sustainability. </w:t>
      </w:r>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The UK laws regarding carbon reporting, packaging, wast</w:t>
      </w:r>
      <w:r>
        <w:t xml:space="preserve">e minimization and energy saving are getting stricter and stricter. As mentioned by Settembre-Blundo </w:t>
      </w:r>
      <w:r>
        <w:rPr>
          <w:i/>
          <w:iCs/>
        </w:rPr>
        <w:t xml:space="preserve">et al. </w:t>
      </w:r>
      <w:r>
        <w:t xml:space="preserve">(2021), managers are therefore to expect the compliance requirements and at the same time manage the costs. However, instead of looking at regulation as a limitation, most retail leaders have seen sustainability compliance as a way of simplifying operations and preventing future fines. As argued by Liu </w:t>
      </w:r>
      <w:r>
        <w:rPr>
          <w:i/>
          <w:iCs/>
        </w:rPr>
        <w:t xml:space="preserve">et al. </w:t>
      </w:r>
      <w:r>
        <w:t xml:space="preserve">(2024), this change of attitude is an indication that sustainability has integrated itself with risk management and planning in the long term. Another area in which sustainability has massive influence is operational efficiency. Managers are becoming aware that financial payoffs can be achieved through environmentally friendly practices. The choice of making energy efficiency better, waste </w:t>
      </w:r>
      <w:r>
        <w:rPr>
          <w:lang w:val="en-GB"/>
        </w:rPr>
        <w:t>minimization</w:t>
      </w:r>
      <w:r>
        <w:t xml:space="preserve">, and adopting digital technologies are developed not only with references to the environmental ideal but to the need to save overheads. As opined by Lutfi </w:t>
      </w:r>
      <w:r>
        <w:rPr>
          <w:i/>
          <w:iCs/>
        </w:rPr>
        <w:t xml:space="preserve">et al. </w:t>
      </w:r>
      <w:r>
        <w:t>(2022), to illustrate the point, several stores have found out that efficient logistics systems emit less and save on transport. This twofold advantage influences managers to weigh sustainability not as a form of pure duty but of being a component of operational performance</w:t>
      </w:r>
      <w:r>
        <w:rPr>
          <w:lang w:val="en-US"/>
        </w:rPr>
        <w:t>.</w:t>
      </w:r>
    </w:p>
    <w:p w14:paraId="1D650554">
      <w:r>
        <w:rPr>
          <w:lang w:val="en-US"/>
        </w:rPr>
        <w:t xml:space="preserve">Competitor </w:t>
      </w:r>
      <w:r>
        <w:t xml:space="preserve">forces also make a determining role, and retailers that show excellent sustainability credentials tend to attain a favourable position on the market (Kumar, 2024). As highlighted by Wu and Yang (2021), managers thus incorporate sustainability in brand identity, marketing and corporate communications. The need to reinforce differentiation is also getting into even internal strategic choices like investments in employee training, supplier development or research on more environmentally friendly materials. As argued by Martínez-Peláez </w:t>
      </w:r>
      <w:r>
        <w:rPr>
          <w:i/>
          <w:iCs/>
        </w:rPr>
        <w:t xml:space="preserve">et al. </w:t>
      </w:r>
      <w:r>
        <w:t xml:space="preserve">(2023), lastly, sustainable resource management is the only way in which the sector would be viable in the long term. Retail managers are aware of the fact that climate risks, supply chain disruption and lack of resources may pose a threat to business continuity. The decision-making based on sustainability is, thus, one of the ways of future-proofing the </w:t>
      </w:r>
      <w:r>
        <w:rPr>
          <w:lang w:val="en-GB"/>
        </w:rPr>
        <w:t>organization</w:t>
      </w:r>
      <w:r>
        <w:t>. Managers consider the increasing unpredictability of world markets and understand that sustainable practices make it stronger.</w:t>
      </w:r>
    </w:p>
    <w:p w14:paraId="1C8E7218">
      <w:pPr>
        <w:pStyle w:val="3"/>
      </w:pPr>
      <w:bookmarkStart w:id="22" w:name="_et38e7cjd2hc" w:colFirst="0" w:colLast="0"/>
      <w:bookmarkEnd w:id="22"/>
      <w:bookmarkStart w:id="23" w:name="_Toc216431677"/>
      <w:r>
        <w:t>2.3 The perceptions of UK retail managers regarding the role of sustainability in business strategy</w:t>
      </w:r>
      <w:bookmarkEnd w:id="23"/>
    </w:p>
    <w:p w14:paraId="0BC1A5DF">
      <w:r>
        <w:t xml:space="preserve">The views of the UK retail managers on the issue of sustainability have been significantly developed during the past ten years. As highlighted by Hristov and Appolloni (2022), although the concept of sustainability has been traditionally considered as one of the aspects of corporate social responsibility. Its current managers treat it as one of the key business strategy components. their thinking is informed by experience in a field that is ever changing to meet consumer behaviour changes, government demands, and pressures in the global supply chain. As argued by Settembre-Blundo </w:t>
      </w:r>
      <w:r>
        <w:rPr>
          <w:i/>
          <w:iCs/>
        </w:rPr>
        <w:t xml:space="preserve">et al. </w:t>
      </w:r>
      <w:r>
        <w:t xml:space="preserve">(2021), this and other experiences have increasingly led to a more strategic, opportunity-driven definition of sustainability. One of the existing views among managers is that sustainability increases brand credibility. Most retail executives note that consumers are increasingly demanding transparency in matters relating to ethical sourcing, packaging, and labour. As stated by Foroudi </w:t>
      </w:r>
      <w:r>
        <w:rPr>
          <w:i/>
          <w:iCs/>
        </w:rPr>
        <w:t xml:space="preserve">et al. </w:t>
      </w:r>
      <w:r>
        <w:t>(2023), according to managers, integrating sustainability into the business strategy allows the firms to achieve these expectations as they establish deeper emotional relationships with the consumers. Direct customer responses, market trends and the performance of sustainability-based retail brands support this perception. As a result, sustainability is a cost that has been perceived by many managers to be a strategic investment.</w:t>
      </w:r>
    </w:p>
    <w:p w14:paraId="20A2FAE9">
      <w:r>
        <w:t xml:space="preserve">Sustainability also drives innovation as seen by managers. People working on product development, supply chain management, and operations often mention that sustainability issues force the </w:t>
      </w:r>
      <w:r>
        <w:rPr>
          <w:lang w:val="en-GB"/>
        </w:rPr>
        <w:t>organization</w:t>
      </w:r>
      <w:r>
        <w:t xml:space="preserve"> to be more innovative and consider new materials, technologies, and business models. As an example, procurement managers also establish alliances with suppliers who can deliver materials that are environmentally responsible. As stated by Elg and Welinder (2022), store operations are another area of operation where others who deal with sustainability identify such sustainability-oriented designs as energy saving lighting or digital receipts, as improvements in environmental performance as well as in customer experience. As argued by Wu, X. and Yang (2021), it is through this perception that managers will start to regard sustainability not as a limitation but as an avenue towards </w:t>
      </w:r>
      <w:r>
        <w:rPr>
          <w:lang w:val="en-GB"/>
        </w:rPr>
        <w:t>modernizing</w:t>
      </w:r>
      <w:r>
        <w:t xml:space="preserve"> operations. The other theme that stands out in the managerial perceptions is the connection between sustainability and reduction of risk. As highlighted by Carmine and De Marchi (2023), the challenges that retail managers have to face on a regular basis include unpredictable supply chains, changes in resource expenses, and </w:t>
      </w:r>
      <w:r>
        <w:rPr>
          <w:lang w:val="en-GB"/>
        </w:rPr>
        <w:t>reputation</w:t>
      </w:r>
      <w:r>
        <w:t xml:space="preserve"> risk. A lot of people have therefore taken a stand that sustainability enhances </w:t>
      </w:r>
      <w:r>
        <w:rPr>
          <w:lang w:val="en-GB"/>
        </w:rPr>
        <w:t>organizational</w:t>
      </w:r>
      <w:r>
        <w:t xml:space="preserve"> resilience. As argued by Liu </w:t>
      </w:r>
      <w:r>
        <w:rPr>
          <w:i/>
          <w:iCs/>
        </w:rPr>
        <w:t xml:space="preserve">et al. </w:t>
      </w:r>
      <w:r>
        <w:t>(2024), the logistical managers usually outline the effects of carbon efficient transportation strategies that minimize the emission and fuel reliance. Likewise, the managers of corporate governance are aware that corporations that are viewed as irresponsible are under increased scrutiny by both regulators and the general population. This further confirms the idea that sustainability promotes the security of business on long-run.</w:t>
      </w:r>
    </w:p>
    <w:p w14:paraId="27808AA6">
      <w:r>
        <w:t xml:space="preserve">Managerial perceptions are also influenced by financial performance. Sustainability initiatives might require initial investment but many managers are reporting the real savings in the long term. Efficiency in energy consumption, waste </w:t>
      </w:r>
      <w:r>
        <w:rPr>
          <w:lang w:val="en-GB"/>
        </w:rPr>
        <w:t>minimization</w:t>
      </w:r>
      <w:r>
        <w:t xml:space="preserve"> strategies and streamlined supply chains reduce the operating expense in the long run. According to Baicu </w:t>
      </w:r>
      <w:r>
        <w:rPr>
          <w:i/>
          <w:iCs/>
        </w:rPr>
        <w:t xml:space="preserve">et al. </w:t>
      </w:r>
      <w:r>
        <w:t xml:space="preserve">(2022), this observation has contributed to the fact that sustainability and profitability are not conflicting goals, instead, they are complementary goals. The managers often provide the examples where sustainable practices helped to reduce the costs and increase the brand value, which strengthens the belief that sustainability is economically sound. Lastly, sustainability is an ethical requirement that is gaining popularity among managers. As argued by Benkert (2021), most of them articulate that there is a great responsibility they have towards communities, employees and the generations to come. This ethical aspect makes them know how to promote sustainability in their </w:t>
      </w:r>
      <w:r>
        <w:rPr>
          <w:lang w:val="en-GB"/>
        </w:rPr>
        <w:t>organizations</w:t>
      </w:r>
      <w:r>
        <w:t xml:space="preserve">. Although there are no definite financial gains, some managers still continue to consider sustainability a right thing to do, which shapes the inclination to support internal policies, training </w:t>
      </w:r>
      <w:r>
        <w:rPr>
          <w:lang w:val="en-GB"/>
        </w:rPr>
        <w:t>programmers</w:t>
      </w:r>
      <w:r>
        <w:t xml:space="preserve">, and more considerate decision-making. According to Settembre-Blundo </w:t>
      </w:r>
      <w:r>
        <w:rPr>
          <w:i/>
          <w:iCs/>
        </w:rPr>
        <w:t xml:space="preserve">et al. </w:t>
      </w:r>
      <w:r>
        <w:t>(2021),</w:t>
      </w:r>
      <w:r>
        <w:rPr>
          <w:i/>
          <w:iCs/>
        </w:rPr>
        <w:t xml:space="preserve"> </w:t>
      </w:r>
      <w:r>
        <w:t xml:space="preserve">Generally, UK retail managers see sustainability as a strategic resource contributing to increasing reputation, encouraging innovations, reducing risks, improving business performance, and </w:t>
      </w:r>
      <w:r>
        <w:rPr>
          <w:lang w:val="en-GB"/>
        </w:rPr>
        <w:t>harmonizing</w:t>
      </w:r>
      <w:r>
        <w:t xml:space="preserve"> business activities with more wide-ranging ethical principles. </w:t>
      </w:r>
      <w:r>
        <w:rPr>
          <w:lang w:val="en-US"/>
        </w:rPr>
        <w:t>As argued by Benkert (2021), t</w:t>
      </w:r>
      <w:r>
        <w:t>he overall effect of these perceptions is to promote a more integrated perspective of sustainability to business strategy.</w:t>
      </w:r>
    </w:p>
    <w:p w14:paraId="0A627EA4">
      <w:pPr>
        <w:pStyle w:val="3"/>
        <w:rPr>
          <w:lang w:val="en-IN"/>
        </w:rPr>
      </w:pPr>
      <w:bookmarkStart w:id="24" w:name="_Toc216431678"/>
      <w:r>
        <w:rPr>
          <w:lang w:val="en-IN"/>
        </w:rPr>
        <w:t>2.4 The practical implementation and measurement of sustainability initiatives in retail operations</w:t>
      </w:r>
      <w:bookmarkEnd w:id="24"/>
    </w:p>
    <w:p w14:paraId="7FA11EBC">
      <w:pPr>
        <w:rPr>
          <w:lang w:val="en-IN"/>
        </w:rPr>
      </w:pPr>
      <w:r>
        <w:rPr>
          <w:lang w:val="en-IN"/>
        </w:rPr>
        <w:t xml:space="preserve">Pressure of the institutions, technological capacities and the needs of the supply chain influence the practical implementation of sustainability initiatives in the retail operational processes. As per Dagilienė </w:t>
      </w:r>
      <w:r>
        <w:rPr>
          <w:i/>
          <w:iCs/>
          <w:lang w:val="en-IN"/>
        </w:rPr>
        <w:t>et al.</w:t>
      </w:r>
      <w:r>
        <w:rPr>
          <w:lang w:val="en-IN"/>
        </w:rPr>
        <w:t xml:space="preserve"> (2022), retailers tend to work in the framework of competing institutional </w:t>
      </w:r>
      <w:r>
        <w:rPr>
          <w:lang w:val="en-GB"/>
        </w:rPr>
        <w:t>logic s</w:t>
      </w:r>
      <w:r>
        <w:rPr>
          <w:lang w:val="en-IN"/>
        </w:rPr>
        <w:t xml:space="preserve">, and environmental, legal and financial expectations can impact the decision-making on sustainability as a block. Their results indicate that whereas retailers acknowledge the importance of sustainability, its implementation is often disjointed, with premium, mainstream and discount retailers taking various models. It is different to Vadakkepatt </w:t>
      </w:r>
      <w:r>
        <w:rPr>
          <w:i/>
          <w:iCs/>
          <w:lang w:val="en-IN"/>
        </w:rPr>
        <w:t>et al.</w:t>
      </w:r>
      <w:r>
        <w:rPr>
          <w:lang w:val="en-IN"/>
        </w:rPr>
        <w:t xml:space="preserve"> (2021), who state that many retailers are moving beyond compliance-based sustainability to a strategic approach, where the environmental and social objectives are integrated into the core business processes. They propose that the practical implementation is more and more associated with value creation, which is manifested by the decrease of waste, better sourcing practices and innovations in recycling and circular-economy practices.</w:t>
      </w:r>
    </w:p>
    <w:p w14:paraId="6325053C">
      <w:pPr>
        <w:rPr>
          <w:lang w:val="en-IN"/>
        </w:rPr>
      </w:pPr>
      <w:r>
        <w:rPr>
          <w:lang w:val="en-GB"/>
        </w:rPr>
        <w:t>Digitization</w:t>
      </w:r>
      <w:r>
        <w:rPr>
          <w:lang w:val="en-IN"/>
        </w:rPr>
        <w:t xml:space="preserve"> is one of the driving forces of practical implementation in the entire sector. Jarašūnienė and Paulauskas (2025) claim that Industry 4.0 technologies, including IoT monitoring systems, artificial intelligence, </w:t>
      </w:r>
      <w:r>
        <w:rPr>
          <w:lang w:val="en-GB"/>
        </w:rPr>
        <w:t>block chain</w:t>
      </w:r>
      <w:r>
        <w:rPr>
          <w:lang w:val="en-IN"/>
        </w:rPr>
        <w:t xml:space="preserve">, robotics and big data </w:t>
      </w:r>
      <w:r>
        <w:rPr>
          <w:lang w:val="en-GB"/>
        </w:rPr>
        <w:t>analytic</w:t>
      </w:r>
      <w:r>
        <w:rPr>
          <w:lang w:val="en-IN"/>
        </w:rPr>
        <w:t xml:space="preserve">, can enable a retailer to quantify the sustainability performance more accurately. The retailers are able to measure energy consumption, emissions, waste and social compliance rates better through real-time logistics tracking, automated warehousing and digital traceability systems. Nevertheless, it is a technologically optimistic perspective that is in contrast with the fact that most retailers do not have internal competencies, resources and structural support that they need to fully integrate such tools. This comparison indicates that digital innovations may increase the accuracy of measurements, but their efficiency is determined by the </w:t>
      </w:r>
      <w:r>
        <w:rPr>
          <w:lang w:val="en-GB"/>
        </w:rPr>
        <w:t>organizational</w:t>
      </w:r>
      <w:r>
        <w:rPr>
          <w:lang w:val="en-IN"/>
        </w:rPr>
        <w:t xml:space="preserve"> and institutional situation.</w:t>
      </w:r>
    </w:p>
    <w:p w14:paraId="1E46C137">
      <w:pPr>
        <w:rPr>
          <w:lang w:val="en-IN"/>
        </w:rPr>
      </w:pPr>
      <w:r>
        <w:rPr>
          <w:lang w:val="en-IN"/>
        </w:rPr>
        <w:t xml:space="preserve">Imran et al. (2024) note that geopolitical uncertainties and pandemics cause disturbances in the world, increasing the necessity of resilient and sustainable supply chains. Their results indicate that sustainability implementation would entail aligning the economic, social and environmental requirements, especially in areas in which there is a high level of waste and consumption of resources. Digital technologies and the principles of the circular economy </w:t>
      </w:r>
      <w:r>
        <w:rPr>
          <w:lang w:val="en-GB"/>
        </w:rPr>
        <w:t>optimize</w:t>
      </w:r>
      <w:r>
        <w:rPr>
          <w:lang w:val="en-IN"/>
        </w:rPr>
        <w:t xml:space="preserve"> transparency and the sustainability measure. Nevertheless, sustainability turns out to be a survival strategy instead of a strategic differentiation, which contrasts the opinion of Vadakkepatt et al. (2021), who are more opportunity-focused in their perspective.</w:t>
      </w:r>
    </w:p>
    <w:p w14:paraId="1B6F1C78">
      <w:pPr>
        <w:rPr>
          <w:lang w:val="en-IN"/>
        </w:rPr>
      </w:pPr>
      <w:r>
        <w:rPr>
          <w:lang w:val="en-IN"/>
        </w:rPr>
        <w:t xml:space="preserve">The measurement of sustainability is also made more complex in e-commerce. As illustrated by Rao et al. (2021), online retailing may lead to a decrease in some of the environmental burdens, but it causes other sustainability factors, namely excessive packaging waste and delivery emissions. They state that measurement should include both positive and negative </w:t>
      </w:r>
      <w:r>
        <w:rPr>
          <w:lang w:val="en-GB"/>
        </w:rPr>
        <w:t>externalize</w:t>
      </w:r>
      <w:r>
        <w:rPr>
          <w:lang w:val="en-IN"/>
        </w:rPr>
        <w:t xml:space="preserve"> and that sustainability measurement should go beyond the conventional supply-chain indicators. It is unlike less retailer-oriented models wherein consumer behaviour is a core variable that determines how implementation and measurement are done. Though the sustainability programs in the retail operation are more and more justified with the digital tools and provided with the circular frameworks and official performance metrics, the literature represents the ongoing tensions. The key to successful implementation lies in bringing the technological capabilities in line with </w:t>
      </w:r>
      <w:r>
        <w:rPr>
          <w:lang w:val="en-GB"/>
        </w:rPr>
        <w:t>organizational</w:t>
      </w:r>
      <w:r>
        <w:rPr>
          <w:lang w:val="en-IN"/>
        </w:rPr>
        <w:t xml:space="preserve"> culture, institutional expectations and complicated consumer </w:t>
      </w:r>
      <w:r>
        <w:rPr>
          <w:lang w:val="en-GB"/>
        </w:rPr>
        <w:t>behaviour s</w:t>
      </w:r>
      <w:r>
        <w:rPr>
          <w:lang w:val="en-IN"/>
        </w:rPr>
        <w:t>.</w:t>
      </w:r>
    </w:p>
    <w:p w14:paraId="10A3F7FF">
      <w:pPr>
        <w:pStyle w:val="3"/>
        <w:rPr>
          <w:lang w:val="en-IN"/>
        </w:rPr>
      </w:pPr>
      <w:bookmarkStart w:id="25" w:name="_Toc216431679"/>
      <w:r>
        <w:rPr>
          <w:lang w:val="en-IN"/>
        </w:rPr>
        <w:t>2.5 Opportunities faced by managers in embedding sustainability within long-term business goals</w:t>
      </w:r>
      <w:bookmarkEnd w:id="25"/>
    </w:p>
    <w:p w14:paraId="7D6DA14A">
      <w:pPr>
        <w:rPr>
          <w:lang w:val="en-IN"/>
        </w:rPr>
      </w:pPr>
      <w:r>
        <w:rPr>
          <w:lang w:val="en-IN"/>
        </w:rPr>
        <w:t xml:space="preserve">Incorporation of sustainability in long-term business objectives will provide managers with high levels of strategic opportunities that go beyond compliance, which can provide avenues of value creation, competitive advantage and trust by stakeholders. According to Papadopoulos </w:t>
      </w:r>
      <w:r>
        <w:rPr>
          <w:i/>
          <w:iCs/>
          <w:lang w:val="en-IN"/>
        </w:rPr>
        <w:t>et al.</w:t>
      </w:r>
      <w:r>
        <w:rPr>
          <w:lang w:val="en-IN"/>
        </w:rPr>
        <w:t xml:space="preserve"> (2025), the strategic integration of CSR into the business of retail is one of the biggest opportunities, as it improves brand equity and customer loyalty. Their analysis demonstrates that the sustainability-based programs are very powerful when they are incorporated visibly a long-term strategy visibly among consumers. This view also correlates with Celestin and Sujatha (2024), who </w:t>
      </w:r>
      <w:r>
        <w:rPr>
          <w:lang w:val="en-GB"/>
        </w:rPr>
        <w:t>emphases</w:t>
      </w:r>
      <w:r>
        <w:rPr>
          <w:lang w:val="en-IN"/>
        </w:rPr>
        <w:t xml:space="preserve"> that the inclusion of ESG factors into the main business encounters improves financial results and corporate image. Therefore, sustainability is not only a cost but also a business asset that creates business resilience over time.</w:t>
      </w:r>
    </w:p>
    <w:p w14:paraId="71D181CD">
      <w:pPr>
        <w:rPr>
          <w:lang w:val="en-IN"/>
        </w:rPr>
      </w:pPr>
      <w:r>
        <w:rPr>
          <w:lang w:val="en-IN"/>
        </w:rPr>
        <w:t xml:space="preserve">However, Celestin and Sujatha (2024) identify the operationalisation challenge, which appears to be a significant issue among many firms that think and acknowledge the importance of sustainability but lack well-developed governance systems to exploit these opportunities. Michalski (2024) depicts the way through which the Balanced Scorecard may be </w:t>
      </w:r>
      <w:r>
        <w:rPr>
          <w:lang w:val="en-GB"/>
        </w:rPr>
        <w:t>operational</w:t>
      </w:r>
      <w:r>
        <w:rPr>
          <w:lang w:val="en-IN"/>
        </w:rPr>
        <w:t xml:space="preserve"> to implement ESG in strategic management systems. His results demonstrate that the managers can transform sustainability aspirations into quantifiable goals and it is a practical tool for seizing chances like enhanced stakeholder confidence, efficiency in processes and profitability over the long term. This is unlike Papadopoulos</w:t>
      </w:r>
      <w:r>
        <w:rPr>
          <w:i/>
          <w:iCs/>
          <w:lang w:val="en-IN"/>
        </w:rPr>
        <w:t xml:space="preserve"> et al.</w:t>
      </w:r>
      <w:r>
        <w:rPr>
          <w:lang w:val="en-IN"/>
        </w:rPr>
        <w:t xml:space="preserve"> (2025), who pay more attention to consumer-facing opportunities as compared to Michalski (2024), who </w:t>
      </w:r>
      <w:r>
        <w:rPr>
          <w:lang w:val="en-GB"/>
        </w:rPr>
        <w:t>emphasis</w:t>
      </w:r>
      <w:r>
        <w:rPr>
          <w:lang w:val="en-IN"/>
        </w:rPr>
        <w:t xml:space="preserve"> internal strategic alignment as a requirement of capitalising on sustainability benefits.</w:t>
      </w:r>
    </w:p>
    <w:p w14:paraId="0D6D814C">
      <w:pPr>
        <w:rPr>
          <w:lang w:val="en-IN"/>
        </w:rPr>
      </w:pPr>
      <w:r>
        <w:rPr>
          <w:lang w:val="en-IN"/>
        </w:rPr>
        <w:t xml:space="preserve">Another important opportunity that arises is that of decision-making based on materiality. Gulko </w:t>
      </w:r>
      <w:r>
        <w:rPr>
          <w:i/>
          <w:iCs/>
          <w:lang w:val="en-IN"/>
        </w:rPr>
        <w:t xml:space="preserve">et al. </w:t>
      </w:r>
      <w:r>
        <w:rPr>
          <w:lang w:val="en-IN"/>
        </w:rPr>
        <w:t xml:space="preserve">(2024) indicate that managers who do effective materiality assessment can focus on sustainability measures, which do generate real long-term value, as opposed to symbolic disclosures. They highlight the fact that materiality allows companies to make sustainability consistent with strategic risk management, investor expectations and societal priorities. This transcends the scope of Papadopoulos </w:t>
      </w:r>
      <w:r>
        <w:rPr>
          <w:i/>
          <w:iCs/>
          <w:lang w:val="en-IN"/>
        </w:rPr>
        <w:t>et al.</w:t>
      </w:r>
      <w:r>
        <w:rPr>
          <w:lang w:val="en-IN"/>
        </w:rPr>
        <w:t xml:space="preserve"> (2025), which focuses on consumer perceptions to align the concept of sustainability as a tool of protection of long-term values among various groups of stakeholders. However, Gulko </w:t>
      </w:r>
      <w:r>
        <w:rPr>
          <w:i/>
          <w:iCs/>
          <w:lang w:val="en-IN"/>
        </w:rPr>
        <w:t>et al.</w:t>
      </w:r>
      <w:r>
        <w:rPr>
          <w:lang w:val="en-IN"/>
        </w:rPr>
        <w:t xml:space="preserve"> (2024) warn that such opportunities are being watered down by inconsistent reporting structures, meaning that managers should walk the fine line of reporting diversity to retain credibility.</w:t>
      </w:r>
    </w:p>
    <w:p w14:paraId="3D0602C6">
      <w:pPr>
        <w:rPr>
          <w:lang w:val="en-IN"/>
        </w:rPr>
      </w:pPr>
      <w:r>
        <w:rPr>
          <w:lang w:val="en-IN"/>
        </w:rPr>
        <w:t xml:space="preserve">Adolph and Beckmann (2024) offer a conceptual clarity that it is possible to overcome the concept of ambiguity by defining sustainability in such a manner that enhances strategic coherence. They argue that, once the </w:t>
      </w:r>
      <w:r>
        <w:rPr>
          <w:lang w:val="en-GB"/>
        </w:rPr>
        <w:t>conceptualization</w:t>
      </w:r>
      <w:r>
        <w:rPr>
          <w:lang w:val="en-IN"/>
        </w:rPr>
        <w:t xml:space="preserve"> of sustainability is made clear, managers can instil sustainability as a long-term value logic, which influences innovation, employee engagement and </w:t>
      </w:r>
      <w:r>
        <w:rPr>
          <w:lang w:val="en-GB"/>
        </w:rPr>
        <w:t>organizational</w:t>
      </w:r>
      <w:r>
        <w:rPr>
          <w:lang w:val="en-IN"/>
        </w:rPr>
        <w:t xml:space="preserve"> identity. It demonstrates that managers have not only limitations but also significant opportunities: to increase brand loyalty, to enhance governance, to better performance measurement, to gain investor confidence and to create resilient value chains that are resilient. What is critically understood by authors is that these opportunities are </w:t>
      </w:r>
      <w:r>
        <w:rPr>
          <w:lang w:val="en-GB"/>
        </w:rPr>
        <w:t>optimized</w:t>
      </w:r>
      <w:r>
        <w:rPr>
          <w:lang w:val="en-IN"/>
        </w:rPr>
        <w:t xml:space="preserve"> when sustainability is strategically incorporated, materially informed and operationally embedded, and that sustainability is no longer seen as a compliance need by the organisation but rather as a long-term competitive benefit.</w:t>
      </w:r>
    </w:p>
    <w:p w14:paraId="2AA52851">
      <w:pPr>
        <w:pStyle w:val="3"/>
        <w:rPr>
          <w:lang w:val="en-IN"/>
        </w:rPr>
      </w:pPr>
      <w:bookmarkStart w:id="26" w:name="_Toc216431680"/>
      <w:r>
        <w:rPr>
          <w:lang w:val="en-IN"/>
        </w:rPr>
        <w:t>2.6 Challenges faced by managers in embedding sustainability within long-term business goals</w:t>
      </w:r>
      <w:bookmarkEnd w:id="26"/>
    </w:p>
    <w:p w14:paraId="1D0882B8">
      <w:pPr>
        <w:rPr>
          <w:lang w:val="en-IN"/>
        </w:rPr>
      </w:pPr>
      <w:r>
        <w:rPr>
          <w:lang w:val="en-IN"/>
        </w:rPr>
        <w:t xml:space="preserve">Managers have significant difficulty in incorporating sustainability in the long term business objectives, mainly due to the fact that sustainability requires the replacement of the traditional efficiency centred models to transformational </w:t>
      </w:r>
      <w:r>
        <w:rPr>
          <w:lang w:val="en-GB"/>
        </w:rPr>
        <w:t>organizational</w:t>
      </w:r>
      <w:r>
        <w:rPr>
          <w:lang w:val="en-IN"/>
        </w:rPr>
        <w:t xml:space="preserve"> change. A systems view states that to achieve sustainability, it is necessary to reorganize the creation of value and long-term orientation, but most </w:t>
      </w:r>
      <w:r>
        <w:rPr>
          <w:lang w:val="en-GB"/>
        </w:rPr>
        <w:t>organizations</w:t>
      </w:r>
      <w:r>
        <w:rPr>
          <w:lang w:val="en-IN"/>
        </w:rPr>
        <w:t xml:space="preserve"> continue to make small adjustments, which indicates a lack of correlation between strategic objectives and operational capabilities (Trollman &amp; Colwill, 2021). The existence of this gap implies that managers are likely to face institutional inertia in which institutional routines and cultural norms hamper the incorporation of sustainability into the mainstream processes. Although strategic direction focuses on sustainability as a path to long-term competitiveness, the managerial imperative of transforming inspirational visions into operational strategies reveals practical limitations, particularly when resources, expert abilities or a fit between leadership and strategies are scarce (Bhutto, 2023).</w:t>
      </w:r>
    </w:p>
    <w:p w14:paraId="6A8B97C5">
      <w:pPr>
        <w:rPr>
          <w:lang w:val="en-IN"/>
        </w:rPr>
      </w:pPr>
      <w:r>
        <w:rPr>
          <w:lang w:val="en-IN"/>
        </w:rPr>
        <w:t xml:space="preserve">These restrictions are also enhanced by fact that managers cannot easily develop the dynamic capabilities required to think in life cycles, work in cross-functional teams and be innovative. In case of poor such capabilities, sustainability initiatives are isolated and remain in </w:t>
      </w:r>
      <w:r>
        <w:rPr>
          <w:lang w:val="en-GB"/>
        </w:rPr>
        <w:t>specialized</w:t>
      </w:r>
      <w:r>
        <w:rPr>
          <w:lang w:val="en-IN"/>
        </w:rPr>
        <w:t xml:space="preserve"> teams instead of becoming embedded in the </w:t>
      </w:r>
      <w:r>
        <w:rPr>
          <w:lang w:val="en-GB"/>
        </w:rPr>
        <w:t>organizational</w:t>
      </w:r>
      <w:r>
        <w:rPr>
          <w:lang w:val="en-IN"/>
        </w:rPr>
        <w:t xml:space="preserve"> units, limiting their impact on long-term decision-making (Bianchi et al., 2021). Meanwhile, the top managers talk more and more about sustainability as a value-creation story, which is a sign of its strategic significance, but such a symbolic focus may mask internal contradictions. When the operationalisation of sustainability by managers are based on a mismatch between the social promise and the internal capacities, they can lead to strains between </w:t>
      </w:r>
      <w:r>
        <w:rPr>
          <w:lang w:val="en-GB"/>
        </w:rPr>
        <w:t>reputation</w:t>
      </w:r>
      <w:r>
        <w:rPr>
          <w:lang w:val="en-IN"/>
        </w:rPr>
        <w:t xml:space="preserve"> discourses and </w:t>
      </w:r>
      <w:r>
        <w:rPr>
          <w:lang w:val="en-GB"/>
        </w:rPr>
        <w:t>organizational</w:t>
      </w:r>
      <w:r>
        <w:rPr>
          <w:lang w:val="en-IN"/>
        </w:rPr>
        <w:t xml:space="preserve"> realities (Arvidsson, 2023).</w:t>
      </w:r>
    </w:p>
    <w:p w14:paraId="084A52FC">
      <w:pPr>
        <w:rPr>
          <w:lang w:val="en-IN"/>
        </w:rPr>
      </w:pPr>
      <w:r>
        <w:rPr>
          <w:lang w:val="en-IN"/>
        </w:rPr>
        <w:t xml:space="preserve">Managerial problems are also determined by the governance forms because sustainability has to be aligned in line with the board-based priorities, regulatory demands, and the stakeholder pressure. These incompatibilities put a strain on the discretion of the manager, pushing it to the point where it becomes hard to balance the short term financial necessity with the long term environmental and social goals. The fact that their governance relations are complex also implies that managers will receive opposing definitions of what sustainability performance is, which constrains their ability to be consistent in their strategic alignment (Hristov et al., 2021). Furthermore, the consideration of the environmental, social and governance in the risks management frameworks depicts the opportunity and limit as well. Financial risk on the one hand can make sustainability a priority in strategic planning; on the other, sustainability can be addressed by managers in a very limited way, trying to make their </w:t>
      </w:r>
      <w:r>
        <w:rPr>
          <w:lang w:val="en-GB"/>
        </w:rPr>
        <w:t>organizations</w:t>
      </w:r>
      <w:r>
        <w:rPr>
          <w:lang w:val="en-IN"/>
        </w:rPr>
        <w:t xml:space="preserve"> more sustainable by improving ESG metrics, which can make them focus on the compliance-based reporting instead of the actual </w:t>
      </w:r>
      <w:r>
        <w:rPr>
          <w:lang w:val="en-GB"/>
        </w:rPr>
        <w:t>organizational</w:t>
      </w:r>
      <w:r>
        <w:rPr>
          <w:lang w:val="en-IN"/>
        </w:rPr>
        <w:t xml:space="preserve"> change (Landi et al., 2022).</w:t>
      </w:r>
    </w:p>
    <w:p w14:paraId="265E4F09">
      <w:pPr>
        <w:rPr>
          <w:lang w:val="en-IN"/>
        </w:rPr>
      </w:pPr>
      <w:r>
        <w:rPr>
          <w:lang w:val="en-IN"/>
        </w:rPr>
        <w:t xml:space="preserve">Taken together these standpoints demonstrate that the issue is not ignorance or intent but rather the challenge of inculcating sustainability into systems, cultures and forms of governance based on short-term performance. To achieve successful long-term integration, the ability must be developed, </w:t>
      </w:r>
      <w:r>
        <w:rPr>
          <w:lang w:val="en-GB"/>
        </w:rPr>
        <w:t>organizational</w:t>
      </w:r>
      <w:r>
        <w:rPr>
          <w:lang w:val="en-IN"/>
        </w:rPr>
        <w:t xml:space="preserve"> alignment and corporate leadership devotion-states that are still unequal in the retail industry.</w:t>
      </w:r>
    </w:p>
    <w:p w14:paraId="0B0ADCAC">
      <w:pPr>
        <w:pStyle w:val="3"/>
        <w:rPr>
          <w:lang w:val="en-IN"/>
        </w:rPr>
      </w:pPr>
      <w:bookmarkStart w:id="27" w:name="_Toc216431681"/>
      <w:r>
        <w:rPr>
          <w:lang w:val="en-IN"/>
        </w:rPr>
        <w:t>2.7 Theoretical Implications</w:t>
      </w:r>
      <w:bookmarkEnd w:id="27"/>
      <w:r>
        <w:rPr>
          <w:lang w:val="en-IN"/>
        </w:rPr>
        <w:t> </w:t>
      </w:r>
    </w:p>
    <w:p w14:paraId="3AC06224">
      <w:pPr>
        <w:rPr>
          <w:lang w:val="en-IN"/>
        </w:rPr>
      </w:pPr>
      <w:r>
        <w:rPr>
          <w:b/>
          <w:bCs/>
          <w:i/>
          <w:iCs/>
          <w:lang w:val="en-IN"/>
        </w:rPr>
        <w:t>Institutional Theory</w:t>
      </w:r>
    </w:p>
    <w:p w14:paraId="0181C6A4">
      <w:pPr>
        <w:rPr>
          <w:lang w:val="en-IN"/>
        </w:rPr>
      </w:pPr>
      <w:r>
        <w:rPr>
          <w:lang w:val="en-IN"/>
        </w:rPr>
        <w:t xml:space="preserve">According to institutional views, sustainability will become institutionalized in strategy where the formal and informal rules change the perceived legitimate managerial behaviour and how sustainable development agendas are transduced out of policy discourse into </w:t>
      </w:r>
      <w:r>
        <w:rPr>
          <w:lang w:val="en-GB"/>
        </w:rPr>
        <w:t>organizational</w:t>
      </w:r>
      <w:r>
        <w:rPr>
          <w:lang w:val="en-IN"/>
        </w:rPr>
        <w:t xml:space="preserve"> practices (Özkan, 2024). Building on this perspective, norms are depicted as stronger than threats or competitive trends, as managers tend to discuss sustainability as a moral and professional demand, not as a reaction to sanctions, which means that normative pressures can positively influence strategic decision making in the long term in relation to environmental and social results (Marculetiu et al., 2025). However, as demonstrated by middle managers working in retail and fast-moving consumer goods, these institutional expectations come into conflict with operational constraints, including resource constraints, divided mandates and contradictory performance solutions, and displays that compliance stories are not necessarily translated into profound strategic integration (Mountfield et al., 2021). All in all, institutional forces seem to be required yet not adequate to achieve sound sustainability decision-making.</w:t>
      </w:r>
    </w:p>
    <w:p w14:paraId="6AAE2099">
      <w:pPr>
        <w:rPr>
          <w:lang w:val="en-IN"/>
        </w:rPr>
      </w:pPr>
      <w:r>
        <w:rPr>
          <w:b/>
          <w:bCs/>
          <w:i/>
          <w:iCs/>
          <w:lang w:val="en-IN"/>
        </w:rPr>
        <w:t>Stakeholder / Managerial Perceptions</w:t>
      </w:r>
    </w:p>
    <w:p w14:paraId="35256F11">
      <w:pPr>
        <w:rPr>
          <w:lang w:val="en-IN"/>
        </w:rPr>
      </w:pPr>
      <w:r>
        <w:rPr>
          <w:lang w:val="en-IN"/>
        </w:rPr>
        <w:t xml:space="preserve">Stakeholder-based approaches underline that managers perceive sustainability in terms of the perceived demands of the various actors in order that CSR and sustainability are seen as an instrument of ensuring legitimacy to the customers, employees and communities as opposed to appurilatory philanthropy (Modreanu et al., 2024). Distinctions between small and medium-sized businesses and multinational corporations indicate that ownership structure and resource depth determine the seriousness with which managers take into account stakeholder claims because larger retailers are able to </w:t>
      </w:r>
      <w:r>
        <w:rPr>
          <w:lang w:val="en-GB"/>
        </w:rPr>
        <w:t>institutionalize</w:t>
      </w:r>
      <w:r>
        <w:rPr>
          <w:lang w:val="en-IN"/>
        </w:rPr>
        <w:t xml:space="preserve"> CSR departments whereas small companies are dependent on more informal responsiveness and thus strategic integration of the sustainability issue is not evenly spread. This trend suggests that the stakeholder theory cannot be generalized to all retail situations, since power relations, and the lack of information implies that some voices will always be peripheral in decision making, especially in the situation where price competition is high. In turn, the stakeholder </w:t>
      </w:r>
      <w:r>
        <w:rPr>
          <w:lang w:val="en-GB"/>
        </w:rPr>
        <w:t>logic's</w:t>
      </w:r>
      <w:r>
        <w:rPr>
          <w:lang w:val="en-IN"/>
        </w:rPr>
        <w:t xml:space="preserve"> provide a convenient explanation of why managers would choose to focus on certain sustainability concerns, yet the </w:t>
      </w:r>
      <w:r>
        <w:rPr>
          <w:lang w:val="en-GB"/>
        </w:rPr>
        <w:t>logic's</w:t>
      </w:r>
      <w:r>
        <w:rPr>
          <w:lang w:val="en-IN"/>
        </w:rPr>
        <w:t xml:space="preserve"> do not completely explain how the lack of interest in diffuse social or environmental stakeholders persists.</w:t>
      </w:r>
    </w:p>
    <w:p w14:paraId="7822AA2D">
      <w:pPr>
        <w:rPr>
          <w:lang w:val="en-IN"/>
        </w:rPr>
      </w:pPr>
      <w:r>
        <w:rPr>
          <w:b/>
          <w:bCs/>
          <w:i/>
          <w:iCs/>
          <w:lang w:val="en-IN"/>
        </w:rPr>
        <w:t>Resource-Based View (RBV)</w:t>
      </w:r>
    </w:p>
    <w:p w14:paraId="64E779BB">
      <w:pPr>
        <w:rPr>
          <w:lang w:val="en-IN"/>
        </w:rPr>
      </w:pPr>
      <w:r>
        <w:rPr>
          <w:lang w:val="en-IN"/>
        </w:rPr>
        <w:t xml:space="preserve">Resource-based explanations consider sustainability a strategic competence capable of improving performance in cases where firms create unique set of absorptive, innovative and branding capabilities that demonstrate that retail </w:t>
      </w:r>
      <w:r>
        <w:rPr>
          <w:lang w:val="en-GB"/>
        </w:rPr>
        <w:t>organizations</w:t>
      </w:r>
      <w:r>
        <w:rPr>
          <w:lang w:val="en-IN"/>
        </w:rPr>
        <w:t xml:space="preserve"> translate sustainability investments into better results only when such capabilities are synergistic (Phuong et al., 2022). The evidence on sustainable marketing strategies is complementary, indicating that the strategic orientation of the company and its managerial readiness to take proactive sustainability steps earlier than regulatory or competitive forces generates a competitive advantage, which means that having green resources is not enough (Demessie and Shukla, 2024). Combined, these clues suggest that managers in retail cannot make sustainability a generic best practice as the benefits require path-dependent learning, multifunctional coordination and credible brand signals. The capability-based explanations do run into the danger, however, of underestimating structural constraints, because, in the absence of size, margin and supply-chain constraints, all firms can invest in advanced sustainability competences.</w:t>
      </w:r>
    </w:p>
    <w:p w14:paraId="1F35DEAA">
      <w:pPr>
        <w:pStyle w:val="3"/>
        <w:rPr>
          <w:lang w:val="en-IN"/>
        </w:rPr>
      </w:pPr>
      <w:bookmarkStart w:id="28" w:name="_Toc216431682"/>
      <w:r>
        <w:rPr>
          <w:lang w:val="en-IN"/>
        </w:rPr>
        <w:t>2.8 Literature Gap</w:t>
      </w:r>
      <w:bookmarkEnd w:id="28"/>
    </w:p>
    <w:p w14:paraId="70ABF087">
      <w:pPr>
        <w:rPr>
          <w:lang w:val="en-IN"/>
        </w:rPr>
      </w:pPr>
      <w:r>
        <w:rPr>
          <w:lang w:val="en-IN"/>
        </w:rPr>
        <w:t xml:space="preserve">The available literature offers good insights with regard to the implementation of sustainability, opportunities, and managerial issues, but there are still some gaps in the comprehension of how these dynamics manifest themselves in the UK retail strategic decision-making. Still, there are numerous studies on institutional </w:t>
      </w:r>
      <w:r>
        <w:rPr>
          <w:lang w:val="en-GB"/>
        </w:rPr>
        <w:t>logic's</w:t>
      </w:r>
      <w:r>
        <w:rPr>
          <w:lang w:val="en-IN"/>
        </w:rPr>
        <w:t xml:space="preserve">, technological capabilities and supply-chain sustainability, but they fail to offer insight on how managers can reconcile </w:t>
      </w:r>
      <w:r>
        <w:rPr>
          <w:lang w:val="en-GB"/>
        </w:rPr>
        <w:t>organizational</w:t>
      </w:r>
      <w:r>
        <w:rPr>
          <w:lang w:val="en-IN"/>
        </w:rPr>
        <w:t xml:space="preserve"> contradictory pressures when entrenching the concept of sustainability into long-term planning. The past literature also highlights the themes of </w:t>
      </w:r>
      <w:r>
        <w:rPr>
          <w:lang w:val="en-GB"/>
        </w:rPr>
        <w:t>digitization</w:t>
      </w:r>
      <w:r>
        <w:rPr>
          <w:lang w:val="en-IN"/>
        </w:rPr>
        <w:t xml:space="preserve"> and circularity but it does not focus on how the different retail formats, including high-end, mainstream and discount, influence managerial choice. Moreover, although such opportunities as brand equity, alignment with ESRs, and materiality evaluation are discussed thoroughly, the question of the priorities between symbolic and substantive sustainability action is considered only somewhat when managers are faced with resource restrictions and operational ambiguity. In general, the literature does not adequately cover a perception-implementation gap in management, and the question of how managers must strike a balance between stakeholder expectations, technological possibilities, and internal limitations of capacity in long-term sustainability strategy remains unanswered.</w:t>
      </w:r>
    </w:p>
    <w:p w14:paraId="0F3763E8">
      <w:pPr>
        <w:pStyle w:val="3"/>
        <w:rPr>
          <w:lang w:val="en-IN"/>
        </w:rPr>
      </w:pPr>
      <w:bookmarkStart w:id="29" w:name="_Toc216431683"/>
      <w:r>
        <w:rPr>
          <w:lang w:val="en-IN"/>
        </w:rPr>
        <w:t>2.9 Summary</w:t>
      </w:r>
      <w:bookmarkEnd w:id="29"/>
    </w:p>
    <w:p w14:paraId="5B006E4E">
      <w:pPr>
        <w:rPr>
          <w:lang w:val="en-IN"/>
        </w:rPr>
      </w:pPr>
      <w:r>
        <w:rPr>
          <w:lang w:val="en-IN"/>
        </w:rPr>
        <w:t xml:space="preserve">The literature reveals that implementation of sustainability in retail is influenced by institutional pressures, technological advances, and supply-chain requirements but the forces do not affect all </w:t>
      </w:r>
      <w:r>
        <w:rPr>
          <w:lang w:val="en-GB"/>
        </w:rPr>
        <w:t>organizations</w:t>
      </w:r>
      <w:r>
        <w:rPr>
          <w:lang w:val="en-IN"/>
        </w:rPr>
        <w:t xml:space="preserve"> in the same way. Although digital tools, ESG frameworks and materiality assessments can be used to harness value creation, competitive advantage and strategic alignment, managers also grapple with issues of capability deficits, governance tensions as well as fragmented operations structures. The long-term integration of sustainability is revealed as an opportunity and a challenge which can be attained long-term based on the readiness of the </w:t>
      </w:r>
      <w:r>
        <w:rPr>
          <w:lang w:val="en-GB"/>
        </w:rPr>
        <w:t>organization</w:t>
      </w:r>
      <w:r>
        <w:rPr>
          <w:lang w:val="en-IN"/>
        </w:rPr>
        <w:t xml:space="preserve"> and the depth of the resources. Together, the review reveals the ongoing gaps between the sustainability ambition and implementation, and supports the necessity of conducting the empirical studies on managerial decision-making in terms of the UK retail industry.</w:t>
      </w:r>
    </w:p>
    <w:p w14:paraId="616A29DB">
      <w:pPr>
        <w:pStyle w:val="2"/>
      </w:pPr>
      <w:bookmarkStart w:id="30" w:name="_Toc216431684"/>
      <w:r>
        <w:t>Chapter 3: Methodology</w:t>
      </w:r>
      <w:bookmarkEnd w:id="30"/>
    </w:p>
    <w:p w14:paraId="40D49AF6">
      <w:pPr>
        <w:pStyle w:val="3"/>
      </w:pPr>
      <w:bookmarkStart w:id="31" w:name="_Toc216431685"/>
      <w:r>
        <w:t>3.1 Research Objectives</w:t>
      </w:r>
      <w:bookmarkEnd w:id="31"/>
    </w:p>
    <w:p w14:paraId="3749B87E">
      <w:pPr>
        <w:pStyle w:val="24"/>
        <w:numPr>
          <w:ilvl w:val="0"/>
          <w:numId w:val="4"/>
        </w:numPr>
        <w:rPr>
          <w:lang w:val="en-GB"/>
        </w:rPr>
      </w:pPr>
      <w:r>
        <w:rPr>
          <w:lang w:val="en-GB"/>
        </w:rPr>
        <w:t>To achieve this aim, the following research objectives were developed:</w:t>
      </w:r>
    </w:p>
    <w:p w14:paraId="22378D8C">
      <w:pPr>
        <w:pStyle w:val="24"/>
        <w:numPr>
          <w:ilvl w:val="0"/>
          <w:numId w:val="4"/>
        </w:numPr>
        <w:rPr>
          <w:lang w:val="en-GB"/>
        </w:rPr>
      </w:pPr>
      <w:r>
        <w:rPr>
          <w:lang w:val="en-GB"/>
        </w:rPr>
        <w:t>To identify how UK retail managers perceive the role of sustainability in organizational strategy.</w:t>
      </w:r>
    </w:p>
    <w:p w14:paraId="483DEA2F">
      <w:pPr>
        <w:pStyle w:val="24"/>
        <w:numPr>
          <w:ilvl w:val="0"/>
          <w:numId w:val="4"/>
        </w:numPr>
        <w:rPr>
          <w:lang w:val="en-GB"/>
        </w:rPr>
      </w:pPr>
      <w:r>
        <w:rPr>
          <w:lang w:val="en-GB"/>
        </w:rPr>
        <w:t>To examine how sustainability initiatives are implemented and measured in retail operations.</w:t>
      </w:r>
    </w:p>
    <w:p w14:paraId="0A4DDB01">
      <w:pPr>
        <w:pStyle w:val="24"/>
        <w:numPr>
          <w:ilvl w:val="0"/>
          <w:numId w:val="4"/>
        </w:numPr>
        <w:rPr>
          <w:lang w:val="en-GB"/>
        </w:rPr>
      </w:pPr>
      <w:r>
        <w:rPr>
          <w:lang w:val="en-GB"/>
        </w:rPr>
        <w:t>To explore the opportunities that sustainability provides for long-term organizational development.</w:t>
      </w:r>
    </w:p>
    <w:p w14:paraId="67D7653E">
      <w:pPr>
        <w:pStyle w:val="24"/>
        <w:numPr>
          <w:ilvl w:val="0"/>
          <w:numId w:val="4"/>
        </w:numPr>
        <w:rPr>
          <w:lang w:val="en-GB"/>
        </w:rPr>
      </w:pPr>
      <w:r>
        <w:rPr>
          <w:lang w:val="en-GB"/>
        </w:rPr>
        <w:t>To analyse the challenges managers, face when integrating sustainability into strategic decision-making.</w:t>
      </w:r>
    </w:p>
    <w:p w14:paraId="4D53D7FC">
      <w:pPr>
        <w:pStyle w:val="3"/>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bookmarkStart w:id="32" w:name="_Toc216431686"/>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3.2 Research Rationale</w:t>
      </w:r>
      <w:bookmarkEnd w:id="32"/>
    </w:p>
    <w:p w14:paraId="2491BDEF">
      <w:pP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This research paper focuses on sustainability as the major element of strategic decision-making in the UK retail sector.  Alkaraan et al. (2023 have indicated that sustainability is ceasing to be a peripheral issue and a strategic focus due to regulatory requirements, consumer demands, operational risks, and competitive isotope. Wu and Yang (2021) have also described in the literature that managers are now regularly considering sustainability when sourcing, product developing, logistics and long-term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planning (Tian et al., 2023; Benkert, 2021). Nonetheless, in relation to this increasing </w:t>
      </w:r>
      <w:r>
        <w:t xml:space="preserve">focus, there is </w:t>
      </w:r>
      <w:r>
        <w:rPr>
          <w:color w:val="000000" w:themeColor="text1"/>
          <w14:textFill>
            <w14:solidFill>
              <w14:schemeClr w14:val="tx1"/>
            </w14:solidFill>
          </w14:textFill>
        </w:rPr>
        <w:t>insufficient empirical res</w:t>
      </w:r>
      <w:r>
        <w:t xml:space="preserve">earch that </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captures the perception of sustainability by retail managers in the UK and how they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operational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this concept as part of their decision-making process. This gap makes it necessary to have a specific primary investigation.</w:t>
      </w:r>
    </w:p>
    <w:p w14:paraId="06303612">
      <w:pP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Hristov and Appolloni (2022) and Settembre-Blundo et al., (2021) have mentioned that managers are most likely to change their views on sustainability as a source of innovation, brand credibility, and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resilience. Managers have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realized</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that sustainability is both a competitive edge and a cost reduction measure, but they are also contending with other issues, including regulatory complexity, cost implications, supply chain volatility, and ethical requirements (Elg &amp; Welinder, 2022; Carmine &amp; De Marchi, 2023). These conflicting pressures imply that managerial experiences are always multidimensional and cannot be perceived in terms of quantitative trends only.</w:t>
      </w:r>
    </w:p>
    <w:p w14:paraId="02970584">
      <w:pP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Since sustainability contains both objective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measures and subjective managerial decisions, the integration of the quantitative and qualitative data will allow one to have a more holistic and accurate idea of sustainability. This methodological argumentation coincides with the complexity of the literature and is in line with the overall objective of the research to investigate the relevance of sustainability in strategic management decision-making in the UK retail industry.</w:t>
      </w:r>
    </w:p>
    <w:p w14:paraId="76BB5C89">
      <w:pPr>
        <w:pStyle w:val="3"/>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bookmarkStart w:id="33" w:name="_Toc216431687"/>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3.3 Research Design</w:t>
      </w:r>
      <w:bookmarkEnd w:id="33"/>
    </w:p>
    <w:p w14:paraId="0CD9EDD5">
      <w:pPr>
        <w:rPr>
          <w:color w:val="EE0000"/>
        </w:rPr>
      </w:pPr>
      <w:r>
        <w:rPr>
          <w:color w:val="000000" w:themeColor="text1"/>
          <w14:textFill>
            <w14:solidFill>
              <w14:schemeClr w14:val="tx1"/>
            </w14:solidFill>
          </w14:textFill>
        </w:rPr>
        <w:t>The research design is the topmost plan in the research onion and it covers the way the researcher will be carrying out the investigation of the phenomenon under study. Research design has been considered the overall strategy or blueprint of a research paper, which aids in addressing research objectives and questions and guides the research paper towards right direction (Khanday &amp; Khanam, 2023). The strateg</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y should correspond to the research purpose, philosophical principles, and practical limitations and allow obtaining relevant and abundant information (Minja, 2020; Fuertes et al., 2020). As this dissertation aims to learn how sustainability affects the strategy decision-making process in the UK retail sector, the strategy that should be selected should reflect the complexity and contextual differentiation as well as managerial attitudes of sustainability practices. According to the literature, sustainability in retail is defined by the dynamic regulatory forces, customer demands, business requirements, and overall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vulnerabilities (Alkaraan et al., 2023; Wu and Yang, 2021). All these multidimensional influences render the phenomenon appropriate to be investigated in depth.</w:t>
      </w:r>
    </w:p>
    <w:p w14:paraId="1F85CABD">
      <w:pP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This is the reason why the research will use a case study research strategy where the UK retail sector will be used as the bounded case. The case study research is especially useful in investigations of modern, practical problems within their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and managerial settings (Fuertes et al., 2020). It helps the researcher explore the meaning of the term sustainability in the minds of managers, the operationalisation of sustainability in various retailing environments and the influences of </w:t>
      </w:r>
      <w:r>
        <w:rPr>
          <w:color w:val="FF0000"/>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w:t>
      </w: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constraints on decision making. Since sustainability is an interrelated strategic, ethical, financial, and operational issue, the case study research design enables the researcher to examine the interrelated issues in a holistic way as opposed to studying them separately (Talan et al., 2024).</w:t>
      </w:r>
    </w:p>
    <w:p w14:paraId="6ABF7DA3">
      <w:pP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color w:val="FF0000"/>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In this case study approach, the mixed-method survey will be the main instrument of data collection. Both breadth and depth are sustained by the combination of quantitative and qualitative items: quantitative questions can reveal measurable trends in the attitudes and practices of sustainability (Jan et al., 2025), whereas qualitative answers can enable managers to express more subtle relations and situational concerns like pressure of the regulation, competitiveness, or disruption of the supply chain (Guo et al., 2024). The alternatives plan like experiments or pure qualitative ethnography were discredited due to lack of generalisability or practicality they would offer. The case study approach with the backing of mixed-method survey information is thus a powerful contextually based strategy that is highly appropriate in investigating sustainability in strategic managerial practices.</w:t>
      </w:r>
    </w:p>
    <w:p w14:paraId="4F43D345">
      <w:pPr>
        <w:pStyle w:val="3"/>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bookmarkStart w:id="34" w:name="_Toc216431688"/>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3.4 Research Paradigm / Philosophy</w:t>
      </w:r>
      <w:bookmarkEnd w:id="34"/>
    </w:p>
    <w:p w14:paraId="780CDDF9">
      <w:pP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pPr>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A research paradigm is an expression of the view of the world to which a methodology is determined (Guraya et al., 2023). There are three prevailing paradigms that apply to this study and these are positivism, interpretivism and pragmatism. Positivism presupposes that the </w:t>
      </w:r>
      <w:r>
        <w:rPr>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objective</w:t>
      </w:r>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of reality is measurable based on observable facts and quantifiable data (Park et al., 2019). Positivist scholars use numerical data, statistical trends and systematic tools to make inferences extensively (Park et al., 2019). This paradigm also fits the quantitative facet of the research especially in measuring the sustainability perceptions, </w:t>
      </w:r>
      <w:r>
        <w:rPr>
          <w:lang w:val="en-GB"/>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organizational</w:t>
      </w:r>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 practices as well as strategic priorities. </w:t>
      </w:r>
      <w:bookmarkStart w:id="35" w:name="_Hlk215773641"/>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 xml:space="preserve">In contrast, interpretivism focuses on the subjective meaning, contextual interpretation and the distinctness of human experiences (Pervin &amp; Mokhtar, 2022). </w:t>
      </w:r>
      <w:bookmarkEnd w:id="35"/>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It insists that human behaviour cannot be properly explained by a set of numerical data only (Pervin &amp; Mokhtar, 2022). This paradigm is consistent with the qualitative open-ended questions in the survey, which address the answers and thoughts of managers.</w:t>
      </w:r>
    </w:p>
    <w:p w14:paraId="20AC867B">
      <w:r>
        <w:rPr>
          <w14:textFill>
            <w14:gradFill>
              <w14:gsLst>
                <w14:gs w14:pos="50000">
                  <w14:schemeClr w14:val="tx1"/>
                </w14:gs>
                <w14:gs w14:pos="0">
                  <w14:schemeClr w14:val="tx1">
                    <w14:lumMod w14:val="25000"/>
                    <w14:lumOff w14:val="75000"/>
                  </w14:schemeClr>
                </w14:gs>
                <w14:gs w14:pos="100000">
                  <w14:schemeClr w14:val="tx1">
                    <w14:lumMod w14:val="85000"/>
                  </w14:schemeClr>
                </w14:gs>
              </w14:gsLst>
              <w14:lin w14:ang="5400000" w14:scaled="1"/>
            </w14:gradFill>
          </w14:textFill>
        </w:rPr>
        <w:t>The mixed method research frequently employs pragmatism due to its practical reasonable nature by enabling the researcher to integrate the methods based on their practicality and not to the extent of their philosophical purity (Kaushik &amp; Walsh, 2019). According to Pragmatists, objective measurement and subjective interpretation may always be used in the same study as long as such union will assist in providing answers to the set research questions more efficiently (Elgeddawy &amp; Abouraia, 2024). Since this study involves the application of both quantitative and qualitative data, the research philosophy adopted by the study is pragmatic research. The pragmatism is flexible an</w:t>
      </w:r>
      <w:r>
        <w:t>d related to the motive to comprehend sustainability decision making as a practical trend in organization as well as subjective managerial experience. Pragmatism thus offers the most appropriate philosophical base of combining organized numerical information and free qualitative descriptions.</w:t>
      </w:r>
    </w:p>
    <w:p w14:paraId="15AFDB40">
      <w:pPr>
        <w:pStyle w:val="3"/>
      </w:pPr>
      <w:bookmarkStart w:id="36" w:name="_Toc216431689"/>
      <w:r>
        <w:t>3.5 Data Collection</w:t>
      </w:r>
      <w:bookmarkEnd w:id="36"/>
    </w:p>
    <w:p w14:paraId="167AF36E">
      <w:r>
        <w:t>The data collection is a basic phase of any research project since it offers the empirical evidence needed to answer the research questions and may be used to interpret the findings. The information on this research was gathered with the help of a self-administered, structured questionnaire that included 25 items and was aimed at collecting both quantitative and qualitative data on managerial attitudes to sustainability in strategic decision-making. The questionnaire was open ended, Likert, multiple choice and close ended, since it was a mixed method study and thus included a mixture of these questions. This not only ensured that the research process not only captured the quantifiable patterns but also detailed managerial insights which is also in line with the pragmatic research philosophy which informed the research methodological decisions (Wallwey &amp; Kajfez, 2023).</w:t>
      </w:r>
    </w:p>
    <w:p w14:paraId="05D979E3">
      <w:r>
        <w:t>The questionnaire was created in a systematic way based on the literature review. First, major themes that were determined in Chapter 2, including sustainability perceptions, integration into strategy, implementation challenges and long-term organisational opportunities, were used as categories upon which several survey items were developed. This is in line with the suggestion that development of questionnaires must be closely related to theoretical constructs to make them more relevant and coherent (Thun et al., 2024). Second, the principles of sustainability like Corporate Social Responsibility (CSR), Environmental, Social and Governance (ESG) indicators and principles of the circular economy became the sources of information on the items concerning environmental practices, performance evaluation, and future sustainability priorities. A broad application of the frameworks is in the research of retail and strategic management and their presence is some guarantee that the questions represent the known aspects of sustainability (Şahin &amp; Kara, 2024).</w:t>
      </w:r>
    </w:p>
    <w:p w14:paraId="0325B26A">
      <w:r>
        <w:t xml:space="preserve">Also, theories of managerial decision-making models including rational decision-making, strategic </w:t>
      </w:r>
      <w:r>
        <w:rPr>
          <w:lang w:val="en-GB"/>
        </w:rPr>
        <w:t>prioritization</w:t>
      </w:r>
      <w:r>
        <w:t xml:space="preserve"> and stakeholder-driven decision-making models were used to inform the design of items investigating how sustainability is prioritized in the planning processes. This was to make sure that the questionnaire would not be just determining sustainability as an ethical factor, but also as a strategic variable incorporated in organization decision systems (Ayarkwa et al., 2022). The questionnaire was designed as coherent thematic sections so as to facilitate clarity and enhance construct validity that led the respondents to more conceptual and reflective questions, starting with demographic information. These sections included the information that pertains to the managerial roles, sustainability knowledge, strategic integration, organizational challenges and motivators, and the sustainability priorities expected in three to five years. The way the questions were presented in this order gave the respondents a chance to interact easily with the instrument and they presented data that could be analyzed in a systematic manner.</w:t>
      </w:r>
    </w:p>
    <w:p w14:paraId="583A41C8">
      <w:r>
        <w:t>The mixture of closed-ended and open-ended questions was not accidental. Close-ended questions facilitated gathering of measurable data that is needed in the statistical analysis whereas the open-ended questions gave richer managerial explanations to some of the complexity that is inherent with decisions to do with sustainability. Likert scales helped to measure the perceptions and attitudes by attributing numerical values to the extent to which an individual agrees or perceives something as important or not, which is highly endorsed in management research survey research (Taherdoost, 2019). Categorical response options enabled the respondents to choose predetermined options and this facilitated the process of coding and analysis of data. The survey was sent electronically to make it available to access managers in different sub-sectors of the UK retail sector that assisted in maximizing participation and anonymity of respondents.</w:t>
      </w:r>
    </w:p>
    <w:p w14:paraId="4DFA751E">
      <w:pPr>
        <w:pStyle w:val="3"/>
      </w:pPr>
      <w:bookmarkStart w:id="37" w:name="_Toc216431690"/>
      <w:r>
        <w:t>3.6 Population and Sample</w:t>
      </w:r>
      <w:bookmarkEnd w:id="37"/>
    </w:p>
    <w:p w14:paraId="1C6BDA1D">
      <w:r>
        <w:t>The purpose of designing a methodology must include defining a suitable population and sample because the relevance and reliability of results directly depend on the suitability of participants chosen (Ahmed, 2024). The target population of the intended study will be managers in the retail industry in the United Kingdom with those in the employment of supermarkets, fashion retail, home goods, convenience stores, and speciality retailers as well as e-commerce operations. These people were chosen since their work is characterized by decision-making which has a direct impact on the organizational sustainability strategy. Since the sustainability practices are diverse in retail format, it is more advantageous to focus managers on different segments so as to enhance the representatives and richness of the study (Singh, 2024).</w:t>
      </w:r>
    </w:p>
    <w:p w14:paraId="709B58AF">
      <w:r>
        <w:t>In order to access this population, a non-probability purposive method used in the study was the purposive sampling method. The reason behind the use of purposive sampling is that the research will particularly require information about people who have the required knowledge; that is, the managers who are engaged in determining strategies and decisions concerning sustainability. The purposive sampling should be used when the intention is to collect data rich in information about the participants who have an understanding of the topic (Memon et al., 2024). This approach makes sure that the respondents provide significant and experience-based information that is in line with the objectives of the study.</w:t>
      </w:r>
    </w:p>
    <w:p w14:paraId="12A61CBA">
      <w:r>
        <w:t>Along with that, there was a snowball technique of sampling. The managers who were given the survey were motivated to refer the survey to others in the same position. Snowball sampling is also applicable when the researcher aims to interview a certain professional group because it has a high possibility of accessing difficult to reach respondents (Ting et al., 2025). This strategy increased sample size/diversity in retail sub-sectors.</w:t>
      </w:r>
    </w:p>
    <w:p w14:paraId="09A8B575">
      <w:r>
        <w:t>This study should take 150-200 completed responses, which is the amount required on a postgraduate level concerning a quantitative survey described. It is sufficient to give a statistical analysis, but is also large enough to incorporate the qualitative responses to open-ended questions.</w:t>
      </w:r>
    </w:p>
    <w:p w14:paraId="28461196">
      <w:r>
        <w:t>The parameters of inclusion were clearly stated to make sure that the views obtained represented those of persons directly involved in making decisions that were related to sustainability. The managers had to be operating in the UK retail industry and presently, they had to be in either supervisory or strategic positions and engaged in sustainability talks or projects in their organization. The people who do not work in the retail sector, do not manage people, or do not work in the UK were omitted to ensure the data is relevant and accurate.</w:t>
      </w:r>
    </w:p>
    <w:p w14:paraId="231D774B">
      <w:r>
        <w:t>Such standards helped to make sure the information gathered was the true managerial view and not the overall opinions of the employees. Although the non-probability sampling hinders the generalisability, the sampling is acceptable as the research focus is on the managerial insights rather than the opinions of general population.</w:t>
      </w:r>
    </w:p>
    <w:p w14:paraId="3C763CE2">
      <w:pPr>
        <w:pStyle w:val="3"/>
      </w:pPr>
      <w:bookmarkStart w:id="38" w:name="_Toc216431691"/>
      <w:r>
        <w:t>3.7 Data Analysis</w:t>
      </w:r>
      <w:bookmarkEnd w:id="38"/>
    </w:p>
    <w:p w14:paraId="1F0A6C44">
      <w:r>
        <w:t xml:space="preserve">Since this was a mixed-method design, statistical and qualitative methods of data analysis were utilized. The quantitative data were then exported into statistical tools like SPSS and Microsoft excel to clean and code the data. To be analyzed numerically, responses on categorical and </w:t>
      </w:r>
      <w:r>
        <w:rPr>
          <w:lang w:val="en-GB"/>
        </w:rPr>
        <w:t>Liker t</w:t>
      </w:r>
      <w:r>
        <w:t xml:space="preserve"> scale were given numerical values (Rahman &amp; Muktadir, 2021). Descriptive statistics, such as means, medians, mode, frequencies, and percentages were used in the first part of the analysis (Shreffler &amp; Huecker, 2023). These methods condensed the perceptions, practices and strategic priorities of managers on sustainability. Descriptive statistics was in accordance to Objective 1, which entailed the determination of the general managerial perceptions.</w:t>
      </w:r>
    </w:p>
    <w:p w14:paraId="6DE82F16">
      <w:r>
        <w:t xml:space="preserve">Subsequently, cross-tabulation research designs were used to investigate the association between demographic factors (e.g., company size, managerial level, years of experience) and sustainability-related responses </w:t>
      </w:r>
      <w:r>
        <w:rPr>
          <w:color w:val="000000" w:themeColor="text1"/>
          <w14:textFill>
            <w14:solidFill>
              <w14:schemeClr w14:val="tx1"/>
            </w14:solidFill>
          </w14:textFill>
        </w:rPr>
        <w:t>(Donkor et al.,</w:t>
      </w:r>
      <w:r>
        <w:t xml:space="preserve"> 2023). The cross-tabulations were used to find out differences in sustainability integration among various segments of the retail industry. These analyses directly addressed Objective 2 that focused on the operationalisation of sustainability initiatives in organization.</w:t>
      </w:r>
    </w:p>
    <w:p w14:paraId="7F635CA5">
      <w:r>
        <w:t>Chi-square tests were used to test relationships between categories of variables (McHugh, 2013). These tests are suitable when the dissertation at the PG is based on ordinal or categorical survey data. The chi-square test came in handy especially in the comparison of the perceptions of the various managerial groups on the influence of sustainability on financial performance, competitive advantage and strategic planning (Farida &amp; Setiawan, 2022). Through these analyses, Objective 3 which examined strategic opportunities due to sustainability was studied.</w:t>
      </w:r>
    </w:p>
    <w:p w14:paraId="21E6174F">
      <w:r>
        <w:t>In the case of the qualitative open-ended answers, the thematic analysis was done. The responses were manually coded and divided into recurring themes which included resource constraints, leadership support, measurement challenges, consumer expectations and supply chain challenges (Cajal-Grossi et al., 2023). Thematic analysis This method is typically employed in a mixed-method survey studies in order to make sense of open-text responses and add context to a quantitative result (Ozden, 2024). These thematic ideas were critical in achieving Objective 4, which addressed the challenges that managers face in implementation of sustainability. The combination of both quantitative and qualitative results helped in the overall interpretation of the results and thus, the results were in line with the mixed-methods approach.</w:t>
      </w:r>
    </w:p>
    <w:p w14:paraId="131904CC">
      <w:pPr>
        <w:pStyle w:val="3"/>
      </w:pPr>
      <w:bookmarkStart w:id="39" w:name="_Toc216431692"/>
      <w:r>
        <w:t>3.8 Reliability and Validity</w:t>
      </w:r>
      <w:bookmarkEnd w:id="39"/>
    </w:p>
    <w:p w14:paraId="41D9CA72">
      <w:r>
        <w:t xml:space="preserve">Reliability and validity are critical in making sure that the research results are credible, trustworthy, and consistent with the known methodological standards. Reliability is the level of consistency of a research instrument and the possibility to produce consistent results in similar conditions (Correa-De-Araujo et al., 2017). Reliability was enhanced in this paper by using pilot testing of questionnaire in order to determine trouble maker words and sequence adequacy of the items. It was also facilitated by the use of standardised questions, which ensured that the respondents were all asked the same questions to facilitate uniform data collection. Additionally, the internal reliability was also supported by the use of </w:t>
      </w:r>
      <w:r>
        <w:rPr>
          <w:lang w:val="en-GB"/>
        </w:rPr>
        <w:t>Liker t-type</w:t>
      </w:r>
      <w:r>
        <w:t xml:space="preserve"> scales to measure the constructs of perceptions, attitudes, and strategic priorities in a consistent way, which is generally accepted in the survey-based management research (Taherdoost, 2019).</w:t>
      </w:r>
    </w:p>
    <w:p w14:paraId="5B384410">
      <w:r>
        <w:t>Validity is the issue of whether the instrument has measured what it is supposed to measure. The construct validity of the questionnaire was enhanced with the development of the questionnaire items based on the literature review, which guaranteed the congruence of the questionnaire items with the recognized constructs of sustainability and strategic management. The supervisor review and feedback on pilot participants who indicated that the questions were relevant and comprehensible improved the face validity. The construct validity was anchored by categorizing similar items in sections of conceptual coherence where the questionnaire structure could capture the theoretical concepts underpinning the questionnaire, which is aligned with advice given by Clark and Watson (2019). All these measures made the study to be sure that the data that was gathered was relevant and methodological.</w:t>
      </w:r>
    </w:p>
    <w:p w14:paraId="1898130D">
      <w:pPr>
        <w:pStyle w:val="3"/>
      </w:pPr>
      <w:bookmarkStart w:id="40" w:name="_Toc216431693"/>
      <w:r>
        <w:t>3.9 Limitations of the Research</w:t>
      </w:r>
      <w:bookmarkEnd w:id="40"/>
    </w:p>
    <w:p w14:paraId="1D1F8928">
      <w:r>
        <w:t>Although this research design has the methodological strengths, a few limitations are also present. One, the non-probability purposive sampling restricts the extent to which the results can be generalized to the entire UK retail industry. This sample might be not fully representative of all the retail managers, particularly those in smaller or less online organization (Malek et al., 2021). Second, the use of self-report surveys means that there is the possibility of response bias and social desirability bias with managers describing the sustainability performance of their organization in a positive way than it is. Third, administration of online surveys might not cover managers that have less access to online resources or who are not active on professional networks. Lastly, the mixed-method questionnaire will not enjoy as rich a level of in-depth question as the in-depth interviews. Thus, there could be more to the organizational culture or personal motivations that are yet to be explored.</w:t>
      </w:r>
    </w:p>
    <w:p w14:paraId="5DDD762E">
      <w:pPr>
        <w:pStyle w:val="3"/>
      </w:pPr>
      <w:bookmarkStart w:id="41" w:name="_Toc216431694"/>
      <w:r>
        <w:t>3.10 Research Ethics</w:t>
      </w:r>
      <w:bookmarkEnd w:id="41"/>
    </w:p>
    <w:p w14:paraId="140BBAD3">
      <w:r>
        <w:t>The research process was based on ethical issues because any study that uses human subjects should be conducted in a manner that does not violate professional, legal, and moral rules (Capili &amp; Anastasi, 2024). Participation in the study was informed by describing the purpose of the study, the voluntary nature of the research and the right to withdraw at any point. No personally identifiable data were obtained, which preserved confidentiality and minimized the risks of disclosure (Rupp &amp; Von Grafenstein, 2024). The questionnaire was constructed without intrusive or sensitive questions and the respondents had a choice of leaving out any question that they experienced to be uncomfortable with because the respondent was respected in their autonomy and privacy (Barrow et al., 2022). All data were safely kept in password-protected files and were only accessed to conduct scholarly tasks, which are the best ethical practices in data handling (Coghlan et al., 2023). In the research, there was an adherence to the ethics of fairness, transparency and non-maleficence when dealing with the participants, which is in line with the ethics of management research (Miteu, 2024).</w:t>
      </w:r>
    </w:p>
    <w:p w14:paraId="09F4AF6D">
      <w:pPr>
        <w:spacing w:line="360" w:lineRule="auto"/>
      </w:pPr>
      <w:r>
        <w:br w:type="page"/>
      </w:r>
    </w:p>
    <w:p w14:paraId="0AFA8BBE">
      <w:pPr>
        <w:pStyle w:val="2"/>
      </w:pPr>
      <w:bookmarkStart w:id="42" w:name="_Toc216431695"/>
      <w:r>
        <w:t>Chapter 4: Data Analysis</w:t>
      </w:r>
      <w:bookmarkEnd w:id="42"/>
    </w:p>
    <w:p w14:paraId="48CFB2C4">
      <w:pPr>
        <w:pStyle w:val="3"/>
      </w:pPr>
      <w:bookmarkStart w:id="43" w:name="_fa2rx2x91x4d" w:colFirst="0" w:colLast="0"/>
      <w:bookmarkEnd w:id="43"/>
      <w:bookmarkStart w:id="44" w:name="_Toc216431696"/>
      <w:r>
        <w:t>4.1 Introduction</w:t>
      </w:r>
      <w:bookmarkEnd w:id="44"/>
      <w:r>
        <w:t xml:space="preserve"> </w:t>
      </w:r>
    </w:p>
    <w:p w14:paraId="6309F2A0">
      <w:pPr>
        <w:ind w:firstLine="720"/>
      </w:pPr>
      <w:r>
        <w:t>This chapter presents the findings of main quantitative data collected among the UK retail managers, and then a discussion based on research goals. A detailed discussion is going to be presented on descriptive frequency analysis, outlining respondent characteristics and managerial views on sustainability. The chapter further tests four hypotheses based on correlation and regression analyses, thus providing empirical evidence on what determines sustainability-related decision-making. The results in totality outline trends, gaps and issues that define the application of sustainability in retail industry.</w:t>
      </w:r>
    </w:p>
    <w:p w14:paraId="0FADD3C5">
      <w:pPr>
        <w:pStyle w:val="3"/>
      </w:pPr>
      <w:bookmarkStart w:id="45" w:name="_m4dq0zdk2i3h" w:colFirst="0" w:colLast="0"/>
      <w:bookmarkEnd w:id="45"/>
      <w:bookmarkStart w:id="46" w:name="_Toc216431697"/>
      <w:r>
        <w:t>4.2 Frequency Analysis</w:t>
      </w:r>
      <w:bookmarkEnd w:id="46"/>
      <w:r>
        <w:t xml:space="preserve"> </w:t>
      </w:r>
    </w:p>
    <w:p w14:paraId="1AA1F8C5">
      <w:pPr>
        <w:ind w:firstLine="720"/>
      </w:pPr>
      <w:r>
        <w:t xml:space="preserve">The following section of this research paper presents a detailed discussion of personal opinions of respondents, which are: </w:t>
      </w:r>
    </w:p>
    <w:p w14:paraId="52D16CFD">
      <w:pPr>
        <w:rPr>
          <w:b/>
          <w:bCs/>
          <w:i/>
          <w:iCs/>
        </w:rPr>
      </w:pPr>
      <w:r>
        <w:rPr>
          <w:b/>
          <w:bCs/>
          <w:i/>
          <w:iCs/>
        </w:rPr>
        <w:t xml:space="preserve">“1. What is your current managerial position in your </w:t>
      </w:r>
      <w:r>
        <w:rPr>
          <w:b/>
          <w:bCs/>
          <w:i/>
          <w:iCs/>
          <w:lang w:val="en-GB"/>
        </w:rPr>
        <w:t>organization</w:t>
      </w:r>
      <w:r>
        <w:rPr>
          <w:b/>
          <w:bCs/>
          <w:i/>
          <w:iCs/>
        </w:rPr>
        <w:t>?”</w:t>
      </w:r>
    </w:p>
    <w:p w14:paraId="474F146E">
      <w:pPr>
        <w:ind w:firstLine="720"/>
      </w:pPr>
      <w:r>
        <w:t xml:space="preserve">The managerial representation is wide, as majority of participants described themselves as Managers, with rest mentioning titles of Assistant Managers, Store Managers, Sustainability Analysts, and Regional Managers. This heterogeneity enhances </w:t>
      </w:r>
      <w:r>
        <w:rPr>
          <w:lang w:val="en-GB"/>
        </w:rPr>
        <w:t>data set</w:t>
      </w:r>
      <w:r>
        <w:t xml:space="preserve"> by incorporating views of both operational and strategic levels, hence giving entire picture of sustainability-related decision-making in UK retail sector.</w:t>
      </w:r>
    </w:p>
    <w:p w14:paraId="3FCF96BA">
      <w:pPr>
        <w:rPr>
          <w:b/>
          <w:bCs/>
          <w:i/>
          <w:iCs/>
        </w:rPr>
      </w:pPr>
      <w:r>
        <w:rPr>
          <w:b/>
          <w:bCs/>
          <w:i/>
          <w:iCs/>
        </w:rPr>
        <w:t>“2. How many years of experience do you have in the retail sector?”</w:t>
      </w:r>
    </w:p>
    <w:p w14:paraId="19D64473">
      <w:pPr>
        <w:ind w:firstLine="720"/>
      </w:pPr>
      <w:r>
        <w:t xml:space="preserve">Most of respondents indicated that they had significant retail experience, mostly between 5 and 20 years. This level of industry acquaintance suggests that stakeholders have a sophisticated understanding of long-term </w:t>
      </w:r>
      <w:r>
        <w:rPr>
          <w:lang w:val="en-GB"/>
        </w:rPr>
        <w:t>organizational</w:t>
      </w:r>
      <w:r>
        <w:t xml:space="preserve"> trends, hence making it possible to put forward more plausible information about way sustainability has been developed in terms of retail operations and how seasoned managers view its strategic applicability in context of influencing business conduct.</w:t>
      </w:r>
    </w:p>
    <w:p w14:paraId="4C0CB250">
      <w:pPr>
        <w:rPr>
          <w:b/>
          <w:bCs/>
          <w:i/>
          <w:iCs/>
        </w:rPr>
      </w:pPr>
      <w:r>
        <w:rPr>
          <w:b/>
          <w:bCs/>
          <w:i/>
          <w:iCs/>
        </w:rPr>
        <w:t>“3. What is the size of your company?”</w:t>
      </w:r>
    </w:p>
    <w:p w14:paraId="1E218C4B">
      <w:pPr>
        <w:ind w:firstLine="720"/>
      </w:pPr>
      <w:r>
        <w:t xml:space="preserve">The sample is composed of 31% small firms, 46% medium firms and 22% large retailers. This distribution demonstrates proportional representation at both smaller and larger </w:t>
      </w:r>
      <w:r>
        <w:rPr>
          <w:lang w:val="en-GB"/>
        </w:rPr>
        <w:t>organizational</w:t>
      </w:r>
      <w:r>
        <w:t xml:space="preserve"> levels, hence showing how sustainability priorities are differentiated between resource-bound smaller companies and larger </w:t>
      </w:r>
      <w:r>
        <w:rPr>
          <w:lang w:val="en-GB"/>
        </w:rPr>
        <w:t>organizations</w:t>
      </w:r>
      <w:r>
        <w:t xml:space="preserve"> that have </w:t>
      </w:r>
      <w:r>
        <w:rPr>
          <w:lang w:val="en-GB"/>
        </w:rPr>
        <w:t>organized</w:t>
      </w:r>
      <w:r>
        <w:t xml:space="preserve"> sustainability policies and more </w:t>
      </w:r>
      <w:r>
        <w:rPr>
          <w:lang w:val="en-GB"/>
        </w:rPr>
        <w:t>formalized</w:t>
      </w:r>
      <w:r>
        <w:t xml:space="preserve"> decision-making processes.</w:t>
      </w:r>
    </w:p>
    <w:p w14:paraId="080FDBF0">
      <w:pPr>
        <w:rPr>
          <w:b/>
          <w:bCs/>
          <w:i/>
          <w:iCs/>
        </w:rPr>
      </w:pPr>
      <w:r>
        <w:rPr>
          <w:b/>
          <w:bCs/>
          <w:i/>
          <w:iCs/>
        </w:rPr>
        <w:t>“4. What is the retail segment your company primarily operates in?”</w:t>
      </w:r>
    </w:p>
    <w:p w14:paraId="63752CA0">
      <w:pPr>
        <w:ind w:firstLine="720"/>
      </w:pPr>
      <w:r>
        <w:t>Respondents play in different retail segments such as fashion, grocery, electronics, hardware, lifestyle and general retail format and multi-category format. This industry heterogeneity proves that sustainability is relevant in a wide range of retail settings, differing in operational difficulties and strategic chances related to type of products, supply-chain approaches, and customer demands.</w:t>
      </w:r>
    </w:p>
    <w:p w14:paraId="213DD6EF">
      <w:pPr>
        <w:rPr>
          <w:b/>
          <w:bCs/>
          <w:i/>
          <w:iCs/>
        </w:rPr>
      </w:pPr>
      <w:r>
        <w:rPr>
          <w:b/>
          <w:bCs/>
          <w:i/>
          <w:iCs/>
        </w:rPr>
        <w:t>“5. Does your company have a formal sustainability policy or strategy?”</w:t>
      </w:r>
    </w:p>
    <w:p w14:paraId="5C6B5C60">
      <w:pPr>
        <w:ind w:firstLine="720"/>
      </w:pPr>
      <w:r>
        <w:t>65%, which is majority of respondents, stated that they had formal policies regarding sustainability, 28% stated that they were under development, and only 7% stated that they had none. These results indicate that sustainability is now a formal concern in UK retail industry. Jones (2024) has mentioned that most UK companies are currently enacting or progressing towards formal sustainability policies on how managerial decision-making is done and long-term planning.</w:t>
      </w:r>
    </w:p>
    <w:p w14:paraId="1DC3A8A4">
      <w:pPr>
        <w:rPr>
          <w:b/>
          <w:bCs/>
          <w:i/>
          <w:iCs/>
        </w:rPr>
      </w:pPr>
      <w:r>
        <w:rPr>
          <w:b/>
          <w:bCs/>
          <w:i/>
          <w:iCs/>
        </w:rPr>
        <w:t xml:space="preserve">6. “How important do you believe sustainability is for the long-term success of your </w:t>
      </w:r>
      <w:r>
        <w:rPr>
          <w:b/>
          <w:bCs/>
          <w:i/>
          <w:iCs/>
          <w:lang w:val="en-GB"/>
        </w:rPr>
        <w:t>organization</w:t>
      </w:r>
      <w:r>
        <w:rPr>
          <w:b/>
          <w:bCs/>
          <w:i/>
          <w:iCs/>
        </w:rPr>
        <w:t>?”</w:t>
      </w:r>
      <w:r>
        <w:rPr>
          <w:b/>
          <w:bCs/>
          <w:i/>
          <w:iCs/>
        </w:rPr>
        <w:tab/>
      </w:r>
    </w:p>
    <w:p w14:paraId="76296647">
      <w:pPr>
        <w:ind w:firstLine="720"/>
      </w:pPr>
      <w:r>
        <w:t xml:space="preserve">A significant 74% of respondents have described sustainability as a factor that is crucial to long-term </w:t>
      </w:r>
      <w:r>
        <w:rPr>
          <w:lang w:val="en-GB"/>
        </w:rPr>
        <w:t>organizational</w:t>
      </w:r>
      <w:r>
        <w:t xml:space="preserve"> success. The links to competitiveness, customer trust, resilience, and growth highlighted by the respondents show that managers are starting to see sustainability as part and parcel of strategic stability as opposed to a compliance directive or a corporate responsibility activity.</w:t>
      </w:r>
    </w:p>
    <w:p w14:paraId="2D45B5AB">
      <w:pPr>
        <w:rPr>
          <w:b/>
          <w:bCs/>
          <w:i/>
          <w:iCs/>
        </w:rPr>
      </w:pPr>
      <w:r>
        <w:rPr>
          <w:b/>
          <w:bCs/>
          <w:i/>
          <w:iCs/>
        </w:rPr>
        <w:t>7. “How well do you understand sustainability concepts (e.g., environmental, social, and governance aspects)?”</w:t>
      </w:r>
    </w:p>
    <w:p w14:paraId="66572EF8">
      <w:pPr>
        <w:ind w:firstLine="720"/>
      </w:pPr>
      <w:r>
        <w:t xml:space="preserve">More than half of respondents have a moderate to strong level of knowledge on sustainability concepts related to ESG. This suggests that managers are equipped with knowledge they need to take an effective interest in sustainability issues, interpreting </w:t>
      </w:r>
      <w:r>
        <w:rPr>
          <w:lang w:val="en-GB"/>
        </w:rPr>
        <w:t>organizational</w:t>
      </w:r>
      <w:r>
        <w:t xml:space="preserve"> expectations and making decisions that integrate environmental, social and governance concerns into operations of a retail business.</w:t>
      </w:r>
    </w:p>
    <w:p w14:paraId="39B1D5BB">
      <w:pPr>
        <w:rPr>
          <w:b/>
          <w:bCs/>
          <w:i/>
          <w:iCs/>
        </w:rPr>
      </w:pPr>
      <w:r>
        <w:rPr>
          <w:b/>
          <w:bCs/>
          <w:i/>
          <w:iCs/>
        </w:rPr>
        <w:t>8. “To what extent do you agree that sustainability is a key driver of innovation in retail?”</w:t>
      </w:r>
    </w:p>
    <w:p w14:paraId="76614783">
      <w:pPr>
        <w:ind w:firstLine="720"/>
      </w:pPr>
      <w:r>
        <w:t xml:space="preserve">Quite a high percentage of respondents responded so as 25% strongly agreed that sustainability is the source of innovation in retail. The managers related sustainability to product development, environmentally friendly technologies, and supply chain enhancement, and thus </w:t>
      </w:r>
      <w:r>
        <w:rPr>
          <w:lang w:val="en-GB"/>
        </w:rPr>
        <w:t>emphasized</w:t>
      </w:r>
      <w:r>
        <w:t xml:space="preserve"> its increasing ability to drive future innovative solutions, product differentiation, and strategic transformation in long term in retail industry (Luyang, 2025).</w:t>
      </w:r>
    </w:p>
    <w:p w14:paraId="0D0171F7">
      <w:pPr>
        <w:rPr>
          <w:b/>
          <w:bCs/>
          <w:i/>
          <w:iCs/>
        </w:rPr>
      </w:pPr>
      <w:r>
        <w:rPr>
          <w:b/>
          <w:bCs/>
          <w:i/>
          <w:iCs/>
        </w:rPr>
        <w:t xml:space="preserve">“9. How would you describe your </w:t>
      </w:r>
      <w:r>
        <w:rPr>
          <w:b/>
          <w:bCs/>
          <w:i/>
          <w:iCs/>
          <w:lang w:val="en-GB"/>
        </w:rPr>
        <w:t>organization's</w:t>
      </w:r>
      <w:r>
        <w:rPr>
          <w:b/>
          <w:bCs/>
          <w:i/>
          <w:iCs/>
        </w:rPr>
        <w:t xml:space="preserve"> approach to sustainability compared to competitors?”</w:t>
      </w:r>
    </w:p>
    <w:p w14:paraId="0B7DD07F">
      <w:pPr>
        <w:ind w:firstLine="720"/>
      </w:pPr>
      <w:r>
        <w:t xml:space="preserve">Respondents rated their </w:t>
      </w:r>
      <w:r>
        <w:rPr>
          <w:lang w:val="en-GB"/>
        </w:rPr>
        <w:t>organizations</w:t>
      </w:r>
      <w:r>
        <w:t xml:space="preserve"> as 44% leading, 45% average and 11% behind competitors. This implies that sustainability is considered by many retailers as a measure of competitive advantage. Companies are trying to be at same level to align or exceed industry standards (Boafo et al., 2019). This reflects that strategic pressure is mounting to be effective in terms of sustainability-driven market conditions.</w:t>
      </w:r>
    </w:p>
    <w:p w14:paraId="74B461B7">
      <w:pPr>
        <w:rPr>
          <w:b/>
          <w:bCs/>
          <w:i/>
          <w:iCs/>
        </w:rPr>
      </w:pPr>
      <w:r>
        <w:rPr>
          <w:b/>
          <w:bCs/>
          <w:i/>
          <w:iCs/>
        </w:rPr>
        <w:t xml:space="preserve">“10. In your opinion, what motivates your </w:t>
      </w:r>
      <w:r>
        <w:rPr>
          <w:b/>
          <w:bCs/>
          <w:i/>
          <w:iCs/>
          <w:lang w:val="en-GB"/>
        </w:rPr>
        <w:t>organization</w:t>
      </w:r>
      <w:r>
        <w:rPr>
          <w:b/>
          <w:bCs/>
          <w:i/>
          <w:iCs/>
        </w:rPr>
        <w:t xml:space="preserve"> to adopt sustainable practices?”</w:t>
      </w:r>
    </w:p>
    <w:p w14:paraId="4715918E">
      <w:pPr>
        <w:ind w:firstLine="720"/>
      </w:pPr>
      <w:r>
        <w:t xml:space="preserve">The customer expectations came out as best motivator, next came corporate values, government regulations, competitive advantage, and cost savings. This shows that external pressures, along with internal culture, determine sustainability adoption, and managers have </w:t>
      </w:r>
      <w:r>
        <w:rPr>
          <w:lang w:val="en-GB"/>
        </w:rPr>
        <w:t>realized</w:t>
      </w:r>
      <w:r>
        <w:t xml:space="preserve"> that sustainability is an important strategy to address demands of stakeholders and improve </w:t>
      </w:r>
      <w:r>
        <w:rPr>
          <w:lang w:val="en-GB"/>
        </w:rPr>
        <w:t>organizational</w:t>
      </w:r>
      <w:r>
        <w:t xml:space="preserve"> performance.</w:t>
      </w:r>
    </w:p>
    <w:p w14:paraId="217DD9F7">
      <w:pPr>
        <w:rPr>
          <w:b/>
          <w:bCs/>
          <w:i/>
          <w:iCs/>
        </w:rPr>
      </w:pPr>
      <w:r>
        <w:rPr>
          <w:b/>
          <w:bCs/>
          <w:i/>
          <w:iCs/>
        </w:rPr>
        <w:t>“11. How frequently is sustainability discussed during strategic planning or board meetings?”</w:t>
      </w:r>
    </w:p>
    <w:p w14:paraId="741FA95A">
      <w:pPr>
        <w:ind w:firstLine="720"/>
      </w:pPr>
      <w:r>
        <w:t xml:space="preserve">The most common frequencies of sustainability conversation were weekly and quarterly, with a very high percentage of respondents reporting that they engage in sustainability discussions only occasionally. The trend shows that sustainability has become a </w:t>
      </w:r>
      <w:r>
        <w:rPr>
          <w:lang w:val="en-GB"/>
        </w:rPr>
        <w:t>recognized</w:t>
      </w:r>
      <w:r>
        <w:t xml:space="preserve"> concept, but it is not always at top strategic level. Accordingly, sustainability seems to be more or less embedded in long-term planning, which helps explain how sustainability is embedded in decision-making systems of UK retail </w:t>
      </w:r>
      <w:r>
        <w:rPr>
          <w:lang w:val="en-GB"/>
        </w:rPr>
        <w:t>organizations</w:t>
      </w:r>
      <w:r>
        <w:t>.</w:t>
      </w:r>
    </w:p>
    <w:p w14:paraId="7DB0CC9D">
      <w:pPr>
        <w:rPr>
          <w:b/>
          <w:bCs/>
          <w:i/>
          <w:iCs/>
        </w:rPr>
      </w:pPr>
      <w:r>
        <w:rPr>
          <w:b/>
          <w:bCs/>
          <w:i/>
          <w:iCs/>
        </w:rPr>
        <w:t>“12. To what extent are sustainability goals integrated into your organisation’s overall business strategy?”</w:t>
      </w:r>
    </w:p>
    <w:p w14:paraId="02A6AB09">
      <w:pPr>
        <w:ind w:firstLine="720"/>
      </w:pPr>
      <w:r>
        <w:t xml:space="preserve">Most of the respondents stated a moderate to partial form of integration of sustainability objectives, as compared to the smaller number who stated full alignment with business strategy. These results prove that sustainability is becoming more and more integrated into strategic planning, but it is still not a common pillar of decision-making. In this regard, the findings indicate level of maturity depending on </w:t>
      </w:r>
      <w:r>
        <w:rPr>
          <w:lang w:val="en-GB"/>
        </w:rPr>
        <w:t>organization</w:t>
      </w:r>
      <w:r>
        <w:t xml:space="preserve"> and are conducive to purpose of assessing integration of environmental and social issues in strategic planning (Trollman &amp; Colwill, 2021).</w:t>
      </w:r>
    </w:p>
    <w:p w14:paraId="4EFC1F75">
      <w:pPr>
        <w:rPr>
          <w:b/>
          <w:bCs/>
          <w:i/>
          <w:iCs/>
        </w:rPr>
      </w:pPr>
      <w:r>
        <w:rPr>
          <w:b/>
          <w:bCs/>
          <w:i/>
          <w:iCs/>
        </w:rPr>
        <w:t>“13. Who primarily influences sustainability-related decisions in your company?”</w:t>
      </w:r>
    </w:p>
    <w:p w14:paraId="394FA545">
      <w:pPr>
        <w:ind w:firstLine="720"/>
      </w:pPr>
      <w:r>
        <w:t>Most respondents, 61% cited senior management as most important decision-makers, then sustainability teams. This implies that sustainability decisions are mostly top-tier and strategically oriented, which are not influenced by either operational personnel or external stakeholders (De Koeijer et al., 2019). These findings support the purpose of analysis of the managerial perceptions directly and the internal governance structures that regulate sustainability.</w:t>
      </w:r>
    </w:p>
    <w:p w14:paraId="3F8429C6">
      <w:pPr>
        <w:rPr>
          <w:b/>
          <w:bCs/>
          <w:i/>
          <w:iCs/>
        </w:rPr>
      </w:pPr>
      <w:r>
        <w:rPr>
          <w:b/>
          <w:bCs/>
          <w:i/>
          <w:iCs/>
        </w:rPr>
        <w:t>“14. How do you evaluate the impact of sustainability initiatives on business performance?”</w:t>
      </w:r>
    </w:p>
    <w:p w14:paraId="4C436560">
      <w:pPr>
        <w:ind w:firstLine="720"/>
      </w:pPr>
      <w:r>
        <w:t xml:space="preserve">Some of frequently mentioned evaluation techniques by respondents include customer measures, along with operational KPIs, financial, and compliance tools. The dissimilarity of methods implies that </w:t>
      </w:r>
      <w:r>
        <w:rPr>
          <w:lang w:val="en-GB"/>
        </w:rPr>
        <w:t>organizations</w:t>
      </w:r>
      <w:r>
        <w:t xml:space="preserve"> do not have a designated evaluation framework, in which case, assessment is not consistent. In turn, these results </w:t>
      </w:r>
      <w:r>
        <w:rPr>
          <w:lang w:val="en-GB"/>
        </w:rPr>
        <w:t>emphasis</w:t>
      </w:r>
      <w:r>
        <w:t xml:space="preserve"> goal of exploring implementation and measurement of sustainability initiatives and indicate persistence of problem of identifying a reliable method of performance assessment.</w:t>
      </w:r>
    </w:p>
    <w:p w14:paraId="5094E28D">
      <w:pPr>
        <w:rPr>
          <w:b/>
          <w:bCs/>
          <w:i/>
          <w:iCs/>
        </w:rPr>
      </w:pPr>
      <w:r>
        <w:rPr>
          <w:b/>
          <w:bCs/>
          <w:i/>
          <w:iCs/>
        </w:rPr>
        <w:t xml:space="preserve">“15. Has your </w:t>
      </w:r>
      <w:r>
        <w:rPr>
          <w:b/>
          <w:bCs/>
          <w:i/>
          <w:iCs/>
          <w:lang w:val="en-GB"/>
        </w:rPr>
        <w:t>organization</w:t>
      </w:r>
      <w:r>
        <w:rPr>
          <w:b/>
          <w:bCs/>
          <w:i/>
          <w:iCs/>
        </w:rPr>
        <w:t xml:space="preserve"> set measurable sustainability targets?”</w:t>
      </w:r>
    </w:p>
    <w:p w14:paraId="7AC40A6B">
      <w:pPr>
        <w:ind w:firstLine="720"/>
      </w:pPr>
      <w:r>
        <w:t xml:space="preserve">The creation of measurable goals on the reduction of waste, carbon efficiency, and energy consumption was reported in many </w:t>
      </w:r>
      <w:r>
        <w:rPr>
          <w:lang w:val="en-GB"/>
        </w:rPr>
        <w:t>organizations</w:t>
      </w:r>
      <w:r>
        <w:t>. This change in emphasis toward accountability and systematic monitoring in progress is an indication of a greater focus on quantifiable output, and thus allows the purpose of researching feasible applications and the growing significance of quantifiable sustainability indicators in the retail business.</w:t>
      </w:r>
    </w:p>
    <w:p w14:paraId="4DD0AAD9">
      <w:pPr>
        <w:rPr>
          <w:b/>
          <w:bCs/>
          <w:i/>
          <w:iCs/>
        </w:rPr>
      </w:pPr>
      <w:r>
        <w:rPr>
          <w:b/>
          <w:bCs/>
          <w:i/>
          <w:iCs/>
        </w:rPr>
        <w:t>“16. How often do sustainability considerations override short-term financial goals in decision-making?”</w:t>
      </w:r>
    </w:p>
    <w:p w14:paraId="593729F6">
      <w:pPr>
        <w:ind w:firstLine="720"/>
      </w:pPr>
      <w:r>
        <w:t>Most respondents reported that sustainability rarely or occasionally overrides financial priorities, which indicates that economic pressures still prevail in decision-making procedures. This conflict between the short-term profitability and long-term sustainability ambitions underscores the difficulties that managers face when trying to entrench sustainability in strategic goals, and this further supports the objective of uncovering managerial challenges in this area.</w:t>
      </w:r>
    </w:p>
    <w:p w14:paraId="3451A81F">
      <w:pPr>
        <w:rPr>
          <w:b/>
          <w:bCs/>
          <w:i/>
          <w:iCs/>
        </w:rPr>
      </w:pPr>
      <w:r>
        <w:rPr>
          <w:b/>
          <w:bCs/>
          <w:i/>
          <w:iCs/>
        </w:rPr>
        <w:t>“17. What are the biggest challenges in implementing sustainability in strategic decisions?”</w:t>
      </w:r>
    </w:p>
    <w:p w14:paraId="3BAB7A5D">
      <w:pPr>
        <w:ind w:firstLine="720"/>
      </w:pPr>
      <w:r>
        <w:t>Some of identified barriers were a lack of resources, cost factor, lack of support from management, lack of expertise, and inability to measure outcomes. The limitations expose both structural and financial barriers that discourage entrenchment of sustainability into strategic planning (Mutua et al., 2025). This also aligns with objective of identifying challenges and clarifying why the implementation is not even throughout the UK retail industry.</w:t>
      </w:r>
    </w:p>
    <w:p w14:paraId="3C82181A">
      <w:pPr>
        <w:rPr>
          <w:b/>
          <w:bCs/>
          <w:i/>
          <w:iCs/>
        </w:rPr>
      </w:pPr>
      <w:r>
        <w:rPr>
          <w:b/>
          <w:bCs/>
          <w:i/>
          <w:iCs/>
        </w:rPr>
        <w:t>“18. How significant are financial constraints in limiting your company’s sustainability efforts?”</w:t>
      </w:r>
    </w:p>
    <w:p w14:paraId="65E380E0">
      <w:pPr>
        <w:ind w:firstLine="720"/>
      </w:pPr>
      <w:r>
        <w:t xml:space="preserve">Majority of the respondents explained the financial constraint as being moderate to very important, which means that budgetary constraints often limit sustainability </w:t>
      </w:r>
      <w:r>
        <w:rPr>
          <w:lang w:val="en-GB"/>
        </w:rPr>
        <w:t>programmers</w:t>
      </w:r>
      <w:r>
        <w:t xml:space="preserve">. The result of this finding justifies idea that economic challenges act as hindrances to strategic development and justifies goal of evaluating influences that impede implementation of sustainability, </w:t>
      </w:r>
      <w:r>
        <w:rPr>
          <w:lang w:val="en-GB"/>
        </w:rPr>
        <w:t>emphasizing</w:t>
      </w:r>
      <w:r>
        <w:t xml:space="preserve"> cost sensitivity that is widespread throughout numerous retail </w:t>
      </w:r>
      <w:r>
        <w:rPr>
          <w:lang w:val="en-GB"/>
        </w:rPr>
        <w:t>organizations</w:t>
      </w:r>
      <w:r>
        <w:t>.</w:t>
      </w:r>
    </w:p>
    <w:p w14:paraId="63D3ECA3">
      <w:pPr>
        <w:rPr>
          <w:b/>
          <w:bCs/>
          <w:i/>
          <w:iCs/>
        </w:rPr>
      </w:pPr>
      <w:r>
        <w:rPr>
          <w:b/>
          <w:bCs/>
          <w:i/>
          <w:iCs/>
        </w:rPr>
        <w:t>“19. How do supply chain partners affect your company’s ability to achieve sustainability goals?”</w:t>
      </w:r>
    </w:p>
    <w:p w14:paraId="542A0C32">
      <w:pPr>
        <w:ind w:firstLine="720"/>
      </w:pPr>
      <w:r>
        <w:t>Respondents recorded that suppliers have a powerful impact on sustainability performance, either driving them forward or impeding them, according to their practices. This finding highlights the interdependence of the supply chains in retail sector and explores practical issues of implementation (Kang, 2018). This also demonstrates role of outside partners in determining sustainability performance and organisational stability.</w:t>
      </w:r>
    </w:p>
    <w:p w14:paraId="6C22B1FA">
      <w:pPr>
        <w:rPr>
          <w:b/>
          <w:bCs/>
          <w:i/>
          <w:iCs/>
        </w:rPr>
      </w:pPr>
      <w:r>
        <w:rPr>
          <w:b/>
          <w:bCs/>
          <w:i/>
          <w:iCs/>
        </w:rPr>
        <w:t>“20. Do you believe sustainability initiatives add unnecessary complexity to business operations?”</w:t>
      </w:r>
    </w:p>
    <w:p w14:paraId="0A12BF88">
      <w:pPr>
        <w:ind w:firstLine="720"/>
      </w:pPr>
      <w:r>
        <w:t>There were mixed views, as some of the respondents admitted that it was more complex, and others focused on long-term economy. This twofold view is indicative of an idea that sustainability can actually be disruptive of operational processes but eventually increase resilience and performance. The responses are therefore in line with objectives as they indicate views of managers on practical implications of sustainability in strategic and operational decision-making.</w:t>
      </w:r>
    </w:p>
    <w:p w14:paraId="0C4A73B1">
      <w:pPr>
        <w:rPr>
          <w:b/>
          <w:bCs/>
          <w:i/>
          <w:iCs/>
        </w:rPr>
      </w:pPr>
      <w:r>
        <w:rPr>
          <w:b/>
          <w:bCs/>
          <w:i/>
          <w:iCs/>
        </w:rPr>
        <w:t>“21. How has the integration of sustainability affected your company’s brand image?”</w:t>
      </w:r>
    </w:p>
    <w:p w14:paraId="1F44F205">
      <w:pPr>
        <w:ind w:firstLine="720"/>
      </w:pPr>
      <w:r>
        <w:t xml:space="preserve">Most of the respondents reported a “very positive change” to brand image, with most giving increased customer trust, improved corporate reputation and brand credibility. The process of sustainability integration appears to be quite effective in strengthening stakeholders’ trust and consumer loyalty (Udeh &amp; Dugba, 2025. This, in turn, strongly supports objective of assessing managerial attitudes regarding sustainability strategic value and its effect on </w:t>
      </w:r>
      <w:r>
        <w:rPr>
          <w:lang w:val="en-GB"/>
        </w:rPr>
        <w:t>organizational</w:t>
      </w:r>
      <w:r>
        <w:t xml:space="preserve"> positioning in competitive UK retail market.</w:t>
      </w:r>
    </w:p>
    <w:p w14:paraId="33055D71">
      <w:pPr>
        <w:rPr>
          <w:b/>
          <w:bCs/>
          <w:i/>
          <w:iCs/>
        </w:rPr>
      </w:pPr>
      <w:r>
        <w:rPr>
          <w:b/>
          <w:bCs/>
          <w:i/>
          <w:iCs/>
        </w:rPr>
        <w:t>“22. Have sustainability initiatives led to measurable improvements in financial performance or efficiency?”</w:t>
      </w:r>
    </w:p>
    <w:p w14:paraId="6FDE97A8">
      <w:pPr>
        <w:ind w:firstLine="720"/>
      </w:pPr>
      <w:r>
        <w:t xml:space="preserve">An important percentage of the respondents said they had measurable benefits, especially in reduction of waste, energy saving and cutting of operational costs. Although a few respondents considered benefits to be marginal or indeterminate, majority saw sustainability efforts to be associated with high-quality performance. This observation examines the practical application of sustainability and explains how </w:t>
      </w:r>
      <w:r>
        <w:rPr>
          <w:lang w:val="en-GB"/>
        </w:rPr>
        <w:t>organizations</w:t>
      </w:r>
      <w:r>
        <w:t xml:space="preserve"> track results of operations and financial performance.</w:t>
      </w:r>
    </w:p>
    <w:p w14:paraId="496CFF8B">
      <w:pPr>
        <w:rPr>
          <w:b/>
          <w:bCs/>
          <w:i/>
          <w:iCs/>
        </w:rPr>
      </w:pPr>
      <w:r>
        <w:rPr>
          <w:b/>
          <w:bCs/>
          <w:i/>
          <w:iCs/>
        </w:rPr>
        <w:t>“23. How do customers respond to your company’s sustainability initiatives?”</w:t>
      </w:r>
    </w:p>
    <w:p w14:paraId="7594468B">
      <w:pPr>
        <w:ind w:firstLine="720"/>
      </w:pPr>
      <w:r>
        <w:t xml:space="preserve">Feedback on customers was mostly positive, as they claimed that they became more trustful, got positive commentary, and felt more involved in the environmentally friendly practices. The respondents noted that sustainability </w:t>
      </w:r>
      <w:r>
        <w:rPr>
          <w:lang w:val="en-GB"/>
        </w:rPr>
        <w:t>program mes</w:t>
      </w:r>
      <w:r>
        <w:t xml:space="preserve"> influence buying behaviour and brand choice. The results are consistent in evaluating managerial perceptions of external role of sustainability, particularly regarding attitudes of consumers and expectations of market.</w:t>
      </w:r>
    </w:p>
    <w:p w14:paraId="54633489">
      <w:pPr>
        <w:rPr>
          <w:b/>
          <w:bCs/>
          <w:i/>
          <w:iCs/>
        </w:rPr>
      </w:pPr>
      <w:r>
        <w:rPr>
          <w:b/>
          <w:bCs/>
          <w:i/>
          <w:iCs/>
        </w:rPr>
        <w:t xml:space="preserve">“24. What areas of sustainability do you expect to </w:t>
      </w:r>
      <w:r>
        <w:rPr>
          <w:b/>
          <w:bCs/>
          <w:i/>
          <w:iCs/>
          <w:lang w:val="en-GB"/>
        </w:rPr>
        <w:t>prioritize</w:t>
      </w:r>
      <w:r>
        <w:rPr>
          <w:b/>
          <w:bCs/>
          <w:i/>
          <w:iCs/>
        </w:rPr>
        <w:t xml:space="preserve"> in the next 3–5 years?”</w:t>
      </w:r>
    </w:p>
    <w:p w14:paraId="7CE3574A">
      <w:pPr>
        <w:ind w:firstLine="720"/>
      </w:pPr>
      <w:r>
        <w:t xml:space="preserve">Energy efficiency, waste reduction of carbon footprint, ethical sourcing, and sustainable packaging were the most </w:t>
      </w:r>
      <w:r>
        <w:rPr>
          <w:lang w:val="en-GB"/>
        </w:rPr>
        <w:t>emphasis</w:t>
      </w:r>
      <w:r>
        <w:t xml:space="preserve"> future priorities by the respondents. These reactions indicate increasing pressure towards improving environmental performance and the sustainability of supply chain. This is in tandem with the goal of discussing the aspect of sustainability implementation and knowing the way managers focus on the emergent strategic sustainability goals.</w:t>
      </w:r>
    </w:p>
    <w:p w14:paraId="3898A4D3">
      <w:pPr>
        <w:rPr>
          <w:b/>
          <w:bCs/>
          <w:i/>
          <w:iCs/>
        </w:rPr>
      </w:pPr>
      <w:r>
        <w:rPr>
          <w:b/>
          <w:bCs/>
          <w:i/>
          <w:iCs/>
        </w:rPr>
        <w:t>“25. What support or policy changes would help retail managers better integrate sustainability into strategic decisions?”</w:t>
      </w:r>
    </w:p>
    <w:p w14:paraId="52F7FEB4">
      <w:pPr>
        <w:ind w:firstLine="720"/>
      </w:pPr>
      <w:r>
        <w:t>The respondents accentuated the need for more specific government regulations, taxation benefits, industry-wide reporting systems, training schemes and funding. These suggestions are related to capability, regulation, and resource-related barriers. The insights can hence support aim of establishing challenges and opportunities that managers will go through in their effort to integrate sustainability in long-term strategic planning.</w:t>
      </w:r>
    </w:p>
    <w:p w14:paraId="0EF3273F">
      <w:pPr>
        <w:pStyle w:val="3"/>
      </w:pPr>
      <w:bookmarkStart w:id="47" w:name="_r1wzng2cuw8q" w:colFirst="0" w:colLast="0"/>
      <w:bookmarkEnd w:id="47"/>
      <w:bookmarkStart w:id="48" w:name="_Toc216431698"/>
      <w:r>
        <w:t>4.3 Hypothesis Analysis</w:t>
      </w:r>
      <w:bookmarkEnd w:id="48"/>
      <w:r>
        <w:t xml:space="preserve"> </w:t>
      </w:r>
    </w:p>
    <w:p w14:paraId="213545EC">
      <w:pPr>
        <w:rPr>
          <w:b/>
          <w:bCs/>
          <w:i/>
          <w:iCs/>
        </w:rPr>
      </w:pPr>
      <w:r>
        <w:rPr>
          <w:b/>
          <w:bCs/>
          <w:i/>
          <w:iCs/>
        </w:rPr>
        <w:t xml:space="preserve">“H1: There is a significant positive relationship between managers’ perceived importance of sustainability and their </w:t>
      </w:r>
      <w:r>
        <w:rPr>
          <w:b/>
          <w:bCs/>
          <w:i/>
          <w:iCs/>
          <w:lang w:val="en-GB"/>
        </w:rPr>
        <w:t>organization's</w:t>
      </w:r>
      <w:r>
        <w:rPr>
          <w:b/>
          <w:bCs/>
          <w:i/>
          <w:iCs/>
        </w:rPr>
        <w:t xml:space="preserve"> sustainability position compared to competitors.”</w:t>
      </w:r>
    </w:p>
    <w:p w14:paraId="13C844C1">
      <w:pPr>
        <w:jc w:val="center"/>
      </w:pPr>
      <w:r>
        <w:drawing>
          <wp:inline distT="114300" distB="114300" distL="114300" distR="114300">
            <wp:extent cx="4896485" cy="220472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6" name="image5.png"/>
                    <pic:cNvPicPr preferRelativeResize="0"/>
                  </pic:nvPicPr>
                  <pic:blipFill>
                    <a:blip r:embed="rId13"/>
                    <a:srcRect/>
                    <a:stretch>
                      <a:fillRect/>
                    </a:stretch>
                  </pic:blipFill>
                  <pic:spPr>
                    <a:xfrm>
                      <a:off x="0" y="0"/>
                      <a:ext cx="4896596" cy="2205038"/>
                    </a:xfrm>
                    <a:prstGeom prst="rect">
                      <a:avLst/>
                    </a:prstGeom>
                  </pic:spPr>
                </pic:pic>
              </a:graphicData>
            </a:graphic>
          </wp:inline>
        </w:drawing>
      </w:r>
    </w:p>
    <w:p w14:paraId="050267AC">
      <w:pPr>
        <w:pStyle w:val="5"/>
      </w:pPr>
      <w:bookmarkStart w:id="49" w:name="_jbpyd6i7600m" w:colFirst="0" w:colLast="0"/>
      <w:bookmarkEnd w:id="49"/>
      <w:bookmarkStart w:id="50" w:name="_Toc216431657"/>
      <w:r>
        <w:t>Figure 1: Correlation Analysis for Hypothesis 1</w:t>
      </w:r>
      <w:bookmarkEnd w:id="50"/>
    </w:p>
    <w:p w14:paraId="484FF6DE">
      <w:pPr>
        <w:jc w:val="center"/>
      </w:pPr>
      <w:r>
        <w:drawing>
          <wp:inline distT="114300" distB="114300" distL="114300" distR="114300">
            <wp:extent cx="4758690" cy="389699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referRelativeResize="0"/>
                  </pic:nvPicPr>
                  <pic:blipFill>
                    <a:blip r:embed="rId14"/>
                    <a:srcRect/>
                    <a:stretch>
                      <a:fillRect/>
                    </a:stretch>
                  </pic:blipFill>
                  <pic:spPr>
                    <a:xfrm>
                      <a:off x="0" y="0"/>
                      <a:ext cx="4759024" cy="3897213"/>
                    </a:xfrm>
                    <a:prstGeom prst="rect">
                      <a:avLst/>
                    </a:prstGeom>
                  </pic:spPr>
                </pic:pic>
              </a:graphicData>
            </a:graphic>
          </wp:inline>
        </w:drawing>
      </w:r>
    </w:p>
    <w:p w14:paraId="3EBE8421">
      <w:pPr>
        <w:pStyle w:val="5"/>
      </w:pPr>
      <w:bookmarkStart w:id="51" w:name="_mc45pl52f692" w:colFirst="0" w:colLast="0"/>
      <w:bookmarkEnd w:id="51"/>
      <w:bookmarkStart w:id="52" w:name="_Toc216431658"/>
      <w:r>
        <w:t>Figure 2: Regression Analysis for Hypothesis 1</w:t>
      </w:r>
      <w:bookmarkEnd w:id="52"/>
    </w:p>
    <w:p w14:paraId="2DDFCBE4">
      <w:pPr>
        <w:ind w:firstLine="720"/>
      </w:pPr>
      <w:r>
        <w:t xml:space="preserve">To test H1, the correlation analysis and regression analysis were administered. The Pearson correlation coefficient of perceived importance of sustainability (Q6) of managers and the sustainability position of their </w:t>
      </w:r>
      <w:r>
        <w:rPr>
          <w:lang w:val="en-GB"/>
        </w:rPr>
        <w:t>organizations</w:t>
      </w:r>
      <w:r>
        <w:t xml:space="preserve"> in comparison with the competitor(s) was r=-0.089, which was very weakly negative. This trend does not indicate the point in the opposite direction as the hypothesis suggests. In addition, the correlation was not statistically significant (p = 0.420), which is greater than the standard 0.05. This indicates that the relationship that was seen could probably be due to chance and not a significant trend in the data set. As a result, the sustainability importance of managerial perceptions has no visible impact on the competitive sustainability position.</w:t>
      </w:r>
    </w:p>
    <w:p w14:paraId="7D9DC4DD">
      <w:pPr>
        <w:ind w:firstLine="720"/>
      </w:pPr>
      <w:r>
        <w:t xml:space="preserve">These findings are supported by the regression analysis. The model produced an R value of 0.089 and an R2 of 0.008, respectively, and this means that the perceived significance of sustainability is explaining a small fraction of sustainability position, that is, 0.8 9. The ANOVA findings prove that model is not significant (F = 0.657, p = 0.420), which means that perceived sustainability importance is not a reliable predictor of </w:t>
      </w:r>
      <w:r>
        <w:rPr>
          <w:lang w:val="en-GB"/>
        </w:rPr>
        <w:t>organizational</w:t>
      </w:r>
      <w:r>
        <w:t xml:space="preserve"> sustainability performance. The regression coefficient of Q6 B = -0.050 with a non-significant p-value (0.420) and a negative beta is yet again against expected positive relationship.</w:t>
      </w:r>
    </w:p>
    <w:p w14:paraId="289646BA">
      <w:pPr>
        <w:ind w:firstLine="720"/>
      </w:pPr>
      <w:r>
        <w:t xml:space="preserve">These results suggest that managers may attach importance to concept of sustainability. Despite their conviction, their beliefs do not affect the competitive sustainability position of their </w:t>
      </w:r>
      <w:r>
        <w:rPr>
          <w:lang w:val="en-GB"/>
        </w:rPr>
        <w:t>organization</w:t>
      </w:r>
      <w:r>
        <w:t xml:space="preserve"> (Buhr &amp; Weissbrod, 2025). The more determinant influence upon sustainability positioning can be a wider organisational policy, one that is open to resources and to industry pressures. According to both tests, H1 gets rejected, since there is no significant positive correlation between the two variables.</w:t>
      </w:r>
    </w:p>
    <w:p w14:paraId="28240B8A">
      <w:pPr>
        <w:rPr>
          <w:b/>
          <w:bCs/>
          <w:i/>
          <w:iCs/>
        </w:rPr>
      </w:pPr>
      <w:r>
        <w:rPr>
          <w:b/>
          <w:bCs/>
          <w:i/>
          <w:iCs/>
        </w:rPr>
        <w:t>“H2: Managers’ understanding of sustainability significantly predicts the extent to which sustainability goals are integrated into strategic decision-making.”</w:t>
      </w:r>
    </w:p>
    <w:p w14:paraId="09DB68EE">
      <w:pPr>
        <w:jc w:val="center"/>
      </w:pPr>
      <w:r>
        <w:drawing>
          <wp:inline distT="114300" distB="114300" distL="114300" distR="114300">
            <wp:extent cx="4776470" cy="215074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8" name="image2.png"/>
                    <pic:cNvPicPr preferRelativeResize="0"/>
                  </pic:nvPicPr>
                  <pic:blipFill>
                    <a:blip r:embed="rId15"/>
                    <a:srcRect/>
                    <a:stretch>
                      <a:fillRect/>
                    </a:stretch>
                  </pic:blipFill>
                  <pic:spPr>
                    <a:xfrm>
                      <a:off x="0" y="0"/>
                      <a:ext cx="4776788" cy="2151085"/>
                    </a:xfrm>
                    <a:prstGeom prst="rect">
                      <a:avLst/>
                    </a:prstGeom>
                  </pic:spPr>
                </pic:pic>
              </a:graphicData>
            </a:graphic>
          </wp:inline>
        </w:drawing>
      </w:r>
    </w:p>
    <w:p w14:paraId="415523FD">
      <w:pPr>
        <w:pStyle w:val="5"/>
      </w:pPr>
      <w:bookmarkStart w:id="53" w:name="_kt99eky240d0" w:colFirst="0" w:colLast="0"/>
      <w:bookmarkEnd w:id="53"/>
      <w:bookmarkStart w:id="54" w:name="_Toc216431659"/>
      <w:r>
        <w:t>Figure 3: Correlation Analysis for Hypothesis 2</w:t>
      </w:r>
      <w:bookmarkEnd w:id="54"/>
    </w:p>
    <w:p w14:paraId="7A527D38">
      <w:pPr>
        <w:jc w:val="center"/>
      </w:pPr>
      <w:r>
        <w:drawing>
          <wp:inline distT="114300" distB="114300" distL="114300" distR="114300">
            <wp:extent cx="4994910" cy="425069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referRelativeResize="0"/>
                  </pic:nvPicPr>
                  <pic:blipFill>
                    <a:blip r:embed="rId16"/>
                    <a:srcRect/>
                    <a:stretch>
                      <a:fillRect/>
                    </a:stretch>
                  </pic:blipFill>
                  <pic:spPr>
                    <a:xfrm>
                      <a:off x="0" y="0"/>
                      <a:ext cx="4995499" cy="4250978"/>
                    </a:xfrm>
                    <a:prstGeom prst="rect">
                      <a:avLst/>
                    </a:prstGeom>
                  </pic:spPr>
                </pic:pic>
              </a:graphicData>
            </a:graphic>
          </wp:inline>
        </w:drawing>
      </w:r>
    </w:p>
    <w:p w14:paraId="499AC527">
      <w:pPr>
        <w:pStyle w:val="5"/>
      </w:pPr>
      <w:bookmarkStart w:id="55" w:name="_y6xmrvywc4lt" w:colFirst="0" w:colLast="0"/>
      <w:bookmarkEnd w:id="55"/>
      <w:bookmarkStart w:id="56" w:name="_Toc216431660"/>
      <w:r>
        <w:t>Figure 4: Regression Analysis for Hypothesis 2</w:t>
      </w:r>
      <w:bookmarkEnd w:id="56"/>
    </w:p>
    <w:p w14:paraId="518A5417">
      <w:pPr>
        <w:ind w:firstLine="720"/>
      </w:pPr>
      <w:r>
        <w:t xml:space="preserve">In order to test Hypothesis 2, correlational analysis and regression analysis were conducted between sustainability understanding, as measured by Q7, and sustainability integration in strategy as measured by Q12. The correlation between the two variables was r = -0.035, which presented a very weak negative relationship. This finding implies that increased sustainability awareness in managers is not associated with an increased inclusion of sustainability objectives into strategic decision-making. Moreover, correlation was not statistically significant (p =.749), much higher than traditional 0.05 margin, which suggests that there is no significant correlation between two variables, and observed correlation is most likely due to random variation and not an inherent pattern in data. </w:t>
      </w:r>
    </w:p>
    <w:p w14:paraId="42C8D7EA">
      <w:pPr>
        <w:ind w:firstLine="720"/>
      </w:pPr>
      <w:r>
        <w:t>This conclusion is also supported by regression analysis. This model produced an R value of +0.35 and an R² of +0.1, indicating that the predictive impact of sustainability understanding of managers just explains 0.1 per cent of change in sustainability integration, which is practically negligible. The results of ANOVA also showed that the regression model was not statistically significant (F = .103, p = .749), which proves that sustainability understanding is not a reliable predictor of integration outcomes. B = -0.027 and p = non-significant (.749) and weak negative beta (-.035) confirmed hypothesis that sustainability knowledge does not have any impact on dependent variable.</w:t>
      </w:r>
    </w:p>
    <w:p w14:paraId="2E0FF284">
      <w:pPr>
        <w:ind w:firstLine="720"/>
      </w:pPr>
      <w:r>
        <w:t xml:space="preserve">These results imply that managers, though they may have a strong sustainability knowledge, do not necessarily go on to integrate this into their strategies. A stronger influence can be brought about by </w:t>
      </w:r>
      <w:r>
        <w:rPr>
          <w:lang w:val="en-GB"/>
        </w:rPr>
        <w:t>organizational</w:t>
      </w:r>
      <w:r>
        <w:t xml:space="preserve"> factors, resource constraints, leadership mandates or even external forces than by personal knowledge. Also, formal integration processes may also be more reliant on institutional policy frameworks rather than on personal managerial competencies (Cejudo &amp; Trein, 2022). Since correlation and regression outcomes show no significant predictive value, Hypothesis 2 is rejected. The level of understanding of sustainability in managers has no significant predictive value on sustainability integration in strategic decision-making.</w:t>
      </w:r>
    </w:p>
    <w:p w14:paraId="34D788DF">
      <w:pPr>
        <w:rPr>
          <w:b/>
          <w:bCs/>
          <w:i/>
          <w:iCs/>
        </w:rPr>
      </w:pPr>
      <w:r>
        <w:rPr>
          <w:b/>
          <w:bCs/>
          <w:i/>
          <w:iCs/>
        </w:rPr>
        <w:t xml:space="preserve">“H3: The presence of measurable sustainability targets significantly predicts managers’ evaluation of </w:t>
      </w:r>
      <w:r>
        <w:rPr>
          <w:b/>
          <w:bCs/>
          <w:i/>
          <w:iCs/>
          <w:lang w:val="en-GB"/>
        </w:rPr>
        <w:t>sustainability</w:t>
      </w:r>
      <w:r>
        <w:rPr>
          <w:b/>
          <w:bCs/>
          <w:i/>
          <w:iCs/>
        </w:rPr>
        <w:t xml:space="preserve"> influence on business performance.”</w:t>
      </w:r>
    </w:p>
    <w:p w14:paraId="4BAAA176">
      <w:pPr>
        <w:jc w:val="center"/>
      </w:pPr>
      <w:r>
        <w:drawing>
          <wp:inline distT="114300" distB="114300" distL="114300" distR="114300">
            <wp:extent cx="4757420" cy="2142490"/>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referRelativeResize="0"/>
                  </pic:nvPicPr>
                  <pic:blipFill>
                    <a:blip r:embed="rId17"/>
                    <a:srcRect/>
                    <a:stretch>
                      <a:fillRect/>
                    </a:stretch>
                  </pic:blipFill>
                  <pic:spPr>
                    <a:xfrm>
                      <a:off x="0" y="0"/>
                      <a:ext cx="4757738" cy="2142507"/>
                    </a:xfrm>
                    <a:prstGeom prst="rect">
                      <a:avLst/>
                    </a:prstGeom>
                  </pic:spPr>
                </pic:pic>
              </a:graphicData>
            </a:graphic>
          </wp:inline>
        </w:drawing>
      </w:r>
    </w:p>
    <w:p w14:paraId="6C010C86">
      <w:pPr>
        <w:pStyle w:val="5"/>
      </w:pPr>
      <w:bookmarkStart w:id="57" w:name="_8wvijqhkj6l7" w:colFirst="0" w:colLast="0"/>
      <w:bookmarkEnd w:id="57"/>
      <w:bookmarkStart w:id="58" w:name="_Toc216431661"/>
      <w:r>
        <w:t>Figure 5: Correlation Analysis for Hypothesis 3</w:t>
      </w:r>
      <w:bookmarkEnd w:id="58"/>
    </w:p>
    <w:p w14:paraId="7F4A56A7">
      <w:pPr>
        <w:jc w:val="center"/>
      </w:pPr>
      <w:r>
        <w:drawing>
          <wp:inline distT="114300" distB="114300" distL="114300" distR="114300">
            <wp:extent cx="4785995" cy="3996055"/>
            <wp:effectExtent l="0" t="0" r="0" b="0"/>
            <wp:docPr id="7" name="image6.png"/>
            <wp:cNvGraphicFramePr/>
            <a:graphic xmlns:a="http://schemas.openxmlformats.org/drawingml/2006/main">
              <a:graphicData uri="http://schemas.openxmlformats.org/drawingml/2006/picture">
                <pic:pic xmlns:pic="http://schemas.openxmlformats.org/drawingml/2006/picture">
                  <pic:nvPicPr>
                    <pic:cNvPr id="7" name="image6.png"/>
                    <pic:cNvPicPr preferRelativeResize="0"/>
                  </pic:nvPicPr>
                  <pic:blipFill>
                    <a:blip r:embed="rId18"/>
                    <a:srcRect/>
                    <a:stretch>
                      <a:fillRect/>
                    </a:stretch>
                  </pic:blipFill>
                  <pic:spPr>
                    <a:xfrm>
                      <a:off x="0" y="0"/>
                      <a:ext cx="4786313" cy="3996264"/>
                    </a:xfrm>
                    <a:prstGeom prst="rect">
                      <a:avLst/>
                    </a:prstGeom>
                  </pic:spPr>
                </pic:pic>
              </a:graphicData>
            </a:graphic>
          </wp:inline>
        </w:drawing>
      </w:r>
    </w:p>
    <w:p w14:paraId="61EB4D1C">
      <w:pPr>
        <w:pStyle w:val="5"/>
      </w:pPr>
      <w:bookmarkStart w:id="59" w:name="_4f7jgfnwef7b" w:colFirst="0" w:colLast="0"/>
      <w:bookmarkEnd w:id="59"/>
      <w:bookmarkStart w:id="60" w:name="_Toc216431662"/>
      <w:r>
        <w:t>Figure 6: Regression Analysis for Hypothesis 3</w:t>
      </w:r>
      <w:bookmarkEnd w:id="60"/>
    </w:p>
    <w:p w14:paraId="1AFA2289">
      <w:pPr>
        <w:ind w:firstLine="720"/>
      </w:pPr>
      <w:r>
        <w:t>Correlation analysis and regression analysis were conducted in order to test hypothesis 3, which was tested through measurement of the sustainability targets (Q15) and managerial measures of the effect of sustainability on business performance (Q14). The Pearson correlation coefficient was r = -0.046, which is a very weak negative relationship. This non-significant relation suggests that existence of quantifiable sustainability targets is not significantly related to view of managers about impact of sustainability on operational or financial performance. Moreover, significance level (p =.676) is greater than standard level of 0.05, which assures that correlation does not have statistical significance. As a result, variables do not have a substantive linear relationship.</w:t>
      </w:r>
    </w:p>
    <w:p w14:paraId="090BA2D0">
      <w:pPr>
        <w:ind w:firstLine="720"/>
      </w:pPr>
      <w:r>
        <w:t xml:space="preserve">These findings are supported further by regression analysis. The coefficient of determination (R 2 ) of model was 0.002, which means that quantifiable sustainability goals explain only 0.2 per cent of variation in managerial ratings of business contribution of sustainability - a modest predictive power. ANOVA table showed an F value of 0.176 and a p-value of 0.676, which proved that model was not statistically significant. Q15 </w:t>
      </w:r>
      <w:r>
        <w:rPr>
          <w:lang w:val="en-GB"/>
        </w:rPr>
        <w:t>standardized</w:t>
      </w:r>
      <w:r>
        <w:t xml:space="preserve"> coefficient was B = -.050 over an insignificant p-value (.676) and a negative beta value of -.046, which again supports the conclusion that measurable targets do not have a significant impact on managerial evaluations.</w:t>
      </w:r>
    </w:p>
    <w:p w14:paraId="1E71AC27">
      <w:pPr>
        <w:ind w:firstLine="720"/>
      </w:pPr>
      <w:r>
        <w:t xml:space="preserve">These results indicate that, despite existence of quantifiable sustainability goals in </w:t>
      </w:r>
      <w:r>
        <w:rPr>
          <w:lang w:val="en-GB"/>
        </w:rPr>
        <w:t>organization</w:t>
      </w:r>
      <w:r>
        <w:t xml:space="preserve">, goals do not seem to affect managerial views concerning operational or financial worth of sustainability. Rather, assessments can be influenced by general </w:t>
      </w:r>
      <w:r>
        <w:rPr>
          <w:lang w:val="en-GB"/>
        </w:rPr>
        <w:t>organization</w:t>
      </w:r>
      <w:r>
        <w:t xml:space="preserve"> culture, external forces or through visible performance results, instead of being defined by setting targets. According to correlation and regression analysis, hypothesis H3 is rejected; quantifiable sustainability targets do not significantly explain measurements of sustainability as a factor that managers believe affects their business performance.</w:t>
      </w:r>
    </w:p>
    <w:p w14:paraId="09E61C8D">
      <w:pPr>
        <w:rPr>
          <w:b/>
          <w:bCs/>
          <w:i/>
          <w:iCs/>
        </w:rPr>
      </w:pPr>
      <w:r>
        <w:rPr>
          <w:b/>
          <w:bCs/>
          <w:i/>
          <w:iCs/>
        </w:rPr>
        <w:t>“H4: Financial and operational constraints significantly influence the challenges managers face in embedding sustainability in long-term business goals.”</w:t>
      </w:r>
    </w:p>
    <w:p w14:paraId="5BE21288">
      <w:pPr>
        <w:jc w:val="center"/>
      </w:pPr>
      <w:r>
        <w:drawing>
          <wp:inline distT="114300" distB="114300" distL="114300" distR="114300">
            <wp:extent cx="4986020" cy="243713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referRelativeResize="0"/>
                  </pic:nvPicPr>
                  <pic:blipFill>
                    <a:blip r:embed="rId19"/>
                    <a:srcRect/>
                    <a:stretch>
                      <a:fillRect/>
                    </a:stretch>
                  </pic:blipFill>
                  <pic:spPr>
                    <a:xfrm>
                      <a:off x="0" y="0"/>
                      <a:ext cx="4986595" cy="2437358"/>
                    </a:xfrm>
                    <a:prstGeom prst="rect">
                      <a:avLst/>
                    </a:prstGeom>
                  </pic:spPr>
                </pic:pic>
              </a:graphicData>
            </a:graphic>
          </wp:inline>
        </w:drawing>
      </w:r>
    </w:p>
    <w:p w14:paraId="0AEDC5EC">
      <w:pPr>
        <w:pStyle w:val="5"/>
      </w:pPr>
      <w:bookmarkStart w:id="61" w:name="_q60kgjuuf9pt" w:colFirst="0" w:colLast="0"/>
      <w:bookmarkEnd w:id="61"/>
      <w:bookmarkStart w:id="62" w:name="_Toc216431663"/>
      <w:r>
        <w:t>Figure 7: Correlation Analysis for Hypothesis 4</w:t>
      </w:r>
      <w:bookmarkEnd w:id="62"/>
    </w:p>
    <w:p w14:paraId="5ECEB265">
      <w:pPr>
        <w:jc w:val="center"/>
      </w:pPr>
      <w:r>
        <w:drawing>
          <wp:inline distT="114300" distB="114300" distL="114300" distR="114300">
            <wp:extent cx="4895215" cy="4612640"/>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referRelativeResize="0"/>
                  </pic:nvPicPr>
                  <pic:blipFill>
                    <a:blip r:embed="rId20"/>
                    <a:srcRect/>
                    <a:stretch>
                      <a:fillRect/>
                    </a:stretch>
                  </pic:blipFill>
                  <pic:spPr>
                    <a:xfrm>
                      <a:off x="0" y="0"/>
                      <a:ext cx="4895352" cy="4612928"/>
                    </a:xfrm>
                    <a:prstGeom prst="rect">
                      <a:avLst/>
                    </a:prstGeom>
                  </pic:spPr>
                </pic:pic>
              </a:graphicData>
            </a:graphic>
          </wp:inline>
        </w:drawing>
      </w:r>
    </w:p>
    <w:p w14:paraId="3A9EA75B">
      <w:pPr>
        <w:pStyle w:val="5"/>
      </w:pPr>
      <w:bookmarkStart w:id="63" w:name="_1dxfn9y8g44j" w:colFirst="0" w:colLast="0"/>
      <w:bookmarkEnd w:id="63"/>
      <w:bookmarkStart w:id="64" w:name="_Toc216431664"/>
      <w:r>
        <w:t>Figure 8: Regression Analysis for Hypothesis 4</w:t>
      </w:r>
      <w:bookmarkEnd w:id="64"/>
    </w:p>
    <w:p w14:paraId="73871FA7">
      <w:pPr>
        <w:ind w:firstLine="720"/>
      </w:pPr>
      <w:r>
        <w:t xml:space="preserve">In order to test hypothesis 4, correlation and regression analyses were performed, where “financial constraints (Q18) and supply-chain-related operational effects (Q19)” were independent variables and sustainability challenges (Q17) formed dependent variable. The correlation study showed weak relations between variables. The correlation of financial constraints and sustainability issues resulted in r = -0.103 (p =.355), which shows that there is a low level of correlation that is not statistically significant. Similarly, association between sustainability issues and supply-chain effects was r =. 050(p=.659), which is also weak and non-significant. According to these findings, both financial constraints and supply-chain operation impacts do not display any substantive linear dependency with challenges reported by managers. </w:t>
      </w:r>
    </w:p>
    <w:p w14:paraId="21D64274">
      <w:pPr>
        <w:ind w:firstLine="720"/>
      </w:pPr>
      <w:r>
        <w:t xml:space="preserve">Regression analysis further offers more clarity, and combined model produced an R and R2 value of 0.144 and 0.21, respectively, which means that predictors explain at most 2.1 per cent of variance in sustainability challenges, a low quality of explanatory power. The ANOVA table supports fact that model is not statistically significant (F = .823, p = .443), which suggests that financial and operational restrictions do not have a significant relationship with sustainability problems. The regression coefficients of both predictors were non-significant (financial constraints (B = -0.292, p =.285) and supply chain effects (B = 0.159, p =.414). Their </w:t>
      </w:r>
      <w:r>
        <w:rPr>
          <w:lang w:val="en-GB"/>
        </w:rPr>
        <w:t>standardized</w:t>
      </w:r>
      <w:r>
        <w:t xml:space="preserve"> beta coefficients (.122 and.093, respectively) further highlight insignificant role of either of the variables in explaining perceived challenges by managers.</w:t>
      </w:r>
    </w:p>
    <w:p w14:paraId="33C02E7D">
      <w:pPr>
        <w:ind w:firstLine="720"/>
      </w:pPr>
      <w:r>
        <w:t xml:space="preserve">These results suggest that despite frequently mentioned operational and financial constraints being a barrier in sustainability scholarship literature, they do not seem to have a statistically significant impact on the managers, as reported to them in the current sample. This could mean that there are other </w:t>
      </w:r>
      <w:r>
        <w:rPr>
          <w:lang w:val="en-GB"/>
        </w:rPr>
        <w:t>organizational</w:t>
      </w:r>
      <w:r>
        <w:t xml:space="preserve"> issues at stake, like commitment of leadership, uncertainty of regulation, or inexperience, that are more critical. Considering statistically insignificant relationships across all tests, H4 is rejected, indicating that financial and operational constraints do not play an important role in the challenges related to sustainability in this </w:t>
      </w:r>
      <w:r>
        <w:rPr>
          <w:lang w:val="en-GB"/>
        </w:rPr>
        <w:t>data-set</w:t>
      </w:r>
      <w:r>
        <w:t>.</w:t>
      </w:r>
    </w:p>
    <w:p w14:paraId="6EC43CC9">
      <w:pPr>
        <w:pStyle w:val="3"/>
      </w:pPr>
      <w:bookmarkStart w:id="65" w:name="_1h44jfyfjrae" w:colFirst="0" w:colLast="0"/>
      <w:bookmarkEnd w:id="65"/>
      <w:bookmarkStart w:id="66" w:name="_Toc216431699"/>
      <w:r>
        <w:t>4.4 Chapter Summary</w:t>
      </w:r>
      <w:bookmarkEnd w:id="66"/>
      <w:r>
        <w:t xml:space="preserve"> </w:t>
      </w:r>
    </w:p>
    <w:p w14:paraId="795CE0E1">
      <w:pPr>
        <w:ind w:firstLine="720"/>
      </w:pPr>
      <w:r>
        <w:t xml:space="preserve">On the whole, results show that although sustainability is widely </w:t>
      </w:r>
      <w:r>
        <w:rPr>
          <w:lang w:val="en-GB"/>
        </w:rPr>
        <w:t>recognized</w:t>
      </w:r>
      <w:r>
        <w:t xml:space="preserve"> as a valuable concept by managers of UK retailing, same perceptions are not always translated into strategic impact. The frequency outcomes indicate a high level of </w:t>
      </w:r>
      <w:r>
        <w:rPr>
          <w:lang w:val="en-GB"/>
        </w:rPr>
        <w:t>organizational</w:t>
      </w:r>
      <w:r>
        <w:t xml:space="preserve"> commitment in comparison with sustainability, as formulated policies, good customer feedback, and growing stress on environmental concerns prove. However, hypothesis testing reveals that the core managerial perceptions, which include belief in the perceived significance, understanding, and confidence of the measurable targets, do not significantly relate to </w:t>
      </w:r>
      <w:r>
        <w:rPr>
          <w:lang w:val="en-GB"/>
        </w:rPr>
        <w:t>organizational</w:t>
      </w:r>
      <w:r>
        <w:t xml:space="preserve"> sustainability performance, integration, and evaluation practices. Similarly, such barriers as financial and operational do not prove to be statistically significant predictors of sustainability-related issues. The results indicate that the adoption of sustainability depends on structural and </w:t>
      </w:r>
      <w:r>
        <w:rPr>
          <w:lang w:val="en-GB"/>
        </w:rPr>
        <w:t>organizational</w:t>
      </w:r>
      <w:r>
        <w:t xml:space="preserve"> factors of policy regime, resource </w:t>
      </w:r>
      <w:r>
        <w:rPr>
          <w:lang w:val="en-GB"/>
        </w:rPr>
        <w:t>mobilization</w:t>
      </w:r>
      <w:r>
        <w:t>, leader orientation, and industry forces more than individual managerial perceptions. In turn, chapter highlights a lack of alignment between managerial mindset and real strategic implementation, which strengthens need to promote strong institutional machinery that will entrench sustainability in long-term retail decision-making.</w:t>
      </w:r>
      <w:r>
        <w:br w:type="page"/>
      </w:r>
    </w:p>
    <w:p w14:paraId="7B2C0D4C">
      <w:pPr>
        <w:pStyle w:val="2"/>
      </w:pPr>
      <w:bookmarkStart w:id="67" w:name="_lhvs3kdlt7pz" w:colFirst="0" w:colLast="0"/>
      <w:bookmarkEnd w:id="67"/>
      <w:bookmarkStart w:id="68" w:name="_Toc216431700"/>
      <w:r>
        <w:t>Chapter 5: Conclusions and Recommendations</w:t>
      </w:r>
      <w:bookmarkEnd w:id="68"/>
    </w:p>
    <w:p w14:paraId="64071CA9">
      <w:pPr>
        <w:pStyle w:val="3"/>
      </w:pPr>
      <w:bookmarkStart w:id="69" w:name="_vql9dv4k8gzf" w:colFirst="0" w:colLast="0"/>
      <w:bookmarkEnd w:id="69"/>
      <w:bookmarkStart w:id="70" w:name="_Toc216431701"/>
      <w:r>
        <w:t>5.1 Summary of Findings</w:t>
      </w:r>
      <w:bookmarkEnd w:id="70"/>
      <w:r>
        <w:t xml:space="preserve"> </w:t>
      </w:r>
    </w:p>
    <w:p w14:paraId="7FE36990">
      <w:pPr>
        <w:ind w:firstLine="720"/>
      </w:pPr>
      <w:r>
        <w:t xml:space="preserve">This research paper explored how sustainability </w:t>
      </w:r>
      <w:r>
        <w:rPr>
          <w:lang w:val="en-GB"/>
        </w:rPr>
        <w:t>conceptualization</w:t>
      </w:r>
      <w:r>
        <w:t xml:space="preserve">, </w:t>
      </w:r>
      <w:r>
        <w:rPr>
          <w:lang w:val="en-GB"/>
        </w:rPr>
        <w:t>prioritization</w:t>
      </w:r>
      <w:r>
        <w:t xml:space="preserve">, and operationalisation are conducted by managers in the UK retail industry. Frequency analysis revealed that sustainability is widely perceived as a strategically important concept, most </w:t>
      </w:r>
      <w:r>
        <w:rPr>
          <w:lang w:val="en-GB"/>
        </w:rPr>
        <w:t>organizations</w:t>
      </w:r>
      <w:r>
        <w:t xml:space="preserve"> have formal sustainability policies and have an average to high level of sustainability awareness </w:t>
      </w:r>
      <w:r>
        <w:rPr>
          <w:lang w:val="en-GB"/>
        </w:rPr>
        <w:t>among</w:t>
      </w:r>
      <w:r>
        <w:t xml:space="preserve"> managers. The customer expectations, corporate values, and regulatory pressures were found to be the main reasons why sustainable practices were adopted by respondents. Their benefits also indicated positive impacts on the brand image, customer trust, operational efficiency and long-term sustainability priorities relating to energy saving, waste reduction and ethical sourcing.</w:t>
      </w:r>
    </w:p>
    <w:p w14:paraId="5255C846">
      <w:pPr>
        <w:ind w:firstLine="720"/>
      </w:pPr>
      <w:r>
        <w:t xml:space="preserve">Hypothesis testing results were inconsistent as opposed to the positive perception. All four hypotheses were statistically significant. The perceived significance of sustainability by managers (H1), their understanding of the concepts of sustainability (H2) and the presence of quantifiable targets (H3) did not play any significant roles in predicting the </w:t>
      </w:r>
      <w:r>
        <w:rPr>
          <w:lang w:val="en-GB"/>
        </w:rPr>
        <w:t>organizational</w:t>
      </w:r>
      <w:r>
        <w:t xml:space="preserve"> sustainability positioning, strategic integration, or performance evaluation. Moreover, perceived sustainability challenges were not significantly affected by financial and operational constraints (H4). Such findings imply that personal managerial convictions or learning do not directly convert to strategy execution or quantifiable output results. Rather, the process of sustainability integration seems to be majorly motivated by the </w:t>
      </w:r>
      <w:r>
        <w:rPr>
          <w:lang w:val="en-GB"/>
        </w:rPr>
        <w:t>organizational</w:t>
      </w:r>
      <w:r>
        <w:t xml:space="preserve"> structures, leadership priorities, policy systems, and external institutional pressures instead of individual managerial views.</w:t>
      </w:r>
    </w:p>
    <w:p w14:paraId="3FF11526">
      <w:pPr>
        <w:ind w:firstLine="720"/>
      </w:pPr>
      <w:r>
        <w:t xml:space="preserve">Altogether, the results demonstrate that there is no correlation between managerial perceptions and </w:t>
      </w:r>
      <w:r>
        <w:rPr>
          <w:lang w:val="en-GB"/>
        </w:rPr>
        <w:t>organization</w:t>
      </w:r>
      <w:r>
        <w:t xml:space="preserve"> practice. This is because, despite the recognition of sustainability as a key to the successful operations of the company over the long term, the belief does not influence the strategic decisions or the operational results. The findings </w:t>
      </w:r>
      <w:r>
        <w:rPr>
          <w:lang w:val="en-GB"/>
        </w:rPr>
        <w:t>emphasis</w:t>
      </w:r>
      <w:r>
        <w:t xml:space="preserve"> the need to have better institutional arrangements, performance systems, increased management empowerment and alignment of </w:t>
      </w:r>
      <w:r>
        <w:rPr>
          <w:lang w:val="en-GB"/>
        </w:rPr>
        <w:t>organizations</w:t>
      </w:r>
      <w:r>
        <w:t xml:space="preserve"> so that sustainability becomes substantively entrenched in long-term strategic decision-making.</w:t>
      </w:r>
    </w:p>
    <w:p w14:paraId="1EC525FA">
      <w:pPr>
        <w:pStyle w:val="3"/>
      </w:pPr>
      <w:bookmarkStart w:id="71" w:name="_emgng3v64syw" w:colFirst="0" w:colLast="0"/>
      <w:bookmarkEnd w:id="71"/>
      <w:bookmarkStart w:id="72" w:name="_Toc216431702"/>
      <w:r>
        <w:t>5.2 Importance of Findings</w:t>
      </w:r>
      <w:bookmarkEnd w:id="72"/>
      <w:r>
        <w:t xml:space="preserve"> </w:t>
      </w:r>
    </w:p>
    <w:p w14:paraId="0C4EB320">
      <w:pPr>
        <w:ind w:firstLine="720"/>
      </w:pPr>
      <w:r>
        <w:t xml:space="preserve">Findings of this research paper have strong implications for the field of academic research and practical strategic management in the UK retail industry. In the academic sphere, the research proves that even favourable managerial perceptions, though quite important, are not sufficient predictors of sustainability integration. This confronts the general belief in sustainability literature that managerial attitudes have a determining role on the </w:t>
      </w:r>
      <w:r>
        <w:rPr>
          <w:lang w:val="en-GB"/>
        </w:rPr>
        <w:t>organizational</w:t>
      </w:r>
      <w:r>
        <w:t xml:space="preserve"> results. Rather, the findings indicate that more influential are structural, institutional and leadership-based mechanisms. This observation adds to the growing literature of the belief that sustainability involves a structured alignment and not individual commitment.</w:t>
      </w:r>
    </w:p>
    <w:p w14:paraId="423A9B28">
      <w:pPr>
        <w:ind w:firstLine="720"/>
      </w:pPr>
      <w:r>
        <w:t xml:space="preserve">In practice, the results indicate the need to ensure that retail </w:t>
      </w:r>
      <w:r>
        <w:rPr>
          <w:lang w:val="en-GB"/>
        </w:rPr>
        <w:t>organizations</w:t>
      </w:r>
      <w:r>
        <w:t xml:space="preserve"> enhance formal governance in regards to sustainability. Since managerial knowledge and perceived significance do not necessarily converge into strategic integration, the retailers are advised to come up with more definite sustainability models, performance measures, and decision-making principles. The inability of predictive power in the measurable targets also indicates that better monitoring systems are necessary that correlate the sustainability measures with the operational and financial outcomes. This type of system is also necessary to prove the practical value, to inspire internal stakeholders and to maintain a long-term commitment.</w:t>
      </w:r>
    </w:p>
    <w:p w14:paraId="5D5F20C6">
      <w:pPr>
        <w:ind w:firstLine="720"/>
      </w:pPr>
      <w:r>
        <w:t xml:space="preserve">In addition, the fact that the financial and operational constraints were not very strong predictors of sustainability challenges reflects that barriers might be embedded in </w:t>
      </w:r>
      <w:r>
        <w:rPr>
          <w:lang w:val="en-GB"/>
        </w:rPr>
        <w:t>organizational</w:t>
      </w:r>
      <w:r>
        <w:t xml:space="preserve"> culture, leadership requirements and strategic priorities. This means that retailers should strategies internal capabilities, leadership advocacy, and </w:t>
      </w:r>
      <w:r>
        <w:rPr>
          <w:lang w:val="en-GB"/>
        </w:rPr>
        <w:t>synchronize</w:t>
      </w:r>
      <w:r>
        <w:t xml:space="preserve"> sustainability and competitive strategy. This alignment is further enhanced by the fact that the consumer expectations, regulatory forces and market competition are increasing. Finally, the findings of the study reveal a serious disjunction between intentions to be sustainable and strategic action. It is necessary to identify this gap to inform forthcoming </w:t>
      </w:r>
      <w:r>
        <w:rPr>
          <w:lang w:val="en-GB"/>
        </w:rPr>
        <w:t>organizational</w:t>
      </w:r>
      <w:r>
        <w:t xml:space="preserve"> reforms, policy incentives and managerial training. Through resolving the structural constraints, the UK retailers will be in a better position to integrate sustainability into long-term business models that improve resilience, competitiveness, and social contribution.</w:t>
      </w:r>
    </w:p>
    <w:p w14:paraId="25794491">
      <w:pPr>
        <w:pStyle w:val="3"/>
      </w:pPr>
      <w:bookmarkStart w:id="73" w:name="_4z5rqshp63st" w:colFirst="0" w:colLast="0"/>
      <w:bookmarkEnd w:id="73"/>
      <w:bookmarkStart w:id="74" w:name="_Toc216431703"/>
      <w:r>
        <w:t>5.3 Linking with Objectives</w:t>
      </w:r>
      <w:bookmarkEnd w:id="74"/>
      <w:r>
        <w:t xml:space="preserve"> </w:t>
      </w:r>
    </w:p>
    <w:p w14:paraId="3E775490">
      <w:pPr>
        <w:rPr>
          <w:b/>
          <w:bCs/>
          <w:i/>
          <w:iCs/>
        </w:rPr>
      </w:pPr>
      <w:r>
        <w:rPr>
          <w:b/>
          <w:bCs/>
          <w:i/>
          <w:iCs/>
        </w:rPr>
        <w:t>Objective 1: To analyse the perceptions of UK retail managers regarding the role of sustainability in business strategy.</w:t>
      </w:r>
    </w:p>
    <w:p w14:paraId="60F4527D">
      <w:r>
        <w:t xml:space="preserve">Results also indicate that sustainability is highly conceptualized by managers as strategic requirement and marginal obligation which agrees with the literature that indicates sustainability is increasingly becoming relevant to long-term competitiveness. As in the case of Vadakkepatt et al. (2021), the view of sustainability as part of value creation is also held by managers, especially in terms of customer trust and </w:t>
      </w:r>
      <w:r>
        <w:rPr>
          <w:lang w:val="en-GB"/>
        </w:rPr>
        <w:t>reputation</w:t>
      </w:r>
      <w:r>
        <w:t xml:space="preserve"> resilience. Nevertheless, their impressions are still disrupted across the retail formats, which is similar to Dagilienė et al. (2022), who conducted the research and discovered that premium, mainstream, and discount retailers are subjected to different institutional pressures. Although the literature indicates that there are increasing normative expectations in the context of sustainability, managers continue to report internal ambiguity and lack of consistent commitment, which indicates </w:t>
      </w:r>
      <w:r>
        <w:rPr>
          <w:lang w:val="en-GB"/>
        </w:rPr>
        <w:t>localization</w:t>
      </w:r>
      <w:r>
        <w:t xml:space="preserve"> between strategic rhetoric and operational </w:t>
      </w:r>
      <w:r>
        <w:rPr>
          <w:lang w:val="en-GB"/>
        </w:rPr>
        <w:t>prioritization</w:t>
      </w:r>
      <w:r>
        <w:t xml:space="preserve">. This contradiction is to indicate that the perceptions are moving in the right direction of strategic integration but yet to be translated into consistent </w:t>
      </w:r>
      <w:r>
        <w:rPr>
          <w:lang w:val="en-GB"/>
        </w:rPr>
        <w:t>organizational</w:t>
      </w:r>
      <w:r>
        <w:t xml:space="preserve"> practice is unequal.</w:t>
      </w:r>
    </w:p>
    <w:p w14:paraId="180D706A">
      <w:pPr>
        <w:rPr>
          <w:b/>
          <w:bCs/>
          <w:i/>
          <w:iCs/>
        </w:rPr>
      </w:pPr>
      <w:r>
        <w:rPr>
          <w:b/>
          <w:bCs/>
          <w:i/>
          <w:iCs/>
        </w:rPr>
        <w:t>Objective 2: To evaluate the extent to which environmental and social concerns are integrated into strategic decision-making processes.</w:t>
      </w:r>
    </w:p>
    <w:p w14:paraId="10D5C763">
      <w:r>
        <w:t xml:space="preserve">Managers also give unequal integration with the primary operational orientation being laid on environmental issues issues like waste reduction and energy efficiency more than on general social issues. This is partly confirms by Jarašunienė and Paulauskas (2025), who discovered that digital technologies allow determining measurable environmental indicators, and environmental integration is more practical than social outcomes. However, unlike Imran et al. (2024), who claim that balanced triple-dimension sustainability is making its way to supply-chain resilience, you find the opposite. Rather, managers assert that social concerns like labour fairness or community involvement are a rhetorical initiative not evaluated through any formal instrument. This juxtaposition demonstrates a strategic asymmetry in which the environmental performance is operationalised by the use of KPIs, and the social objectives are symbolic. </w:t>
      </w:r>
      <w:r>
        <w:rPr>
          <w:lang w:val="en-GB"/>
        </w:rPr>
        <w:t>Internationalization</w:t>
      </w:r>
      <w:r>
        <w:t xml:space="preserve"> of the decision-making process, therefore, exists but asymmetrical, based on measurements that are practical and institutional requirements.</w:t>
      </w:r>
    </w:p>
    <w:p w14:paraId="744ED2B7">
      <w:pPr>
        <w:rPr>
          <w:b/>
          <w:bCs/>
          <w:i/>
          <w:iCs/>
        </w:rPr>
      </w:pPr>
      <w:r>
        <w:rPr>
          <w:b/>
          <w:bCs/>
          <w:i/>
          <w:iCs/>
        </w:rPr>
        <w:t>Objective 3: To explore the practical implementation and measurement of sustainability initiatives in retail operations.</w:t>
      </w:r>
    </w:p>
    <w:p w14:paraId="278C4330">
      <w:r>
        <w:t xml:space="preserve">The results reveal a high deviation in the maturity of implementation, similar to those of Dagilienė et al. (2022), who found that there is fragmentation in the models of retailer adoption. Managers highlight </w:t>
      </w:r>
      <w:r>
        <w:rPr>
          <w:lang w:val="en-GB"/>
        </w:rPr>
        <w:t>digitization</w:t>
      </w:r>
      <w:r>
        <w:t xml:space="preserve"> as one of the key members of the enabling team, in line with Jarašunienene and Paulauskas (2025) that IoT, AI and digital traceability enhance sustainability monitoring. Nevertheless, they also point to the limitations in capability (lack of technical knowledge, financial constraints, and conflicting competing operational demands) that host emphases the optimistic technology view present in previous literature. One of the strongest aspects of contrast appears with Vadakkepatt et al. (2021): although the works of literature indicate that retailers are shifting towards strategic sustainability beyond the compliance level, managers commonly present sustainability initiatives and efforts as reactive and resource-based. The issue of measurement also increases the difficulty of implementation, which Rao et al. (2021) note, especially in e-commerce where the trade-offs associated with emissions and packaging make the assessment more unclear. Taken together, the results indicate that despite the availability of the tools, </w:t>
      </w:r>
      <w:r>
        <w:rPr>
          <w:lang w:val="en-GB"/>
        </w:rPr>
        <w:t>organizational</w:t>
      </w:r>
      <w:r>
        <w:t xml:space="preserve"> readiness is what makes it work or not.</w:t>
      </w:r>
    </w:p>
    <w:p w14:paraId="4AFA5504">
      <w:pPr>
        <w:rPr>
          <w:b/>
          <w:bCs/>
          <w:i/>
          <w:iCs/>
        </w:rPr>
      </w:pPr>
      <w:r>
        <w:rPr>
          <w:b/>
          <w:bCs/>
          <w:i/>
          <w:iCs/>
        </w:rPr>
        <w:t>Objective 4: To identify the key challenges and opportunities faced by managers in embedding sustainability within long-term business goals.</w:t>
      </w:r>
    </w:p>
    <w:p w14:paraId="38483316">
      <w:r>
        <w:t xml:space="preserve">According to the managers, time-horizon tensions, a lack of resources, inconsistent governance, and the lack of abilities can be characterized as the fundamental impediments, which is why Trollman and Colwill (2021) are correct when they state that </w:t>
      </w:r>
      <w:r>
        <w:rPr>
          <w:lang w:val="en-GB"/>
        </w:rPr>
        <w:t>transformation</w:t>
      </w:r>
      <w:r>
        <w:t xml:space="preserve"> change is urgent and not that common. Detection of opportunities such as brand advantage, stakeholder trust, supply-chain resilience are in line with Papadopoulos et al. (2025) and Celestin and Sujatha (2024), which suggests that sustainability can be used to enhance competitive positioning. However, the manager is often interested in the fact that such opportunities are subject to internal coherence, and this idea is shared by Michalski (2024), who underlines the necessity of operationalisation frameworks, including ESG-linked scorecards. The results also compare with Gulko et al. (2024) demonstrating that the </w:t>
      </w:r>
      <w:r>
        <w:rPr>
          <w:lang w:val="en-GB"/>
        </w:rPr>
        <w:t>materialize</w:t>
      </w:r>
      <w:r>
        <w:t xml:space="preserve"> assessment assists in </w:t>
      </w:r>
      <w:r>
        <w:rPr>
          <w:lang w:val="en-GB"/>
        </w:rPr>
        <w:t>prioritizing</w:t>
      </w:r>
      <w:r>
        <w:t xml:space="preserve"> significant initiatives even though inconsistent reporting is a problem. In general, the prospects are strong but conditional upon the structural obstacles, particularly, cultural stagnation and immediate financial requirements.</w:t>
      </w:r>
    </w:p>
    <w:p w14:paraId="44DCA69D">
      <w:pPr>
        <w:pStyle w:val="3"/>
      </w:pPr>
      <w:bookmarkStart w:id="75" w:name="_qtep372oxepb" w:colFirst="0" w:colLast="0"/>
      <w:bookmarkEnd w:id="75"/>
      <w:bookmarkStart w:id="76" w:name="_Toc216431704"/>
      <w:r>
        <w:t>5.4 Research Limitations</w:t>
      </w:r>
      <w:bookmarkEnd w:id="76"/>
      <w:r>
        <w:t xml:space="preserve"> </w:t>
      </w:r>
    </w:p>
    <w:p w14:paraId="5FF0A3C8">
      <w:pPr>
        <w:ind w:firstLine="720"/>
      </w:pPr>
      <w:r>
        <w:t xml:space="preserve">Even though this research piece adds some useful data to the understanding of sustainability perceptions among managers in the UK retail industry, there are a number of methodological limitations that should be addressed. First, the data was collected with the use of quantitative self-report mechanisms only, which makes the results vulnerable to the bias of responses, issues of social desirability, and the inability to reflect on the complexity of the managerial experience; a mixed-methods approach would have added more contextual layers. Second, the sample was small enough to be used in classical statistical inference but might not represent the diverse scenery of UK retail, in particular, it does not cover either large multinationals or niche outlets, putting external validity at risk. Third, cross-sectional design captures managerial attitudes at one point in time, eliminating the possibility to assess how sustainability integration has developed as </w:t>
      </w:r>
      <w:r>
        <w:rPr>
          <w:lang w:val="en-GB"/>
        </w:rPr>
        <w:t>organizations</w:t>
      </w:r>
      <w:r>
        <w:t xml:space="preserve"> change their priorities and new environmental demands emerge; longitudinal designs would be more responsive to changing priorities and environmental demands. Fourth, the narrowness of the range of facts considered is perceptual, not objective performance measures, which makes the possible lack of correlation between the reported attitudes and the real outcomes of the corporation. Fifth, the fit of the model was poor with only a small portion of the variance explained by the results of the studied predictors and, therefore, predictors that are not included, that may be the leadership culture, type of governance, provision of resources, or external market influence, should be incorporated into future models to produce a more complete map of sustainability decision-making.</w:t>
      </w:r>
    </w:p>
    <w:p w14:paraId="2DC82C30">
      <w:pPr>
        <w:pStyle w:val="3"/>
      </w:pPr>
      <w:bookmarkStart w:id="77" w:name="_80sx6dn0eowd" w:colFirst="0" w:colLast="0"/>
      <w:bookmarkEnd w:id="77"/>
      <w:bookmarkStart w:id="78" w:name="_Toc216431705"/>
      <w:r>
        <w:t>5.5 Future Scope</w:t>
      </w:r>
      <w:bookmarkEnd w:id="78"/>
      <w:r>
        <w:t xml:space="preserve"> </w:t>
      </w:r>
    </w:p>
    <w:p w14:paraId="735402EE">
      <w:pPr>
        <w:ind w:firstLine="720"/>
      </w:pPr>
      <w:r>
        <w:t xml:space="preserve">The findings of this research may be developed in future studies through incorporation of more holistic and multidimensional perspectives regarding sustainability integration of retail strategy. To start with, qualitative research using in-depth interviews or case studies could investigate the impact of </w:t>
      </w:r>
      <w:r>
        <w:rPr>
          <w:lang w:val="en-GB"/>
        </w:rPr>
        <w:t>organizational</w:t>
      </w:r>
      <w:r>
        <w:t xml:space="preserve"> culture, leadership behaviour and internal governance structures on sustainability decision-making to give richness to the findings of quantitative research. Second, longitudinal designs should be used in future research to understand the changes in sustainability practices with time due to regulatory, technological, and changing consumer expectations. Third, an extension of the </w:t>
      </w:r>
      <w:r>
        <w:rPr>
          <w:lang w:val="en-GB"/>
        </w:rPr>
        <w:t>data-set</w:t>
      </w:r>
      <w:r>
        <w:t xml:space="preserve"> to cover a broader range of retailers, especially large international chains and small independent businesses, would increase </w:t>
      </w:r>
      <w:r>
        <w:rPr>
          <w:lang w:val="en-GB"/>
        </w:rPr>
        <w:t>representatives</w:t>
      </w:r>
      <w:r>
        <w:t xml:space="preserve"> and make it possible to conduct comparative </w:t>
      </w:r>
      <w:r>
        <w:rPr>
          <w:lang w:val="en-GB"/>
        </w:rPr>
        <w:t>sect oral</w:t>
      </w:r>
      <w:r>
        <w:t xml:space="preserve"> analysis. Moreover, the incorporation of objective performance measures like carbon-reduction measures, waste audit reports, or financial sustainability reports may provide a better insight into how sustainability </w:t>
      </w:r>
      <w:r>
        <w:rPr>
          <w:lang w:val="en-GB"/>
        </w:rPr>
        <w:t>programmers</w:t>
      </w:r>
      <w:r>
        <w:t xml:space="preserve"> can be converted into practical results. The moderating or mediating effects of leadership commitment, </w:t>
      </w:r>
      <w:r>
        <w:rPr>
          <w:lang w:val="en-GB"/>
        </w:rPr>
        <w:t>organizational</w:t>
      </w:r>
      <w:r>
        <w:t xml:space="preserve"> resources, digital technologies, and supply-chain partnerships may also be explored in future research to understand why only managerial perceptions cannot be used to explain sustainability integration. Last but not least, the cross-country comparison may shed light on cultural, regulatory and institutional variations, providing more comprehensive information about the trends in sustainability of the world and the best practices in the framework of retail strategy.</w:t>
      </w:r>
    </w:p>
    <w:p w14:paraId="790147F6">
      <w:pPr>
        <w:pStyle w:val="3"/>
      </w:pPr>
      <w:bookmarkStart w:id="79" w:name="_8safulisc4db" w:colFirst="0" w:colLast="0"/>
      <w:bookmarkEnd w:id="79"/>
      <w:bookmarkStart w:id="80" w:name="_Toc216431706"/>
      <w:r>
        <w:t>5.6 Recommendations</w:t>
      </w:r>
      <w:bookmarkEnd w:id="80"/>
      <w:r>
        <w:t xml:space="preserve"> </w:t>
      </w:r>
    </w:p>
    <w:p w14:paraId="4132B0F6">
      <w:pPr>
        <w:rPr>
          <w:b/>
          <w:bCs/>
          <w:i/>
          <w:iCs/>
        </w:rPr>
      </w:pPr>
      <w:r>
        <w:rPr>
          <w:b/>
          <w:bCs/>
          <w:i/>
          <w:iCs/>
        </w:rPr>
        <w:t xml:space="preserve">Create a Strong Sustainability Governance and Leadership Accountability: </w:t>
      </w:r>
    </w:p>
    <w:p w14:paraId="50BBAC4D">
      <w:pPr>
        <w:ind w:firstLine="720"/>
      </w:pPr>
      <w:r>
        <w:t xml:space="preserve">It is important to develop strong and effective </w:t>
      </w:r>
      <w:r>
        <w:rPr>
          <w:lang w:val="en-GB"/>
        </w:rPr>
        <w:t>organizational</w:t>
      </w:r>
      <w:r>
        <w:t xml:space="preserve"> governance frameworks that incorporate the aspect of sustainability in the top-level leadership (Aryatama &amp; Ellitan, 2025). Research findings clearly indicated that although managers understand the importance of sustainability, their perceptions are not being reflected in the strategic results, which means that there is a gap between knowledge and power. To bridge this gap, the retailers should </w:t>
      </w:r>
      <w:r>
        <w:rPr>
          <w:lang w:val="en-GB"/>
        </w:rPr>
        <w:t>institutionalize</w:t>
      </w:r>
      <w:r>
        <w:t xml:space="preserve"> sustainability by having clear governance structures. This entails hiring “Chief Sustainability Officers”, introducing sustainability committees, and incorporating sustainability KPIs in executive performance appraisal (Velte &amp; Stawinoga, 2020). By placing sustainability at the top, the company makes sustainability a strategic imperative, but not a strategic agenda. Sustainability can be continuously </w:t>
      </w:r>
      <w:r>
        <w:rPr>
          <w:lang w:val="en-GB"/>
        </w:rPr>
        <w:t>prioritized</w:t>
      </w:r>
      <w:r>
        <w:t xml:space="preserve"> and operationalised at the board level through reporting, formal review mechanisms and leadership accountability (Yuriev &amp; Boiral, 2024). This structural strategy gives the power and authority to bring about behaviour change within the </w:t>
      </w:r>
      <w:r>
        <w:rPr>
          <w:lang w:val="en-GB"/>
        </w:rPr>
        <w:t>organization</w:t>
      </w:r>
      <w:r>
        <w:t xml:space="preserve"> on a global scale.</w:t>
      </w:r>
    </w:p>
    <w:p w14:paraId="4ACDE522">
      <w:pPr>
        <w:rPr>
          <w:b/>
          <w:bCs/>
          <w:i/>
          <w:iCs/>
        </w:rPr>
      </w:pPr>
      <w:r>
        <w:rPr>
          <w:b/>
          <w:bCs/>
          <w:i/>
          <w:iCs/>
        </w:rPr>
        <w:t xml:space="preserve">Development of </w:t>
      </w:r>
      <w:r>
        <w:rPr>
          <w:b/>
          <w:bCs/>
          <w:i/>
          <w:iCs/>
          <w:lang w:val="en-GB"/>
        </w:rPr>
        <w:t>Standardized</w:t>
      </w:r>
      <w:r>
        <w:rPr>
          <w:b/>
          <w:bCs/>
          <w:i/>
          <w:iCs/>
        </w:rPr>
        <w:t xml:space="preserve"> Measurement Systems: </w:t>
      </w:r>
    </w:p>
    <w:p w14:paraId="57DC170D">
      <w:pPr>
        <w:rPr>
          <w:rFonts w:ascii="Arial" w:hAnsi="Arial" w:eastAsia="Arial" w:cs="Arial"/>
        </w:rPr>
      </w:pPr>
    </w:p>
    <w:p w14:paraId="316D356D">
      <w:pPr>
        <w:ind w:firstLine="720"/>
      </w:pPr>
      <w:r>
        <w:t xml:space="preserve">The other significant suggestion is the creation of </w:t>
      </w:r>
      <w:r>
        <w:rPr>
          <w:lang w:val="en-GB"/>
        </w:rPr>
        <w:t>standardized</w:t>
      </w:r>
      <w:r>
        <w:t xml:space="preserve"> procedures of measuring sustainability performance. Findings showed that inconsistent approaches to assessing sustainability </w:t>
      </w:r>
      <w:r>
        <w:rPr>
          <w:lang w:val="en-GB"/>
        </w:rPr>
        <w:t>endeavors</w:t>
      </w:r>
      <w:r>
        <w:t xml:space="preserve"> existed, and this was indicative of disjointed frameworks. Sustainability cannot be effectively implemented, tracked or optimally enhanced without quantifiable and comparable predictable indicators. Trying to use globally approved models, retailers must consider the use of ESG measurements, GRI (Global Reporting Initiative), or Science-Based Targets in order to base their sustainability reporting (De Villiers et al., 2022). By using such frameworks, managers can allow the translation of sustainability objectives into measurable business metrics and hence keep track of performance accurately. </w:t>
      </w:r>
      <w:r>
        <w:rPr>
          <w:lang w:val="en-GB"/>
        </w:rPr>
        <w:t>Standardized</w:t>
      </w:r>
      <w:r>
        <w:t xml:space="preserve"> indicators also enable </w:t>
      </w:r>
      <w:r>
        <w:rPr>
          <w:lang w:val="en-GB"/>
        </w:rPr>
        <w:t>bench-marking</w:t>
      </w:r>
      <w:r>
        <w:t xml:space="preserve"> across the retailers, which creates industry transparency. Also, carbon tracking, waste monitoring, and energy efficiency reporting should be integrated with digital tools that can be used to transform the sustainability metrics into practical insights (Ameh, 2024). The setting of a clear measurement system will enable </w:t>
      </w:r>
      <w:r>
        <w:rPr>
          <w:lang w:val="en-GB"/>
        </w:rPr>
        <w:t>organizations</w:t>
      </w:r>
      <w:r>
        <w:t xml:space="preserve"> to transform sustainability as a conceptual value into a strictly monitored strategic asset.</w:t>
      </w:r>
    </w:p>
    <w:p w14:paraId="45A7590F">
      <w:pPr>
        <w:rPr>
          <w:b/>
          <w:bCs/>
          <w:i/>
          <w:iCs/>
        </w:rPr>
      </w:pPr>
      <w:r>
        <w:rPr>
          <w:b/>
          <w:bCs/>
          <w:i/>
          <w:iCs/>
        </w:rPr>
        <w:t xml:space="preserve">Incorporate Sustainability into Strategic and Operational Processes: </w:t>
      </w:r>
    </w:p>
    <w:p w14:paraId="401072B6">
      <w:pPr>
        <w:ind w:firstLine="720"/>
      </w:pPr>
      <w:r>
        <w:t xml:space="preserve">Though the majority of the </w:t>
      </w:r>
      <w:r>
        <w:rPr>
          <w:lang w:val="en-GB"/>
        </w:rPr>
        <w:t>organizations</w:t>
      </w:r>
      <w:r>
        <w:t xml:space="preserve"> had sustainability policies, it was found that there was partial integration in the strategic planning. The solution to this would be to consider sustainability as part of the core operational and strategic processes, and not an agenda. This integration is done by considering sustainability issues during the process of procurement decision or budgeting decision, risk analysis, product innovation pipeline, supply chain strategy and long-term investment planning. The retailers must make sure that sustainability is covered in the decision-making templates, and examples include cost-benefit analysis and project evaluation criteria (Bertoni, 2017). Once sustainability is incorporated as an aspect of strategic frameworks that has no negotiating points, managers would tend to employ sustainability principles more frequently. On top of this, the integration of sustainability in daily activities leads to cultural </w:t>
      </w:r>
      <w:r>
        <w:rPr>
          <w:lang w:val="en-GB"/>
        </w:rPr>
        <w:t>normalization</w:t>
      </w:r>
      <w:r>
        <w:t xml:space="preserve"> of sustainability thinking, as </w:t>
      </w:r>
      <w:r>
        <w:rPr>
          <w:lang w:val="en-GB"/>
        </w:rPr>
        <w:t>organizational</w:t>
      </w:r>
      <w:r>
        <w:t xml:space="preserve"> identity is integrated with sustainability cultures (Çetiner &amp; Yenilmez, 2021). This will guarantee sustainability commitment over time in the alignment of the intentions of sustainability and </w:t>
      </w:r>
      <w:r>
        <w:rPr>
          <w:lang w:val="en-GB"/>
        </w:rPr>
        <w:t>organizational</w:t>
      </w:r>
      <w:r>
        <w:t xml:space="preserve"> implementation to deal with the major gap identified in hypothesis testing.</w:t>
      </w:r>
    </w:p>
    <w:p w14:paraId="520D76EC">
      <w:pPr>
        <w:rPr>
          <w:rFonts w:ascii="Arial" w:hAnsi="Arial" w:eastAsia="Arial" w:cs="Arial"/>
        </w:rPr>
      </w:pPr>
      <w:r>
        <w:rPr>
          <w:b/>
          <w:bCs/>
          <w:i/>
          <w:iCs/>
        </w:rPr>
        <w:t xml:space="preserve">Enhance </w:t>
      </w:r>
      <w:r>
        <w:rPr>
          <w:b/>
          <w:bCs/>
          <w:i/>
          <w:iCs/>
          <w:lang w:val="en-GB"/>
        </w:rPr>
        <w:t>Organizational</w:t>
      </w:r>
      <w:r>
        <w:rPr>
          <w:b/>
          <w:bCs/>
          <w:i/>
          <w:iCs/>
        </w:rPr>
        <w:t xml:space="preserve"> Capabilities by Training: </w:t>
      </w:r>
    </w:p>
    <w:p w14:paraId="69982E86">
      <w:pPr>
        <w:ind w:firstLine="720"/>
      </w:pPr>
      <w:r>
        <w:t xml:space="preserve">Establishing internal and external capabilities aids in promoting sustainability. Even though managers showed quite reasonable sustainability awareness, the absence of predictive influence indicates that knowledge is not a sufficient condition. Specific training </w:t>
      </w:r>
      <w:r>
        <w:rPr>
          <w:lang w:val="en-GB"/>
        </w:rPr>
        <w:t>program mes</w:t>
      </w:r>
      <w:r>
        <w:t xml:space="preserve"> need to be implemented to improve managers in terms of being able to interpret sustainability data, make sustainability-related decisions, and measure long-term environmental and financial effects (Bilderback, 2023). Within, the issue of capacity building will also need to be applied to budget planning: retailers are to roll out gradual sustainability investments, use savings of efficiency gains, and balance resource expenditure with sustainability concerns.</w:t>
      </w:r>
    </w:p>
    <w:p w14:paraId="18C19414">
      <w:r>
        <w:t xml:space="preserve">Supply chain partners are also quite important to sustainability performance, which, however, was considered inconsistent (Alsmairat et al., 2024). The retailers are thus advised to work more in liaison with the suppliers, set up collective sustainability criteria, perform frequent sustainability audit reviews, and participate in joint innovation </w:t>
      </w:r>
      <w:r>
        <w:rPr>
          <w:lang w:val="en-GB"/>
        </w:rPr>
        <w:t>programme</w:t>
      </w:r>
      <w:r>
        <w:t xml:space="preserve">. A good supplier-retailer relationship increases resilience, </w:t>
      </w:r>
      <w:r>
        <w:rPr>
          <w:lang w:val="en-GB"/>
        </w:rPr>
        <w:t>minimizes</w:t>
      </w:r>
      <w:r>
        <w:t xml:space="preserve"> operational risks and guarantees end-to-end sustainability assimilation along the value chain.</w:t>
      </w:r>
    </w:p>
    <w:p w14:paraId="0FCDCA19"/>
    <w:p w14:paraId="4BC24421">
      <w:r>
        <w:br w:type="page"/>
      </w:r>
    </w:p>
    <w:p w14:paraId="78DA1111">
      <w:pPr>
        <w:pStyle w:val="2"/>
        <w:rPr>
          <w:lang w:val="en-US"/>
        </w:rPr>
      </w:pPr>
      <w:bookmarkStart w:id="81" w:name="_Toc216431707"/>
      <w:r>
        <w:rPr>
          <w:lang w:val="en-US"/>
        </w:rPr>
        <w:t>References</w:t>
      </w:r>
      <w:bookmarkEnd w:id="81"/>
    </w:p>
    <w:p w14:paraId="3AD0CF4B">
      <w:pPr>
        <w:rPr>
          <w:lang w:val="en-IN"/>
        </w:rPr>
      </w:pPr>
      <w:r>
        <w:rPr>
          <w:lang w:val="en-IN"/>
        </w:rPr>
        <w:t xml:space="preserve">Adolph, J. and Beckmann, M. (2024). Corporate sustainability strategy: From definitional ambiguity toward conceptual clarification. </w:t>
      </w:r>
      <w:r>
        <w:rPr>
          <w:i/>
          <w:iCs/>
          <w:lang w:val="en-IN"/>
        </w:rPr>
        <w:t>Business Strategy and the Environment</w:t>
      </w:r>
      <w:r>
        <w:rPr>
          <w:lang w:val="en-IN"/>
        </w:rPr>
        <w:t xml:space="preserve">, </w:t>
      </w:r>
      <w:r>
        <w:rPr>
          <w:i/>
          <w:iCs/>
          <w:lang w:val="en-IN"/>
        </w:rPr>
        <w:t>33</w:t>
      </w:r>
      <w:r>
        <w:rPr>
          <w:lang w:val="en-IN"/>
        </w:rPr>
        <w:t>(5), pp.4708-4729.</w:t>
      </w:r>
      <w:r>
        <w:fldChar w:fldCharType="begin"/>
      </w:r>
      <w:r>
        <w:instrText xml:space="preserve"> HYPERLINK "https://onlinelibrary.wiley.com/doi/pdfdirect/10.1002/bse.3722" </w:instrText>
      </w:r>
      <w:r>
        <w:fldChar w:fldCharType="separate"/>
      </w:r>
      <w:r>
        <w:rPr>
          <w:rStyle w:val="13"/>
          <w:lang w:val="en-IN"/>
        </w:rPr>
        <w:t xml:space="preserve"> https://onlinelibrary.wiley.com/doi/pdfdirect/10.1002/bse.3722</w:t>
      </w:r>
      <w:r>
        <w:rPr>
          <w:rStyle w:val="13"/>
          <w:lang w:val="en-IN"/>
        </w:rPr>
        <w:fldChar w:fldCharType="end"/>
      </w:r>
    </w:p>
    <w:p w14:paraId="77AD35B4">
      <w:r>
        <w:rPr>
          <w:lang w:val="en-IN"/>
        </w:rPr>
        <w:t>Ahmadi-Gh, Z. and Bello-Pintado, A.</w:t>
      </w:r>
      <w:r>
        <w:t xml:space="preserve"> (2022)</w:t>
      </w:r>
      <w:r>
        <w:rPr>
          <w:lang w:val="en-IN"/>
        </w:rPr>
        <w:t>. Why is manufacturing not more sustainable? The effects of different sustainability practices on sustainability outcomes and competitive advantage. </w:t>
      </w:r>
      <w:r>
        <w:rPr>
          <w:i/>
          <w:iCs/>
          <w:lang w:val="en-IN"/>
        </w:rPr>
        <w:t>Journal of Cleaner Production</w:t>
      </w:r>
      <w:r>
        <w:rPr>
          <w:lang w:val="en-IN"/>
        </w:rPr>
        <w:t>, </w:t>
      </w:r>
      <w:r>
        <w:rPr>
          <w:i/>
          <w:iCs/>
          <w:lang w:val="en-IN"/>
        </w:rPr>
        <w:t>337</w:t>
      </w:r>
      <w:r>
        <w:rPr>
          <w:lang w:val="en-IN"/>
        </w:rPr>
        <w:t>(130392), pp.1-11.</w:t>
      </w:r>
      <w:r>
        <w:t xml:space="preserve"> </w:t>
      </w:r>
      <w:r>
        <w:fldChar w:fldCharType="begin"/>
      </w:r>
      <w:r>
        <w:instrText xml:space="preserve"> HYPERLINK "https://www.researchgate.net/profile/Zahra-Ahmadi-Gh/publication/357629053_Why_is_manufacturing_not_more_sustainable_The_effects_of_different_sustainability_practices_on_sustainability_outcomes_and_competitive_advantage/links/645deb94f43b8a29ba47375b/Why-is-manufacturing-not-more-sustainable-The-effects-of-different-sustainability-practices-on-sustainability-outcomes-and-competitive-advantage.pdf" </w:instrText>
      </w:r>
      <w:r>
        <w:fldChar w:fldCharType="separate"/>
      </w:r>
      <w:r>
        <w:rPr>
          <w:rStyle w:val="13"/>
        </w:rPr>
        <w:t>https://www.researchgate.net/profile/Zahra-Ahmadi-Gh/publication/357629053_Why_is_manufacturing_not_more_sustainable_The_effects_of_different_sustainability_practices_on_sustainability_outcomes_and_competitive_advantage/links/645deb94f43b8a29ba47375b/Why-is-manufacturing-not-more-sustainable-The-effects-of-different-sustainability-practices-on-sustainability-outcomes-and-competitive-advantage.pdf</w:t>
      </w:r>
      <w:r>
        <w:rPr>
          <w:rStyle w:val="13"/>
        </w:rPr>
        <w:fldChar w:fldCharType="end"/>
      </w:r>
      <w:r>
        <w:t xml:space="preserve"> </w:t>
      </w:r>
    </w:p>
    <w:p w14:paraId="4AF222D7">
      <w:r>
        <w:t xml:space="preserve">Ahmed, A., Pereira, L., &amp; Jane, K. (2024). Mixed Methods Research: Combining both qualitative and quantitative approaches. </w:t>
      </w:r>
      <w:r>
        <w:rPr>
          <w:i/>
          <w:iCs/>
        </w:rPr>
        <w:t>ResearchGate</w:t>
      </w:r>
      <w:r>
        <w:t xml:space="preserve">. </w:t>
      </w:r>
      <w:r>
        <w:fldChar w:fldCharType="begin"/>
      </w:r>
      <w:r>
        <w:instrText xml:space="preserve"> HYPERLINK "https://www.researchgate.net/publication/384402328_Mixed_Methods_Research_Combining_both_qualitative_and_quantitative_approaches" </w:instrText>
      </w:r>
      <w:r>
        <w:fldChar w:fldCharType="separate"/>
      </w:r>
      <w:r>
        <w:rPr>
          <w:rStyle w:val="13"/>
        </w:rPr>
        <w:t>https://www.researchgate.net/publication/384402328_Mixed_Methods_Research_Combining_both_qualitative_and_quantitative_approaches</w:t>
      </w:r>
      <w:r>
        <w:rPr>
          <w:rStyle w:val="13"/>
        </w:rPr>
        <w:fldChar w:fldCharType="end"/>
      </w:r>
    </w:p>
    <w:p w14:paraId="462F7409">
      <w:r>
        <w:t xml:space="preserve">Ahmed, S. K. (2024). How to choose a sampling technique and determine sample size for research: A simplified guide for researchers. </w:t>
      </w:r>
      <w:r>
        <w:rPr>
          <w:i/>
          <w:iCs/>
        </w:rPr>
        <w:t>Oral Oncology Reports</w:t>
      </w:r>
      <w:r>
        <w:t xml:space="preserve">, </w:t>
      </w:r>
      <w:r>
        <w:rPr>
          <w:i/>
          <w:iCs/>
        </w:rPr>
        <w:t>12</w:t>
      </w:r>
      <w:r>
        <w:t xml:space="preserve">, 100662. </w:t>
      </w:r>
      <w:r>
        <w:fldChar w:fldCharType="begin"/>
      </w:r>
      <w:r>
        <w:instrText xml:space="preserve"> HYPERLINK "https://doi.org/10.1016/j.oor.2024.100662" </w:instrText>
      </w:r>
      <w:r>
        <w:fldChar w:fldCharType="separate"/>
      </w:r>
      <w:r>
        <w:rPr>
          <w:rStyle w:val="13"/>
        </w:rPr>
        <w:t>https://doi.org/10.1016/j.oor.2024.100662</w:t>
      </w:r>
      <w:r>
        <w:rPr>
          <w:rStyle w:val="13"/>
        </w:rPr>
        <w:fldChar w:fldCharType="end"/>
      </w:r>
    </w:p>
    <w:p w14:paraId="2583669F">
      <w:r>
        <w:rPr>
          <w:lang w:val="en-IN"/>
        </w:rPr>
        <w:t>Alsayegh, M.F., Abdul Rahman, R. and Homayoun, S.</w:t>
      </w:r>
      <w:r>
        <w:t xml:space="preserve"> (2020)</w:t>
      </w:r>
      <w:r>
        <w:rPr>
          <w:lang w:val="en-IN"/>
        </w:rPr>
        <w:t>. Corporate economic, environmental, and social sustainability performance transformation through ESG disclosure. </w:t>
      </w:r>
      <w:r>
        <w:rPr>
          <w:i/>
          <w:iCs/>
          <w:lang w:val="en-IN"/>
        </w:rPr>
        <w:t>Sustainability</w:t>
      </w:r>
      <w:r>
        <w:rPr>
          <w:lang w:val="en-IN"/>
        </w:rPr>
        <w:t>, </w:t>
      </w:r>
      <w:r>
        <w:rPr>
          <w:i/>
          <w:iCs/>
          <w:lang w:val="en-IN"/>
        </w:rPr>
        <w:t>12</w:t>
      </w:r>
      <w:r>
        <w:rPr>
          <w:lang w:val="en-IN"/>
        </w:rPr>
        <w:t>(9), p.3910.</w:t>
      </w:r>
      <w:r>
        <w:t xml:space="preserve"> </w:t>
      </w:r>
      <w:r>
        <w:fldChar w:fldCharType="begin"/>
      </w:r>
      <w:r>
        <w:instrText xml:space="preserve"> HYPERLINK "https://www.mdpi.com/2071-1050/12/9/3910/pdf" </w:instrText>
      </w:r>
      <w:r>
        <w:fldChar w:fldCharType="separate"/>
      </w:r>
      <w:r>
        <w:rPr>
          <w:rStyle w:val="13"/>
        </w:rPr>
        <w:t>https://www.mdpi.com/2071-1050/12/9/3910/pdf</w:t>
      </w:r>
      <w:r>
        <w:rPr>
          <w:rStyle w:val="13"/>
        </w:rPr>
        <w:fldChar w:fldCharType="end"/>
      </w:r>
    </w:p>
    <w:p w14:paraId="3D04A413">
      <w:r>
        <w:rPr>
          <w:lang w:val="en-IN"/>
        </w:rPr>
        <w:t>Andersson, S., Svensson, G., Molina‐Castillo, F.J., Otero‐Neira, C., Lindgren, J., Karlsson, N.P. and Laurell, H.</w:t>
      </w:r>
      <w:r>
        <w:t xml:space="preserve"> (2022)</w:t>
      </w:r>
      <w:r>
        <w:rPr>
          <w:lang w:val="en-IN"/>
        </w:rPr>
        <w:t>. Sustainable development—Direct and indirect effects between economic, social, and environmental dimensions in business practices. </w:t>
      </w:r>
      <w:r>
        <w:rPr>
          <w:i/>
          <w:iCs/>
          <w:lang w:val="en-IN"/>
        </w:rPr>
        <w:t>Corporate Social Responsibility and Environmental Management</w:t>
      </w:r>
      <w:r>
        <w:rPr>
          <w:lang w:val="en-IN"/>
        </w:rPr>
        <w:t>, </w:t>
      </w:r>
      <w:r>
        <w:rPr>
          <w:i/>
          <w:iCs/>
          <w:lang w:val="en-IN"/>
        </w:rPr>
        <w:t>29</w:t>
      </w:r>
      <w:r>
        <w:rPr>
          <w:lang w:val="en-IN"/>
        </w:rPr>
        <w:t>(5), pp.1158-1172.</w:t>
      </w:r>
      <w:r>
        <w:t xml:space="preserve"> </w:t>
      </w:r>
      <w:r>
        <w:fldChar w:fldCharType="begin"/>
      </w:r>
      <w:r>
        <w:instrText xml:space="preserve"> HYPERLINK "https://onlinelibrary.wiley.com/doi/pdfdirect/10.1002/csr.2261?download=true" </w:instrText>
      </w:r>
      <w:r>
        <w:fldChar w:fldCharType="separate"/>
      </w:r>
      <w:r>
        <w:rPr>
          <w:rStyle w:val="13"/>
        </w:rPr>
        <w:t>https://onlinelibrary.wiley.com/doi/pdfdirect/10.1002/csr.2261?download=true</w:t>
      </w:r>
      <w:r>
        <w:rPr>
          <w:rStyle w:val="13"/>
        </w:rPr>
        <w:fldChar w:fldCharType="end"/>
      </w:r>
      <w:r>
        <w:t xml:space="preserve"> </w:t>
      </w:r>
    </w:p>
    <w:p w14:paraId="76173D39">
      <w:r>
        <w:t xml:space="preserve">Arsham, H. (2020). Questionnaire design and surveys sampling. </w:t>
      </w:r>
      <w:r>
        <w:rPr>
          <w:i/>
          <w:iCs/>
        </w:rPr>
        <w:t>ResearchGate</w:t>
      </w:r>
      <w:r>
        <w:t xml:space="preserve">. </w:t>
      </w:r>
      <w:r>
        <w:fldChar w:fldCharType="begin"/>
      </w:r>
      <w:r>
        <w:instrText xml:space="preserve"> HYPERLINK "https://www.researchgate.net/publication/344638672_Questionnaire_Design_and_Surveys_Sampling" </w:instrText>
      </w:r>
      <w:r>
        <w:fldChar w:fldCharType="separate"/>
      </w:r>
      <w:r>
        <w:rPr>
          <w:rStyle w:val="13"/>
        </w:rPr>
        <w:t>https://www.researchgate.net/publication/344638672_Questionnaire_Design_and_Surveys_Sampling</w:t>
      </w:r>
      <w:r>
        <w:rPr>
          <w:rStyle w:val="13"/>
        </w:rPr>
        <w:fldChar w:fldCharType="end"/>
      </w:r>
    </w:p>
    <w:p w14:paraId="7494A91E">
      <w:pPr>
        <w:rPr>
          <w:lang w:val="en-IN"/>
        </w:rPr>
      </w:pPr>
      <w:r>
        <w:rPr>
          <w:lang w:val="en-IN"/>
        </w:rPr>
        <w:t xml:space="preserve">Arvidsson, S. (2023). CEO talk of sustainability in CEO letters: towards the inclusion of a sustainability embeddedness and value-creation perspective. </w:t>
      </w:r>
      <w:r>
        <w:rPr>
          <w:i/>
          <w:iCs/>
          <w:lang w:val="en-IN"/>
        </w:rPr>
        <w:t>Sustainability Accounting Management and Policy Journal</w:t>
      </w:r>
      <w:r>
        <w:rPr>
          <w:lang w:val="en-IN"/>
        </w:rPr>
        <w:t xml:space="preserve">, </w:t>
      </w:r>
      <w:r>
        <w:rPr>
          <w:i/>
          <w:iCs/>
          <w:lang w:val="en-IN"/>
        </w:rPr>
        <w:t>14</w:t>
      </w:r>
      <w:r>
        <w:rPr>
          <w:lang w:val="en-IN"/>
        </w:rPr>
        <w:t>(7), 26–61.</w:t>
      </w:r>
      <w:r>
        <w:fldChar w:fldCharType="begin"/>
      </w:r>
      <w:r>
        <w:instrText xml:space="preserve"> HYPERLINK "https://doi.org/10.1108/sampj-07-2021-0260" </w:instrText>
      </w:r>
      <w:r>
        <w:fldChar w:fldCharType="separate"/>
      </w:r>
      <w:r>
        <w:rPr>
          <w:rStyle w:val="13"/>
          <w:lang w:val="en-IN"/>
        </w:rPr>
        <w:t xml:space="preserve"> https://doi.org/10.1108/sampj-07-2021-0260</w:t>
      </w:r>
      <w:r>
        <w:rPr>
          <w:rStyle w:val="13"/>
          <w:lang w:val="en-IN"/>
        </w:rPr>
        <w:fldChar w:fldCharType="end"/>
      </w:r>
    </w:p>
    <w:p w14:paraId="0628D605">
      <w:r>
        <w:rPr>
          <w:lang w:val="en-IN"/>
        </w:rPr>
        <w:t>Aungkulanon, P., Atthirawong, W. and Luangpaiboon, P.</w:t>
      </w:r>
      <w:r>
        <w:t xml:space="preserve"> (2023)</w:t>
      </w:r>
      <w:r>
        <w:rPr>
          <w:lang w:val="en-IN"/>
        </w:rPr>
        <w:t>. Fuzzy analytical hierarchy process for strategic decision making in electric vehicle adoption. </w:t>
      </w:r>
      <w:r>
        <w:rPr>
          <w:i/>
          <w:iCs/>
          <w:lang w:val="en-IN"/>
        </w:rPr>
        <w:t>Sustainability</w:t>
      </w:r>
      <w:r>
        <w:rPr>
          <w:lang w:val="en-IN"/>
        </w:rPr>
        <w:t>, </w:t>
      </w:r>
      <w:r>
        <w:rPr>
          <w:i/>
          <w:iCs/>
          <w:lang w:val="en-IN"/>
        </w:rPr>
        <w:t>15</w:t>
      </w:r>
      <w:r>
        <w:rPr>
          <w:lang w:val="en-IN"/>
        </w:rPr>
        <w:t>(8), p.7003.</w:t>
      </w:r>
      <w:r>
        <w:t xml:space="preserve"> </w:t>
      </w:r>
      <w:r>
        <w:fldChar w:fldCharType="begin"/>
      </w:r>
      <w:r>
        <w:instrText xml:space="preserve"> HYPERLINK "https://www.mdpi.com/2071-1050/15/8/7003" </w:instrText>
      </w:r>
      <w:r>
        <w:fldChar w:fldCharType="separate"/>
      </w:r>
      <w:r>
        <w:rPr>
          <w:rStyle w:val="13"/>
        </w:rPr>
        <w:t>https://www.mdpi.com/2071-1050/15/8/7003</w:t>
      </w:r>
      <w:r>
        <w:rPr>
          <w:rStyle w:val="13"/>
        </w:rPr>
        <w:fldChar w:fldCharType="end"/>
      </w:r>
      <w:r>
        <w:t xml:space="preserve"> </w:t>
      </w:r>
    </w:p>
    <w:p w14:paraId="67A72381">
      <w:r>
        <w:t xml:space="preserve">Ayarkwa, J., Opoku, D. J., Antwi-Afari, P., &amp; Li, R. Y. M. (2022). Sustainable building processes’ challenges and strategies: The relative important index approach. </w:t>
      </w:r>
      <w:r>
        <w:rPr>
          <w:i/>
          <w:iCs/>
        </w:rPr>
        <w:t>Cleaner Engineering and Technology</w:t>
      </w:r>
      <w:r>
        <w:t xml:space="preserve">, </w:t>
      </w:r>
      <w:r>
        <w:rPr>
          <w:i/>
          <w:iCs/>
        </w:rPr>
        <w:t>7</w:t>
      </w:r>
      <w:r>
        <w:t xml:space="preserve">, 100455. </w:t>
      </w:r>
      <w:r>
        <w:fldChar w:fldCharType="begin"/>
      </w:r>
      <w:r>
        <w:instrText xml:space="preserve"> HYPERLINK "https://doi.org/10.1016/j.clet.2022.100455" </w:instrText>
      </w:r>
      <w:r>
        <w:fldChar w:fldCharType="separate"/>
      </w:r>
      <w:r>
        <w:rPr>
          <w:rStyle w:val="13"/>
        </w:rPr>
        <w:t>https://doi.org/10.1016/j.clet.2022.100455</w:t>
      </w:r>
      <w:r>
        <w:rPr>
          <w:rStyle w:val="13"/>
        </w:rPr>
        <w:fldChar w:fldCharType="end"/>
      </w:r>
    </w:p>
    <w:p w14:paraId="1209F3B8">
      <w:r>
        <w:rPr>
          <w:lang w:val="en-IN"/>
        </w:rPr>
        <w:t>Bari, N., Chimhundu, R. and Chan, K.C.</w:t>
      </w:r>
      <w:r>
        <w:t xml:space="preserve"> (2022)</w:t>
      </w:r>
      <w:r>
        <w:rPr>
          <w:lang w:val="en-IN"/>
        </w:rPr>
        <w:t>. Dynamic capabilities to achieve corporate sustainability: a roadmap to sustained competitive advantage. </w:t>
      </w:r>
      <w:r>
        <w:rPr>
          <w:i/>
          <w:iCs/>
          <w:lang w:val="en-IN"/>
        </w:rPr>
        <w:t>Sustainability</w:t>
      </w:r>
      <w:r>
        <w:rPr>
          <w:lang w:val="en-IN"/>
        </w:rPr>
        <w:t>, </w:t>
      </w:r>
      <w:r>
        <w:rPr>
          <w:i/>
          <w:iCs/>
          <w:lang w:val="en-IN"/>
        </w:rPr>
        <w:t>14</w:t>
      </w:r>
      <w:r>
        <w:rPr>
          <w:lang w:val="en-IN"/>
        </w:rPr>
        <w:t>(3), p.1531.</w:t>
      </w:r>
      <w:r>
        <w:t xml:space="preserve"> </w:t>
      </w:r>
      <w:r>
        <w:fldChar w:fldCharType="begin"/>
      </w:r>
      <w:r>
        <w:instrText xml:space="preserve"> HYPERLINK "https://www.mdpi.com/2071-1050/14/3/1531/pdf" </w:instrText>
      </w:r>
      <w:r>
        <w:fldChar w:fldCharType="separate"/>
      </w:r>
      <w:r>
        <w:rPr>
          <w:rStyle w:val="13"/>
        </w:rPr>
        <w:t>https://www.mdpi.com/2071-1050/14/3/1531/pdf</w:t>
      </w:r>
      <w:r>
        <w:rPr>
          <w:rStyle w:val="13"/>
        </w:rPr>
        <w:fldChar w:fldCharType="end"/>
      </w:r>
      <w:r>
        <w:t xml:space="preserve"> </w:t>
      </w:r>
    </w:p>
    <w:p w14:paraId="22D783E1">
      <w:r>
        <w:t xml:space="preserve">Barrow, J. M., Brannan, G. D., &amp; Khandhar, P. B. (2022, September 18). </w:t>
      </w:r>
      <w:r>
        <w:rPr>
          <w:i/>
          <w:iCs/>
        </w:rPr>
        <w:t>Research ethics</w:t>
      </w:r>
      <w:r>
        <w:t xml:space="preserve">. StatPearls - NCBI Bookshelf. </w:t>
      </w:r>
      <w:r>
        <w:fldChar w:fldCharType="begin"/>
      </w:r>
      <w:r>
        <w:instrText xml:space="preserve"> HYPERLINK "https://www.ncbi.nlm.nih.gov/books/NBK459281/" </w:instrText>
      </w:r>
      <w:r>
        <w:fldChar w:fldCharType="separate"/>
      </w:r>
      <w:r>
        <w:rPr>
          <w:rStyle w:val="13"/>
        </w:rPr>
        <w:t>https://www.ncbi.nlm.nih.gov/books/NBK459281/</w:t>
      </w:r>
      <w:r>
        <w:rPr>
          <w:rStyle w:val="13"/>
        </w:rPr>
        <w:fldChar w:fldCharType="end"/>
      </w:r>
    </w:p>
    <w:p w14:paraId="40EB24C2">
      <w:pPr>
        <w:rPr>
          <w:lang w:val="en-IN"/>
        </w:rPr>
      </w:pPr>
      <w:r>
        <w:rPr>
          <w:lang w:val="en-IN"/>
        </w:rPr>
        <w:t xml:space="preserve">Bhutto, S. M. S. Z. A. (2023). </w:t>
      </w:r>
      <w:r>
        <w:rPr>
          <w:i/>
          <w:iCs/>
          <w:lang w:val="en-IN"/>
        </w:rPr>
        <w:t>Sustainability in Business Management: Strategies for Long-Term Success</w:t>
      </w:r>
      <w:r>
        <w:rPr>
          <w:lang w:val="en-IN"/>
        </w:rPr>
        <w:t>.</w:t>
      </w:r>
      <w:r>
        <w:fldChar w:fldCharType="begin"/>
      </w:r>
      <w:r>
        <w:instrText xml:space="preserve"> HYPERLINK "http://journalbrr.com/index.php/Journal/article/view/22" </w:instrText>
      </w:r>
      <w:r>
        <w:fldChar w:fldCharType="separate"/>
      </w:r>
      <w:r>
        <w:rPr>
          <w:rStyle w:val="13"/>
          <w:lang w:val="en-IN"/>
        </w:rPr>
        <w:t xml:space="preserve"> http://journalbrr.com/index.php/Journal/article/view/22</w:t>
      </w:r>
      <w:r>
        <w:rPr>
          <w:rStyle w:val="13"/>
          <w:lang w:val="en-IN"/>
        </w:rPr>
        <w:fldChar w:fldCharType="end"/>
      </w:r>
    </w:p>
    <w:p w14:paraId="17EDEE09">
      <w:pPr>
        <w:rPr>
          <w:lang w:val="en-IN"/>
        </w:rPr>
      </w:pPr>
      <w:r>
        <w:rPr>
          <w:lang w:val="en-IN"/>
        </w:rPr>
        <w:t xml:space="preserve">Bianchi, G., Testa, F., Tessitore, S., &amp; Iraldo, F. (2021). How to embed environmental sustainability: The role of dynamic capabilities and managerial approaches in a life cycle management perspective. </w:t>
      </w:r>
      <w:r>
        <w:rPr>
          <w:i/>
          <w:iCs/>
          <w:lang w:val="en-IN"/>
        </w:rPr>
        <w:t>Business Strategy and the Environment</w:t>
      </w:r>
      <w:r>
        <w:rPr>
          <w:lang w:val="en-IN"/>
        </w:rPr>
        <w:t xml:space="preserve">, </w:t>
      </w:r>
      <w:r>
        <w:rPr>
          <w:i/>
          <w:iCs/>
          <w:lang w:val="en-IN"/>
        </w:rPr>
        <w:t>31</w:t>
      </w:r>
      <w:r>
        <w:rPr>
          <w:lang w:val="en-IN"/>
        </w:rPr>
        <w:t>(1), 312–325.</w:t>
      </w:r>
      <w:r>
        <w:fldChar w:fldCharType="begin"/>
      </w:r>
      <w:r>
        <w:instrText xml:space="preserve"> HYPERLINK "https://doi.org/10.1002/bse.2889" </w:instrText>
      </w:r>
      <w:r>
        <w:fldChar w:fldCharType="separate"/>
      </w:r>
      <w:r>
        <w:rPr>
          <w:rStyle w:val="13"/>
          <w:lang w:val="en-IN"/>
        </w:rPr>
        <w:t xml:space="preserve"> https://doi.org/10.1002/bse.2889</w:t>
      </w:r>
      <w:r>
        <w:rPr>
          <w:rStyle w:val="13"/>
          <w:lang w:val="en-IN"/>
        </w:rPr>
        <w:fldChar w:fldCharType="end"/>
      </w:r>
    </w:p>
    <w:p w14:paraId="1DD194A8">
      <w:r>
        <w:t xml:space="preserve">Cajal-Grossi, J., Del Prete, D., Macchiavello, R., Cajal-Grossi, J., Del Prete, D., &amp; Macchiavello, R. (2023). Supply chain disruptions and sourcing strategies. </w:t>
      </w:r>
      <w:r>
        <w:rPr>
          <w:i/>
          <w:iCs/>
        </w:rPr>
        <w:t>International Journal of Industrial Organization</w:t>
      </w:r>
      <w:r>
        <w:t xml:space="preserve">, </w:t>
      </w:r>
      <w:r>
        <w:rPr>
          <w:i/>
          <w:iCs/>
        </w:rPr>
        <w:t>90</w:t>
      </w:r>
      <w:r>
        <w:t xml:space="preserve">, 103004. </w:t>
      </w:r>
      <w:r>
        <w:fldChar w:fldCharType="begin"/>
      </w:r>
      <w:r>
        <w:instrText xml:space="preserve"> HYPERLINK "https://doi.org/10.1016/j.ijindorg.2023.103004" </w:instrText>
      </w:r>
      <w:r>
        <w:fldChar w:fldCharType="separate"/>
      </w:r>
      <w:r>
        <w:rPr>
          <w:rStyle w:val="13"/>
        </w:rPr>
        <w:t>https://doi.org/10.1016/j.ijindorg.2023.103004</w:t>
      </w:r>
      <w:r>
        <w:rPr>
          <w:rStyle w:val="13"/>
        </w:rPr>
        <w:fldChar w:fldCharType="end"/>
      </w:r>
    </w:p>
    <w:p w14:paraId="0C40AC27">
      <w:r>
        <w:t xml:space="preserve">Capili, B., &amp; Anastasi, J. K. (2024). Ethical Research and the Institutional Review Board: An Introduction. </w:t>
      </w:r>
      <w:r>
        <w:rPr>
          <w:i/>
          <w:iCs/>
        </w:rPr>
        <w:t>AJN American Journal of Nursing</w:t>
      </w:r>
      <w:r>
        <w:t xml:space="preserve">, </w:t>
      </w:r>
      <w:r>
        <w:rPr>
          <w:i/>
          <w:iCs/>
        </w:rPr>
        <w:t>124</w:t>
      </w:r>
      <w:r>
        <w:t xml:space="preserve">(3), 50–54. </w:t>
      </w:r>
      <w:r>
        <w:fldChar w:fldCharType="begin"/>
      </w:r>
      <w:r>
        <w:instrText xml:space="preserve"> HYPERLINK "https://doi.org/10.1097/01.naj.0001008420.28033.e8" </w:instrText>
      </w:r>
      <w:r>
        <w:fldChar w:fldCharType="separate"/>
      </w:r>
      <w:r>
        <w:rPr>
          <w:rStyle w:val="13"/>
        </w:rPr>
        <w:t>https://doi.org/10.1097/01.naj.0001008420.28033.e8</w:t>
      </w:r>
      <w:r>
        <w:rPr>
          <w:rStyle w:val="13"/>
        </w:rPr>
        <w:fldChar w:fldCharType="end"/>
      </w:r>
    </w:p>
    <w:p w14:paraId="281913B5">
      <w:pPr>
        <w:rPr>
          <w:lang w:val="en-IN"/>
        </w:rPr>
      </w:pPr>
      <w:r>
        <w:rPr>
          <w:lang w:val="en-IN"/>
        </w:rPr>
        <w:t xml:space="preserve">Celestin, M. and Sujatha, S. (2024). Integrating ESG factors into core operations: Long term benefits for business growth and reputation. </w:t>
      </w:r>
      <w:r>
        <w:rPr>
          <w:i/>
          <w:iCs/>
          <w:lang w:val="en-IN"/>
        </w:rPr>
        <w:t>International Journal of Advanced Trends in Engineering and Technology</w:t>
      </w:r>
      <w:r>
        <w:rPr>
          <w:lang w:val="en-IN"/>
        </w:rPr>
        <w:t xml:space="preserve">, </w:t>
      </w:r>
      <w:r>
        <w:rPr>
          <w:i/>
          <w:iCs/>
          <w:lang w:val="en-IN"/>
        </w:rPr>
        <w:t>9</w:t>
      </w:r>
      <w:r>
        <w:rPr>
          <w:lang w:val="en-IN"/>
        </w:rPr>
        <w:t>(2), pp.33-43.</w:t>
      </w:r>
      <w:r>
        <w:fldChar w:fldCharType="begin"/>
      </w:r>
      <w:r>
        <w:instrText xml:space="preserve"> HYPERLINK "https://www.researchgate.net/profile/Prof-Celestin/publication/384898731_INTEGRATING_ESG_FACTORS_INTO_CORE_OPERATIONS_LONG-TERM_BENEFITS_FOR_BUSINESS_GROWTH_AND_REPUTATION/links/670d42c0fe22924808acb2d0/INTEGRATING-ESG-FACTORS-INTO-CORE-OPERATIONS-LONG-TERM-BENEFITS-FOR-BUSINESS-GROWTH-AND-REPUTATION.pdf" </w:instrText>
      </w:r>
      <w:r>
        <w:fldChar w:fldCharType="separate"/>
      </w:r>
      <w:r>
        <w:rPr>
          <w:rStyle w:val="13"/>
          <w:lang w:val="en-IN"/>
        </w:rPr>
        <w:t xml:space="preserve"> https://www.researchgate.net/profile/Prof-Celestin/publication/384898731_INTEGRATING_ESG_FACTORS_INTO_CORE_OPERATIONS_LONG-TERM_BENEFITS_FOR_BUSINESS_GROWTH_AND_REPUTATION/links/670d42c0fe22924808acb2d0/INTEGRATING-ESG-FACTORS-INTO-CORE-OPERATIONS-LONG-TERM-BENEFITS-FOR-BUSINESS-GROWTH-AND-REPUTATION.pdf</w:t>
      </w:r>
      <w:r>
        <w:rPr>
          <w:rStyle w:val="13"/>
          <w:lang w:val="en-IN"/>
        </w:rPr>
        <w:fldChar w:fldCharType="end"/>
      </w:r>
    </w:p>
    <w:p w14:paraId="6515E1CA">
      <w:r>
        <w:t xml:space="preserve">Clark, L. A., &amp; Watson, D. (2019). Constructing validity: New developments in creating objective measuring instruments. </w:t>
      </w:r>
      <w:r>
        <w:rPr>
          <w:i/>
          <w:iCs/>
        </w:rPr>
        <w:t>Psychological Assessment</w:t>
      </w:r>
      <w:r>
        <w:t xml:space="preserve">, </w:t>
      </w:r>
      <w:r>
        <w:rPr>
          <w:i/>
          <w:iCs/>
        </w:rPr>
        <w:t>31</w:t>
      </w:r>
      <w:r>
        <w:t xml:space="preserve">(12), 1412–1427. </w:t>
      </w:r>
      <w:r>
        <w:fldChar w:fldCharType="begin"/>
      </w:r>
      <w:r>
        <w:instrText xml:space="preserve"> HYPERLINK "https://doi.org/10.1037/pas0000626" </w:instrText>
      </w:r>
      <w:r>
        <w:fldChar w:fldCharType="separate"/>
      </w:r>
      <w:r>
        <w:rPr>
          <w:rStyle w:val="13"/>
        </w:rPr>
        <w:t>https://doi.org/10.1037/pas0000626</w:t>
      </w:r>
      <w:r>
        <w:rPr>
          <w:rStyle w:val="13"/>
        </w:rPr>
        <w:fldChar w:fldCharType="end"/>
      </w:r>
    </w:p>
    <w:p w14:paraId="1383F6D3">
      <w:r>
        <w:t xml:space="preserve">Coghlan, S., Leins, K., Sheldrick, S., Cheong, M., Gooding, P., &amp; D’Alfonso, S. (2023). To chat or bot to chat: Ethical issues with using chat bots in mental health. </w:t>
      </w:r>
      <w:r>
        <w:rPr>
          <w:i/>
          <w:iCs/>
        </w:rPr>
        <w:t>Digital Health</w:t>
      </w:r>
      <w:r>
        <w:t xml:space="preserve">, </w:t>
      </w:r>
      <w:r>
        <w:rPr>
          <w:i/>
          <w:iCs/>
        </w:rPr>
        <w:t>9</w:t>
      </w:r>
      <w:r>
        <w:t xml:space="preserve">, 20552076231183542. </w:t>
      </w:r>
      <w:r>
        <w:fldChar w:fldCharType="begin"/>
      </w:r>
      <w:r>
        <w:instrText xml:space="preserve"> HYPERLINK "https://doi.org/10.1177/20552076231183542" </w:instrText>
      </w:r>
      <w:r>
        <w:fldChar w:fldCharType="separate"/>
      </w:r>
      <w:r>
        <w:rPr>
          <w:rStyle w:val="13"/>
        </w:rPr>
        <w:t>https://doi.org/10.1177/20552076231183542</w:t>
      </w:r>
      <w:r>
        <w:rPr>
          <w:rStyle w:val="13"/>
        </w:rPr>
        <w:fldChar w:fldCharType="end"/>
      </w:r>
    </w:p>
    <w:p w14:paraId="48A0BA78">
      <w:r>
        <w:t xml:space="preserve">Correa-De-Araujo, R., Harris-Love, M. O., Miljkovic, I., Fragala, M. S., Anthony, B. W., &amp; Manini, T. M. (2017). The Need for Standardized Assessment of Muscle Quality in Skeletal Muscle Function Deficit and Other Aging-Related Muscle Dysfunctions: A Symposium Report. </w:t>
      </w:r>
      <w:r>
        <w:rPr>
          <w:i/>
          <w:iCs/>
        </w:rPr>
        <w:t>Frontiers in Physiology</w:t>
      </w:r>
      <w:r>
        <w:t xml:space="preserve">, </w:t>
      </w:r>
      <w:r>
        <w:rPr>
          <w:i/>
          <w:iCs/>
        </w:rPr>
        <w:t>8</w:t>
      </w:r>
      <w:r>
        <w:t xml:space="preserve">, 87. </w:t>
      </w:r>
      <w:r>
        <w:fldChar w:fldCharType="begin"/>
      </w:r>
      <w:r>
        <w:instrText xml:space="preserve"> HYPERLINK "https://doi.org/10.3389/fphys.2017.00087" </w:instrText>
      </w:r>
      <w:r>
        <w:fldChar w:fldCharType="separate"/>
      </w:r>
      <w:r>
        <w:rPr>
          <w:rStyle w:val="13"/>
        </w:rPr>
        <w:t>https://doi.org/10.3389/fphys.2017.00087</w:t>
      </w:r>
      <w:r>
        <w:rPr>
          <w:rStyle w:val="13"/>
        </w:rPr>
        <w:fldChar w:fldCharType="end"/>
      </w:r>
    </w:p>
    <w:p w14:paraId="591E61D0">
      <w:r>
        <w:rPr>
          <w:lang w:val="en-IN"/>
        </w:rPr>
        <w:t>Coteur, I., Wustenberghs, H., Debruyne, L., Lauwers, L. and Marchand, F.</w:t>
      </w:r>
      <w:r>
        <w:t xml:space="preserve"> (2020)</w:t>
      </w:r>
      <w:r>
        <w:rPr>
          <w:lang w:val="en-IN"/>
        </w:rPr>
        <w:t>. How do current sustainability assessment tools support farmers’ strategic decision making?. </w:t>
      </w:r>
      <w:r>
        <w:rPr>
          <w:i/>
          <w:iCs/>
          <w:lang w:val="en-IN"/>
        </w:rPr>
        <w:t>Ecological Indicators</w:t>
      </w:r>
      <w:r>
        <w:rPr>
          <w:lang w:val="en-IN"/>
        </w:rPr>
        <w:t>, </w:t>
      </w:r>
      <w:r>
        <w:rPr>
          <w:i/>
          <w:iCs/>
          <w:lang w:val="en-IN"/>
        </w:rPr>
        <w:t>114</w:t>
      </w:r>
      <w:r>
        <w:rPr>
          <w:lang w:val="en-IN"/>
        </w:rPr>
        <w:t>, p.106298.</w:t>
      </w:r>
      <w:r>
        <w:t xml:space="preserve"> </w:t>
      </w:r>
      <w:r>
        <w:fldChar w:fldCharType="begin"/>
      </w:r>
      <w:r>
        <w:instrText xml:space="preserve"> HYPERLINK "https://www.academia.edu/download/93962237/j.ecolind.2020.10629820221109-1-1b32kl3.pdf" </w:instrText>
      </w:r>
      <w:r>
        <w:fldChar w:fldCharType="separate"/>
      </w:r>
      <w:r>
        <w:rPr>
          <w:rStyle w:val="13"/>
        </w:rPr>
        <w:t>https://www.academia.edu/download/93962237/j.ecolind.2020.10629820221109-1-1b32kl3.pdf</w:t>
      </w:r>
      <w:r>
        <w:rPr>
          <w:rStyle w:val="13"/>
        </w:rPr>
        <w:fldChar w:fldCharType="end"/>
      </w:r>
      <w:r>
        <w:t xml:space="preserve"> </w:t>
      </w:r>
    </w:p>
    <w:p w14:paraId="7D9B48B1">
      <w:r>
        <w:t>Dagilienė, L., Varaniūtė, V. and Pütter, J.M. (2022). Exploring institutional competing logic for sustainability implementation of retail chains. </w:t>
      </w:r>
      <w:r>
        <w:rPr>
          <w:i/>
          <w:iCs/>
        </w:rPr>
        <w:t>International journal of retail &amp; distribution management</w:t>
      </w:r>
      <w:r>
        <w:t>, </w:t>
      </w:r>
      <w:r>
        <w:rPr>
          <w:i/>
          <w:iCs/>
        </w:rPr>
        <w:t>50</w:t>
      </w:r>
      <w:r>
        <w:t xml:space="preserve">(13), pp.17-43. </w:t>
      </w:r>
      <w:r>
        <w:fldChar w:fldCharType="begin"/>
      </w:r>
      <w:r>
        <w:instrText xml:space="preserve"> HYPERLINK "https://www.emerald.com/insight/content/doi/10.1108/IJRDM-09-2020-0379/full/pdf" </w:instrText>
      </w:r>
      <w:r>
        <w:fldChar w:fldCharType="separate"/>
      </w:r>
      <w:r>
        <w:rPr>
          <w:rStyle w:val="13"/>
        </w:rPr>
        <w:t>https://www.emerald.com/insight/content/doi/10.1108/IJRDM-09-2020-0379/full/pdf</w:t>
      </w:r>
      <w:r>
        <w:rPr>
          <w:rStyle w:val="13"/>
        </w:rPr>
        <w:fldChar w:fldCharType="end"/>
      </w:r>
      <w:r>
        <w:t xml:space="preserve"> </w:t>
      </w:r>
    </w:p>
    <w:p w14:paraId="4940B03A">
      <w:pPr>
        <w:rPr>
          <w:lang w:val="en-IN"/>
        </w:rPr>
      </w:pPr>
      <w:r>
        <w:rPr>
          <w:lang w:val="en-IN"/>
        </w:rPr>
        <w:t xml:space="preserve">Dagilienė, L., Varaniūtė, V. and Pütter, J.M. (2022). Exploring institutional competing logic for sustainability implementation of retail chains. </w:t>
      </w:r>
      <w:r>
        <w:rPr>
          <w:i/>
          <w:iCs/>
          <w:lang w:val="en-IN"/>
        </w:rPr>
        <w:t>International journal of retail &amp; distribution management</w:t>
      </w:r>
      <w:r>
        <w:rPr>
          <w:lang w:val="en-IN"/>
        </w:rPr>
        <w:t xml:space="preserve">, </w:t>
      </w:r>
      <w:r>
        <w:rPr>
          <w:i/>
          <w:iCs/>
          <w:lang w:val="en-IN"/>
        </w:rPr>
        <w:t>50</w:t>
      </w:r>
      <w:r>
        <w:rPr>
          <w:lang w:val="en-IN"/>
        </w:rPr>
        <w:t>(13), pp.17-43.</w:t>
      </w:r>
      <w:r>
        <w:fldChar w:fldCharType="begin"/>
      </w:r>
      <w:r>
        <w:instrText xml:space="preserve"> HYPERLINK "https://www.emerald.com/insight/content/doi/10.1108/IJRDM-09-2020-0379/full/pdf" </w:instrText>
      </w:r>
      <w:r>
        <w:fldChar w:fldCharType="separate"/>
      </w:r>
      <w:r>
        <w:rPr>
          <w:rStyle w:val="13"/>
          <w:lang w:val="en-IN"/>
        </w:rPr>
        <w:t xml:space="preserve"> https://www.emerald.com/insight/content/doi/10.1108/IJRDM-09-2020-0379/full/pdf</w:t>
      </w:r>
      <w:r>
        <w:rPr>
          <w:rStyle w:val="13"/>
          <w:lang w:val="en-IN"/>
        </w:rPr>
        <w:fldChar w:fldCharType="end"/>
      </w:r>
    </w:p>
    <w:p w14:paraId="51B579B6">
      <w:pPr>
        <w:rPr>
          <w:lang w:val="en-IN"/>
        </w:rPr>
      </w:pPr>
      <w:r>
        <w:rPr>
          <w:lang w:val="en-IN"/>
        </w:rPr>
        <w:t xml:space="preserve">Demessie, G. T., &amp; Shukla, A. (2024). Drivers and outcomes of sustainable marketing strategy in the African context: the role of competitive advantage and strategic proactivity as mediating and moderating variables. </w:t>
      </w:r>
      <w:r>
        <w:rPr>
          <w:i/>
          <w:iCs/>
          <w:lang w:val="en-IN"/>
        </w:rPr>
        <w:t>Cogent Business &amp; Management</w:t>
      </w:r>
      <w:r>
        <w:rPr>
          <w:lang w:val="en-IN"/>
        </w:rPr>
        <w:t xml:space="preserve">, </w:t>
      </w:r>
      <w:r>
        <w:rPr>
          <w:i/>
          <w:iCs/>
          <w:lang w:val="en-IN"/>
        </w:rPr>
        <w:t>11</w:t>
      </w:r>
      <w:r>
        <w:rPr>
          <w:lang w:val="en-IN"/>
        </w:rPr>
        <w:t>(1).</w:t>
      </w:r>
      <w:r>
        <w:fldChar w:fldCharType="begin"/>
      </w:r>
      <w:r>
        <w:instrText xml:space="preserve"> HYPERLINK "https://doi.org/10.1080/23311975.2024.2348442" </w:instrText>
      </w:r>
      <w:r>
        <w:fldChar w:fldCharType="separate"/>
      </w:r>
      <w:r>
        <w:rPr>
          <w:rStyle w:val="13"/>
          <w:lang w:val="en-IN"/>
        </w:rPr>
        <w:t xml:space="preserve"> https://doi.org/10.1080/23311975.2024.2348442</w:t>
      </w:r>
      <w:r>
        <w:rPr>
          <w:rStyle w:val="13"/>
          <w:lang w:val="en-IN"/>
        </w:rPr>
        <w:fldChar w:fldCharType="end"/>
      </w:r>
    </w:p>
    <w:p w14:paraId="3A0B1063">
      <w:r>
        <w:t xml:space="preserve">Donkor, P., Siabi, E. K., Frimpong, K., Mensah, S. K., Siabi, E. S., &amp; Vuu, C. (2023). Socio-demographic effects on role assignment and associated occupational health and safety issues in artisanal and small-scale gold mining in Amansie Central District, Ghana. </w:t>
      </w:r>
      <w:r>
        <w:rPr>
          <w:i/>
          <w:iCs/>
        </w:rPr>
        <w:t>Heliyon</w:t>
      </w:r>
      <w:r>
        <w:t xml:space="preserve">, </w:t>
      </w:r>
      <w:r>
        <w:rPr>
          <w:i/>
          <w:iCs/>
        </w:rPr>
        <w:t>9</w:t>
      </w:r>
      <w:r>
        <w:t xml:space="preserve">(3), e13741. </w:t>
      </w:r>
      <w:r>
        <w:fldChar w:fldCharType="begin"/>
      </w:r>
      <w:r>
        <w:instrText xml:space="preserve"> HYPERLINK "https://doi.org/10.1016/j.heliyon.2023.e13741" </w:instrText>
      </w:r>
      <w:r>
        <w:fldChar w:fldCharType="separate"/>
      </w:r>
      <w:r>
        <w:rPr>
          <w:rStyle w:val="13"/>
        </w:rPr>
        <w:t>https://doi.org/10.1016/j.heliyon.2023.e13741</w:t>
      </w:r>
      <w:r>
        <w:rPr>
          <w:rStyle w:val="13"/>
        </w:rPr>
        <w:fldChar w:fldCharType="end"/>
      </w:r>
    </w:p>
    <w:p w14:paraId="55807490">
      <w:r>
        <w:t xml:space="preserve">Elgeddawy, M., &amp; Abouraia, M. (2024). Pragmatism as a research paradigm. </w:t>
      </w:r>
      <w:r>
        <w:rPr>
          <w:i/>
          <w:iCs/>
        </w:rPr>
        <w:t>European Conference on Research Methodology for Business and Management Studies</w:t>
      </w:r>
      <w:r>
        <w:t xml:space="preserve">, </w:t>
      </w:r>
      <w:r>
        <w:rPr>
          <w:i/>
          <w:iCs/>
        </w:rPr>
        <w:t>23</w:t>
      </w:r>
      <w:r>
        <w:t xml:space="preserve">(1), 71–74. </w:t>
      </w:r>
      <w:r>
        <w:fldChar w:fldCharType="begin"/>
      </w:r>
      <w:r>
        <w:instrText xml:space="preserve"> HYPERLINK "https://doi.org/10.34190/ecrm.23.1.2444" </w:instrText>
      </w:r>
      <w:r>
        <w:fldChar w:fldCharType="separate"/>
      </w:r>
      <w:r>
        <w:rPr>
          <w:rStyle w:val="13"/>
        </w:rPr>
        <w:t>https://doi.org/10.34190/ecrm.23.1.2444</w:t>
      </w:r>
      <w:r>
        <w:rPr>
          <w:rStyle w:val="13"/>
        </w:rPr>
        <w:fldChar w:fldCharType="end"/>
      </w:r>
    </w:p>
    <w:p w14:paraId="3C04A6E8">
      <w:r>
        <w:t xml:space="preserve">Farida, I., &amp; Setiawan, D. (2022). Business Strategies and Competitive Advantage: The role of Performance and innovation. </w:t>
      </w:r>
      <w:r>
        <w:rPr>
          <w:i/>
          <w:iCs/>
        </w:rPr>
        <w:t>Journal of Open Innovation Technology Market and Complexity</w:t>
      </w:r>
      <w:r>
        <w:t xml:space="preserve">, </w:t>
      </w:r>
      <w:r>
        <w:rPr>
          <w:i/>
          <w:iCs/>
        </w:rPr>
        <w:t>8</w:t>
      </w:r>
      <w:r>
        <w:t xml:space="preserve">(3), 163. </w:t>
      </w:r>
      <w:r>
        <w:fldChar w:fldCharType="begin"/>
      </w:r>
      <w:r>
        <w:instrText xml:space="preserve"> HYPERLINK "https://doi.org/10.3390/joitmc8030163" </w:instrText>
      </w:r>
      <w:r>
        <w:fldChar w:fldCharType="separate"/>
      </w:r>
      <w:r>
        <w:rPr>
          <w:rStyle w:val="13"/>
        </w:rPr>
        <w:t>https://doi.org/10.3390/joitmc8030163</w:t>
      </w:r>
      <w:r>
        <w:rPr>
          <w:rStyle w:val="13"/>
        </w:rPr>
        <w:fldChar w:fldCharType="end"/>
      </w:r>
    </w:p>
    <w:p w14:paraId="1983F005">
      <w:r>
        <w:t xml:space="preserve">Fuertes, G., Alfaro, M., Vargas, M., Gutierrez, S., Ternero, R., &amp; Sabattin, J. (2020). Conceptual Framework for the Strategic Management: A Literature Review—Descriptive. </w:t>
      </w:r>
      <w:r>
        <w:rPr>
          <w:i/>
          <w:iCs/>
        </w:rPr>
        <w:t>Journal of Engineering</w:t>
      </w:r>
      <w:r>
        <w:t xml:space="preserve">, </w:t>
      </w:r>
      <w:r>
        <w:rPr>
          <w:i/>
          <w:iCs/>
        </w:rPr>
        <w:t>2020</w:t>
      </w:r>
      <w:r>
        <w:t xml:space="preserve">, 1–21. </w:t>
      </w:r>
      <w:r>
        <w:fldChar w:fldCharType="begin"/>
      </w:r>
      <w:r>
        <w:instrText xml:space="preserve"> HYPERLINK "https://doi.org/10.1155/2020/6253013" </w:instrText>
      </w:r>
      <w:r>
        <w:fldChar w:fldCharType="separate"/>
      </w:r>
      <w:r>
        <w:rPr>
          <w:rStyle w:val="13"/>
        </w:rPr>
        <w:t>https://doi.org/10.1155/2020/6253013</w:t>
      </w:r>
      <w:r>
        <w:rPr>
          <w:rStyle w:val="13"/>
        </w:rPr>
        <w:fldChar w:fldCharType="end"/>
      </w:r>
    </w:p>
    <w:p w14:paraId="759BAC35">
      <w:r>
        <w:t xml:space="preserve">Fuertes, G., Alfaro, M., Vargas, M., Gutierrez, S., Ternero, R., &amp; Sabattin, J. (2020). Conceptual Framework for the Strategic Management: A Literature Review—Descriptive. </w:t>
      </w:r>
      <w:r>
        <w:rPr>
          <w:i/>
          <w:iCs/>
        </w:rPr>
        <w:t>Journal of Engineering</w:t>
      </w:r>
      <w:r>
        <w:t xml:space="preserve">, </w:t>
      </w:r>
      <w:r>
        <w:rPr>
          <w:i/>
          <w:iCs/>
        </w:rPr>
        <w:t>2020</w:t>
      </w:r>
      <w:r>
        <w:t xml:space="preserve">, 1–21. </w:t>
      </w:r>
      <w:r>
        <w:fldChar w:fldCharType="begin"/>
      </w:r>
      <w:r>
        <w:instrText xml:space="preserve"> HYPERLINK "https://doi.org/10.1155/2020/6253013" </w:instrText>
      </w:r>
      <w:r>
        <w:fldChar w:fldCharType="separate"/>
      </w:r>
      <w:r>
        <w:rPr>
          <w:rStyle w:val="13"/>
        </w:rPr>
        <w:t>https://doi.org/10.1155/2020/6253013</w:t>
      </w:r>
      <w:r>
        <w:rPr>
          <w:rStyle w:val="13"/>
        </w:rPr>
        <w:fldChar w:fldCharType="end"/>
      </w:r>
    </w:p>
    <w:p w14:paraId="702A5687">
      <w:pPr>
        <w:rPr>
          <w:lang w:val="en-IN"/>
        </w:rPr>
      </w:pPr>
      <w:r>
        <w:rPr>
          <w:lang w:val="en-IN"/>
        </w:rPr>
        <w:t xml:space="preserve">Gulko, N., Gerardou, F.S. and Withanage, N. (2024). The Concept of Materiality in CSR and SDGs Reporting: Definitions, Interpretation, Application, and Sustainable Value Creation. In </w:t>
      </w:r>
      <w:r>
        <w:rPr>
          <w:i/>
          <w:iCs/>
          <w:lang w:val="en-IN"/>
        </w:rPr>
        <w:t>The Emerald Handbook of Ethical Finance and Corporate Social Responsibility: A Framework for Sustainable Development</w:t>
      </w:r>
      <w:r>
        <w:rPr>
          <w:lang w:val="en-IN"/>
        </w:rPr>
        <w:t xml:space="preserve"> (pp. 1-30). Emerald Publishing Limited.</w:t>
      </w:r>
      <w:r>
        <w:fldChar w:fldCharType="begin"/>
      </w:r>
      <w:r>
        <w:instrText xml:space="preserve"> HYPERLINK "https://www.academia.edu/download/114705247/The_Concept_of_Materiality_in_CSR_and_SDGs_Reporting_2024f.pdf" </w:instrText>
      </w:r>
      <w:r>
        <w:fldChar w:fldCharType="separate"/>
      </w:r>
      <w:r>
        <w:rPr>
          <w:rStyle w:val="13"/>
          <w:lang w:val="en-IN"/>
        </w:rPr>
        <w:t xml:space="preserve"> https://www.academia.edu/download/114705247/The_Concept_of_Materiality_in_CSR_and_SDGs_Reporting_2024f.pdf</w:t>
      </w:r>
      <w:r>
        <w:rPr>
          <w:rStyle w:val="13"/>
          <w:lang w:val="en-IN"/>
        </w:rPr>
        <w:fldChar w:fldCharType="end"/>
      </w:r>
    </w:p>
    <w:p w14:paraId="23465AD4">
      <w:r>
        <w:t xml:space="preserve">Guo, Y., Liu, F., Song, J., Wang, S., Guo, Y., Liu, F., Song, J., &amp; Wang, S. (2024). Supply chain resilience: A review from the inventory management perspective. </w:t>
      </w:r>
      <w:r>
        <w:rPr>
          <w:i/>
          <w:iCs/>
        </w:rPr>
        <w:t>Fundamental Research</w:t>
      </w:r>
      <w:r>
        <w:t xml:space="preserve">, </w:t>
      </w:r>
      <w:r>
        <w:rPr>
          <w:i/>
          <w:iCs/>
        </w:rPr>
        <w:t>5</w:t>
      </w:r>
      <w:r>
        <w:t xml:space="preserve">(2), 450–463. </w:t>
      </w:r>
      <w:r>
        <w:fldChar w:fldCharType="begin"/>
      </w:r>
      <w:r>
        <w:instrText xml:space="preserve"> HYPERLINK "https://doi.org/10.1016/j.fmre.2024.08.002" </w:instrText>
      </w:r>
      <w:r>
        <w:fldChar w:fldCharType="separate"/>
      </w:r>
      <w:r>
        <w:rPr>
          <w:rStyle w:val="13"/>
        </w:rPr>
        <w:t>https://doi.org/10.1016/j.fmre.2024.08.002</w:t>
      </w:r>
      <w:r>
        <w:rPr>
          <w:rStyle w:val="13"/>
        </w:rPr>
        <w:fldChar w:fldCharType="end"/>
      </w:r>
    </w:p>
    <w:p w14:paraId="5D172C23">
      <w:r>
        <w:t xml:space="preserve">Guraya, S. S., Harkin, D. W., Yusoff, M. S. B., &amp; Guraya, S. Y. (2023). Paradigms unfolded – developing, validating, and evaluating the Medical Education e-Professionalism framework from a philosophical perspective. </w:t>
      </w:r>
      <w:r>
        <w:rPr>
          <w:i/>
          <w:iCs/>
        </w:rPr>
        <w:t>Frontiers in Medicine</w:t>
      </w:r>
      <w:r>
        <w:t xml:space="preserve">, </w:t>
      </w:r>
      <w:r>
        <w:rPr>
          <w:i/>
          <w:iCs/>
        </w:rPr>
        <w:t>10</w:t>
      </w:r>
      <w:r>
        <w:t xml:space="preserve">, 1230620. </w:t>
      </w:r>
      <w:r>
        <w:fldChar w:fldCharType="begin"/>
      </w:r>
      <w:r>
        <w:instrText xml:space="preserve"> HYPERLINK "https://doi.org/10.3389/fmed.2023.1230620" </w:instrText>
      </w:r>
      <w:r>
        <w:fldChar w:fldCharType="separate"/>
      </w:r>
      <w:r>
        <w:rPr>
          <w:rStyle w:val="13"/>
        </w:rPr>
        <w:t>https://doi.org/10.3389/fmed.2023.1230620</w:t>
      </w:r>
      <w:r>
        <w:rPr>
          <w:rStyle w:val="13"/>
        </w:rPr>
        <w:fldChar w:fldCharType="end"/>
      </w:r>
    </w:p>
    <w:p w14:paraId="5D053299">
      <w:r>
        <w:rPr>
          <w:lang w:val="en-IN"/>
        </w:rPr>
        <w:t>Haessler, P.</w:t>
      </w:r>
      <w:r>
        <w:t xml:space="preserve"> (2020)</w:t>
      </w:r>
      <w:r>
        <w:rPr>
          <w:lang w:val="en-IN"/>
        </w:rPr>
        <w:t>. Strategic decisions between short-term profit and sustainability. </w:t>
      </w:r>
      <w:r>
        <w:rPr>
          <w:i/>
          <w:iCs/>
          <w:lang w:val="en-IN"/>
        </w:rPr>
        <w:t>Administrative Sciences</w:t>
      </w:r>
      <w:r>
        <w:rPr>
          <w:lang w:val="en-IN"/>
        </w:rPr>
        <w:t>, </w:t>
      </w:r>
      <w:r>
        <w:rPr>
          <w:i/>
          <w:iCs/>
          <w:lang w:val="en-IN"/>
        </w:rPr>
        <w:t>10</w:t>
      </w:r>
      <w:r>
        <w:rPr>
          <w:lang w:val="en-IN"/>
        </w:rPr>
        <w:t>(3), p.63.</w:t>
      </w:r>
      <w:r>
        <w:t xml:space="preserve"> </w:t>
      </w:r>
      <w:r>
        <w:fldChar w:fldCharType="begin"/>
      </w:r>
      <w:r>
        <w:instrText xml:space="preserve"> HYPERLINK "https://www.mdpi.com/2076-3387/10/3/63" </w:instrText>
      </w:r>
      <w:r>
        <w:fldChar w:fldCharType="separate"/>
      </w:r>
      <w:r>
        <w:rPr>
          <w:rStyle w:val="13"/>
        </w:rPr>
        <w:t>https://www.mdpi.com/2076-3387/10/3/63</w:t>
      </w:r>
      <w:r>
        <w:rPr>
          <w:rStyle w:val="13"/>
        </w:rPr>
        <w:fldChar w:fldCharType="end"/>
      </w:r>
      <w:r>
        <w:t xml:space="preserve"> </w:t>
      </w:r>
    </w:p>
    <w:p w14:paraId="2B730966">
      <w:r>
        <w:t xml:space="preserve">Hermundsdottir, F., &amp; Aspelund, A. (2022). Competitive sustainable manufacturing - Sustainability strategies, environmental and social innovations, and their effects on firm performance. </w:t>
      </w:r>
      <w:r>
        <w:rPr>
          <w:i/>
          <w:iCs/>
        </w:rPr>
        <w:t>Journal of Cleaner Production</w:t>
      </w:r>
      <w:r>
        <w:t xml:space="preserve">, </w:t>
      </w:r>
      <w:r>
        <w:rPr>
          <w:i/>
          <w:iCs/>
        </w:rPr>
        <w:t>370</w:t>
      </w:r>
      <w:r>
        <w:t xml:space="preserve">, 133474. </w:t>
      </w:r>
      <w:r>
        <w:fldChar w:fldCharType="begin"/>
      </w:r>
      <w:r>
        <w:instrText xml:space="preserve"> HYPERLINK "https://doi.org/10.1016/j.jclepro.2022.133474" </w:instrText>
      </w:r>
      <w:r>
        <w:fldChar w:fldCharType="separate"/>
      </w:r>
      <w:r>
        <w:rPr>
          <w:rStyle w:val="13"/>
        </w:rPr>
        <w:t>https://doi.org/10.1016/j.jclepro.2022.133474</w:t>
      </w:r>
      <w:r>
        <w:rPr>
          <w:rStyle w:val="13"/>
        </w:rPr>
        <w:fldChar w:fldCharType="end"/>
      </w:r>
    </w:p>
    <w:p w14:paraId="773C6485">
      <w:pPr>
        <w:rPr>
          <w:lang w:val="en-IN"/>
        </w:rPr>
      </w:pPr>
      <w:r>
        <w:rPr>
          <w:lang w:val="en-IN"/>
        </w:rPr>
        <w:t xml:space="preserve">Hristov, I., Chirico, A., &amp; Ranalli, F. (2021). Corporate strategies oriented towards sustainable governance: advantages, managerial practices and main challenges. </w:t>
      </w:r>
      <w:r>
        <w:rPr>
          <w:i/>
          <w:iCs/>
          <w:lang w:val="en-IN"/>
        </w:rPr>
        <w:t>Journal of Management &amp; Governance</w:t>
      </w:r>
      <w:r>
        <w:rPr>
          <w:lang w:val="en-IN"/>
        </w:rPr>
        <w:t xml:space="preserve">, </w:t>
      </w:r>
      <w:r>
        <w:rPr>
          <w:i/>
          <w:iCs/>
          <w:lang w:val="en-IN"/>
        </w:rPr>
        <w:t>26</w:t>
      </w:r>
      <w:r>
        <w:rPr>
          <w:lang w:val="en-IN"/>
        </w:rPr>
        <w:t>(1), 75–97.</w:t>
      </w:r>
      <w:r>
        <w:fldChar w:fldCharType="begin"/>
      </w:r>
      <w:r>
        <w:instrText xml:space="preserve"> HYPERLINK "https://doi.org/10.1007/s10997-021-09581-x" </w:instrText>
      </w:r>
      <w:r>
        <w:fldChar w:fldCharType="separate"/>
      </w:r>
      <w:r>
        <w:rPr>
          <w:rStyle w:val="13"/>
          <w:lang w:val="en-IN"/>
        </w:rPr>
        <w:t xml:space="preserve"> https://doi.org/10.1007/s10997-021-09581-x</w:t>
      </w:r>
      <w:r>
        <w:rPr>
          <w:rStyle w:val="13"/>
          <w:lang w:val="en-IN"/>
        </w:rPr>
        <w:fldChar w:fldCharType="end"/>
      </w:r>
    </w:p>
    <w:p w14:paraId="62E933AE">
      <w:pPr>
        <w:rPr>
          <w:lang w:val="en-IN"/>
        </w:rPr>
      </w:pPr>
      <w:r>
        <w:rPr>
          <w:lang w:val="en-IN"/>
        </w:rPr>
        <w:t xml:space="preserve">Imran, M.T.I., Karmaker, C.L., Karim, R., Misbauddin, S.M., Bari, A.M. and Raihan, A. (2024). Modeling the supply chain sustainability imperatives in the fashion retail industry: Implications for sustainable development. </w:t>
      </w:r>
      <w:r>
        <w:rPr>
          <w:i/>
          <w:iCs/>
          <w:lang w:val="en-IN"/>
        </w:rPr>
        <w:t>PloS one</w:t>
      </w:r>
      <w:r>
        <w:rPr>
          <w:lang w:val="en-IN"/>
        </w:rPr>
        <w:t xml:space="preserve">, </w:t>
      </w:r>
      <w:r>
        <w:rPr>
          <w:i/>
          <w:iCs/>
          <w:lang w:val="en-IN"/>
        </w:rPr>
        <w:t>19</w:t>
      </w:r>
      <w:r>
        <w:rPr>
          <w:lang w:val="en-IN"/>
        </w:rPr>
        <w:t>(12), p.e0312671.</w:t>
      </w:r>
      <w:r>
        <w:fldChar w:fldCharType="begin"/>
      </w:r>
      <w:r>
        <w:instrText xml:space="preserve"> HYPERLINK "https://journals.plos.org/plosone/article/file?id=10.1371/journal.pone.0312671&amp;type=printable" </w:instrText>
      </w:r>
      <w:r>
        <w:fldChar w:fldCharType="separate"/>
      </w:r>
      <w:r>
        <w:rPr>
          <w:rStyle w:val="13"/>
          <w:lang w:val="en-IN"/>
        </w:rPr>
        <w:t xml:space="preserve"> https://journals.plos.org/plosone/article/file?id=10.1371/journal.pone.0312671&amp;type=printable</w:t>
      </w:r>
      <w:r>
        <w:rPr>
          <w:rStyle w:val="13"/>
          <w:lang w:val="en-IN"/>
        </w:rPr>
        <w:fldChar w:fldCharType="end"/>
      </w:r>
    </w:p>
    <w:p w14:paraId="277093AC">
      <w:r>
        <w:t xml:space="preserve">Jan, B., Asif, M., &amp; Alhazmi, M. (2025). Global energy conservation research: A systematic analysis of thematic areas, methodologies and geographic distribution. </w:t>
      </w:r>
      <w:r>
        <w:rPr>
          <w:i/>
          <w:iCs/>
        </w:rPr>
        <w:t>Energy Nexus</w:t>
      </w:r>
      <w:r>
        <w:t xml:space="preserve">, </w:t>
      </w:r>
      <w:r>
        <w:rPr>
          <w:i/>
          <w:iCs/>
        </w:rPr>
        <w:t>19</w:t>
      </w:r>
      <w:r>
        <w:t xml:space="preserve">, 100477. </w:t>
      </w:r>
      <w:r>
        <w:fldChar w:fldCharType="begin"/>
      </w:r>
      <w:r>
        <w:instrText xml:space="preserve"> HYPERLINK "https://doi.org/10.1016/j.nexus.2025.100477" </w:instrText>
      </w:r>
      <w:r>
        <w:fldChar w:fldCharType="separate"/>
      </w:r>
      <w:r>
        <w:rPr>
          <w:rStyle w:val="13"/>
        </w:rPr>
        <w:t>https://doi.org/10.1016/j.nexus.2025.100477</w:t>
      </w:r>
      <w:r>
        <w:rPr>
          <w:rStyle w:val="13"/>
        </w:rPr>
        <w:fldChar w:fldCharType="end"/>
      </w:r>
    </w:p>
    <w:p w14:paraId="24DDF1D2">
      <w:pPr>
        <w:rPr>
          <w:lang w:val="en-IN"/>
        </w:rPr>
      </w:pPr>
      <w:r>
        <w:rPr>
          <w:lang w:val="en-IN"/>
        </w:rPr>
        <w:t xml:space="preserve">Jarašūnienė, A. and Paulauskas, D. (2025). Enhancing the Sustainability of Retail Supply Chains Through an Integrated Industry 4.0 Model. </w:t>
      </w:r>
      <w:r>
        <w:rPr>
          <w:i/>
          <w:iCs/>
          <w:lang w:val="en-IN"/>
        </w:rPr>
        <w:t>Sustainability</w:t>
      </w:r>
      <w:r>
        <w:rPr>
          <w:lang w:val="en-IN"/>
        </w:rPr>
        <w:t xml:space="preserve">, </w:t>
      </w:r>
      <w:r>
        <w:rPr>
          <w:i/>
          <w:iCs/>
          <w:lang w:val="en-IN"/>
        </w:rPr>
        <w:t>17</w:t>
      </w:r>
      <w:r>
        <w:rPr>
          <w:lang w:val="en-IN"/>
        </w:rPr>
        <w:t>(18), p.8191.</w:t>
      </w:r>
      <w:r>
        <w:fldChar w:fldCharType="begin"/>
      </w:r>
      <w:r>
        <w:instrText xml:space="preserve"> HYPERLINK "https://www.mdpi.com/2071-1050/17/18/8191" </w:instrText>
      </w:r>
      <w:r>
        <w:fldChar w:fldCharType="separate"/>
      </w:r>
      <w:r>
        <w:rPr>
          <w:rStyle w:val="13"/>
          <w:lang w:val="en-IN"/>
        </w:rPr>
        <w:t xml:space="preserve"> https://www.mdpi.com/2071-1050/17/18/8191</w:t>
      </w:r>
      <w:r>
        <w:rPr>
          <w:rStyle w:val="13"/>
          <w:lang w:val="en-IN"/>
        </w:rPr>
        <w:fldChar w:fldCharType="end"/>
      </w:r>
    </w:p>
    <w:p w14:paraId="7192D1F0">
      <w:r>
        <w:rPr>
          <w:lang w:val="en-IN"/>
        </w:rPr>
        <w:t>Jayashree, S., Reza, M.N.H., Malarvizhi, C.A.N. and Mohiuddin, M.</w:t>
      </w:r>
      <w:r>
        <w:t xml:space="preserve"> (2021)</w:t>
      </w:r>
      <w:r>
        <w:rPr>
          <w:lang w:val="en-IN"/>
        </w:rPr>
        <w:t>. Industry 4.0 implementation and Triple Bottom Line sustainability: An empirical study on small and medium manufacturing firms. </w:t>
      </w:r>
      <w:r>
        <w:rPr>
          <w:i/>
          <w:iCs/>
          <w:lang w:val="en-IN"/>
        </w:rPr>
        <w:t>Heliyon</w:t>
      </w:r>
      <w:r>
        <w:rPr>
          <w:lang w:val="en-IN"/>
        </w:rPr>
        <w:t>, </w:t>
      </w:r>
      <w:r>
        <w:rPr>
          <w:i/>
          <w:iCs/>
          <w:lang w:val="en-IN"/>
        </w:rPr>
        <w:t>7</w:t>
      </w:r>
      <w:r>
        <w:rPr>
          <w:lang w:val="en-IN"/>
        </w:rPr>
        <w:t>(8).</w:t>
      </w:r>
      <w:r>
        <w:t xml:space="preserve"> </w:t>
      </w:r>
      <w:r>
        <w:fldChar w:fldCharType="begin"/>
      </w:r>
      <w:r>
        <w:instrText xml:space="preserve"> HYPERLINK "https://www.cell.com/heliyon/pdf/S2405-8440(21)01856-9.pdf" </w:instrText>
      </w:r>
      <w:r>
        <w:fldChar w:fldCharType="separate"/>
      </w:r>
      <w:r>
        <w:rPr>
          <w:rStyle w:val="13"/>
        </w:rPr>
        <w:t>https://www.cell.com/heliyon/pdf/S2405-8440(21)01856-9.pdf</w:t>
      </w:r>
      <w:r>
        <w:rPr>
          <w:rStyle w:val="13"/>
        </w:rPr>
        <w:fldChar w:fldCharType="end"/>
      </w:r>
      <w:r>
        <w:t xml:space="preserve"> </w:t>
      </w:r>
    </w:p>
    <w:p w14:paraId="288CDD6C">
      <w:r>
        <w:t xml:space="preserve">Kaushik, V., &amp; Walsh, C. A. (2019). Pragmatism as a research paradigm and its implications for social work research. </w:t>
      </w:r>
      <w:r>
        <w:rPr>
          <w:i/>
          <w:iCs/>
        </w:rPr>
        <w:t>Social Sciences</w:t>
      </w:r>
      <w:r>
        <w:t xml:space="preserve">, </w:t>
      </w:r>
      <w:r>
        <w:rPr>
          <w:i/>
          <w:iCs/>
        </w:rPr>
        <w:t>8</w:t>
      </w:r>
      <w:r>
        <w:t xml:space="preserve">(9), 255. </w:t>
      </w:r>
      <w:r>
        <w:fldChar w:fldCharType="begin"/>
      </w:r>
      <w:r>
        <w:instrText xml:space="preserve"> HYPERLINK "https://doi.org/10.3390/socsci8090255" </w:instrText>
      </w:r>
      <w:r>
        <w:fldChar w:fldCharType="separate"/>
      </w:r>
      <w:r>
        <w:rPr>
          <w:rStyle w:val="13"/>
        </w:rPr>
        <w:t>https://doi.org/10.3390/socsci8090255</w:t>
      </w:r>
      <w:r>
        <w:rPr>
          <w:rStyle w:val="13"/>
        </w:rPr>
        <w:fldChar w:fldCharType="end"/>
      </w:r>
    </w:p>
    <w:p w14:paraId="3F174E2D">
      <w:r>
        <w:t xml:space="preserve">Khanday, S. A., &amp; Khanam, D. (2023). THE RESEARCH DESIGN. </w:t>
      </w:r>
      <w:r>
        <w:rPr>
          <w:i/>
          <w:iCs/>
        </w:rPr>
        <w:t>ResearchGate</w:t>
      </w:r>
      <w:r>
        <w:t xml:space="preserve">. </w:t>
      </w:r>
      <w:r>
        <w:fldChar w:fldCharType="begin"/>
      </w:r>
      <w:r>
        <w:instrText xml:space="preserve"> HYPERLINK "https://www.researchgate.net/publication/368257495_THE_RESEARCH_DESIGN" </w:instrText>
      </w:r>
      <w:r>
        <w:fldChar w:fldCharType="separate"/>
      </w:r>
      <w:r>
        <w:rPr>
          <w:rStyle w:val="13"/>
        </w:rPr>
        <w:t>https://www.researchgate.net/publication/368257495_THE_RESEARCH_DESIGN</w:t>
      </w:r>
      <w:r>
        <w:rPr>
          <w:rStyle w:val="13"/>
        </w:rPr>
        <w:fldChar w:fldCharType="end"/>
      </w:r>
      <w:r>
        <w:t xml:space="preserve"> </w:t>
      </w:r>
    </w:p>
    <w:p w14:paraId="7C1EFB4C">
      <w:r>
        <w:rPr>
          <w:lang w:val="en-IN"/>
        </w:rPr>
        <w:t>Knudsen, E.S., Lien, L.B., Timmermans, B., Belik, I. and Pandey, S.</w:t>
      </w:r>
      <w:r>
        <w:t xml:space="preserve"> (2021)</w:t>
      </w:r>
      <w:r>
        <w:rPr>
          <w:lang w:val="en-IN"/>
        </w:rPr>
        <w:t>. Stability in turbulent times? The effect of digitalization on the sustainability of competitive advantage. </w:t>
      </w:r>
      <w:r>
        <w:rPr>
          <w:i/>
          <w:iCs/>
          <w:lang w:val="en-IN"/>
        </w:rPr>
        <w:t>Journal of Business Research</w:t>
      </w:r>
      <w:r>
        <w:rPr>
          <w:lang w:val="en-IN"/>
        </w:rPr>
        <w:t>, </w:t>
      </w:r>
      <w:r>
        <w:rPr>
          <w:i/>
          <w:iCs/>
          <w:lang w:val="en-IN"/>
        </w:rPr>
        <w:t>128</w:t>
      </w:r>
      <w:r>
        <w:rPr>
          <w:lang w:val="en-IN"/>
        </w:rPr>
        <w:t>, pp.360-369.</w:t>
      </w:r>
      <w:r>
        <w:t xml:space="preserve"> </w:t>
      </w:r>
      <w:r>
        <w:fldChar w:fldCharType="begin"/>
      </w:r>
      <w:r>
        <w:instrText xml:space="preserve"> HYPERLINK "https://www.sciencedirect.com/science/article/pii/S2666789421000076" </w:instrText>
      </w:r>
      <w:r>
        <w:fldChar w:fldCharType="separate"/>
      </w:r>
      <w:r>
        <w:rPr>
          <w:rStyle w:val="13"/>
        </w:rPr>
        <w:t>https://www.sciencedirect.com/science/article/pii/S2666789421000076</w:t>
      </w:r>
      <w:r>
        <w:rPr>
          <w:rStyle w:val="13"/>
        </w:rPr>
        <w:fldChar w:fldCharType="end"/>
      </w:r>
      <w:r>
        <w:t xml:space="preserve"> </w:t>
      </w:r>
    </w:p>
    <w:p w14:paraId="4B9B827A">
      <w:r>
        <w:t xml:space="preserve">Kong, S., &amp; Yuen, C. (2022). An analysis of the attitudes and behaviours of university students and perceived contextual factors in alternative assessment during the pandemic using the attitude–behaviour–context model. </w:t>
      </w:r>
      <w:r>
        <w:rPr>
          <w:i/>
          <w:iCs/>
        </w:rPr>
        <w:t>Heliyon</w:t>
      </w:r>
      <w:r>
        <w:t xml:space="preserve">, </w:t>
      </w:r>
      <w:r>
        <w:rPr>
          <w:i/>
          <w:iCs/>
        </w:rPr>
        <w:t>8</w:t>
      </w:r>
      <w:r>
        <w:t xml:space="preserve">(10), e11180. </w:t>
      </w:r>
      <w:r>
        <w:fldChar w:fldCharType="begin"/>
      </w:r>
      <w:r>
        <w:instrText xml:space="preserve"> HYPERLINK "https://doi.org/10.1016/j.heliyon.2022.e11180" </w:instrText>
      </w:r>
      <w:r>
        <w:fldChar w:fldCharType="separate"/>
      </w:r>
      <w:r>
        <w:rPr>
          <w:rStyle w:val="13"/>
        </w:rPr>
        <w:t>https://doi.org/10.1016/j.heliyon.2022.e11180</w:t>
      </w:r>
      <w:r>
        <w:rPr>
          <w:rStyle w:val="13"/>
        </w:rPr>
        <w:fldChar w:fldCharType="end"/>
      </w:r>
    </w:p>
    <w:p w14:paraId="27E96381">
      <w:pPr>
        <w:rPr>
          <w:lang w:val="en-IN"/>
        </w:rPr>
      </w:pPr>
      <w:r>
        <w:rPr>
          <w:lang w:val="en-IN"/>
        </w:rPr>
        <w:t xml:space="preserve">Landi, G. C., Iandolo, F., Renzi, A., &amp; Rey, A. (2022). Embedding sustainability in risk management: The impact of environmental, social, and governance ratings on corporate financial risk. </w:t>
      </w:r>
      <w:r>
        <w:rPr>
          <w:i/>
          <w:iCs/>
          <w:lang w:val="en-IN"/>
        </w:rPr>
        <w:t>Corporate Social Responsibility and Environmental Management</w:t>
      </w:r>
      <w:r>
        <w:rPr>
          <w:lang w:val="en-IN"/>
        </w:rPr>
        <w:t xml:space="preserve">, </w:t>
      </w:r>
      <w:r>
        <w:rPr>
          <w:i/>
          <w:iCs/>
          <w:lang w:val="en-IN"/>
        </w:rPr>
        <w:t>29</w:t>
      </w:r>
      <w:r>
        <w:rPr>
          <w:lang w:val="en-IN"/>
        </w:rPr>
        <w:t>(4), 1096–1107.</w:t>
      </w:r>
      <w:r>
        <w:fldChar w:fldCharType="begin"/>
      </w:r>
      <w:r>
        <w:instrText xml:space="preserve"> HYPERLINK "https://doi.org/10.1002/csr.2256" </w:instrText>
      </w:r>
      <w:r>
        <w:fldChar w:fldCharType="separate"/>
      </w:r>
      <w:r>
        <w:rPr>
          <w:rStyle w:val="13"/>
          <w:lang w:val="en-IN"/>
        </w:rPr>
        <w:t xml:space="preserve"> https://doi.org/10.1002/csr.2256</w:t>
      </w:r>
      <w:r>
        <w:rPr>
          <w:rStyle w:val="13"/>
          <w:lang w:val="en-IN"/>
        </w:rPr>
        <w:fldChar w:fldCharType="end"/>
      </w:r>
    </w:p>
    <w:p w14:paraId="3F9B15E5">
      <w:r>
        <w:rPr>
          <w:lang w:val="en-IN"/>
        </w:rPr>
        <w:t>Lehtimäki, H., Piispanen, V.V. and Henttonen, K.</w:t>
      </w:r>
      <w:r>
        <w:t xml:space="preserve"> (2020)</w:t>
      </w:r>
      <w:r>
        <w:rPr>
          <w:lang w:val="en-IN"/>
        </w:rPr>
        <w:t>. Strategic decisions related to circular business model in a forerunner company: Challenges due to path dependency and lock-in. </w:t>
      </w:r>
      <w:r>
        <w:rPr>
          <w:i/>
          <w:iCs/>
          <w:lang w:val="en-IN"/>
        </w:rPr>
        <w:t>South Asian journal of business and management cases</w:t>
      </w:r>
      <w:r>
        <w:rPr>
          <w:lang w:val="en-IN"/>
        </w:rPr>
        <w:t>, </w:t>
      </w:r>
      <w:r>
        <w:rPr>
          <w:i/>
          <w:iCs/>
          <w:lang w:val="en-IN"/>
        </w:rPr>
        <w:t>9</w:t>
      </w:r>
      <w:r>
        <w:rPr>
          <w:lang w:val="en-IN"/>
        </w:rPr>
        <w:t>(3), pp.402-412.</w:t>
      </w:r>
      <w:r>
        <w:t xml:space="preserve"> </w:t>
      </w:r>
      <w:r>
        <w:fldChar w:fldCharType="begin"/>
      </w:r>
      <w:r>
        <w:instrText xml:space="preserve"> HYPERLINK "https://journals.sagepub.com/doi/pdf/10.1177/2277977920957957" </w:instrText>
      </w:r>
      <w:r>
        <w:fldChar w:fldCharType="separate"/>
      </w:r>
      <w:r>
        <w:rPr>
          <w:rStyle w:val="13"/>
        </w:rPr>
        <w:t>https://journals.sagepub.com/doi/pdf/10.1177/2277977920957957</w:t>
      </w:r>
      <w:r>
        <w:rPr>
          <w:rStyle w:val="13"/>
        </w:rPr>
        <w:fldChar w:fldCharType="end"/>
      </w:r>
      <w:r>
        <w:t xml:space="preserve"> </w:t>
      </w:r>
    </w:p>
    <w:p w14:paraId="3BA3B75A">
      <w:r>
        <w:t xml:space="preserve">Lim, W. M. (2024). What is qualitative research? An overview and guidelines. </w:t>
      </w:r>
      <w:r>
        <w:rPr>
          <w:i/>
          <w:iCs/>
        </w:rPr>
        <w:t>Australasian Marketing Journal (AMJ)</w:t>
      </w:r>
      <w:r>
        <w:t xml:space="preserve">, </w:t>
      </w:r>
      <w:r>
        <w:rPr>
          <w:i/>
          <w:iCs/>
        </w:rPr>
        <w:t>33</w:t>
      </w:r>
      <w:r>
        <w:t xml:space="preserve">(2), 199–229. </w:t>
      </w:r>
      <w:r>
        <w:fldChar w:fldCharType="begin"/>
      </w:r>
      <w:r>
        <w:instrText xml:space="preserve"> HYPERLINK "https://doi.org/10.1177/14413582241264619" </w:instrText>
      </w:r>
      <w:r>
        <w:fldChar w:fldCharType="separate"/>
      </w:r>
      <w:r>
        <w:rPr>
          <w:rStyle w:val="13"/>
        </w:rPr>
        <w:t>https://doi.org/10.1177/14413582241264619</w:t>
      </w:r>
      <w:r>
        <w:rPr>
          <w:rStyle w:val="13"/>
        </w:rPr>
        <w:fldChar w:fldCharType="end"/>
      </w:r>
    </w:p>
    <w:p w14:paraId="12BDC446">
      <w:r>
        <w:t xml:space="preserve">Malek, S. L., Sarin, S., &amp; Jaworski, B. J. (2021). A measurement model of the dimensions and types of informal organizational control: An empirical test in a B2B sales context. </w:t>
      </w:r>
      <w:r>
        <w:rPr>
          <w:i/>
          <w:iCs/>
        </w:rPr>
        <w:t>International Journal of Research in Marketing</w:t>
      </w:r>
      <w:r>
        <w:t xml:space="preserve">, </w:t>
      </w:r>
      <w:r>
        <w:rPr>
          <w:i/>
          <w:iCs/>
        </w:rPr>
        <w:t>39</w:t>
      </w:r>
      <w:r>
        <w:t xml:space="preserve">(2), 415–442. </w:t>
      </w:r>
      <w:r>
        <w:fldChar w:fldCharType="begin"/>
      </w:r>
      <w:r>
        <w:instrText xml:space="preserve"> HYPERLINK "https://doi.org/10.1016/j.ijresmar.2021.07.002" </w:instrText>
      </w:r>
      <w:r>
        <w:fldChar w:fldCharType="separate"/>
      </w:r>
      <w:r>
        <w:rPr>
          <w:rStyle w:val="13"/>
        </w:rPr>
        <w:t>https://doi.org/10.1016/j.ijresmar.2021.07.002</w:t>
      </w:r>
      <w:r>
        <w:rPr>
          <w:rStyle w:val="13"/>
        </w:rPr>
        <w:fldChar w:fldCharType="end"/>
      </w:r>
    </w:p>
    <w:p w14:paraId="151F7D56">
      <w:pPr>
        <w:rPr>
          <w:lang w:val="en-IN"/>
        </w:rPr>
      </w:pPr>
      <w:r>
        <w:rPr>
          <w:lang w:val="en-IN"/>
        </w:rPr>
        <w:t xml:space="preserve">Marculetiu, A., Ataseven, C., &amp; Chen, I. J. (2025). Norms Over Threats and Trends: A Managerial Perspective on the Role of Normative Pressures in Motivating Sustainable Strategies and Positive Outcomes. </w:t>
      </w:r>
      <w:r>
        <w:rPr>
          <w:i/>
          <w:iCs/>
          <w:lang w:val="en-IN"/>
        </w:rPr>
        <w:t>Business Ethics the Environment &amp; Responsibility</w:t>
      </w:r>
      <w:r>
        <w:rPr>
          <w:lang w:val="en-IN"/>
        </w:rPr>
        <w:t>.</w:t>
      </w:r>
      <w:r>
        <w:fldChar w:fldCharType="begin"/>
      </w:r>
      <w:r>
        <w:instrText xml:space="preserve"> HYPERLINK "https://doi.org/10.1111/beer.12827" </w:instrText>
      </w:r>
      <w:r>
        <w:fldChar w:fldCharType="separate"/>
      </w:r>
      <w:r>
        <w:rPr>
          <w:rStyle w:val="13"/>
          <w:lang w:val="en-IN"/>
        </w:rPr>
        <w:t xml:space="preserve"> https://doi.org/10.1111/beer.12827</w:t>
      </w:r>
      <w:r>
        <w:rPr>
          <w:rStyle w:val="13"/>
          <w:lang w:val="en-IN"/>
        </w:rPr>
        <w:fldChar w:fldCharType="end"/>
      </w:r>
    </w:p>
    <w:p w14:paraId="7417FFCA">
      <w:r>
        <w:rPr>
          <w:lang w:val="en-IN"/>
        </w:rPr>
        <w:t>Marín-García, A., Gil-Saura, I., Ruiz-Molina, M.E. and Berenguer-Contrí, G.</w:t>
      </w:r>
      <w:r>
        <w:t xml:space="preserve"> (2021)</w:t>
      </w:r>
      <w:r>
        <w:rPr>
          <w:lang w:val="en-IN"/>
        </w:rPr>
        <w:t>. Sustainability, store equity, and satisfaction: The moderating effect of gender in retailing. </w:t>
      </w:r>
      <w:r>
        <w:rPr>
          <w:i/>
          <w:iCs/>
          <w:lang w:val="en-IN"/>
        </w:rPr>
        <w:t>Sustainability</w:t>
      </w:r>
      <w:r>
        <w:rPr>
          <w:lang w:val="en-IN"/>
        </w:rPr>
        <w:t>, </w:t>
      </w:r>
      <w:r>
        <w:rPr>
          <w:i/>
          <w:iCs/>
          <w:lang w:val="en-IN"/>
        </w:rPr>
        <w:t>13</w:t>
      </w:r>
      <w:r>
        <w:rPr>
          <w:lang w:val="en-IN"/>
        </w:rPr>
        <w:t>(2), p.1010.</w:t>
      </w:r>
      <w:r>
        <w:t xml:space="preserve"> </w:t>
      </w:r>
      <w:r>
        <w:fldChar w:fldCharType="begin"/>
      </w:r>
      <w:r>
        <w:instrText xml:space="preserve"> HYPERLINK "https://www.mdpi.com/2071-1050/13/2/1010" </w:instrText>
      </w:r>
      <w:r>
        <w:fldChar w:fldCharType="separate"/>
      </w:r>
      <w:r>
        <w:rPr>
          <w:rStyle w:val="13"/>
        </w:rPr>
        <w:t>https://www.mdpi.com/2071-1050/13/2/1010</w:t>
      </w:r>
      <w:r>
        <w:rPr>
          <w:rStyle w:val="13"/>
        </w:rPr>
        <w:fldChar w:fldCharType="end"/>
      </w:r>
      <w:r>
        <w:t xml:space="preserve"> </w:t>
      </w:r>
    </w:p>
    <w:p w14:paraId="57BCE763">
      <w:r>
        <w:t xml:space="preserve">McCrory, G., Schäpke, N., Holmén, J., &amp; Holmberg, J. (2020). Sustainability-oriented labs in real-world contexts: An exploratory review. </w:t>
      </w:r>
      <w:r>
        <w:rPr>
          <w:i/>
          <w:iCs/>
        </w:rPr>
        <w:t>Journal of Cleaner Production</w:t>
      </w:r>
      <w:r>
        <w:t xml:space="preserve">, </w:t>
      </w:r>
      <w:r>
        <w:rPr>
          <w:i/>
          <w:iCs/>
        </w:rPr>
        <w:t>277</w:t>
      </w:r>
      <w:r>
        <w:t xml:space="preserve">, 123202. </w:t>
      </w:r>
      <w:r>
        <w:fldChar w:fldCharType="begin"/>
      </w:r>
      <w:r>
        <w:instrText xml:space="preserve"> HYPERLINK "https://doi.org/10.1016/j.jclepro.2020.123202" </w:instrText>
      </w:r>
      <w:r>
        <w:fldChar w:fldCharType="separate"/>
      </w:r>
      <w:r>
        <w:rPr>
          <w:rStyle w:val="13"/>
        </w:rPr>
        <w:t>https://doi.org/10.1016/j.jclepro.2020.123202</w:t>
      </w:r>
      <w:r>
        <w:rPr>
          <w:rStyle w:val="13"/>
        </w:rPr>
        <w:fldChar w:fldCharType="end"/>
      </w:r>
    </w:p>
    <w:p w14:paraId="05059650">
      <w:r>
        <w:t xml:space="preserve">McHugh, M. L. (2013). The Chi-square test of independence. </w:t>
      </w:r>
      <w:r>
        <w:rPr>
          <w:i/>
          <w:iCs/>
        </w:rPr>
        <w:t>Biochemia Medica</w:t>
      </w:r>
      <w:r>
        <w:t xml:space="preserve">, </w:t>
      </w:r>
      <w:r>
        <w:rPr>
          <w:i/>
          <w:iCs/>
        </w:rPr>
        <w:t>23</w:t>
      </w:r>
      <w:r>
        <w:t xml:space="preserve">(2), 143–149. </w:t>
      </w:r>
      <w:r>
        <w:fldChar w:fldCharType="begin"/>
      </w:r>
      <w:r>
        <w:instrText xml:space="preserve"> HYPERLINK "https://doi.org/10.11613/bm.2013.018" </w:instrText>
      </w:r>
      <w:r>
        <w:fldChar w:fldCharType="separate"/>
      </w:r>
      <w:r>
        <w:rPr>
          <w:rStyle w:val="13"/>
        </w:rPr>
        <w:t>https://doi.org/10.11613/bm.2013.018</w:t>
      </w:r>
      <w:r>
        <w:rPr>
          <w:rStyle w:val="13"/>
        </w:rPr>
        <w:fldChar w:fldCharType="end"/>
      </w:r>
    </w:p>
    <w:p w14:paraId="42642A44">
      <w:r>
        <w:t xml:space="preserve">Memon, M. A., Thurasamy, R., Ting, H., &amp; Cheah, J. (2024). PURPOSIVE SAMPLING: a REVIEW AND GUIDELINES FOR QUANTITATIVE RESEARCH. </w:t>
      </w:r>
      <w:r>
        <w:rPr>
          <w:i/>
          <w:iCs/>
        </w:rPr>
        <w:t>Journal of Applied Structural Equation Modeling</w:t>
      </w:r>
      <w:r>
        <w:t xml:space="preserve">, </w:t>
      </w:r>
      <w:r>
        <w:rPr>
          <w:i/>
          <w:iCs/>
        </w:rPr>
        <w:t>9</w:t>
      </w:r>
      <w:r>
        <w:t xml:space="preserve">(1), 1–23. </w:t>
      </w:r>
      <w:r>
        <w:fldChar w:fldCharType="begin"/>
      </w:r>
      <w:r>
        <w:instrText xml:space="preserve"> HYPERLINK "https://doi.org/10.47263/jasem.9(1)01" </w:instrText>
      </w:r>
      <w:r>
        <w:fldChar w:fldCharType="separate"/>
      </w:r>
      <w:r>
        <w:rPr>
          <w:rStyle w:val="13"/>
        </w:rPr>
        <w:t>https://doi.org/10.47263/jasem.9(1)01</w:t>
      </w:r>
      <w:r>
        <w:rPr>
          <w:rStyle w:val="13"/>
        </w:rPr>
        <w:fldChar w:fldCharType="end"/>
      </w:r>
    </w:p>
    <w:p w14:paraId="17B65D2E">
      <w:pPr>
        <w:rPr>
          <w:lang w:val="en-IN"/>
        </w:rPr>
      </w:pPr>
      <w:r>
        <w:rPr>
          <w:lang w:val="en-IN"/>
        </w:rPr>
        <w:t xml:space="preserve">Michalski, D. (2024). Operationalization of ESG-integrated strategy through the balanced scorecard in FMCG companies. </w:t>
      </w:r>
      <w:r>
        <w:rPr>
          <w:i/>
          <w:iCs/>
          <w:lang w:val="en-IN"/>
        </w:rPr>
        <w:t>Sustainability</w:t>
      </w:r>
      <w:r>
        <w:rPr>
          <w:lang w:val="en-IN"/>
        </w:rPr>
        <w:t xml:space="preserve">, </w:t>
      </w:r>
      <w:r>
        <w:rPr>
          <w:i/>
          <w:iCs/>
          <w:lang w:val="en-IN"/>
        </w:rPr>
        <w:t>16</w:t>
      </w:r>
      <w:r>
        <w:rPr>
          <w:lang w:val="en-IN"/>
        </w:rPr>
        <w:t>(21), p.9174.</w:t>
      </w:r>
      <w:r>
        <w:fldChar w:fldCharType="begin"/>
      </w:r>
      <w:r>
        <w:instrText xml:space="preserve"> HYPERLINK "https://doi.org/10.3390/su16219174" </w:instrText>
      </w:r>
      <w:r>
        <w:fldChar w:fldCharType="separate"/>
      </w:r>
      <w:r>
        <w:rPr>
          <w:rStyle w:val="13"/>
          <w:lang w:val="en-IN"/>
        </w:rPr>
        <w:t xml:space="preserve"> https://doi.org/10.3390/su16219174</w:t>
      </w:r>
      <w:r>
        <w:rPr>
          <w:rStyle w:val="13"/>
          <w:lang w:val="en-IN"/>
        </w:rPr>
        <w:fldChar w:fldCharType="end"/>
      </w:r>
    </w:p>
    <w:p w14:paraId="4A216575">
      <w:r>
        <w:t xml:space="preserve">Minja, D. (2020). Strategic Philosophy and Competitive Advantage: Conceptual understanding and application in public sector organization. </w:t>
      </w:r>
      <w:r>
        <w:rPr>
          <w:i/>
          <w:iCs/>
        </w:rPr>
        <w:t>East African Journal of Business and Economics</w:t>
      </w:r>
      <w:r>
        <w:t xml:space="preserve">, </w:t>
      </w:r>
      <w:r>
        <w:rPr>
          <w:i/>
          <w:iCs/>
        </w:rPr>
        <w:t>2</w:t>
      </w:r>
      <w:r>
        <w:t xml:space="preserve">(1), 10–19. </w:t>
      </w:r>
      <w:r>
        <w:fldChar w:fldCharType="begin"/>
      </w:r>
      <w:r>
        <w:instrText xml:space="preserve"> HYPERLINK "https://doi.org/10.37284/eajbe.2.1.140" </w:instrText>
      </w:r>
      <w:r>
        <w:fldChar w:fldCharType="separate"/>
      </w:r>
      <w:r>
        <w:rPr>
          <w:rStyle w:val="13"/>
        </w:rPr>
        <w:t>https://doi.org/10.37284/eajbe.2.1.140</w:t>
      </w:r>
      <w:r>
        <w:rPr>
          <w:rStyle w:val="13"/>
        </w:rPr>
        <w:fldChar w:fldCharType="end"/>
      </w:r>
    </w:p>
    <w:p w14:paraId="7E3E18BC">
      <w:r>
        <w:t xml:space="preserve">Miteu, G. D. (2024). Ethics in scientific research: a lens into its importance, history, and future. </w:t>
      </w:r>
      <w:r>
        <w:rPr>
          <w:i/>
          <w:iCs/>
        </w:rPr>
        <w:t>Annals of Medicine and Surgery</w:t>
      </w:r>
      <w:r>
        <w:t xml:space="preserve">, </w:t>
      </w:r>
      <w:r>
        <w:rPr>
          <w:i/>
          <w:iCs/>
        </w:rPr>
        <w:t>86</w:t>
      </w:r>
      <w:r>
        <w:t xml:space="preserve">(5), 2395–2398. </w:t>
      </w:r>
      <w:r>
        <w:fldChar w:fldCharType="begin"/>
      </w:r>
      <w:r>
        <w:instrText xml:space="preserve"> HYPERLINK "https://doi.org/10.1097/ms9.0000000000001959" </w:instrText>
      </w:r>
      <w:r>
        <w:fldChar w:fldCharType="separate"/>
      </w:r>
      <w:r>
        <w:rPr>
          <w:rStyle w:val="13"/>
        </w:rPr>
        <w:t>https://doi.org/10.1097/ms9.0000000000001959</w:t>
      </w:r>
      <w:r>
        <w:rPr>
          <w:rStyle w:val="13"/>
        </w:rPr>
        <w:fldChar w:fldCharType="end"/>
      </w:r>
    </w:p>
    <w:p w14:paraId="2F47DF55">
      <w:pPr>
        <w:rPr>
          <w:lang w:val="en-IN"/>
        </w:rPr>
      </w:pPr>
      <w:r>
        <w:rPr>
          <w:lang w:val="en-IN"/>
        </w:rPr>
        <w:t xml:space="preserve">Modreanu, A., Toma, S., Burcea, M., &amp; Grădinaru, C. (2024). Perceptions and Attitudes of SMEs and MNCs Managers Regarding CSR Implementation: Insights from Companies Operating in the Retail Sector. </w:t>
      </w:r>
      <w:r>
        <w:rPr>
          <w:i/>
          <w:iCs/>
          <w:lang w:val="en-IN"/>
        </w:rPr>
        <w:t>Sustainability</w:t>
      </w:r>
      <w:r>
        <w:rPr>
          <w:lang w:val="en-IN"/>
        </w:rPr>
        <w:t xml:space="preserve">, </w:t>
      </w:r>
      <w:r>
        <w:rPr>
          <w:i/>
          <w:iCs/>
          <w:lang w:val="en-IN"/>
        </w:rPr>
        <w:t>16</w:t>
      </w:r>
      <w:r>
        <w:rPr>
          <w:lang w:val="en-IN"/>
        </w:rPr>
        <w:t>(10), 3963.</w:t>
      </w:r>
      <w:r>
        <w:fldChar w:fldCharType="begin"/>
      </w:r>
      <w:r>
        <w:instrText xml:space="preserve"> HYPERLINK "https://doi.org/10.3390/su16103963" </w:instrText>
      </w:r>
      <w:r>
        <w:fldChar w:fldCharType="separate"/>
      </w:r>
      <w:r>
        <w:rPr>
          <w:rStyle w:val="13"/>
          <w:lang w:val="en-IN"/>
        </w:rPr>
        <w:t xml:space="preserve"> https://doi.org/10.3390/su16103963</w:t>
      </w:r>
      <w:r>
        <w:rPr>
          <w:rStyle w:val="13"/>
          <w:lang w:val="en-IN"/>
        </w:rPr>
        <w:fldChar w:fldCharType="end"/>
      </w:r>
    </w:p>
    <w:p w14:paraId="734F7D3E">
      <w:r>
        <w:rPr>
          <w:lang w:val="en-IN"/>
        </w:rPr>
        <w:t>Morcillo-Bellido, J. and Duran-Heras, A.</w:t>
      </w:r>
      <w:r>
        <w:t xml:space="preserve"> (2020)</w:t>
      </w:r>
      <w:r>
        <w:rPr>
          <w:lang w:val="en-IN"/>
        </w:rPr>
        <w:t>. Sustainability governance mechanisms in supply chains: An application in the retail sector. </w:t>
      </w:r>
      <w:r>
        <w:rPr>
          <w:i/>
          <w:iCs/>
          <w:lang w:val="en-IN"/>
        </w:rPr>
        <w:t>Sustainability</w:t>
      </w:r>
      <w:r>
        <w:rPr>
          <w:lang w:val="en-IN"/>
        </w:rPr>
        <w:t>, </w:t>
      </w:r>
      <w:r>
        <w:rPr>
          <w:i/>
          <w:iCs/>
          <w:lang w:val="en-IN"/>
        </w:rPr>
        <w:t>12</w:t>
      </w:r>
      <w:r>
        <w:rPr>
          <w:lang w:val="en-IN"/>
        </w:rPr>
        <w:t>(17), p.6911.</w:t>
      </w:r>
      <w:r>
        <w:t xml:space="preserve"> </w:t>
      </w:r>
      <w:r>
        <w:fldChar w:fldCharType="begin"/>
      </w:r>
      <w:r>
        <w:instrText xml:space="preserve"> HYPERLINK "https://doi.org/10.3390/su12176911" </w:instrText>
      </w:r>
      <w:r>
        <w:fldChar w:fldCharType="separate"/>
      </w:r>
      <w:r>
        <w:rPr>
          <w:rStyle w:val="13"/>
        </w:rPr>
        <w:t>https://doi.org/10.3390/su12176911</w:t>
      </w:r>
      <w:r>
        <w:rPr>
          <w:rStyle w:val="13"/>
        </w:rPr>
        <w:fldChar w:fldCharType="end"/>
      </w:r>
    </w:p>
    <w:p w14:paraId="4B84AAA9">
      <w:r>
        <w:t>Mountfield, A., Hrajnoha, K., Koh, L., Lascenko, L., Puchala, R. and Schalch, C. (2021). Barriers to implementing sustainability experienced by middle managers in the fast-moving consumer goods and retail sector. In </w:t>
      </w:r>
      <w:r>
        <w:rPr>
          <w:i/>
          <w:iCs/>
        </w:rPr>
        <w:t>Research handbook of sustainability agency</w:t>
      </w:r>
      <w:r>
        <w:t xml:space="preserve"> (pp. 75-92). Edward Elgar Publishing. </w:t>
      </w:r>
      <w:r>
        <w:fldChar w:fldCharType="begin"/>
      </w:r>
      <w:r>
        <w:instrText xml:space="preserve"> HYPERLINK "https://www.academia.edu/download/109489231/9781789906028.00010.pdf" </w:instrText>
      </w:r>
      <w:r>
        <w:fldChar w:fldCharType="separate"/>
      </w:r>
      <w:r>
        <w:rPr>
          <w:rStyle w:val="13"/>
        </w:rPr>
        <w:t>https://www.academia.edu/download/109489231/9781789906028.00010.pdf</w:t>
      </w:r>
      <w:r>
        <w:rPr>
          <w:rStyle w:val="13"/>
        </w:rPr>
        <w:fldChar w:fldCharType="end"/>
      </w:r>
      <w:r>
        <w:t xml:space="preserve"> </w:t>
      </w:r>
    </w:p>
    <w:p w14:paraId="3B93E80B">
      <w:pPr>
        <w:rPr>
          <w:lang w:val="en-IN"/>
        </w:rPr>
      </w:pPr>
      <w:r>
        <w:rPr>
          <w:lang w:val="en-IN"/>
        </w:rPr>
        <w:t xml:space="preserve">Mountfield, A., Hrajnoha, K., Koh, L., Lascenko, L., Puchala, R., &amp; Schalch, C. (2021). Barriers to implementing sustainability experienced by middle managers in the fast-moving consumer goods and retail sector. In </w:t>
      </w:r>
      <w:r>
        <w:rPr>
          <w:i/>
          <w:iCs/>
          <w:lang w:val="en-IN"/>
        </w:rPr>
        <w:t>Edward Elgar Publishing eBooks</w:t>
      </w:r>
      <w:r>
        <w:rPr>
          <w:lang w:val="en-IN"/>
        </w:rPr>
        <w:t>.</w:t>
      </w:r>
      <w:r>
        <w:fldChar w:fldCharType="begin"/>
      </w:r>
      <w:r>
        <w:instrText xml:space="preserve"> HYPERLINK "https://doi.org/10.4337/9781789906035.00010" </w:instrText>
      </w:r>
      <w:r>
        <w:fldChar w:fldCharType="separate"/>
      </w:r>
      <w:r>
        <w:rPr>
          <w:rStyle w:val="13"/>
          <w:lang w:val="en-IN"/>
        </w:rPr>
        <w:t xml:space="preserve"> https://doi.org/10.4337/9781789906035.00010</w:t>
      </w:r>
      <w:r>
        <w:rPr>
          <w:rStyle w:val="13"/>
          <w:lang w:val="en-IN"/>
        </w:rPr>
        <w:fldChar w:fldCharType="end"/>
      </w:r>
    </w:p>
    <w:p w14:paraId="3439AEE3">
      <w:r>
        <w:t xml:space="preserve">Munir, E., &amp; Yavuz, M. A. (2024). Study of pragmatic analysis of literature on the development of ELT students’ receptive and productive skills: A case of North Cyprus. </w:t>
      </w:r>
      <w:r>
        <w:rPr>
          <w:i/>
          <w:iCs/>
        </w:rPr>
        <w:t>Heliyon</w:t>
      </w:r>
      <w:r>
        <w:t xml:space="preserve">, </w:t>
      </w:r>
      <w:r>
        <w:rPr>
          <w:i/>
          <w:iCs/>
        </w:rPr>
        <w:t>10</w:t>
      </w:r>
      <w:r>
        <w:t xml:space="preserve">(21), e39558. </w:t>
      </w:r>
      <w:r>
        <w:fldChar w:fldCharType="begin"/>
      </w:r>
      <w:r>
        <w:instrText xml:space="preserve"> HYPERLINK "https://doi.org/10.1016/j.heliyon.2024.e39558" </w:instrText>
      </w:r>
      <w:r>
        <w:fldChar w:fldCharType="separate"/>
      </w:r>
      <w:r>
        <w:rPr>
          <w:rStyle w:val="13"/>
        </w:rPr>
        <w:t>https://doi.org/10.1016/j.heliyon.2024.e39558</w:t>
      </w:r>
      <w:r>
        <w:rPr>
          <w:rStyle w:val="13"/>
        </w:rPr>
        <w:fldChar w:fldCharType="end"/>
      </w:r>
    </w:p>
    <w:p w14:paraId="23F6F97B">
      <w:r>
        <w:t xml:space="preserve">Nayak, M. S. D. P., &amp; A, N. K. (2019). Strengths and weakness of online surveys. </w:t>
      </w:r>
      <w:r>
        <w:rPr>
          <w:i/>
          <w:iCs/>
        </w:rPr>
        <w:t>ResearchGate</w:t>
      </w:r>
      <w:r>
        <w:t xml:space="preserve">. </w:t>
      </w:r>
      <w:r>
        <w:fldChar w:fldCharType="begin"/>
      </w:r>
      <w:r>
        <w:instrText xml:space="preserve"> HYPERLINK "https://doi.org/10.9790/0837-2405053138" </w:instrText>
      </w:r>
      <w:r>
        <w:fldChar w:fldCharType="separate"/>
      </w:r>
      <w:r>
        <w:rPr>
          <w:rStyle w:val="13"/>
        </w:rPr>
        <w:t>https://doi.org/10.9790/0837-2405053138</w:t>
      </w:r>
      <w:r>
        <w:rPr>
          <w:rStyle w:val="13"/>
        </w:rPr>
        <w:fldChar w:fldCharType="end"/>
      </w:r>
    </w:p>
    <w:p w14:paraId="54CDB44E">
      <w:r>
        <w:rPr>
          <w:lang w:val="en-IN"/>
        </w:rPr>
        <w:t>Newman, C., Rand, J., Tarp, F. and Trifkovic, N.</w:t>
      </w:r>
      <w:r>
        <w:t xml:space="preserve"> (2020)</w:t>
      </w:r>
      <w:r>
        <w:rPr>
          <w:lang w:val="en-IN"/>
        </w:rPr>
        <w:t>. Corporate social responsibility in a competitive business environment. </w:t>
      </w:r>
      <w:r>
        <w:rPr>
          <w:i/>
          <w:iCs/>
          <w:lang w:val="en-IN"/>
        </w:rPr>
        <w:t>The Journal of Development Studies</w:t>
      </w:r>
      <w:r>
        <w:rPr>
          <w:lang w:val="en-IN"/>
        </w:rPr>
        <w:t>, </w:t>
      </w:r>
      <w:r>
        <w:rPr>
          <w:i/>
          <w:iCs/>
          <w:lang w:val="en-IN"/>
        </w:rPr>
        <w:t>56</w:t>
      </w:r>
      <w:r>
        <w:rPr>
          <w:lang w:val="en-IN"/>
        </w:rPr>
        <w:t>(8), pp.1455-1472.</w:t>
      </w:r>
      <w:r>
        <w:t xml:space="preserve"> </w:t>
      </w:r>
      <w:r>
        <w:fldChar w:fldCharType="begin"/>
      </w:r>
      <w:r>
        <w:instrText xml:space="preserve"> HYPERLINK "https://www.tandfonline.com/doi/pdf/10.1080/00220388.2019.1694144" </w:instrText>
      </w:r>
      <w:r>
        <w:fldChar w:fldCharType="separate"/>
      </w:r>
      <w:r>
        <w:rPr>
          <w:rStyle w:val="13"/>
        </w:rPr>
        <w:t>https://www.tandfonline.com/doi/pdf/10.1080/00220388.2019.1694144</w:t>
      </w:r>
      <w:r>
        <w:rPr>
          <w:rStyle w:val="13"/>
        </w:rPr>
        <w:fldChar w:fldCharType="end"/>
      </w:r>
      <w:r>
        <w:t xml:space="preserve"> </w:t>
      </w:r>
    </w:p>
    <w:p w14:paraId="728AFF41">
      <w:r>
        <w:t xml:space="preserve">Noël, C., Vanroelen, C., &amp; Gadeyne, S. (2021). Qualitative research about public health risk perceptions on ambient air pollution. A review study. </w:t>
      </w:r>
      <w:r>
        <w:rPr>
          <w:i/>
          <w:iCs/>
        </w:rPr>
        <w:t>SSM - Population Health</w:t>
      </w:r>
      <w:r>
        <w:t xml:space="preserve">, </w:t>
      </w:r>
      <w:r>
        <w:rPr>
          <w:i/>
          <w:iCs/>
        </w:rPr>
        <w:t>15</w:t>
      </w:r>
      <w:r>
        <w:t xml:space="preserve">, 100879. </w:t>
      </w:r>
      <w:r>
        <w:fldChar w:fldCharType="begin"/>
      </w:r>
      <w:r>
        <w:instrText xml:space="preserve"> HYPERLINK "https://doi.org/10.1016/j.ssmph.2021.100879" </w:instrText>
      </w:r>
      <w:r>
        <w:fldChar w:fldCharType="separate"/>
      </w:r>
      <w:r>
        <w:rPr>
          <w:rStyle w:val="13"/>
        </w:rPr>
        <w:t>https://doi.org/10.1016/j.ssmph.2021.100879</w:t>
      </w:r>
      <w:r>
        <w:rPr>
          <w:rStyle w:val="13"/>
        </w:rPr>
        <w:fldChar w:fldCharType="end"/>
      </w:r>
    </w:p>
    <w:p w14:paraId="596F6888">
      <w:r>
        <w:t xml:space="preserve">Ozden, M. (2024). Content and thematic analysis techniques in qualitative research purpose, process and features. </w:t>
      </w:r>
      <w:r>
        <w:rPr>
          <w:i/>
          <w:iCs/>
        </w:rPr>
        <w:t>ResearchGate</w:t>
      </w:r>
      <w:r>
        <w:t xml:space="preserve">. </w:t>
      </w:r>
      <w:r>
        <w:fldChar w:fldCharType="begin"/>
      </w:r>
      <w:r>
        <w:instrText xml:space="preserve"> HYPERLINK "https://www.researchgate.net/publication/382948962_Content_and_Thematic_Analysis_Techniques_in_Qualitative_Research_Purpose_Process_and_Features" </w:instrText>
      </w:r>
      <w:r>
        <w:fldChar w:fldCharType="separate"/>
      </w:r>
      <w:r>
        <w:rPr>
          <w:rStyle w:val="13"/>
        </w:rPr>
        <w:t>https://www.researchgate.net/publication/382948962_Content_and_Thematic_Analysis_Techniques_in_Qualitative_Research_Purpose_Process_and_Features</w:t>
      </w:r>
      <w:r>
        <w:rPr>
          <w:rStyle w:val="13"/>
        </w:rPr>
        <w:fldChar w:fldCharType="end"/>
      </w:r>
    </w:p>
    <w:p w14:paraId="220A166E">
      <w:pPr>
        <w:rPr>
          <w:lang w:val="en-IN"/>
        </w:rPr>
      </w:pPr>
      <w:r>
        <w:rPr>
          <w:lang w:val="en-IN"/>
        </w:rPr>
        <w:t xml:space="preserve">Özkan, A. M. (2024). Sustainable development and institutional theory. In </w:t>
      </w:r>
      <w:r>
        <w:rPr>
          <w:i/>
          <w:iCs/>
          <w:lang w:val="en-IN"/>
        </w:rPr>
        <w:t>Advances in business strategy and competitive advantage book series</w:t>
      </w:r>
      <w:r>
        <w:rPr>
          <w:lang w:val="en-IN"/>
        </w:rPr>
        <w:t xml:space="preserve"> (pp. 59–80).</w:t>
      </w:r>
      <w:r>
        <w:fldChar w:fldCharType="begin"/>
      </w:r>
      <w:r>
        <w:instrText xml:space="preserve"> HYPERLINK "https://doi.org/10.4018/979-8-3693-8337-7.ch004" </w:instrText>
      </w:r>
      <w:r>
        <w:fldChar w:fldCharType="separate"/>
      </w:r>
      <w:r>
        <w:rPr>
          <w:rStyle w:val="13"/>
          <w:lang w:val="en-IN"/>
        </w:rPr>
        <w:t xml:space="preserve"> https://doi.org/10.4018/979-8-3693-8337-7.ch004</w:t>
      </w:r>
      <w:r>
        <w:rPr>
          <w:rStyle w:val="13"/>
          <w:lang w:val="en-IN"/>
        </w:rPr>
        <w:fldChar w:fldCharType="end"/>
      </w:r>
    </w:p>
    <w:p w14:paraId="780B3873">
      <w:pPr>
        <w:rPr>
          <w:lang w:val="en-IN"/>
        </w:rPr>
      </w:pPr>
      <w:r>
        <w:rPr>
          <w:lang w:val="en-IN"/>
        </w:rPr>
        <w:t xml:space="preserve">Papadopoulos, A.E., Arsenos, P., Sykianakis, N. and Stavroulakis, D. (2025). Embedding Corporate Social Responsibility in Retail Strategy: Strategic, Sustainable, and Localized Approaches to Building Brand Equity and Loyalty. </w:t>
      </w:r>
      <w:r>
        <w:rPr>
          <w:i/>
          <w:iCs/>
          <w:lang w:val="en-IN"/>
        </w:rPr>
        <w:t>Sustainability</w:t>
      </w:r>
      <w:r>
        <w:rPr>
          <w:lang w:val="en-IN"/>
        </w:rPr>
        <w:t xml:space="preserve">, </w:t>
      </w:r>
      <w:r>
        <w:rPr>
          <w:i/>
          <w:iCs/>
          <w:lang w:val="en-IN"/>
        </w:rPr>
        <w:t>17</w:t>
      </w:r>
      <w:r>
        <w:rPr>
          <w:lang w:val="en-IN"/>
        </w:rPr>
        <w:t>(21), p.9385.</w:t>
      </w:r>
      <w:r>
        <w:fldChar w:fldCharType="begin"/>
      </w:r>
      <w:r>
        <w:instrText xml:space="preserve"> HYPERLINK "https://www.mdpi.com/2071-1050/17/21/9385" </w:instrText>
      </w:r>
      <w:r>
        <w:fldChar w:fldCharType="separate"/>
      </w:r>
      <w:r>
        <w:rPr>
          <w:rStyle w:val="13"/>
          <w:lang w:val="en-IN"/>
        </w:rPr>
        <w:t xml:space="preserve"> https://www.mdpi.com/2071-1050/17/21/9385</w:t>
      </w:r>
      <w:r>
        <w:rPr>
          <w:rStyle w:val="13"/>
          <w:lang w:val="en-IN"/>
        </w:rPr>
        <w:fldChar w:fldCharType="end"/>
      </w:r>
    </w:p>
    <w:p w14:paraId="61818059">
      <w:r>
        <w:t xml:space="preserve">Park, Y. S., Konge, L., &amp; Artino, A. R. (2019). The positivism paradigm of research. </w:t>
      </w:r>
      <w:r>
        <w:rPr>
          <w:i/>
          <w:iCs/>
        </w:rPr>
        <w:t>Academic Medicine</w:t>
      </w:r>
      <w:r>
        <w:t xml:space="preserve">, </w:t>
      </w:r>
      <w:r>
        <w:rPr>
          <w:i/>
          <w:iCs/>
        </w:rPr>
        <w:t>95</w:t>
      </w:r>
      <w:r>
        <w:t xml:space="preserve">(5), 690–694. </w:t>
      </w:r>
      <w:r>
        <w:fldChar w:fldCharType="begin"/>
      </w:r>
      <w:r>
        <w:instrText xml:space="preserve"> HYPERLINK "https://doi.org/10.1097/acm.0000000000003093" </w:instrText>
      </w:r>
      <w:r>
        <w:fldChar w:fldCharType="separate"/>
      </w:r>
      <w:r>
        <w:rPr>
          <w:rStyle w:val="13"/>
        </w:rPr>
        <w:t>https://doi.org/10.1097/acm.0000000000003093</w:t>
      </w:r>
      <w:r>
        <w:rPr>
          <w:rStyle w:val="13"/>
        </w:rPr>
        <w:fldChar w:fldCharType="end"/>
      </w:r>
    </w:p>
    <w:p w14:paraId="4025B7D0">
      <w:r>
        <w:t xml:space="preserve">Park, Y. S., Konge, L., &amp; Artino, A. R. (2019). The positivism paradigm of research. </w:t>
      </w:r>
      <w:r>
        <w:rPr>
          <w:i/>
          <w:iCs/>
        </w:rPr>
        <w:t>Academic Medicine</w:t>
      </w:r>
      <w:r>
        <w:t xml:space="preserve">, </w:t>
      </w:r>
      <w:r>
        <w:rPr>
          <w:i/>
          <w:iCs/>
        </w:rPr>
        <w:t>95</w:t>
      </w:r>
      <w:r>
        <w:t xml:space="preserve">(5), 690–694. </w:t>
      </w:r>
      <w:r>
        <w:fldChar w:fldCharType="begin"/>
      </w:r>
      <w:r>
        <w:instrText xml:space="preserve"> HYPERLINK "https://doi.org/10.1097/acm.0000000000003093" </w:instrText>
      </w:r>
      <w:r>
        <w:fldChar w:fldCharType="separate"/>
      </w:r>
      <w:r>
        <w:rPr>
          <w:rStyle w:val="13"/>
        </w:rPr>
        <w:t>https://doi.org/10.1097/acm.0000000000003093</w:t>
      </w:r>
      <w:r>
        <w:rPr>
          <w:rStyle w:val="13"/>
        </w:rPr>
        <w:fldChar w:fldCharType="end"/>
      </w:r>
    </w:p>
    <w:p w14:paraId="02098C78">
      <w:r>
        <w:t xml:space="preserve">Pervin, N., &amp; Mokhtar, M. (2022). The Interpretivist Research Paradigm: a subjective notion of a social context. </w:t>
      </w:r>
      <w:r>
        <w:rPr>
          <w:i/>
          <w:iCs/>
        </w:rPr>
        <w:t>International Journal of Academic Research in Progressive Education and Development</w:t>
      </w:r>
      <w:r>
        <w:t xml:space="preserve">, </w:t>
      </w:r>
      <w:r>
        <w:rPr>
          <w:i/>
          <w:iCs/>
        </w:rPr>
        <w:t>11</w:t>
      </w:r>
      <w:r>
        <w:t xml:space="preserve">(2). </w:t>
      </w:r>
      <w:r>
        <w:fldChar w:fldCharType="begin"/>
      </w:r>
      <w:r>
        <w:instrText xml:space="preserve"> HYPERLINK "https://doi.org/10.6007/ijarped/v11-i2/12938" </w:instrText>
      </w:r>
      <w:r>
        <w:fldChar w:fldCharType="separate"/>
      </w:r>
      <w:r>
        <w:rPr>
          <w:rStyle w:val="13"/>
        </w:rPr>
        <w:t>https://doi.org/10.6007/ijarped/v11-i2/12938</w:t>
      </w:r>
      <w:r>
        <w:rPr>
          <w:rStyle w:val="13"/>
        </w:rPr>
        <w:fldChar w:fldCharType="end"/>
      </w:r>
    </w:p>
    <w:p w14:paraId="435E8C45">
      <w:r>
        <w:t xml:space="preserve">Pervin, N., &amp; Mokhtar, M. (2022). The Interpretivist Research Paradigm: a subjective notion of a social context. </w:t>
      </w:r>
      <w:r>
        <w:rPr>
          <w:i/>
          <w:iCs/>
        </w:rPr>
        <w:t>International Journal of Academic Research in Progressive Education and Development</w:t>
      </w:r>
      <w:r>
        <w:t xml:space="preserve">, </w:t>
      </w:r>
      <w:r>
        <w:rPr>
          <w:i/>
          <w:iCs/>
        </w:rPr>
        <w:t>11</w:t>
      </w:r>
      <w:r>
        <w:t xml:space="preserve">(2). </w:t>
      </w:r>
      <w:r>
        <w:fldChar w:fldCharType="begin"/>
      </w:r>
      <w:r>
        <w:instrText xml:space="preserve"> HYPERLINK "https://doi.org/10.6007/ijarped/v11-i2/12938" </w:instrText>
      </w:r>
      <w:r>
        <w:fldChar w:fldCharType="separate"/>
      </w:r>
      <w:r>
        <w:rPr>
          <w:rStyle w:val="13"/>
        </w:rPr>
        <w:t>https://doi.org/10.6007/ijarped/v11-i2/12938</w:t>
      </w:r>
      <w:r>
        <w:rPr>
          <w:rStyle w:val="13"/>
        </w:rPr>
        <w:fldChar w:fldCharType="end"/>
      </w:r>
    </w:p>
    <w:p w14:paraId="1D380125">
      <w:pPr>
        <w:rPr>
          <w:lang w:val="en-IN"/>
        </w:rPr>
      </w:pPr>
      <w:r>
        <w:rPr>
          <w:lang w:val="en-IN"/>
        </w:rPr>
        <w:t xml:space="preserve">Phuong, L. N., Tuan, K. C., Duc, N. N., &amp; Thi, U. N. (2022). The impact of absorption capability, innovation capability, and branding capability on Firm Performance—An Empirical Study on Vietnamese retail firms. </w:t>
      </w:r>
      <w:r>
        <w:rPr>
          <w:i/>
          <w:iCs/>
          <w:lang w:val="en-IN"/>
        </w:rPr>
        <w:t>Sustainability</w:t>
      </w:r>
      <w:r>
        <w:rPr>
          <w:lang w:val="en-IN"/>
        </w:rPr>
        <w:t xml:space="preserve">, </w:t>
      </w:r>
      <w:r>
        <w:rPr>
          <w:i/>
          <w:iCs/>
          <w:lang w:val="en-IN"/>
        </w:rPr>
        <w:t>14</w:t>
      </w:r>
      <w:r>
        <w:rPr>
          <w:lang w:val="en-IN"/>
        </w:rPr>
        <w:t>(11), 6422.</w:t>
      </w:r>
      <w:r>
        <w:fldChar w:fldCharType="begin"/>
      </w:r>
      <w:r>
        <w:instrText xml:space="preserve"> HYPERLINK "https://doi.org/10.3390/su14116422" </w:instrText>
      </w:r>
      <w:r>
        <w:fldChar w:fldCharType="separate"/>
      </w:r>
      <w:r>
        <w:rPr>
          <w:rStyle w:val="13"/>
          <w:lang w:val="en-IN"/>
        </w:rPr>
        <w:t xml:space="preserve"> https://doi.org/10.3390/su14116422</w:t>
      </w:r>
      <w:r>
        <w:rPr>
          <w:rStyle w:val="13"/>
          <w:lang w:val="en-IN"/>
        </w:rPr>
        <w:fldChar w:fldCharType="end"/>
      </w:r>
    </w:p>
    <w:p w14:paraId="0890BD44">
      <w:r>
        <w:t xml:space="preserve">Rahman, A., &amp; Muktadir, M. (2021). SPSS: an imperative quantitative data analysis tool for social science research. </w:t>
      </w:r>
      <w:r>
        <w:rPr>
          <w:i/>
          <w:iCs/>
        </w:rPr>
        <w:t>International Journal of Research and Innovation in Social Science</w:t>
      </w:r>
      <w:r>
        <w:t xml:space="preserve">, </w:t>
      </w:r>
      <w:r>
        <w:rPr>
          <w:i/>
          <w:iCs/>
        </w:rPr>
        <w:t>05</w:t>
      </w:r>
      <w:r>
        <w:t xml:space="preserve">(10), 300–302. </w:t>
      </w:r>
      <w:r>
        <w:fldChar w:fldCharType="begin"/>
      </w:r>
      <w:r>
        <w:instrText xml:space="preserve"> HYPERLINK "https://doi.org/10.47772/ijriss.2021.51012" </w:instrText>
      </w:r>
      <w:r>
        <w:fldChar w:fldCharType="separate"/>
      </w:r>
      <w:r>
        <w:rPr>
          <w:rStyle w:val="13"/>
        </w:rPr>
        <w:t>https://doi.org/10.47772/ijriss.2021.51012</w:t>
      </w:r>
      <w:r>
        <w:rPr>
          <w:rStyle w:val="13"/>
        </w:rPr>
        <w:fldChar w:fldCharType="end"/>
      </w:r>
    </w:p>
    <w:p w14:paraId="33B97E7E">
      <w:pPr>
        <w:rPr>
          <w:lang w:val="en-IN"/>
        </w:rPr>
      </w:pPr>
      <w:r>
        <w:rPr>
          <w:lang w:val="en-IN"/>
        </w:rPr>
        <w:t xml:space="preserve">Rao, P., Balasubramanian, S., Vihari, N., Jabeen, S., Shukla, V. and Chanchaichujit, J. (2021). The e-commerce supply chain and environmental sustainability: An empirical investigation on the online retail sector. </w:t>
      </w:r>
      <w:r>
        <w:rPr>
          <w:i/>
          <w:iCs/>
          <w:lang w:val="en-IN"/>
        </w:rPr>
        <w:t>Cogent Business &amp; Management</w:t>
      </w:r>
      <w:r>
        <w:rPr>
          <w:lang w:val="en-IN"/>
        </w:rPr>
        <w:t xml:space="preserve">, </w:t>
      </w:r>
      <w:r>
        <w:rPr>
          <w:i/>
          <w:iCs/>
          <w:lang w:val="en-IN"/>
        </w:rPr>
        <w:t>8</w:t>
      </w:r>
      <w:r>
        <w:rPr>
          <w:lang w:val="en-IN"/>
        </w:rPr>
        <w:t>(1), p.1938377.</w:t>
      </w:r>
      <w:r>
        <w:fldChar w:fldCharType="begin"/>
      </w:r>
      <w:r>
        <w:instrText xml:space="preserve"> HYPERLINK "https://www.tandfonline.com/doi/pdf/10.1080/23311975.2021.1938377" </w:instrText>
      </w:r>
      <w:r>
        <w:fldChar w:fldCharType="separate"/>
      </w:r>
      <w:r>
        <w:rPr>
          <w:rStyle w:val="13"/>
          <w:lang w:val="en-IN"/>
        </w:rPr>
        <w:t xml:space="preserve"> https://www.tandfonline.com/doi/pdf/10.1080/23311975.2021.1938377</w:t>
      </w:r>
      <w:r>
        <w:rPr>
          <w:rStyle w:val="13"/>
          <w:lang w:val="en-IN"/>
        </w:rPr>
        <w:fldChar w:fldCharType="end"/>
      </w:r>
    </w:p>
    <w:p w14:paraId="6E3688BA">
      <w:r>
        <w:t xml:space="preserve">Rupp, V., &amp; Von Grafenstein, M. (2024). Clarifying “personal data” and the role of anonymisation in data protection law: Including and excluding data from the scope of the GDPR (more clearly) through refining the concept of data protection. </w:t>
      </w:r>
      <w:r>
        <w:rPr>
          <w:i/>
          <w:iCs/>
        </w:rPr>
        <w:t>Computer Law &amp; Security Review</w:t>
      </w:r>
      <w:r>
        <w:t xml:space="preserve">, </w:t>
      </w:r>
      <w:r>
        <w:rPr>
          <w:i/>
          <w:iCs/>
        </w:rPr>
        <w:t>52</w:t>
      </w:r>
      <w:r>
        <w:t xml:space="preserve">, 105932. </w:t>
      </w:r>
      <w:r>
        <w:fldChar w:fldCharType="begin"/>
      </w:r>
      <w:r>
        <w:instrText xml:space="preserve"> HYPERLINK "https://doi.org/10.1016/j.clsr.2023.105932" </w:instrText>
      </w:r>
      <w:r>
        <w:fldChar w:fldCharType="separate"/>
      </w:r>
      <w:r>
        <w:rPr>
          <w:rStyle w:val="13"/>
        </w:rPr>
        <w:t>https://doi.org/10.1016/j.clsr.2023.105932</w:t>
      </w:r>
      <w:r>
        <w:rPr>
          <w:rStyle w:val="13"/>
        </w:rPr>
        <w:fldChar w:fldCharType="end"/>
      </w:r>
    </w:p>
    <w:p w14:paraId="3D28496C">
      <w:r>
        <w:t xml:space="preserve">Şahin, E., &amp; Kara, S. N. (2024). A brand research in the framework of sustainable production and consumption in the retail industry. </w:t>
      </w:r>
      <w:r>
        <w:rPr>
          <w:i/>
          <w:iCs/>
        </w:rPr>
        <w:t>ResearchGate</w:t>
      </w:r>
      <w:r>
        <w:t xml:space="preserve">. </w:t>
      </w:r>
      <w:r>
        <w:fldChar w:fldCharType="begin"/>
      </w:r>
      <w:r>
        <w:instrText xml:space="preserve"> HYPERLINK "https://www.researchgate.net/publication/388491689_A_Brand_Research_in_The_Framework_of_Sustainable_Production_and_Consumption_in_The_Retail_Industry" </w:instrText>
      </w:r>
      <w:r>
        <w:fldChar w:fldCharType="separate"/>
      </w:r>
      <w:r>
        <w:rPr>
          <w:rStyle w:val="13"/>
        </w:rPr>
        <w:t>https://www.researchgate.net/publication/388491689_A_Brand_Research_in_The_Framework_of_Sustainable_Production_and_Consumption_in_The_Retail_Industry</w:t>
      </w:r>
      <w:r>
        <w:rPr>
          <w:rStyle w:val="13"/>
        </w:rPr>
        <w:fldChar w:fldCharType="end"/>
      </w:r>
    </w:p>
    <w:p w14:paraId="4D9585D5">
      <w:r>
        <w:t xml:space="preserve">Shreffler, J., &amp; Huecker, M. R. (2023, November 3). </w:t>
      </w:r>
      <w:r>
        <w:rPr>
          <w:i/>
          <w:iCs/>
        </w:rPr>
        <w:t>Exploratory data analysis: frequencies, descriptive statistics, histograms, and boxplots</w:t>
      </w:r>
      <w:r>
        <w:t xml:space="preserve">. StatPearls - NCBI Bookshelf. </w:t>
      </w:r>
      <w:r>
        <w:fldChar w:fldCharType="begin"/>
      </w:r>
      <w:r>
        <w:instrText xml:space="preserve"> HYPERLINK "https://www.ncbi.nlm.nih.gov/books/NBK557570/" </w:instrText>
      </w:r>
      <w:r>
        <w:fldChar w:fldCharType="separate"/>
      </w:r>
      <w:r>
        <w:rPr>
          <w:rStyle w:val="13"/>
        </w:rPr>
        <w:t>https://www.ncbi.nlm.nih.gov/books/NBK557570/</w:t>
      </w:r>
      <w:r>
        <w:rPr>
          <w:rStyle w:val="13"/>
        </w:rPr>
        <w:fldChar w:fldCharType="end"/>
      </w:r>
    </w:p>
    <w:p w14:paraId="7C3C0ECC">
      <w:r>
        <w:t xml:space="preserve">Singh, N. A. (2024). Sustainability practices in business operations. </w:t>
      </w:r>
      <w:r>
        <w:rPr>
          <w:i/>
          <w:iCs/>
        </w:rPr>
        <w:t>International Journal for Research Publication and Seminars</w:t>
      </w:r>
      <w:r>
        <w:t xml:space="preserve">, </w:t>
      </w:r>
      <w:r>
        <w:rPr>
          <w:i/>
          <w:iCs/>
        </w:rPr>
        <w:t>15</w:t>
      </w:r>
      <w:r>
        <w:t xml:space="preserve">(3), 18–34. </w:t>
      </w:r>
      <w:r>
        <w:fldChar w:fldCharType="begin"/>
      </w:r>
      <w:r>
        <w:instrText xml:space="preserve"> HYPERLINK "https://doi.org/10.36676/jrps.v15.i3.1424" </w:instrText>
      </w:r>
      <w:r>
        <w:fldChar w:fldCharType="separate"/>
      </w:r>
      <w:r>
        <w:rPr>
          <w:rStyle w:val="13"/>
        </w:rPr>
        <w:t>https://doi.org/10.36676/jrps.v15.i3.1424</w:t>
      </w:r>
      <w:r>
        <w:rPr>
          <w:rStyle w:val="13"/>
        </w:rPr>
        <w:fldChar w:fldCharType="end"/>
      </w:r>
    </w:p>
    <w:p w14:paraId="2710A0D2">
      <w:r>
        <w:t xml:space="preserve">Taherdoost, H. (2019, March 29). </w:t>
      </w:r>
      <w:r>
        <w:rPr>
          <w:i/>
          <w:iCs/>
        </w:rPr>
        <w:t>What is the best response scale for survey and questionnaire design; Review of different lengths of rating scale / attitude scale / likert scale</w:t>
      </w:r>
      <w:r>
        <w:t xml:space="preserve">. </w:t>
      </w:r>
      <w:r>
        <w:fldChar w:fldCharType="begin"/>
      </w:r>
      <w:r>
        <w:instrText xml:space="preserve"> HYPERLINK "https://papers.ssrn.com/sol3/papers.cfm?abstract_id=3588604" </w:instrText>
      </w:r>
      <w:r>
        <w:fldChar w:fldCharType="separate"/>
      </w:r>
      <w:r>
        <w:rPr>
          <w:rStyle w:val="13"/>
        </w:rPr>
        <w:t>https://papers.ssrn.com/sol3/papers.cfm?abstract_id=3588604</w:t>
      </w:r>
      <w:r>
        <w:rPr>
          <w:rStyle w:val="13"/>
        </w:rPr>
        <w:fldChar w:fldCharType="end"/>
      </w:r>
    </w:p>
    <w:p w14:paraId="43F663BE">
      <w:r>
        <w:t xml:space="preserve">Talan, G., Sharma, G. D., Pereira, V., &amp; Muschert, G. W. (2024). From ESG to holistic value addition: Rethinking sustainable investment from the lens of stakeholder theory. </w:t>
      </w:r>
      <w:r>
        <w:rPr>
          <w:i/>
          <w:iCs/>
        </w:rPr>
        <w:t>International Review of Economics &amp; Finance</w:t>
      </w:r>
      <w:r>
        <w:t xml:space="preserve">, </w:t>
      </w:r>
      <w:r>
        <w:rPr>
          <w:i/>
          <w:iCs/>
        </w:rPr>
        <w:t>96</w:t>
      </w:r>
      <w:r>
        <w:t xml:space="preserve">, 103530. </w:t>
      </w:r>
      <w:r>
        <w:fldChar w:fldCharType="begin"/>
      </w:r>
      <w:r>
        <w:instrText xml:space="preserve"> HYPERLINK "https://doi.org/10.1016/j.iref.2024.103530" </w:instrText>
      </w:r>
      <w:r>
        <w:fldChar w:fldCharType="separate"/>
      </w:r>
      <w:r>
        <w:rPr>
          <w:rStyle w:val="13"/>
        </w:rPr>
        <w:t>https://doi.org/10.1016/j.iref.2024.103530</w:t>
      </w:r>
      <w:r>
        <w:rPr>
          <w:rStyle w:val="13"/>
        </w:rPr>
        <w:fldChar w:fldCharType="end"/>
      </w:r>
    </w:p>
    <w:p w14:paraId="5E5D467D">
      <w:r>
        <w:t xml:space="preserve">Teh, W. L., Abdin, E., PV, A., Kumar, F. D. S., Roystonn, K., Wang, P., Shafie, S., Chang, S., Jeyagurunathan, A., Vaingankar, J. A., Sum, C. F., Lee, E. S., Van Dam, R. M., &amp; Subramaniam, M. (2023). Measuring social desirability bias in a multi-ethnic cohort sample: its relationship with self-reported physical activity, dietary habits, and factor structure. </w:t>
      </w:r>
      <w:r>
        <w:rPr>
          <w:i/>
          <w:iCs/>
        </w:rPr>
        <w:t>BMC Public Health</w:t>
      </w:r>
      <w:r>
        <w:t xml:space="preserve">, </w:t>
      </w:r>
      <w:r>
        <w:rPr>
          <w:i/>
          <w:iCs/>
        </w:rPr>
        <w:t>23</w:t>
      </w:r>
      <w:r>
        <w:t xml:space="preserve">(1), 415. </w:t>
      </w:r>
      <w:r>
        <w:fldChar w:fldCharType="begin"/>
      </w:r>
      <w:r>
        <w:instrText xml:space="preserve"> HYPERLINK "https://doi.org/10.1186/s12889-023-15309-3" </w:instrText>
      </w:r>
      <w:r>
        <w:fldChar w:fldCharType="separate"/>
      </w:r>
      <w:r>
        <w:rPr>
          <w:rStyle w:val="13"/>
        </w:rPr>
        <w:t>https://doi.org/10.1186/s12889-023-15309-3</w:t>
      </w:r>
      <w:r>
        <w:rPr>
          <w:rStyle w:val="13"/>
        </w:rPr>
        <w:fldChar w:fldCharType="end"/>
      </w:r>
    </w:p>
    <w:p w14:paraId="3B661AC7">
      <w:r>
        <w:t xml:space="preserve">Thun, T. W., Schneider, A., Kayser, C., &amp; Zülch, H. (2024). The role of sustainability integration into the corporate strategy – A perspective on analysts’ perceptions and buy recommendations. </w:t>
      </w:r>
      <w:r>
        <w:rPr>
          <w:i/>
          <w:iCs/>
        </w:rPr>
        <w:t>Heliyon</w:t>
      </w:r>
      <w:r>
        <w:t xml:space="preserve">, </w:t>
      </w:r>
      <w:r>
        <w:rPr>
          <w:i/>
          <w:iCs/>
        </w:rPr>
        <w:t>10</w:t>
      </w:r>
      <w:r>
        <w:t xml:space="preserve">(3), e25008. </w:t>
      </w:r>
      <w:r>
        <w:fldChar w:fldCharType="begin"/>
      </w:r>
      <w:r>
        <w:instrText xml:space="preserve"> HYPERLINK "https://doi.org/10.1016/j.heliyon.2024.e25008" </w:instrText>
      </w:r>
      <w:r>
        <w:fldChar w:fldCharType="separate"/>
      </w:r>
      <w:r>
        <w:rPr>
          <w:rStyle w:val="13"/>
        </w:rPr>
        <w:t>https://doi.org/10.1016/j.heliyon.2024.e25008</w:t>
      </w:r>
      <w:r>
        <w:rPr>
          <w:rStyle w:val="13"/>
        </w:rPr>
        <w:fldChar w:fldCharType="end"/>
      </w:r>
    </w:p>
    <w:p w14:paraId="571E1750">
      <w:r>
        <w:t xml:space="preserve">Ting, H., Memon, M. A., Thurasamy, R., &amp; Cheah, J. (2025). Snowball Sampling: A review and guidelines for survey research. </w:t>
      </w:r>
      <w:r>
        <w:rPr>
          <w:i/>
          <w:iCs/>
        </w:rPr>
        <w:t>Asian Journal of Business Research</w:t>
      </w:r>
      <w:r>
        <w:t xml:space="preserve">, </w:t>
      </w:r>
      <w:r>
        <w:rPr>
          <w:i/>
          <w:iCs/>
        </w:rPr>
        <w:t>15</w:t>
      </w:r>
      <w:r>
        <w:t xml:space="preserve">(1), 1–15. </w:t>
      </w:r>
      <w:r>
        <w:fldChar w:fldCharType="begin"/>
      </w:r>
      <w:r>
        <w:instrText xml:space="preserve"> HYPERLINK "https://doi.org/10.14707/ajbr.250186" </w:instrText>
      </w:r>
      <w:r>
        <w:fldChar w:fldCharType="separate"/>
      </w:r>
      <w:r>
        <w:rPr>
          <w:rStyle w:val="13"/>
        </w:rPr>
        <w:t>https://doi.org/10.14707/ajbr.250186</w:t>
      </w:r>
      <w:r>
        <w:rPr>
          <w:rStyle w:val="13"/>
        </w:rPr>
        <w:fldChar w:fldCharType="end"/>
      </w:r>
    </w:p>
    <w:p w14:paraId="38713BCB">
      <w:pPr>
        <w:rPr>
          <w:lang w:val="en-IN"/>
        </w:rPr>
      </w:pPr>
      <w:r>
        <w:rPr>
          <w:lang w:val="en-IN"/>
        </w:rPr>
        <w:t xml:space="preserve">Trollman, H., &amp; Colwill, J. (2021). The imperative of embedding sustainability in business: A model for transformational sustainable development. </w:t>
      </w:r>
      <w:r>
        <w:rPr>
          <w:i/>
          <w:iCs/>
          <w:lang w:val="en-IN"/>
        </w:rPr>
        <w:t>Sustainable Development</w:t>
      </w:r>
      <w:r>
        <w:rPr>
          <w:lang w:val="en-IN"/>
        </w:rPr>
        <w:t xml:space="preserve">, </w:t>
      </w:r>
      <w:r>
        <w:rPr>
          <w:i/>
          <w:iCs/>
          <w:lang w:val="en-IN"/>
        </w:rPr>
        <w:t>29</w:t>
      </w:r>
      <w:r>
        <w:rPr>
          <w:lang w:val="en-IN"/>
        </w:rPr>
        <w:t>(5), 974–986.</w:t>
      </w:r>
      <w:r>
        <w:fldChar w:fldCharType="begin"/>
      </w:r>
      <w:r>
        <w:instrText xml:space="preserve"> HYPERLINK "https://doi.org/10.1002/sd.2188" </w:instrText>
      </w:r>
      <w:r>
        <w:fldChar w:fldCharType="separate"/>
      </w:r>
      <w:r>
        <w:rPr>
          <w:rStyle w:val="13"/>
          <w:lang w:val="en-IN"/>
        </w:rPr>
        <w:t xml:space="preserve"> https://doi.org/10.1002/sd.2188</w:t>
      </w:r>
      <w:r>
        <w:rPr>
          <w:rStyle w:val="13"/>
          <w:lang w:val="en-IN"/>
        </w:rPr>
        <w:fldChar w:fldCharType="end"/>
      </w:r>
    </w:p>
    <w:p w14:paraId="6B0FAB84">
      <w:r>
        <w:rPr>
          <w:lang w:val="en-IN"/>
        </w:rPr>
        <w:t xml:space="preserve">Vadakkepatt, G.G., Winterich, K.P., Mittal, V., Zinn, W., Beitelspacher, L., Aloysius, J., Ginger, J. and Reilman, J. (2021). Sustainable retailing. </w:t>
      </w:r>
      <w:r>
        <w:rPr>
          <w:i/>
          <w:iCs/>
          <w:lang w:val="en-IN"/>
        </w:rPr>
        <w:t>Journal of retailing</w:t>
      </w:r>
      <w:r>
        <w:rPr>
          <w:lang w:val="en-IN"/>
        </w:rPr>
        <w:t xml:space="preserve">, </w:t>
      </w:r>
      <w:r>
        <w:rPr>
          <w:i/>
          <w:iCs/>
          <w:lang w:val="en-IN"/>
        </w:rPr>
        <w:t>97</w:t>
      </w:r>
      <w:r>
        <w:rPr>
          <w:lang w:val="en-IN"/>
        </w:rPr>
        <w:t>(1), pp.62-80.</w:t>
      </w:r>
      <w:r>
        <w:fldChar w:fldCharType="begin"/>
      </w:r>
      <w:r>
        <w:instrText xml:space="preserve"> HYPERLINK "https://papers.ssrn.com/sol3/Delivery.cfm?abstractid=3714958" </w:instrText>
      </w:r>
      <w:r>
        <w:fldChar w:fldCharType="separate"/>
      </w:r>
      <w:r>
        <w:rPr>
          <w:rStyle w:val="13"/>
          <w:lang w:val="en-IN"/>
        </w:rPr>
        <w:t xml:space="preserve"> https://papers.ssrn.com/sol3/Delivery.cfm?abstractid=3714958</w:t>
      </w:r>
      <w:r>
        <w:rPr>
          <w:rStyle w:val="13"/>
          <w:lang w:val="en-IN"/>
        </w:rPr>
        <w:fldChar w:fldCharType="end"/>
      </w:r>
    </w:p>
    <w:p w14:paraId="5333DFD0">
      <w:r>
        <w:t xml:space="preserve">Verma, G., Sharma, K., &amp; Ghazanfari, A. (2017). The role of quantitative techniques in business and management. </w:t>
      </w:r>
      <w:r>
        <w:rPr>
          <w:i/>
          <w:iCs/>
        </w:rPr>
        <w:t>ResearchGate</w:t>
      </w:r>
      <w:r>
        <w:t xml:space="preserve">. </w:t>
      </w:r>
      <w:r>
        <w:fldChar w:fldCharType="begin"/>
      </w:r>
      <w:r>
        <w:instrText xml:space="preserve"> HYPERLINK "https://doi.org/10.22034/JHI.2017.59559" </w:instrText>
      </w:r>
      <w:r>
        <w:fldChar w:fldCharType="separate"/>
      </w:r>
      <w:r>
        <w:rPr>
          <w:rStyle w:val="13"/>
        </w:rPr>
        <w:t>https://doi.org/10.22034/JHI.2017.59559</w:t>
      </w:r>
      <w:r>
        <w:rPr>
          <w:rStyle w:val="13"/>
        </w:rPr>
        <w:fldChar w:fldCharType="end"/>
      </w:r>
    </w:p>
    <w:p w14:paraId="081E07F5">
      <w:r>
        <w:t xml:space="preserve">Wallwey, C., &amp; Kajfez, R. L. (2023). Quantitative research artifacts as qualitative data collection techniques in a mixed methods research study. </w:t>
      </w:r>
      <w:r>
        <w:rPr>
          <w:i/>
          <w:iCs/>
        </w:rPr>
        <w:t>Methods in Psychology</w:t>
      </w:r>
      <w:r>
        <w:t xml:space="preserve">, </w:t>
      </w:r>
      <w:r>
        <w:rPr>
          <w:i/>
          <w:iCs/>
        </w:rPr>
        <w:t>8</w:t>
      </w:r>
      <w:r>
        <w:t xml:space="preserve">, 100115. </w:t>
      </w:r>
      <w:r>
        <w:fldChar w:fldCharType="begin"/>
      </w:r>
      <w:r>
        <w:instrText xml:space="preserve"> HYPERLINK "https://doi.org/10.1016/j.metip.2023.100115" </w:instrText>
      </w:r>
      <w:r>
        <w:fldChar w:fldCharType="separate"/>
      </w:r>
      <w:r>
        <w:rPr>
          <w:rStyle w:val="13"/>
        </w:rPr>
        <w:t>https://doi.org/10.1016/j.metip.2023.100115</w:t>
      </w:r>
      <w:r>
        <w:rPr>
          <w:rStyle w:val="13"/>
        </w:rPr>
        <w:fldChar w:fldCharType="end"/>
      </w:r>
    </w:p>
    <w:p w14:paraId="2522DE8F">
      <w:pPr>
        <w:rPr>
          <w:lang w:val="en-IN"/>
        </w:rPr>
      </w:pPr>
    </w:p>
    <w:p w14:paraId="6B7BCDAB"/>
    <w:p w14:paraId="74146919"/>
    <w:p w14:paraId="65599F32"/>
    <w:p w14:paraId="49E75E64"/>
    <w:p w14:paraId="2B6072A4"/>
    <w:p w14:paraId="72932DCF"/>
    <w:p w14:paraId="45A944D8"/>
    <w:p w14:paraId="305AD337"/>
    <w:p w14:paraId="23BE69BC"/>
    <w:p w14:paraId="2874DBC4"/>
    <w:p w14:paraId="5F2A9D67"/>
    <w:p w14:paraId="47E7E813"/>
    <w:p w14:paraId="61BFD70D"/>
    <w:p w14:paraId="516FF7AD"/>
    <w:p w14:paraId="0035CC28"/>
    <w:p w14:paraId="78520E83"/>
    <w:p w14:paraId="02ECFD73"/>
    <w:p w14:paraId="6A1BA2AB"/>
    <w:p w14:paraId="2C8C309B"/>
    <w:p w14:paraId="64F27740">
      <w:pPr>
        <w:rPr>
          <w:rFonts w:hint="default"/>
          <w:b/>
          <w:bCs/>
          <w:lang w:val="en-GB"/>
        </w:rPr>
      </w:pPr>
      <w:r>
        <w:rPr>
          <w:rFonts w:hint="default"/>
          <w:b/>
          <w:bCs/>
          <w:lang w:val="en-GB"/>
        </w:rPr>
        <w:t>A .APPENDIX .</w:t>
      </w:r>
    </w:p>
    <w:p w14:paraId="0A353B01">
      <w:pPr>
        <w:numPr>
          <w:ilvl w:val="0"/>
          <w:numId w:val="5"/>
        </w:numPr>
        <w:rPr>
          <w:rFonts w:hint="default"/>
          <w:b/>
          <w:bCs/>
          <w:lang w:val="en-GB"/>
        </w:rPr>
      </w:pPr>
      <w:r>
        <w:rPr>
          <w:rFonts w:hint="default"/>
          <w:b/>
          <w:bCs/>
          <w:lang w:val="en-GB"/>
        </w:rPr>
        <w:t>ETHICS FORM.</w:t>
      </w:r>
    </w:p>
    <w:p w14:paraId="3D412E99">
      <w:pPr>
        <w:tabs>
          <w:tab w:val="left" w:pos="5103"/>
        </w:tabs>
        <w:jc w:val="center"/>
        <w:rPr>
          <w:rFonts w:ascii="Arial" w:hAnsi="Arial" w:cs="Arial"/>
          <w:b/>
          <w:bCs/>
          <w:sz w:val="22"/>
          <w:szCs w:val="22"/>
        </w:rPr>
      </w:pPr>
      <w:r>
        <w:rPr>
          <w:rFonts w:ascii="Arial" w:hAnsi="Arial" w:cs="Arial"/>
          <w:b/>
          <w:bCs/>
          <w:sz w:val="22"/>
          <w:szCs w:val="22"/>
        </w:rPr>
        <w:t>APPLICATION FOR ETHICAL APPROVAL</w:t>
      </w:r>
    </w:p>
    <w:p w14:paraId="08A57C87">
      <w:pPr>
        <w:tabs>
          <w:tab w:val="left" w:pos="5103"/>
        </w:tabs>
        <w:ind w:right="282"/>
        <w:jc w:val="center"/>
        <w:rPr>
          <w:rFonts w:ascii="Arial" w:hAnsi="Arial" w:cs="Arial"/>
          <w:b/>
          <w:bCs/>
          <w:sz w:val="22"/>
          <w:szCs w:val="22"/>
        </w:rPr>
      </w:pPr>
    </w:p>
    <w:p w14:paraId="4FA6EB75">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w:t>
      </w:r>
      <w:r>
        <w:rPr>
          <w:rFonts w:ascii="Arial" w:hAnsi="Arial" w:cs="Arial"/>
          <w:b/>
          <w:bCs/>
          <w:sz w:val="22"/>
          <w:szCs w:val="22"/>
          <w:lang w:val="en-GB"/>
        </w:rPr>
        <w:t>minimize</w:t>
      </w:r>
      <w:r>
        <w:rPr>
          <w:rFonts w:ascii="Arial" w:hAnsi="Arial" w:cs="Arial"/>
          <w:b/>
          <w:bCs/>
          <w:sz w:val="22"/>
          <w:szCs w:val="22"/>
        </w:rPr>
        <w:t xml:space="preserve"> risk of harm, it must be conducted ethically. </w:t>
      </w:r>
    </w:p>
    <w:p w14:paraId="51A3CBFB">
      <w:pPr>
        <w:tabs>
          <w:tab w:val="left" w:pos="5103"/>
        </w:tabs>
        <w:ind w:right="282"/>
        <w:jc w:val="center"/>
        <w:rPr>
          <w:rFonts w:ascii="Arial" w:hAnsi="Arial" w:cs="Arial"/>
          <w:b/>
          <w:bCs/>
          <w:sz w:val="22"/>
          <w:szCs w:val="22"/>
        </w:rPr>
      </w:pPr>
    </w:p>
    <w:p w14:paraId="13D54C48">
      <w:pPr>
        <w:tabs>
          <w:tab w:val="left" w:pos="5103"/>
        </w:tabs>
        <w:ind w:right="282"/>
        <w:jc w:val="both"/>
        <w:rPr>
          <w:rFonts w:ascii="Arial" w:hAnsi="Arial" w:cs="Arial"/>
          <w:sz w:val="22"/>
          <w:szCs w:val="22"/>
        </w:rPr>
      </w:pPr>
      <w:r>
        <w:rPr>
          <w:rFonts w:ascii="Arial" w:hAnsi="Arial" w:cs="Arial"/>
          <w:sz w:val="22"/>
          <w:szCs w:val="22"/>
        </w:rPr>
        <w:t xml:space="preserve">The University follows the OECD </w:t>
      </w:r>
      <w:r>
        <w:rPr>
          <w:rFonts w:ascii="Arial" w:hAnsi="Arial" w:cs="Arial"/>
          <w:sz w:val="22"/>
          <w:szCs w:val="22"/>
          <w:lang w:val="en-GB"/>
        </w:rPr>
        <w:t>Francisca</w:t>
      </w:r>
      <w:r>
        <w:rPr>
          <w:rFonts w:ascii="Arial" w:hAnsi="Arial" w:cs="Arial"/>
          <w:sz w:val="22"/>
          <w:szCs w:val="22"/>
        </w:rPr>
        <w:t xml:space="preserve">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8DC0F70">
      <w:pPr>
        <w:tabs>
          <w:tab w:val="left" w:pos="5103"/>
        </w:tabs>
        <w:ind w:right="282"/>
        <w:jc w:val="both"/>
        <w:rPr>
          <w:rFonts w:ascii="Arial" w:hAnsi="Arial" w:cs="Arial"/>
          <w:sz w:val="22"/>
          <w:szCs w:val="22"/>
        </w:rPr>
      </w:pPr>
    </w:p>
    <w:p w14:paraId="2D493F1D">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E070616">
      <w:pPr>
        <w:tabs>
          <w:tab w:val="left" w:pos="5103"/>
        </w:tabs>
        <w:ind w:right="282"/>
        <w:jc w:val="both"/>
        <w:rPr>
          <w:rFonts w:ascii="Arial" w:hAnsi="Arial" w:cs="Arial"/>
          <w:sz w:val="22"/>
          <w:szCs w:val="22"/>
        </w:rPr>
      </w:pPr>
    </w:p>
    <w:p w14:paraId="1E816FEF">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66AFD3B4">
      <w:pPr>
        <w:autoSpaceDE w:val="0"/>
        <w:autoSpaceDN w:val="0"/>
        <w:adjustRightInd w:val="0"/>
        <w:jc w:val="both"/>
        <w:rPr>
          <w:rFonts w:ascii="Arial" w:hAnsi="Arial" w:cs="Arial"/>
          <w:sz w:val="22"/>
          <w:szCs w:val="22"/>
        </w:rPr>
      </w:pPr>
    </w:p>
    <w:p w14:paraId="02597CDB">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9"/>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63DEC013">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3E179694">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29F88E60">
            <w:pPr>
              <w:rPr>
                <w:rFonts w:ascii="Arial" w:hAnsi="Arial" w:cs="Arial"/>
                <w:sz w:val="22"/>
                <w:szCs w:val="22"/>
              </w:rPr>
            </w:pPr>
            <w:r>
              <w:rPr>
                <w:rFonts w:ascii="Arial" w:hAnsi="Arial" w:cs="Arial"/>
                <w:sz w:val="22"/>
                <w:szCs w:val="22"/>
              </w:rPr>
              <w:t>Full Name:</w:t>
            </w:r>
          </w:p>
        </w:tc>
        <w:tc>
          <w:tcPr>
            <w:tcW w:w="6636" w:type="dxa"/>
            <w:vAlign w:val="center"/>
          </w:tcPr>
          <w:p w14:paraId="3F7AC4DA">
            <w:pPr>
              <w:rPr>
                <w:rFonts w:ascii="Arial" w:hAnsi="Arial" w:cs="Arial"/>
                <w:sz w:val="22"/>
                <w:szCs w:val="22"/>
              </w:rPr>
            </w:pPr>
            <w:r>
              <w:rPr>
                <w:rFonts w:ascii="Arial" w:hAnsi="Arial" w:cs="Arial"/>
                <w:sz w:val="22"/>
                <w:szCs w:val="22"/>
              </w:rPr>
              <w:t>Kothakapu Varun Kumar Reddy</w:t>
            </w:r>
          </w:p>
        </w:tc>
      </w:tr>
      <w:tr w14:paraId="324DF29A">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37B93C8">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66E15BA9">
            <w:pPr>
              <w:rPr>
                <w:rFonts w:ascii="Arial" w:hAnsi="Arial" w:cs="Arial"/>
                <w:sz w:val="22"/>
                <w:szCs w:val="22"/>
              </w:rPr>
            </w:pPr>
            <w:r>
              <w:rPr>
                <w:rFonts w:ascii="Arial" w:hAnsi="Arial" w:cs="Arial"/>
                <w:sz w:val="22"/>
                <w:szCs w:val="22"/>
              </w:rPr>
              <w:t>Student Number:</w:t>
            </w:r>
          </w:p>
        </w:tc>
        <w:tc>
          <w:tcPr>
            <w:tcW w:w="6636" w:type="dxa"/>
            <w:vAlign w:val="center"/>
          </w:tcPr>
          <w:p w14:paraId="6E8653E9">
            <w:pPr>
              <w:rPr>
                <w:rFonts w:ascii="Arial" w:hAnsi="Arial" w:cs="Arial"/>
                <w:sz w:val="22"/>
                <w:szCs w:val="22"/>
              </w:rPr>
            </w:pPr>
            <w:r>
              <w:rPr>
                <w:rFonts w:ascii="Arial" w:hAnsi="Arial" w:cs="Arial"/>
                <w:sz w:val="22"/>
                <w:szCs w:val="22"/>
              </w:rPr>
              <w:t>2416235</w:t>
            </w:r>
          </w:p>
        </w:tc>
      </w:tr>
      <w:tr w14:paraId="557EBF2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7360D994">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65880896">
            <w:pPr>
              <w:rPr>
                <w:rFonts w:ascii="Arial" w:hAnsi="Arial" w:cs="Arial"/>
                <w:sz w:val="22"/>
                <w:szCs w:val="22"/>
              </w:rPr>
            </w:pPr>
            <w:r>
              <w:rPr>
                <w:rFonts w:ascii="Arial" w:hAnsi="Arial" w:cs="Arial"/>
                <w:sz w:val="22"/>
                <w:szCs w:val="22"/>
              </w:rPr>
              <w:t>Email address:</w:t>
            </w:r>
          </w:p>
        </w:tc>
        <w:tc>
          <w:tcPr>
            <w:tcW w:w="6636" w:type="dxa"/>
            <w:vAlign w:val="center"/>
          </w:tcPr>
          <w:p w14:paraId="2EBE4C38">
            <w:pPr>
              <w:rPr>
                <w:rFonts w:ascii="Arial" w:hAnsi="Arial" w:cs="Arial"/>
                <w:sz w:val="22"/>
                <w:szCs w:val="22"/>
              </w:rPr>
            </w:pPr>
            <w:r>
              <w:rPr>
                <w:rFonts w:ascii="Arial" w:hAnsi="Arial" w:cs="Arial"/>
                <w:sz w:val="22"/>
                <w:szCs w:val="22"/>
              </w:rPr>
              <w:t>2416235@student.uwtsd.ac.uk</w:t>
            </w:r>
          </w:p>
        </w:tc>
      </w:tr>
      <w:tr w14:paraId="633DA3DC">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7A775D6E">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50483C3F">
            <w:pPr>
              <w:rPr>
                <w:rFonts w:ascii="Arial" w:hAnsi="Arial" w:cs="Arial"/>
                <w:sz w:val="22"/>
                <w:szCs w:val="22"/>
              </w:rPr>
            </w:pPr>
            <w:r>
              <w:rPr>
                <w:rFonts w:ascii="Arial" w:hAnsi="Arial" w:cs="Arial"/>
                <w:sz w:val="22"/>
                <w:szCs w:val="22"/>
              </w:rPr>
              <w:t>Programme of Study:</w:t>
            </w:r>
          </w:p>
        </w:tc>
        <w:tc>
          <w:tcPr>
            <w:tcW w:w="6636" w:type="dxa"/>
            <w:vAlign w:val="center"/>
          </w:tcPr>
          <w:p w14:paraId="7E3C1D51">
            <w:pPr>
              <w:rPr>
                <w:rFonts w:ascii="Arial" w:hAnsi="Arial" w:cs="Arial"/>
                <w:sz w:val="22"/>
                <w:szCs w:val="22"/>
              </w:rPr>
            </w:pPr>
            <w:r>
              <w:rPr>
                <w:rFonts w:ascii="Arial" w:hAnsi="Arial" w:cs="Arial"/>
                <w:sz w:val="22"/>
                <w:szCs w:val="22"/>
              </w:rPr>
              <w:t>MBA</w:t>
            </w:r>
          </w:p>
        </w:tc>
      </w:tr>
      <w:tr w14:paraId="71D9375F">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4EC41D71">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54AA4ED1">
            <w:pPr>
              <w:rPr>
                <w:rFonts w:ascii="Arial" w:hAnsi="Arial" w:cs="Arial"/>
                <w:sz w:val="22"/>
                <w:szCs w:val="22"/>
              </w:rPr>
            </w:pPr>
            <w:r>
              <w:rPr>
                <w:rFonts w:ascii="Arial" w:hAnsi="Arial" w:cs="Arial"/>
                <w:sz w:val="22"/>
                <w:szCs w:val="22"/>
              </w:rPr>
              <w:t>Supervisor:</w:t>
            </w:r>
          </w:p>
        </w:tc>
        <w:tc>
          <w:tcPr>
            <w:tcW w:w="6636" w:type="dxa"/>
            <w:vAlign w:val="center"/>
          </w:tcPr>
          <w:p w14:paraId="249E8ECE">
            <w:pPr>
              <w:rPr>
                <w:rFonts w:ascii="Arial" w:hAnsi="Arial" w:cs="Arial"/>
                <w:sz w:val="22"/>
                <w:szCs w:val="22"/>
              </w:rPr>
            </w:pPr>
            <w:r>
              <w:rPr>
                <w:rFonts w:ascii="Arial" w:hAnsi="Arial" w:cs="Arial"/>
                <w:sz w:val="22"/>
                <w:szCs w:val="22"/>
              </w:rPr>
              <w:t>Marie Pitson</w:t>
            </w:r>
          </w:p>
        </w:tc>
      </w:tr>
    </w:tbl>
    <w:p w14:paraId="352E1CBE">
      <w:pPr>
        <w:autoSpaceDE w:val="0"/>
        <w:autoSpaceDN w:val="0"/>
        <w:adjustRightInd w:val="0"/>
        <w:spacing w:after="240"/>
        <w:jc w:val="both"/>
        <w:rPr>
          <w:rFonts w:ascii="Arial" w:hAnsi="Arial" w:cs="Arial"/>
          <w:b/>
          <w:sz w:val="22"/>
          <w:szCs w:val="22"/>
        </w:rPr>
      </w:pPr>
    </w:p>
    <w:p w14:paraId="451167C9">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7"/>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4EF7DF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47C75DCA">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4665EB12">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dodes of research ethics, and also any specific ethical guidance relating to the proposed methodology).  Please tick to confirm that your research proposal adheres to these codes and guidelines. You may add rows to this table if needed.</w:t>
            </w:r>
          </w:p>
        </w:tc>
      </w:tr>
      <w:tr w14:paraId="6F29BC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1644AE7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63E6346B">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3"/>
                <w:rFonts w:ascii="Arial" w:hAnsi="Arial" w:cs="Arial"/>
                <w:b/>
                <w:bCs/>
                <w:color w:val="auto"/>
                <w:sz w:val="22"/>
                <w:szCs w:val="22"/>
                <w:u w:val="none"/>
              </w:rPr>
              <w:t>UWTSD Research Ethics &amp; Integrity Code of Practice</w:t>
            </w:r>
            <w:r>
              <w:rPr>
                <w:rStyle w:val="13"/>
                <w:rFonts w:ascii="Arial" w:hAnsi="Arial" w:cs="Arial"/>
                <w:b/>
                <w:bCs/>
                <w:color w:val="auto"/>
                <w:sz w:val="22"/>
                <w:szCs w:val="22"/>
                <w:u w:val="none"/>
              </w:rPr>
              <w:fldChar w:fldCharType="end"/>
            </w:r>
          </w:p>
        </w:tc>
        <w:sdt>
          <w:sdtPr>
            <w:rPr>
              <w:rFonts w:ascii="Arial" w:hAnsi="Arial" w:eastAsia="Times New Roman" w:cs="Arial"/>
              <w:b/>
              <w:bCs/>
              <w:sz w:val="22"/>
              <w:szCs w:val="22"/>
              <w:lang w:eastAsia="en-GB"/>
            </w:rPr>
            <w:id w:val="157847950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tc>
              <w:tcPr>
                <w:tcW w:w="1134" w:type="dxa"/>
                <w:shd w:val="clear" w:color="auto" w:fill="BEBEBE" w:themeFill="background1" w:themeFillShade="BF"/>
                <w:vAlign w:val="center"/>
              </w:tcPr>
              <w:p w14:paraId="1175CC42">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tc>
          </w:sdtContent>
        </w:sdt>
      </w:tr>
      <w:tr w14:paraId="26DC54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2F268BAF">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74C97C3B">
            <w:pPr>
              <w:autoSpaceDE w:val="0"/>
              <w:autoSpaceDN w:val="0"/>
              <w:adjustRightInd w:val="0"/>
              <w:rPr>
                <w:rFonts w:ascii="Arial" w:hAnsi="Arial" w:cs="Arial"/>
                <w:b/>
                <w:bCs/>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eastAsia="Times New Roman" w:cs="Arial"/>
                <w:b/>
                <w:bCs/>
                <w:sz w:val="22"/>
                <w:szCs w:val="22"/>
                <w:lang w:eastAsia="en-GB"/>
              </w:rPr>
              <w:id w:val="-204096111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0AFE475">
                <w:pPr>
                  <w:autoSpaceDE w:val="0"/>
                  <w:autoSpaceDN w:val="0"/>
                  <w:adjustRightInd w:val="0"/>
                  <w:jc w:val="center"/>
                  <w:rPr>
                    <w:rFonts w:ascii="Arial" w:hAnsi="Arial" w:cs="Arial"/>
                    <w:b/>
                    <w:bCs/>
                    <w:i/>
                    <w:sz w:val="22"/>
                    <w:szCs w:val="22"/>
                  </w:rPr>
                </w:pPr>
                <w:r>
                  <w:rPr>
                    <w:rFonts w:ascii="Segoe UI Symbol" w:hAnsi="Segoe UI Symbol" w:eastAsia="MS Gothic" w:cs="Segoe UI Symbol"/>
                    <w:b/>
                    <w:bCs/>
                    <w:sz w:val="22"/>
                    <w:szCs w:val="22"/>
                  </w:rPr>
                  <w:t>☒</w:t>
                </w:r>
              </w:p>
            </w:sdtContent>
          </w:sdt>
        </w:tc>
      </w:tr>
    </w:tbl>
    <w:p w14:paraId="6DA6EB77">
      <w:pPr>
        <w:autoSpaceDE w:val="0"/>
        <w:autoSpaceDN w:val="0"/>
        <w:adjustRightInd w:val="0"/>
        <w:spacing w:after="240"/>
        <w:jc w:val="both"/>
        <w:rPr>
          <w:rFonts w:ascii="Arial" w:hAnsi="Arial" w:cs="Arial"/>
          <w:b/>
          <w:sz w:val="22"/>
          <w:szCs w:val="22"/>
        </w:rPr>
      </w:pPr>
    </w:p>
    <w:p w14:paraId="37A42BAB">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9"/>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434"/>
        <w:gridCol w:w="1408"/>
        <w:gridCol w:w="3601"/>
        <w:gridCol w:w="1715"/>
        <w:gridCol w:w="1987"/>
      </w:tblGrid>
      <w:tr w14:paraId="4AF1F88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02C0747">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4200590">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0AB26AA4">
            <w:pPr>
              <w:rPr>
                <w:rFonts w:ascii="Arial" w:hAnsi="Arial" w:cs="Arial"/>
                <w:b/>
                <w:sz w:val="22"/>
                <w:szCs w:val="22"/>
              </w:rPr>
            </w:pPr>
            <w:r>
              <w:rPr>
                <w:rFonts w:ascii="Arial" w:hAnsi="Arial" w:cs="Arial"/>
                <w:b/>
                <w:sz w:val="22"/>
                <w:szCs w:val="22"/>
              </w:rPr>
              <w:t>UNDERSTANDING THE ROLE OF SUSTAINABILITY IN STRATEGIC DECISION-MAKING PERSPECTIVES FROM MANAGERS IN THE UK RETAIL SECTOR</w:t>
            </w:r>
          </w:p>
          <w:p w14:paraId="7B8225D3">
            <w:pPr>
              <w:rPr>
                <w:rFonts w:ascii="Arial" w:hAnsi="Arial" w:cs="Arial"/>
                <w:sz w:val="22"/>
                <w:szCs w:val="22"/>
              </w:rPr>
            </w:pPr>
          </w:p>
        </w:tc>
      </w:tr>
      <w:tr w14:paraId="64EA1498">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FD91E73">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720AD5">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3D1633D1">
            <w:pPr>
              <w:rPr>
                <w:rFonts w:hint="default" w:ascii="Arial" w:hAnsi="Arial" w:cs="Arial"/>
                <w:sz w:val="22"/>
                <w:szCs w:val="22"/>
                <w:lang w:val="en-GB"/>
              </w:rPr>
            </w:pPr>
            <w:r>
              <w:rPr>
                <w:rFonts w:hint="default" w:ascii="Arial" w:hAnsi="Arial" w:cs="Arial"/>
                <w:sz w:val="22"/>
                <w:szCs w:val="22"/>
                <w:lang w:val="en-GB"/>
              </w:rPr>
              <w:t>01/09/2025</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CEB9BC">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70B82ED8">
            <w:pPr>
              <w:rPr>
                <w:rFonts w:hint="default" w:ascii="Arial" w:hAnsi="Arial" w:cs="Arial"/>
                <w:sz w:val="22"/>
                <w:szCs w:val="22"/>
                <w:lang w:val="en-GB"/>
              </w:rPr>
            </w:pPr>
            <w:r>
              <w:rPr>
                <w:rFonts w:hint="default" w:ascii="Arial" w:hAnsi="Arial" w:cs="Arial"/>
                <w:sz w:val="22"/>
                <w:szCs w:val="22"/>
                <w:lang w:val="en-GB"/>
              </w:rPr>
              <w:t>12/12/2025</w:t>
            </w:r>
            <w:bookmarkStart w:id="82" w:name="_GoBack"/>
            <w:bookmarkEnd w:id="82"/>
          </w:p>
        </w:tc>
      </w:tr>
      <w:tr w14:paraId="307B544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0324FC70">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3CF519C6">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21EA868B">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3D384329">
            <w:pPr>
              <w:pStyle w:val="24"/>
              <w:numPr>
                <w:ilvl w:val="0"/>
                <w:numId w:val="6"/>
              </w:numPr>
              <w:contextualSpacing w:val="0"/>
              <w:rPr>
                <w:rFonts w:ascii="Arial" w:hAnsi="Arial" w:cs="Arial"/>
                <w:i/>
              </w:rPr>
            </w:pPr>
            <w:r>
              <w:rPr>
                <w:rFonts w:ascii="Arial" w:hAnsi="Arial" w:cs="Arial"/>
                <w:i/>
              </w:rPr>
              <w:t>Purpose of Research Activity</w:t>
            </w:r>
          </w:p>
          <w:p w14:paraId="32754C5E">
            <w:pPr>
              <w:pStyle w:val="24"/>
              <w:numPr>
                <w:ilvl w:val="0"/>
                <w:numId w:val="6"/>
              </w:numPr>
              <w:contextualSpacing w:val="0"/>
              <w:rPr>
                <w:rFonts w:ascii="Arial" w:hAnsi="Arial" w:cs="Arial"/>
                <w:i/>
              </w:rPr>
            </w:pPr>
            <w:r>
              <w:rPr>
                <w:rFonts w:ascii="Arial" w:hAnsi="Arial" w:cs="Arial"/>
                <w:i/>
              </w:rPr>
              <w:t>Proposed Research Question</w:t>
            </w:r>
          </w:p>
          <w:p w14:paraId="58FF8F22">
            <w:pPr>
              <w:pStyle w:val="24"/>
              <w:numPr>
                <w:ilvl w:val="0"/>
                <w:numId w:val="6"/>
              </w:numPr>
              <w:contextualSpacing w:val="0"/>
              <w:rPr>
                <w:rFonts w:ascii="Arial" w:hAnsi="Arial" w:cs="Arial"/>
                <w:i/>
              </w:rPr>
            </w:pPr>
            <w:r>
              <w:rPr>
                <w:rFonts w:ascii="Arial" w:hAnsi="Arial" w:cs="Arial"/>
                <w:i/>
              </w:rPr>
              <w:t>Aims of Research Activity</w:t>
            </w:r>
          </w:p>
          <w:p w14:paraId="5F22F526">
            <w:pPr>
              <w:pStyle w:val="24"/>
              <w:numPr>
                <w:ilvl w:val="0"/>
                <w:numId w:val="6"/>
              </w:numPr>
              <w:ind w:left="714" w:hanging="357"/>
              <w:contextualSpacing w:val="0"/>
              <w:rPr>
                <w:rFonts w:ascii="Arial" w:hAnsi="Arial" w:cs="Arial"/>
                <w:i/>
              </w:rPr>
            </w:pPr>
            <w:r>
              <w:rPr>
                <w:rFonts w:ascii="Arial" w:hAnsi="Arial" w:cs="Arial"/>
                <w:i/>
              </w:rPr>
              <w:t>Objectives of Research Activity</w:t>
            </w:r>
          </w:p>
          <w:p w14:paraId="5B239EED">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0094C810">
            <w:pPr>
              <w:pStyle w:val="24"/>
              <w:numPr>
                <w:ilvl w:val="0"/>
                <w:numId w:val="6"/>
              </w:numPr>
              <w:contextualSpacing w:val="0"/>
              <w:rPr>
                <w:rFonts w:ascii="Arial" w:hAnsi="Arial" w:cs="Arial"/>
                <w:i/>
              </w:rPr>
            </w:pPr>
            <w:r>
              <w:rPr>
                <w:rFonts w:ascii="Arial" w:hAnsi="Arial" w:cs="Arial"/>
                <w:i/>
              </w:rPr>
              <w:t xml:space="preserve">What the research activity will add to the body of knowledge </w:t>
            </w:r>
          </w:p>
          <w:p w14:paraId="66CBB8BF">
            <w:pPr>
              <w:pStyle w:val="24"/>
              <w:numPr>
                <w:ilvl w:val="0"/>
                <w:numId w:val="6"/>
              </w:numPr>
              <w:contextualSpacing w:val="0"/>
              <w:rPr>
                <w:rFonts w:ascii="Arial" w:hAnsi="Arial" w:cs="Arial"/>
              </w:rPr>
            </w:pPr>
            <w:r>
              <w:rPr>
                <w:rFonts w:ascii="Arial" w:hAnsi="Arial" w:cs="Arial"/>
                <w:i/>
              </w:rPr>
              <w:t xml:space="preserve">How it addresses an area of importance. </w:t>
            </w:r>
          </w:p>
        </w:tc>
      </w:tr>
      <w:tr w14:paraId="5E0846A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065DD5E8">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58E3E724">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3A274352">
            <w:pPr>
              <w:rPr>
                <w:rFonts w:ascii="Arial" w:hAnsi="Arial" w:cs="Arial"/>
                <w:sz w:val="22"/>
                <w:szCs w:val="22"/>
              </w:rPr>
            </w:pPr>
          </w:p>
          <w:p w14:paraId="0F4E6234">
            <w:pPr>
              <w:rPr>
                <w:rFonts w:ascii="Arial" w:hAnsi="Arial" w:cs="Arial"/>
                <w:sz w:val="22"/>
                <w:szCs w:val="22"/>
                <w:lang w:val="en-IN"/>
              </w:rPr>
            </w:pPr>
            <w:r>
              <w:rPr>
                <w:rFonts w:ascii="Arial" w:hAnsi="Arial" w:cs="Arial"/>
                <w:sz w:val="22"/>
                <w:szCs w:val="22"/>
                <w:lang w:val="en-IN"/>
              </w:rPr>
              <w:t xml:space="preserve">The purpose of this research is to critically assess the strategic decisions within the retail industry in the UK by considering sustainability. As regulators, consumers, and investors pay high attention to assessing sustainability, the challenges about the shift from the peripheral concern to the key business issue has been addressed. Highly resource-intensive and visible organizations, especially in retail, face increased pressure from the investors in terms of demonstrating accountability within their supply chain as well as planning for long-term time. This study is about to examine how retail managers in the UK can perceive sustainability and at which extent it can impact the organizational practices. while impacting decision-making as well as well. While considering both the social and environmental dimensions, this research is about to develop a crucial understanding about sustainability consideration that goes beyond the components as well as became a crucial part to make strategic decisions. The research also reveal a tensions in between the key aspect of the profitability in short-term and sustainability in long-term, along with key issues that managers face especially when it comes to </w:t>
            </w:r>
            <w:r>
              <w:rPr>
                <w:rFonts w:ascii="Arial" w:hAnsi="Arial" w:cs="Arial"/>
                <w:sz w:val="22"/>
                <w:szCs w:val="22"/>
                <w:lang w:val="en-GB"/>
              </w:rPr>
              <w:t>operational</w:t>
            </w:r>
            <w:r>
              <w:rPr>
                <w:rFonts w:ascii="Arial" w:hAnsi="Arial" w:cs="Arial"/>
                <w:sz w:val="22"/>
                <w:szCs w:val="22"/>
                <w:lang w:val="en-IN"/>
              </w:rPr>
              <w:t xml:space="preserve"> the sustainability initiatives.  </w:t>
            </w:r>
          </w:p>
          <w:p w14:paraId="29A1D34B">
            <w:pPr>
              <w:rPr>
                <w:rFonts w:ascii="Arial" w:hAnsi="Arial" w:cs="Arial"/>
                <w:sz w:val="22"/>
                <w:szCs w:val="22"/>
                <w:lang w:val="en-IN"/>
              </w:rPr>
            </w:pPr>
          </w:p>
          <w:p w14:paraId="4D1A2E52">
            <w:pPr>
              <w:rPr>
                <w:rFonts w:ascii="Arial" w:hAnsi="Arial" w:cs="Arial"/>
                <w:sz w:val="22"/>
                <w:szCs w:val="22"/>
                <w:lang w:val="en-IN"/>
              </w:rPr>
            </w:pPr>
            <w:r>
              <w:rPr>
                <w:rFonts w:ascii="Arial" w:hAnsi="Arial" w:cs="Arial"/>
                <w:sz w:val="22"/>
                <w:szCs w:val="22"/>
                <w:lang w:val="en-IN"/>
              </w:rPr>
              <w:t>The research is also to provide key information which is valuable for future research practitioners in terms of informing the development of competitive and robust real strategies. This study is also about to contribute to the ESG or environmental, social and governance research through demonstrating how aspect of sustainability can be incorporated within decision-making process while also evaluating and measuring throughout the overall business settings in the retail operation. This study is also about to contribute to the ESG or environmental, social and governance research through demonstrating how aspect of sustainability can be incorporated within decision-making process while also evaluating and measuring throughout the overall business settings in the retail operation.</w:t>
            </w:r>
          </w:p>
          <w:p w14:paraId="006FD9EF">
            <w:pPr>
              <w:rPr>
                <w:rFonts w:ascii="Arial" w:hAnsi="Arial" w:cs="Arial"/>
                <w:sz w:val="22"/>
                <w:szCs w:val="22"/>
              </w:rPr>
            </w:pPr>
          </w:p>
        </w:tc>
      </w:tr>
      <w:tr w14:paraId="6D9EE1B5">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7E8AF0D8">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33469005">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350FEBE7">
            <w:pPr>
              <w:rPr>
                <w:rFonts w:ascii="Arial" w:hAnsi="Arial" w:cs="Arial"/>
                <w:sz w:val="22"/>
                <w:szCs w:val="22"/>
              </w:rPr>
            </w:pPr>
          </w:p>
          <w:p w14:paraId="78EFDE48">
            <w:pPr>
              <w:pStyle w:val="24"/>
              <w:numPr>
                <w:ilvl w:val="0"/>
                <w:numId w:val="7"/>
              </w:numPr>
              <w:rPr>
                <w:rFonts w:ascii="Arial" w:hAnsi="Arial" w:cs="Arial"/>
                <w:color w:val="000000" w:themeColor="text1"/>
                <w14:textFill>
                  <w14:solidFill>
                    <w14:schemeClr w14:val="tx1"/>
                  </w14:solidFill>
                </w14:textFill>
              </w:rPr>
            </w:pPr>
            <w:r>
              <w:rPr>
                <w:rFonts w:ascii="Arial" w:hAnsi="Arial" w:cs="Arial"/>
                <w:color w:val="000000" w:themeColor="text1"/>
                <w14:textFill>
                  <w14:solidFill>
                    <w14:schemeClr w14:val="tx1"/>
                  </w14:solidFill>
                </w14:textFill>
              </w:rPr>
              <w:t>How do managers in the UK retail sector perceive and integrate sustainability into strategic decision-making, considering critical environmental and social factors, the implementation and evaluation of initiatives, the challenges and opportunities encountered, and the balance between short-term profitability and long-term sustainability goals/</w:t>
            </w:r>
          </w:p>
          <w:p w14:paraId="252F73E2">
            <w:pPr>
              <w:rPr>
                <w:rFonts w:ascii="Arial" w:hAnsi="Arial" w:cs="Arial"/>
                <w:color w:val="EE0000"/>
                <w:sz w:val="22"/>
                <w:szCs w:val="22"/>
              </w:rPr>
            </w:pPr>
          </w:p>
          <w:p w14:paraId="287D652B">
            <w:pPr>
              <w:autoSpaceDE w:val="0"/>
              <w:autoSpaceDN w:val="0"/>
              <w:adjustRightInd w:val="0"/>
              <w:rPr>
                <w:rFonts w:ascii="Arial" w:hAnsi="Arial" w:cs="Arial"/>
                <w:b/>
                <w:bCs/>
                <w:sz w:val="22"/>
                <w:szCs w:val="22"/>
              </w:rPr>
            </w:pPr>
            <w:r>
              <w:rPr>
                <w:rFonts w:ascii="Arial" w:hAnsi="Arial" w:cs="Arial"/>
                <w:i/>
                <w:iCs/>
                <w:color w:val="EE0000"/>
                <w:sz w:val="22"/>
                <w:szCs w:val="22"/>
              </w:rPr>
              <w:t xml:space="preserve"> </w:t>
            </w:r>
          </w:p>
        </w:tc>
      </w:tr>
      <w:tr w14:paraId="18F198B2">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0345DAB6">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29E438A2">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335D6164">
            <w:pPr>
              <w:rPr>
                <w:rFonts w:ascii="Arial" w:hAnsi="Arial" w:cs="Arial"/>
                <w:sz w:val="22"/>
                <w:szCs w:val="22"/>
              </w:rPr>
            </w:pPr>
          </w:p>
          <w:p w14:paraId="206E0F33">
            <w:pPr>
              <w:rPr>
                <w:rFonts w:ascii="Arial" w:hAnsi="Arial" w:cs="Arial"/>
                <w:sz w:val="22"/>
                <w:szCs w:val="22"/>
              </w:rPr>
            </w:pPr>
            <w:r>
              <w:rPr>
                <w:rFonts w:ascii="Arial" w:hAnsi="Arial" w:cs="Arial"/>
                <w:sz w:val="22"/>
                <w:szCs w:val="22"/>
              </w:rPr>
              <w:t>To critically evaluate how sustainability influences strategic decision-making among managers in the UK retail sector.</w:t>
            </w:r>
          </w:p>
          <w:p w14:paraId="3949D126">
            <w:pPr>
              <w:rPr>
                <w:rFonts w:ascii="Arial" w:hAnsi="Arial" w:cs="Arial"/>
                <w:sz w:val="22"/>
                <w:szCs w:val="22"/>
              </w:rPr>
            </w:pPr>
          </w:p>
          <w:p w14:paraId="5FE96C6E">
            <w:pPr>
              <w:rPr>
                <w:rFonts w:ascii="Arial" w:hAnsi="Arial" w:cs="Arial"/>
                <w:sz w:val="22"/>
                <w:szCs w:val="22"/>
              </w:rPr>
            </w:pPr>
            <w:r>
              <w:rPr>
                <w:rFonts w:ascii="Arial" w:hAnsi="Arial" w:cs="Arial"/>
                <w:sz w:val="22"/>
                <w:szCs w:val="22"/>
              </w:rPr>
              <w:t xml:space="preserve"> </w:t>
            </w:r>
          </w:p>
        </w:tc>
      </w:tr>
      <w:tr w14:paraId="1849AB7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077BAB40">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2E656DC6">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04310F43">
            <w:pPr>
              <w:rPr>
                <w:rFonts w:ascii="Arial" w:hAnsi="Arial" w:cs="Arial"/>
                <w:sz w:val="22"/>
                <w:szCs w:val="22"/>
              </w:rPr>
            </w:pPr>
          </w:p>
          <w:p w14:paraId="69233802">
            <w:pPr>
              <w:pStyle w:val="24"/>
              <w:numPr>
                <w:ilvl w:val="0"/>
                <w:numId w:val="8"/>
              </w:numPr>
              <w:rPr>
                <w:rFonts w:ascii="Arial" w:hAnsi="Arial" w:cs="Arial"/>
              </w:rPr>
            </w:pPr>
            <w:r>
              <w:rPr>
                <w:rFonts w:ascii="Arial" w:hAnsi="Arial" w:cs="Arial"/>
              </w:rPr>
              <w:t>To analyse the perceptions of UK retail managers regarding the role of sustainability in business strategy.</w:t>
            </w:r>
          </w:p>
          <w:p w14:paraId="07288730">
            <w:pPr>
              <w:pStyle w:val="24"/>
              <w:numPr>
                <w:ilvl w:val="0"/>
                <w:numId w:val="8"/>
              </w:numPr>
              <w:rPr>
                <w:rFonts w:ascii="Arial" w:hAnsi="Arial" w:cs="Arial"/>
              </w:rPr>
            </w:pPr>
            <w:r>
              <w:rPr>
                <w:rFonts w:ascii="Arial" w:hAnsi="Arial" w:cs="Arial"/>
              </w:rPr>
              <w:t>To evaluate the extent to which environmental and social concerns are integrated into strategic decision-making processes.</w:t>
            </w:r>
          </w:p>
          <w:p w14:paraId="38D6E37A">
            <w:pPr>
              <w:pStyle w:val="24"/>
              <w:numPr>
                <w:ilvl w:val="0"/>
                <w:numId w:val="8"/>
              </w:numPr>
              <w:rPr>
                <w:rFonts w:ascii="Arial" w:hAnsi="Arial" w:cs="Arial"/>
              </w:rPr>
            </w:pPr>
            <w:r>
              <w:rPr>
                <w:rFonts w:ascii="Arial" w:hAnsi="Arial" w:cs="Arial"/>
              </w:rPr>
              <w:t>To explore the practical implementation and measurement of sustainability initiatives in retail operations.</w:t>
            </w:r>
          </w:p>
          <w:p w14:paraId="26E18B26">
            <w:pPr>
              <w:pStyle w:val="24"/>
              <w:numPr>
                <w:ilvl w:val="0"/>
                <w:numId w:val="8"/>
              </w:numPr>
              <w:rPr>
                <w:rFonts w:ascii="Arial" w:hAnsi="Arial" w:cs="Arial"/>
              </w:rPr>
            </w:pPr>
            <w:r>
              <w:rPr>
                <w:rFonts w:ascii="Arial" w:hAnsi="Arial" w:cs="Arial"/>
              </w:rPr>
              <w:t>To identify the key challenges and opportunities faced by managers in embedding sustainability within long-term business goals.</w:t>
            </w:r>
          </w:p>
          <w:p w14:paraId="35A403C0">
            <w:pPr>
              <w:rPr>
                <w:rFonts w:ascii="Arial" w:hAnsi="Arial" w:cs="Arial"/>
                <w:sz w:val="22"/>
                <w:szCs w:val="22"/>
              </w:rPr>
            </w:pPr>
          </w:p>
          <w:p w14:paraId="7030B982">
            <w:pPr>
              <w:rPr>
                <w:rFonts w:ascii="Arial" w:hAnsi="Arial" w:cs="Arial"/>
                <w:sz w:val="22"/>
                <w:szCs w:val="22"/>
              </w:rPr>
            </w:pPr>
            <w:r>
              <w:rPr>
                <w:rFonts w:ascii="Arial" w:hAnsi="Arial" w:cs="Arial"/>
                <w:sz w:val="22"/>
                <w:szCs w:val="22"/>
              </w:rPr>
              <w:t>(this box should expand as you type)</w:t>
            </w:r>
          </w:p>
        </w:tc>
      </w:tr>
      <w:tr w14:paraId="7D0E645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5D44863E">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28DEDC54">
            <w:pPr>
              <w:spacing w:before="120" w:after="120"/>
              <w:rPr>
                <w:rFonts w:ascii="Arial" w:hAnsi="Arial" w:cs="Arial"/>
                <w:b/>
                <w:sz w:val="22"/>
                <w:szCs w:val="22"/>
              </w:rPr>
            </w:pPr>
            <w:r>
              <w:rPr>
                <w:rFonts w:ascii="Arial" w:hAnsi="Arial" w:cs="Arial"/>
                <w:b/>
                <w:sz w:val="22"/>
                <w:szCs w:val="22"/>
              </w:rPr>
              <w:t>Proposed data collection methods (maximum 600 words)</w:t>
            </w:r>
          </w:p>
          <w:p w14:paraId="08B75A43">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1F52EED9">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2C2CAA63">
            <w:pPr>
              <w:rPr>
                <w:rFonts w:ascii="Arial" w:hAnsi="Arial" w:cs="Arial"/>
                <w:sz w:val="22"/>
                <w:szCs w:val="22"/>
              </w:rPr>
            </w:pPr>
            <w:r>
              <w:rPr>
                <w:rFonts w:ascii="Arial" w:hAnsi="Arial" w:cs="Arial"/>
                <w:sz w:val="22"/>
                <w:szCs w:val="22"/>
              </w:rPr>
              <w:t>7</w:t>
            </w:r>
          </w:p>
        </w:tc>
        <w:tc>
          <w:tcPr>
            <w:tcW w:w="4763" w:type="pct"/>
            <w:gridSpan w:val="4"/>
            <w:vAlign w:val="center"/>
          </w:tcPr>
          <w:p w14:paraId="48915BC6">
            <w:pPr>
              <w:pStyle w:val="14"/>
              <w:spacing w:before="0" w:beforeAutospacing="0" w:after="0" w:afterAutospacing="0"/>
              <w:rPr>
                <w:rFonts w:ascii="Arial" w:hAnsi="Arial" w:cs="Arial"/>
                <w:sz w:val="22"/>
                <w:szCs w:val="22"/>
                <w:lang w:val="en-IN" w:eastAsia="en-IN"/>
              </w:rPr>
            </w:pPr>
            <w:r>
              <w:rPr>
                <w:rFonts w:ascii="Arial" w:hAnsi="Arial" w:cs="Arial"/>
                <w:sz w:val="22"/>
                <w:szCs w:val="22"/>
                <w:lang w:val="en-IN" w:eastAsia="en-IN"/>
              </w:rPr>
              <w:t>This research will consider to use a qualitative methodology for providing comprehensive along with profound insights within addressing sustainability in decision-making aspect in the retail sector in the UK. The key principle to gather data involves a semi-structured interviews where retail managers along with sustainability officers will be invited. Such method is crucial to get nuanced perception from participants who are currently involves in different operations in the retail sector and can help to address important issues which are linked with the objectives of the research.</w:t>
            </w:r>
          </w:p>
          <w:p w14:paraId="0B7AA388">
            <w:pPr>
              <w:rPr>
                <w:rFonts w:ascii="Arial" w:hAnsi="Arial" w:cs="Arial"/>
                <w:sz w:val="22"/>
                <w:szCs w:val="22"/>
                <w:lang w:val="en-IN" w:eastAsia="en-IN"/>
              </w:rPr>
            </w:pPr>
          </w:p>
          <w:p w14:paraId="7AE061C2">
            <w:pPr>
              <w:rPr>
                <w:rFonts w:ascii="Arial" w:hAnsi="Arial" w:cs="Arial"/>
                <w:sz w:val="22"/>
                <w:szCs w:val="22"/>
                <w:lang w:val="en-IN" w:eastAsia="en-IN"/>
              </w:rPr>
            </w:pPr>
            <w:r>
              <w:rPr>
                <w:rFonts w:ascii="Arial" w:hAnsi="Arial" w:cs="Arial"/>
                <w:sz w:val="22"/>
                <w:szCs w:val="22"/>
                <w:lang w:val="en-IN" w:eastAsia="en-IN"/>
              </w:rPr>
              <w:t>In this study, for the interview purpose six people will be hired including store managers, sustainability officers and other from medium and large companies of retail within the UK. The size of the sample is limited for facilitating an in-depth analysis of one’s experiences as well as views. In this method, participants for the interview can be chosen through purposive sampling, those who agave direct experience about sustainability-based decision-making aspect. This can provide a focused approach of people who have the knowledge of sustainability being an integral part of the strategy in the retail.</w:t>
            </w:r>
          </w:p>
          <w:p w14:paraId="0D134904">
            <w:pPr>
              <w:rPr>
                <w:rFonts w:ascii="Arial" w:hAnsi="Arial" w:cs="Arial"/>
                <w:sz w:val="22"/>
                <w:szCs w:val="22"/>
                <w:lang w:val="en-IN" w:eastAsia="en-IN"/>
              </w:rPr>
            </w:pPr>
          </w:p>
          <w:p w14:paraId="51121EC5">
            <w:pPr>
              <w:rPr>
                <w:rFonts w:ascii="Arial" w:hAnsi="Arial" w:cs="Arial"/>
                <w:sz w:val="22"/>
                <w:szCs w:val="22"/>
                <w:lang w:val="en-IN" w:eastAsia="en-IN"/>
              </w:rPr>
            </w:pPr>
            <w:r>
              <w:rPr>
                <w:rFonts w:ascii="Arial" w:hAnsi="Arial" w:cs="Arial"/>
                <w:sz w:val="22"/>
                <w:szCs w:val="22"/>
                <w:lang w:val="en-IN" w:eastAsia="en-IN"/>
              </w:rPr>
              <w:t xml:space="preserve">Depending on the participant's option and where they live, the interviews will be done in person or online through platforms like Microsoft Teams or Zoom. This flexibility is meant to make sure that everyone can participate while also making sure that the research can be finished on schedule. </w:t>
            </w:r>
          </w:p>
          <w:p w14:paraId="3B2D35E6">
            <w:pPr>
              <w:rPr>
                <w:rFonts w:ascii="Arial" w:hAnsi="Arial" w:cs="Arial"/>
                <w:sz w:val="22"/>
                <w:szCs w:val="22"/>
                <w:lang w:val="en-IN" w:eastAsia="en-IN"/>
              </w:rPr>
            </w:pPr>
          </w:p>
          <w:p w14:paraId="35FC168D">
            <w:pPr>
              <w:rPr>
                <w:rFonts w:ascii="Arial" w:hAnsi="Arial" w:cs="Arial"/>
                <w:sz w:val="22"/>
                <w:szCs w:val="22"/>
                <w:lang w:val="en-IN" w:eastAsia="en-IN"/>
              </w:rPr>
            </w:pPr>
            <w:r>
              <w:rPr>
                <w:rFonts w:ascii="Arial" w:hAnsi="Arial" w:cs="Arial"/>
                <w:color w:val="000000" w:themeColor="text1"/>
                <w:sz w:val="22"/>
                <w:szCs w:val="22"/>
                <w:lang w:val="en-IN" w:eastAsia="en-IN"/>
                <w14:textFill>
                  <w14:solidFill>
                    <w14:schemeClr w14:val="tx1"/>
                  </w14:solidFill>
                </w14:textFill>
              </w:rPr>
              <w:t xml:space="preserve">The interviews will be conducted after successful acquiring of permission from the participants through their consent previously, as </w:t>
            </w:r>
            <w:r>
              <w:rPr>
                <w:rFonts w:ascii="Arial" w:hAnsi="Arial" w:cs="Arial"/>
                <w:color w:val="000000" w:themeColor="text1"/>
                <w:sz w:val="22"/>
                <w:szCs w:val="22"/>
                <w:lang w:eastAsia="en-IN"/>
                <w14:textFill>
                  <w14:solidFill>
                    <w14:schemeClr w14:val="tx1"/>
                  </w14:solidFill>
                </w14:textFill>
              </w:rPr>
              <w:t xml:space="preserve">all responses will be </w:t>
            </w:r>
            <w:r>
              <w:rPr>
                <w:rFonts w:ascii="Arial" w:hAnsi="Arial" w:cs="Arial"/>
                <w:color w:val="000000" w:themeColor="text1"/>
                <w:sz w:val="22"/>
                <w:szCs w:val="22"/>
                <w:lang w:val="en-GB" w:eastAsia="en-IN"/>
                <w14:textFill>
                  <w14:solidFill>
                    <w14:schemeClr w14:val="tx1"/>
                  </w14:solidFill>
                </w14:textFill>
              </w:rPr>
              <w:t>anonymize</w:t>
            </w:r>
            <w:r>
              <w:rPr>
                <w:rFonts w:ascii="Arial" w:hAnsi="Arial" w:cs="Arial"/>
                <w:color w:val="000000" w:themeColor="text1"/>
                <w:sz w:val="22"/>
                <w:szCs w:val="22"/>
                <w:lang w:eastAsia="en-IN"/>
                <w14:textFill>
                  <w14:solidFill>
                    <w14:schemeClr w14:val="tx1"/>
                  </w14:solidFill>
                </w14:textFill>
              </w:rPr>
              <w:t>.</w:t>
            </w:r>
            <w:r>
              <w:rPr>
                <w:rFonts w:ascii="Arial" w:hAnsi="Arial" w:cs="Arial"/>
                <w:color w:val="000000" w:themeColor="text1"/>
                <w:sz w:val="22"/>
                <w:szCs w:val="22"/>
                <w:lang w:val="en-IN" w:eastAsia="en-IN"/>
                <w14:textFill>
                  <w14:solidFill>
                    <w14:schemeClr w14:val="tx1"/>
                  </w14:solidFill>
                </w14:textFill>
              </w:rPr>
              <w:t xml:space="preserve"> Later on, the interviews will be recorded and the recordings will be typed out word for word, and the names and job titles of the people who took part will be replaced by codes. </w:t>
            </w:r>
            <w:r>
              <w:rPr>
                <w:rFonts w:ascii="Arial" w:hAnsi="Arial" w:cs="Arial"/>
                <w:sz w:val="22"/>
                <w:szCs w:val="22"/>
                <w:lang w:val="en-IN" w:eastAsia="en-IN"/>
              </w:rPr>
              <w:t xml:space="preserve">To protect privacy, anonymisation will be strictly enforced, and any details that could be used to identify someone will be eliminated or made broader during transcription. The GDPR and the University's Research Data Management Policy say that transcripts will be kept safe and only the researcher and supervisor will be able to see them. </w:t>
            </w:r>
          </w:p>
          <w:p w14:paraId="0DFAF084">
            <w:pPr>
              <w:rPr>
                <w:rFonts w:ascii="Arial" w:hAnsi="Arial" w:cs="Arial"/>
                <w:sz w:val="22"/>
                <w:szCs w:val="22"/>
                <w:lang w:val="en-IN" w:eastAsia="en-IN"/>
              </w:rPr>
            </w:pPr>
          </w:p>
          <w:p w14:paraId="472C5BFE">
            <w:pPr>
              <w:rPr>
                <w:rFonts w:ascii="Arial" w:hAnsi="Arial" w:cs="Arial"/>
                <w:sz w:val="22"/>
                <w:szCs w:val="22"/>
                <w:lang w:val="en-IN" w:eastAsia="en-IN"/>
              </w:rPr>
            </w:pPr>
            <w:r>
              <w:rPr>
                <w:rFonts w:ascii="Arial" w:hAnsi="Arial" w:cs="Arial"/>
                <w:sz w:val="22"/>
                <w:szCs w:val="22"/>
                <w:lang w:val="en-IN" w:eastAsia="en-IN"/>
              </w:rPr>
              <w:t xml:space="preserve">The data collection will happen in November 2025, and it should be done in four weeks. This time frame gives you the freedom to schedule interviews and make any required follow-up explanations. These recordings also will be considered as per the </w:t>
            </w:r>
            <w:r>
              <w:rPr>
                <w:rFonts w:ascii="Arial" w:hAnsi="Arial" w:cs="Arial"/>
                <w:i/>
                <w:iCs/>
                <w:sz w:val="22"/>
                <w:szCs w:val="22"/>
                <w:lang w:val="en-IN" w:eastAsia="en-IN"/>
              </w:rPr>
              <w:t>personal data</w:t>
            </w:r>
            <w:r>
              <w:rPr>
                <w:rFonts w:ascii="Arial" w:hAnsi="Arial" w:cs="Arial"/>
                <w:sz w:val="22"/>
                <w:szCs w:val="22"/>
                <w:lang w:val="en-IN" w:eastAsia="en-IN"/>
              </w:rPr>
              <w:t xml:space="preserve"> underline the ‘GDPR/DPA 2018’ and can be handled while compiling with the “Research Data Management Policy” of the University. The recordings also </w:t>
            </w:r>
            <w:r>
              <w:rPr>
                <w:rFonts w:ascii="Arial" w:hAnsi="Arial" w:cs="Arial"/>
                <w:sz w:val="22"/>
                <w:szCs w:val="22"/>
                <w:lang w:val="en-GB" w:eastAsia="en-IN"/>
              </w:rPr>
              <w:t>anonymize</w:t>
            </w:r>
            <w:r>
              <w:rPr>
                <w:rFonts w:ascii="Arial" w:hAnsi="Arial" w:cs="Arial"/>
                <w:sz w:val="22"/>
                <w:szCs w:val="22"/>
                <w:lang w:val="en-IN" w:eastAsia="en-IN"/>
              </w:rPr>
              <w:t xml:space="preserve"> in the time of transcription also can be consider to identify key details as well. After the transcription that is validated and complete, the original interview recordings will be deleted and </w:t>
            </w:r>
            <w:r>
              <w:rPr>
                <w:rFonts w:ascii="Arial" w:hAnsi="Arial" w:cs="Arial"/>
                <w:sz w:val="22"/>
                <w:szCs w:val="22"/>
                <w:lang w:val="en-GB" w:eastAsia="en-IN"/>
              </w:rPr>
              <w:t>anonymize</w:t>
            </w:r>
            <w:r>
              <w:rPr>
                <w:rFonts w:ascii="Arial" w:hAnsi="Arial" w:cs="Arial"/>
                <w:sz w:val="22"/>
                <w:szCs w:val="22"/>
                <w:lang w:val="en-IN" w:eastAsia="en-IN"/>
              </w:rPr>
              <w:t xml:space="preserve"> transcripts of this interview will be obtained for analysis.</w:t>
            </w:r>
          </w:p>
          <w:p w14:paraId="0BD1E9C1">
            <w:pPr>
              <w:rPr>
                <w:rFonts w:ascii="Arial" w:hAnsi="Arial" w:cs="Arial"/>
                <w:sz w:val="22"/>
                <w:szCs w:val="22"/>
                <w:lang w:val="en-IN" w:eastAsia="en-IN"/>
              </w:rPr>
            </w:pPr>
          </w:p>
          <w:p w14:paraId="3F333F7D">
            <w:pPr>
              <w:rPr>
                <w:rFonts w:ascii="Arial" w:hAnsi="Arial" w:cs="Arial"/>
                <w:sz w:val="22"/>
                <w:szCs w:val="22"/>
                <w:lang w:val="en-IN" w:eastAsia="en-IN"/>
              </w:rPr>
            </w:pPr>
            <w:r>
              <w:rPr>
                <w:rFonts w:ascii="Arial" w:hAnsi="Arial" w:cs="Arial"/>
                <w:sz w:val="22"/>
                <w:szCs w:val="22"/>
                <w:lang w:val="en-IN" w:eastAsia="en-IN"/>
              </w:rPr>
              <w:t>In conclusion, the study will employ semi-structured interviews with random people, that helps to acquired data is comprehensive, pertinent, and properly connected with the research aims. The methodology is designed to preserve the rights and privacy of the participants while also getting high-quality qualitative data for analysis.</w:t>
            </w:r>
          </w:p>
          <w:p w14:paraId="2C1762AC">
            <w:pPr>
              <w:rPr>
                <w:rFonts w:ascii="Arial" w:hAnsi="Arial" w:cs="Arial"/>
                <w:sz w:val="22"/>
                <w:szCs w:val="22"/>
                <w:lang w:val="en-IN" w:eastAsia="en-IN"/>
              </w:rPr>
            </w:pPr>
          </w:p>
          <w:p w14:paraId="129CAAD8">
            <w:pPr>
              <w:rPr>
                <w:rFonts w:ascii="Arial" w:hAnsi="Arial" w:cs="Arial"/>
                <w:sz w:val="22"/>
                <w:szCs w:val="22"/>
                <w:lang w:val="en-IN" w:eastAsia="en-IN"/>
              </w:rPr>
            </w:pPr>
            <w:r>
              <w:rPr>
                <w:rFonts w:ascii="Arial" w:hAnsi="Arial" w:cs="Arial"/>
                <w:sz w:val="22"/>
                <w:szCs w:val="22"/>
                <w:lang w:val="en-IN" w:eastAsia="en-IN"/>
              </w:rPr>
              <w:t xml:space="preserve">To ensure accuracy and openness, participants will be given the chance to look over their transcripts before they are </w:t>
            </w:r>
            <w:r>
              <w:rPr>
                <w:rFonts w:ascii="Arial" w:hAnsi="Arial" w:cs="Arial"/>
                <w:sz w:val="22"/>
                <w:szCs w:val="22"/>
                <w:lang w:val="en-GB" w:eastAsia="en-IN"/>
              </w:rPr>
              <w:t>analyse d</w:t>
            </w:r>
            <w:r>
              <w:rPr>
                <w:rFonts w:ascii="Arial" w:hAnsi="Arial" w:cs="Arial"/>
                <w:sz w:val="22"/>
                <w:szCs w:val="22"/>
                <w:lang w:val="en-IN" w:eastAsia="en-IN"/>
              </w:rPr>
              <w:t xml:space="preserve"> to make sure that the information accurately reflects their opinions. This phase of member-checking also makes the findings more credible. </w:t>
            </w:r>
          </w:p>
        </w:tc>
      </w:tr>
    </w:tbl>
    <w:p w14:paraId="4BA1AE28">
      <w:pPr>
        <w:rPr>
          <w:rFonts w:ascii="Arial" w:hAnsi="Arial" w:cs="Arial"/>
          <w:sz w:val="22"/>
          <w:szCs w:val="22"/>
        </w:rPr>
      </w:pPr>
    </w:p>
    <w:p w14:paraId="14A31EA2">
      <w:pPr>
        <w:spacing w:after="240"/>
        <w:rPr>
          <w:rFonts w:ascii="Arial" w:hAnsi="Arial" w:cs="Arial"/>
          <w:b/>
          <w:sz w:val="22"/>
          <w:szCs w:val="22"/>
        </w:rPr>
      </w:pPr>
      <w:r>
        <w:rPr>
          <w:rFonts w:ascii="Arial" w:hAnsi="Arial" w:cs="Arial"/>
          <w:b/>
          <w:sz w:val="22"/>
          <w:szCs w:val="22"/>
        </w:rPr>
        <w:t>SECTION D: Scope of Research Activity</w:t>
      </w:r>
    </w:p>
    <w:tbl>
      <w:tblPr>
        <w:tblStyle w:val="17"/>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9219D8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50DAE81F">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7907BABC">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3893B775">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15F1D268">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77DF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A4EAEF">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66D590C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843739070"/>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A2077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474143939"/>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A96C10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r>
      <w:tr w14:paraId="1A37D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5C5B638">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4CEC6D31">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80076548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525CB64">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74992678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5F885F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027873D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C6172D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717F2447">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507049709"/>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59F9BF9">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238368725"/>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72F73C0">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r>
      <w:tr w14:paraId="70F111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20149A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6672CB15">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31946866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CE5BF71">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90048358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4EE319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213006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3FC6BA">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8B7C64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49472329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D3E839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eastAsia="en-GB"/>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672298898"/>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24BCE24">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r>
      <w:tr w14:paraId="49DE2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A6626A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4BE5920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28239488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120340B">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33891743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B795C7F">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40AF8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A8E649C">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73B6AAE8">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94259949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1C7783F">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626286741"/>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C5CED5E">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140E2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3FA9F6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60C17606">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38718734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8D9B4F2">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580675213"/>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2FF8FEA">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73CA61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13817BF">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FF3C2B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39712056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580E501">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58704826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CDE35FF">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B421F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6030BD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2DEA9E6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72391151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CCBF16C">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65527024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6F97674">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085932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2B1DAEE">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2C28CC68">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994977168"/>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43673A5">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2119442801"/>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7FF4DD2">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6A678B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0FAECD2">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155C0E6E">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57035038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7A25926">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90475863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A42A958">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52C816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4E7C1E">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5AFC512E">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36271935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CC33A17">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074700241"/>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89838CF">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2DC44E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10F04B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1833CD66">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92479893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65B8664">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624625241"/>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03F76FB">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6D7CC5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F344E1">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35A644C1">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30042863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6A871DC">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236861983"/>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724E548">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06C786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6A86777">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65962F0C">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eastAsia="Times New Roman" w:cs="Arial"/>
                <w:b/>
                <w:bCs/>
                <w:sz w:val="22"/>
                <w:szCs w:val="22"/>
                <w:lang w:eastAsia="en-GB"/>
              </w:rPr>
              <w:id w:val="164724739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D97D200">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c>
          <w:tcPr>
            <w:tcW w:w="816" w:type="dxa"/>
            <w:shd w:val="clear" w:color="auto" w:fill="BEBEBE" w:themeFill="background1" w:themeFillShade="BF"/>
            <w:vAlign w:val="center"/>
          </w:tcPr>
          <w:sdt>
            <w:sdtPr>
              <w:rPr>
                <w:rFonts w:ascii="Arial" w:hAnsi="Arial" w:eastAsia="Times New Roman" w:cs="Arial"/>
                <w:b/>
                <w:bCs/>
                <w:sz w:val="22"/>
                <w:szCs w:val="22"/>
                <w:lang w:eastAsia="en-GB"/>
              </w:rPr>
              <w:id w:val="-1995170133"/>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4602064">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r>
      <w:tr w14:paraId="5B4DB1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8864B7">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1E8C7D79">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eastAsia="Times New Roman" w:cs="Arial"/>
                <w:b/>
                <w:bCs/>
                <w:sz w:val="22"/>
                <w:szCs w:val="22"/>
                <w:lang w:eastAsia="en-GB"/>
              </w:rPr>
              <w:id w:val="204902366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EB65F41">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c>
          <w:tcPr>
            <w:tcW w:w="816" w:type="dxa"/>
            <w:vMerge w:val="restart"/>
            <w:shd w:val="clear" w:color="auto" w:fill="BEBEBE" w:themeFill="background1" w:themeFillShade="BF"/>
            <w:vAlign w:val="center"/>
          </w:tcPr>
          <w:sdt>
            <w:sdtPr>
              <w:rPr>
                <w:rFonts w:ascii="Arial" w:hAnsi="Arial" w:eastAsia="Times New Roman" w:cs="Arial"/>
                <w:b/>
                <w:bCs/>
                <w:sz w:val="22"/>
                <w:szCs w:val="22"/>
                <w:lang w:eastAsia="en-GB"/>
              </w:rPr>
              <w:id w:val="190094794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571015B">
                <w:pPr>
                  <w:autoSpaceDE w:val="0"/>
                  <w:autoSpaceDN w:val="0"/>
                  <w:adjustRightInd w:val="0"/>
                  <w:jc w:val="center"/>
                  <w:rPr>
                    <w:rFonts w:ascii="Arial" w:hAnsi="Arial" w:cs="Arial"/>
                    <w:b/>
                    <w:bCs/>
                    <w:sz w:val="22"/>
                    <w:szCs w:val="22"/>
                  </w:rPr>
                </w:pPr>
                <w:r>
                  <w:rPr>
                    <w:rFonts w:ascii="Segoe UI Symbol" w:hAnsi="Segoe UI Symbol" w:eastAsia="MS Gothic" w:cs="Segoe UI Symbol"/>
                    <w:b/>
                    <w:bCs/>
                    <w:sz w:val="22"/>
                    <w:szCs w:val="22"/>
                  </w:rPr>
                  <w:t>☐</w:t>
                </w:r>
              </w:p>
            </w:sdtContent>
          </w:sdt>
        </w:tc>
      </w:tr>
      <w:tr w14:paraId="5F688C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E916494">
            <w:pPr>
              <w:autoSpaceDE w:val="0"/>
              <w:autoSpaceDN w:val="0"/>
              <w:adjustRightInd w:val="0"/>
              <w:rPr>
                <w:rFonts w:ascii="Arial" w:hAnsi="Arial" w:cs="Arial"/>
                <w:sz w:val="22"/>
                <w:szCs w:val="22"/>
              </w:rPr>
            </w:pPr>
          </w:p>
        </w:tc>
        <w:tc>
          <w:tcPr>
            <w:tcW w:w="8227" w:type="dxa"/>
            <w:vAlign w:val="center"/>
          </w:tcPr>
          <w:p w14:paraId="3ACC6BF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F55BEC9">
            <w:pPr>
              <w:rPr>
                <w:rFonts w:ascii="Arial" w:hAnsi="Arial" w:cs="Arial"/>
                <w:sz w:val="22"/>
                <w:szCs w:val="22"/>
              </w:rPr>
            </w:pPr>
          </w:p>
          <w:p w14:paraId="278514BD">
            <w:pPr>
              <w:rPr>
                <w:rFonts w:ascii="Arial" w:hAnsi="Arial" w:cs="Arial"/>
                <w:sz w:val="22"/>
                <w:szCs w:val="22"/>
              </w:rPr>
            </w:pPr>
            <w:r>
              <w:rPr>
                <w:rFonts w:ascii="Arial" w:hAnsi="Arial" w:cs="Arial"/>
                <w:sz w:val="22"/>
                <w:szCs w:val="22"/>
              </w:rPr>
              <w:t>Not applicable and here collection of data can be consisted by the interviews recorded with participants’ consent.</w:t>
            </w:r>
          </w:p>
          <w:p w14:paraId="377969D5">
            <w:pPr>
              <w:autoSpaceDE w:val="0"/>
              <w:autoSpaceDN w:val="0"/>
              <w:adjustRightInd w:val="0"/>
              <w:rPr>
                <w:rFonts w:ascii="Arial" w:hAnsi="Arial" w:cs="Arial"/>
                <w:sz w:val="22"/>
                <w:szCs w:val="22"/>
              </w:rPr>
            </w:pPr>
            <w:r>
              <w:rPr>
                <w:rFonts w:ascii="Arial" w:hAnsi="Arial" w:cs="Arial"/>
                <w:sz w:val="22"/>
                <w:szCs w:val="22"/>
              </w:rPr>
              <w:t>(this box should expand as you type)</w:t>
            </w:r>
          </w:p>
        </w:tc>
        <w:tc>
          <w:tcPr>
            <w:tcW w:w="846" w:type="dxa"/>
            <w:vMerge w:val="continue"/>
            <w:shd w:val="clear" w:color="auto" w:fill="BEBEBE" w:themeFill="background1" w:themeFillShade="BF"/>
            <w:vAlign w:val="center"/>
          </w:tcPr>
          <w:p w14:paraId="47DDDBAF">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2541911B">
            <w:pPr>
              <w:autoSpaceDE w:val="0"/>
              <w:autoSpaceDN w:val="0"/>
              <w:adjustRightInd w:val="0"/>
              <w:jc w:val="center"/>
              <w:rPr>
                <w:rFonts w:ascii="Arial" w:hAnsi="Arial" w:cs="Arial"/>
                <w:b/>
                <w:bCs/>
                <w:sz w:val="22"/>
                <w:szCs w:val="22"/>
              </w:rPr>
            </w:pPr>
          </w:p>
        </w:tc>
      </w:tr>
    </w:tbl>
    <w:p w14:paraId="48D1C75B">
      <w:pPr>
        <w:jc w:val="both"/>
        <w:rPr>
          <w:rFonts w:ascii="Arial" w:hAnsi="Arial" w:cs="Arial"/>
          <w:bCs/>
          <w:iCs/>
          <w:sz w:val="22"/>
          <w:szCs w:val="22"/>
        </w:rPr>
      </w:pPr>
    </w:p>
    <w:p w14:paraId="32D9D8D5">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6A6036FF">
      <w:pPr>
        <w:rPr>
          <w:rFonts w:ascii="Arial" w:hAnsi="Arial" w:cs="Arial"/>
          <w:bCs/>
          <w:iCs/>
          <w:sz w:val="22"/>
          <w:szCs w:val="22"/>
        </w:rPr>
      </w:pPr>
    </w:p>
    <w:p w14:paraId="082AC9C1">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C8AA0EA">
      <w:pPr>
        <w:rPr>
          <w:rFonts w:ascii="Arial" w:hAnsi="Arial" w:cs="Arial"/>
          <w:bCs/>
          <w:iCs/>
          <w:sz w:val="22"/>
          <w:szCs w:val="22"/>
        </w:rPr>
      </w:pPr>
    </w:p>
    <w:p w14:paraId="1D4C2CDE">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7"/>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EE773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0E61FDDE">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6054F07C">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359A9FC9">
            <w:pPr>
              <w:autoSpaceDE w:val="0"/>
              <w:autoSpaceDN w:val="0"/>
              <w:adjustRightInd w:val="0"/>
              <w:jc w:val="center"/>
              <w:rPr>
                <w:rFonts w:ascii="Arial" w:hAnsi="Arial" w:cs="Arial"/>
                <w:b/>
                <w:bCs/>
                <w:sz w:val="22"/>
                <w:szCs w:val="22"/>
              </w:rPr>
            </w:pPr>
          </w:p>
          <w:p w14:paraId="07F0BA9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3932DACB">
            <w:pPr>
              <w:autoSpaceDE w:val="0"/>
              <w:autoSpaceDN w:val="0"/>
              <w:adjustRightInd w:val="0"/>
              <w:jc w:val="center"/>
              <w:rPr>
                <w:rFonts w:ascii="Arial" w:hAnsi="Arial" w:cs="Arial"/>
                <w:b/>
                <w:bCs/>
                <w:sz w:val="22"/>
                <w:szCs w:val="22"/>
              </w:rPr>
            </w:pPr>
          </w:p>
          <w:p w14:paraId="6F007077">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6A306E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044E41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3DEFDE37">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22776399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62CA7DE">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94730625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A30B8DA">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C3EA3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17354A">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18644608">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178024719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9DF54D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66643513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7C6447F">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49AA64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A0652BB">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FA0ACEB">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55597856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2169D2D">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43566853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89866BE">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234A93B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8F0FFD9">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4093FBAD">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37547282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82AFF82">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188736146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498C1AA">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14D9F5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F129299">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068EE8BA">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169279390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382E5D6">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32641141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FB81A69">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20161E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8AE000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16441CA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1255410168"/>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E0B31A4">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123600058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E7C42A9">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15ED3DB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B95E9D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1396DFF">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101645307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33D97A4">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167307004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CEF5DC5">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03B8F6B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9644AB9">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2793877B">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eastAsia="Times New Roman" w:cs="Arial"/>
                <w:b/>
                <w:bCs/>
                <w:sz w:val="22"/>
                <w:szCs w:val="22"/>
                <w:lang w:eastAsia="en-GB"/>
              </w:rPr>
              <w:id w:val="-151985084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1C13F37">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822" w:type="dxa"/>
            <w:shd w:val="clear" w:color="auto" w:fill="BEBEBE" w:themeFill="background1" w:themeFillShade="BF"/>
            <w:vAlign w:val="center"/>
          </w:tcPr>
          <w:sdt>
            <w:sdtPr>
              <w:rPr>
                <w:rFonts w:ascii="Arial" w:hAnsi="Arial" w:eastAsia="Times New Roman" w:cs="Arial"/>
                <w:b/>
                <w:bCs/>
                <w:sz w:val="22"/>
                <w:szCs w:val="22"/>
                <w:lang w:eastAsia="en-GB"/>
              </w:rPr>
              <w:id w:val="1072859745"/>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DA31066">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6EA162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9DDA64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77406C1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7D7FDC69">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eastAsia="Times New Roman" w:cs="Arial"/>
                <w:b/>
                <w:bCs/>
                <w:sz w:val="22"/>
                <w:szCs w:val="22"/>
                <w:lang w:eastAsia="en-GB"/>
              </w:rPr>
              <w:id w:val="-198491803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D37A68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eastAsia="en-GB"/>
                  </w:rPr>
                  <w:t>☐</w:t>
                </w:r>
              </w:p>
            </w:sdtContent>
          </w:sdt>
        </w:tc>
        <w:tc>
          <w:tcPr>
            <w:tcW w:w="822" w:type="dxa"/>
            <w:vMerge w:val="restart"/>
            <w:shd w:val="clear" w:color="auto" w:fill="BEBEBE" w:themeFill="background1" w:themeFillShade="BF"/>
            <w:vAlign w:val="center"/>
          </w:tcPr>
          <w:sdt>
            <w:sdtPr>
              <w:rPr>
                <w:rFonts w:ascii="Arial" w:hAnsi="Arial" w:eastAsia="Times New Roman" w:cs="Arial"/>
                <w:b/>
                <w:bCs/>
                <w:sz w:val="22"/>
                <w:szCs w:val="22"/>
                <w:lang w:eastAsia="en-GB"/>
              </w:rPr>
              <w:id w:val="-187005256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AFD332F">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r>
      <w:tr w14:paraId="2B02B5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042F25D">
            <w:pPr>
              <w:autoSpaceDE w:val="0"/>
              <w:autoSpaceDN w:val="0"/>
              <w:adjustRightInd w:val="0"/>
              <w:jc w:val="center"/>
              <w:rPr>
                <w:rFonts w:ascii="Arial" w:hAnsi="Arial" w:cs="Arial"/>
                <w:sz w:val="22"/>
                <w:szCs w:val="22"/>
              </w:rPr>
            </w:pPr>
          </w:p>
        </w:tc>
        <w:tc>
          <w:tcPr>
            <w:tcW w:w="8217" w:type="dxa"/>
            <w:vAlign w:val="center"/>
          </w:tcPr>
          <w:p w14:paraId="6358ADC7">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C0F9CE2">
            <w:pPr>
              <w:rPr>
                <w:rFonts w:ascii="Arial" w:hAnsi="Arial" w:cs="Arial"/>
                <w:sz w:val="22"/>
                <w:szCs w:val="22"/>
              </w:rPr>
            </w:pPr>
            <w:r>
              <w:rPr>
                <w:rFonts w:ascii="Arial" w:hAnsi="Arial" w:cs="Arial"/>
                <w:sz w:val="22"/>
                <w:szCs w:val="22"/>
              </w:rPr>
              <w:t>Not applicable where all the participants can be adults here age more than 18, and full ability for providing informed consent is needed.</w:t>
            </w:r>
          </w:p>
        </w:tc>
        <w:tc>
          <w:tcPr>
            <w:tcW w:w="850" w:type="dxa"/>
            <w:vMerge w:val="continue"/>
            <w:shd w:val="clear" w:color="auto" w:fill="BEBEBE" w:themeFill="background1" w:themeFillShade="BF"/>
            <w:vAlign w:val="center"/>
          </w:tcPr>
          <w:p w14:paraId="5E027207">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1EDD4DE9">
            <w:pPr>
              <w:autoSpaceDE w:val="0"/>
              <w:autoSpaceDN w:val="0"/>
              <w:adjustRightInd w:val="0"/>
              <w:jc w:val="center"/>
              <w:rPr>
                <w:rFonts w:ascii="Arial" w:hAnsi="Arial" w:cs="Arial"/>
                <w:b/>
                <w:bCs/>
                <w:sz w:val="22"/>
                <w:szCs w:val="22"/>
              </w:rPr>
            </w:pPr>
          </w:p>
        </w:tc>
      </w:tr>
    </w:tbl>
    <w:p w14:paraId="21FB5D6E">
      <w:pPr>
        <w:rPr>
          <w:rFonts w:ascii="Arial" w:hAnsi="Arial" w:cs="Arial"/>
          <w:bCs/>
          <w:sz w:val="22"/>
          <w:szCs w:val="22"/>
        </w:rPr>
      </w:pPr>
    </w:p>
    <w:tbl>
      <w:tblPr>
        <w:tblStyle w:val="17"/>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7DFCBC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433C06D3">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70DE9987">
            <w:pPr>
              <w:rPr>
                <w:rFonts w:ascii="Arial" w:hAnsi="Arial" w:cs="Arial"/>
                <w:b/>
                <w:sz w:val="22"/>
                <w:szCs w:val="22"/>
              </w:rPr>
            </w:pPr>
            <w:r>
              <w:rPr>
                <w:rFonts w:ascii="Arial" w:hAnsi="Arial" w:cs="Arial"/>
                <w:b/>
                <w:sz w:val="22"/>
                <w:szCs w:val="22"/>
              </w:rPr>
              <w:t>Participant numbers and source</w:t>
            </w:r>
          </w:p>
          <w:p w14:paraId="26B4B7D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4D631E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E398D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D6BCC9F">
            <w:pPr>
              <w:rPr>
                <w:rFonts w:ascii="Arial" w:hAnsi="Arial" w:cs="Arial"/>
                <w:sz w:val="22"/>
                <w:szCs w:val="22"/>
              </w:rPr>
            </w:pPr>
            <w:r>
              <w:rPr>
                <w:rFonts w:ascii="Arial" w:hAnsi="Arial" w:cs="Arial"/>
                <w:sz w:val="22"/>
                <w:szCs w:val="22"/>
              </w:rPr>
              <w:t>How many participants are expected?</w:t>
            </w:r>
          </w:p>
          <w:p w14:paraId="1B95B90B">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9E8A732">
            <w:pPr>
              <w:rPr>
                <w:rFonts w:hint="default" w:ascii="Arial" w:hAnsi="Arial" w:cs="Arial"/>
                <w:sz w:val="22"/>
                <w:szCs w:val="22"/>
                <w:lang w:val="en-GB"/>
              </w:rPr>
            </w:pPr>
            <w:r>
              <w:rPr>
                <w:rFonts w:ascii="Arial" w:hAnsi="Arial" w:cs="Arial"/>
                <w:sz w:val="22"/>
                <w:szCs w:val="22"/>
              </w:rPr>
              <w:t>About six participants for the interview can be involved.</w:t>
            </w:r>
            <w:r>
              <w:rPr>
                <w:rFonts w:hint="default" w:ascii="Arial" w:hAnsi="Arial" w:cs="Arial"/>
                <w:sz w:val="22"/>
                <w:szCs w:val="22"/>
                <w:lang w:val="en-GB"/>
              </w:rPr>
              <w:t>the number of questionnaires somewhere between 100 to 150.</w:t>
            </w:r>
          </w:p>
        </w:tc>
      </w:tr>
      <w:tr w14:paraId="55955E8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EA73ECB">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120EEE1">
            <w:pPr>
              <w:rPr>
                <w:rFonts w:ascii="Arial" w:hAnsi="Arial" w:cs="Arial"/>
                <w:sz w:val="22"/>
                <w:szCs w:val="22"/>
              </w:rPr>
            </w:pPr>
            <w:r>
              <w:rPr>
                <w:rFonts w:ascii="Arial" w:hAnsi="Arial" w:cs="Arial"/>
                <w:sz w:val="22"/>
                <w:szCs w:val="22"/>
              </w:rPr>
              <w:t>Who will the participants be?</w:t>
            </w:r>
          </w:p>
          <w:p w14:paraId="0778EE68">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455EB5E4">
            <w:pPr>
              <w:rPr>
                <w:rFonts w:ascii="Arial" w:hAnsi="Arial" w:cs="Arial"/>
                <w:sz w:val="22"/>
                <w:szCs w:val="22"/>
              </w:rPr>
            </w:pPr>
          </w:p>
          <w:p w14:paraId="5D74C8D0">
            <w:pPr>
              <w:rPr>
                <w:rFonts w:ascii="Arial" w:hAnsi="Arial" w:cs="Arial"/>
                <w:sz w:val="22"/>
                <w:szCs w:val="22"/>
              </w:rPr>
            </w:pPr>
            <w:r>
              <w:rPr>
                <w:rFonts w:ascii="Arial" w:hAnsi="Arial" w:cs="Arial"/>
                <w:sz w:val="22"/>
                <w:szCs w:val="22"/>
              </w:rPr>
              <w:t>Participants are adults age over 18 and who works in retail shop as sustainability officers or retail managers in the UK.</w:t>
            </w:r>
          </w:p>
          <w:p w14:paraId="6448BD5C">
            <w:pPr>
              <w:rPr>
                <w:rFonts w:ascii="Arial" w:hAnsi="Arial" w:cs="Arial"/>
                <w:sz w:val="22"/>
                <w:szCs w:val="22"/>
              </w:rPr>
            </w:pPr>
          </w:p>
        </w:tc>
      </w:tr>
      <w:tr w14:paraId="27F410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E58D874">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174D1CE">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49A18262">
            <w:pPr>
              <w:pStyle w:val="14"/>
              <w:rPr>
                <w:rFonts w:ascii="Arial" w:hAnsi="Arial" w:cs="Arial"/>
                <w:sz w:val="22"/>
                <w:szCs w:val="22"/>
              </w:rPr>
            </w:pPr>
          </w:p>
          <w:p w14:paraId="5413CC6E">
            <w:pPr>
              <w:pStyle w:val="14"/>
              <w:rPr>
                <w:rFonts w:ascii="Arial" w:hAnsi="Arial" w:cs="Arial"/>
                <w:sz w:val="22"/>
                <w:szCs w:val="22"/>
              </w:rPr>
            </w:pPr>
            <w:r>
              <w:rPr>
                <w:rFonts w:ascii="Arial" w:hAnsi="Arial" w:cs="Arial"/>
                <w:sz w:val="22"/>
                <w:szCs w:val="22"/>
              </w:rPr>
              <w:t xml:space="preserve">Participants will be identified using purposive sampling. Potential contacts will be approached through professional networks, </w:t>
            </w:r>
            <w:r>
              <w:rPr>
                <w:rFonts w:ascii="Arial" w:hAnsi="Arial" w:cs="Arial"/>
                <w:sz w:val="22"/>
                <w:szCs w:val="22"/>
                <w:lang w:val="en-GB"/>
              </w:rPr>
              <w:t>Linked-in</w:t>
            </w:r>
            <w:r>
              <w:rPr>
                <w:rFonts w:ascii="Arial" w:hAnsi="Arial" w:cs="Arial"/>
                <w:sz w:val="22"/>
                <w:szCs w:val="22"/>
              </w:rPr>
              <w:t xml:space="preserve">, and direct email invitations to relevant retail </w:t>
            </w:r>
            <w:r>
              <w:rPr>
                <w:rFonts w:ascii="Arial" w:hAnsi="Arial" w:cs="Arial"/>
                <w:sz w:val="22"/>
                <w:szCs w:val="22"/>
                <w:lang w:val="en-GB"/>
              </w:rPr>
              <w:t>organizations</w:t>
            </w:r>
            <w:r>
              <w:rPr>
                <w:rFonts w:ascii="Arial" w:hAnsi="Arial" w:cs="Arial"/>
                <w:sz w:val="22"/>
                <w:szCs w:val="22"/>
              </w:rPr>
              <w:t>. They will be selected based on their managerial role and experience in sustainability-related decision-making.</w:t>
            </w:r>
          </w:p>
          <w:p w14:paraId="16968835">
            <w:pPr>
              <w:pStyle w:val="14"/>
              <w:rPr>
                <w:rFonts w:ascii="Arial" w:hAnsi="Arial" w:cs="Arial"/>
                <w:sz w:val="22"/>
                <w:szCs w:val="22"/>
                <w:lang w:eastAsia="en-IN"/>
              </w:rPr>
            </w:pPr>
          </w:p>
        </w:tc>
      </w:tr>
    </w:tbl>
    <w:p w14:paraId="5928ED23">
      <w:pPr>
        <w:rPr>
          <w:rFonts w:ascii="Arial" w:hAnsi="Arial" w:cs="Arial"/>
          <w:bCs/>
          <w:sz w:val="22"/>
          <w:szCs w:val="22"/>
        </w:rPr>
      </w:pPr>
    </w:p>
    <w:p w14:paraId="121E493C">
      <w:pPr>
        <w:rPr>
          <w:rFonts w:ascii="Arial" w:hAnsi="Arial" w:cs="Arial"/>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4BE166D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2EEC3D64">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37FC00D1">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59B82372">
            <w:pPr>
              <w:autoSpaceDE w:val="0"/>
              <w:autoSpaceDN w:val="0"/>
              <w:adjustRightInd w:val="0"/>
              <w:jc w:val="center"/>
              <w:rPr>
                <w:rFonts w:ascii="Arial" w:hAnsi="Arial" w:cs="Arial"/>
                <w:b/>
                <w:bCs/>
                <w:sz w:val="22"/>
                <w:szCs w:val="22"/>
              </w:rPr>
            </w:pPr>
          </w:p>
          <w:p w14:paraId="0834BE3C">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6A72B3E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4D6C6FEC">
            <w:pPr>
              <w:autoSpaceDE w:val="0"/>
              <w:autoSpaceDN w:val="0"/>
              <w:adjustRightInd w:val="0"/>
              <w:jc w:val="center"/>
              <w:rPr>
                <w:rFonts w:ascii="Arial" w:hAnsi="Arial" w:cs="Arial"/>
                <w:b/>
                <w:bCs/>
                <w:sz w:val="22"/>
                <w:szCs w:val="22"/>
              </w:rPr>
            </w:pPr>
          </w:p>
          <w:p w14:paraId="540E83C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1D270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1333D3E">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45C14605">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63885442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2A8072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83841572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3266A9C">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01827235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3D4B28C">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DEB3A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1314345">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39EE9731">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917978816"/>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12B06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26674509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AA7EBBA">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96461357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70B0C7F">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1252E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42B77B4">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329BED6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7307100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2EFB7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777214799"/>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1691C16">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04620075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86761F2">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4E54D95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6BFC9B">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3BC6985B">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90794767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CCFB0E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99795487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6C35414">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83388731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E7D7742">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ED2E3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22F1EB">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FA77BE4">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6549896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748CA8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32790711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E8E3158">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843242132"/>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00805C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1ECB47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B7F2197">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738689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689744163"/>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A10137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160307203"/>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5C763B9">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7000421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D49591E">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D961D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0D4B1B1">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3AB1B96E">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20004605"/>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F237A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50274824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F20E836">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9612545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C791E8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r>
      <w:tr w14:paraId="3D245F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2FA8BF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40D94A18">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9622161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AFC44B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71535789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AE63EE8">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861819308"/>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E083D4C">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9E86B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772A759">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448AD63A">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507015635"/>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D49413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28270137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E56D1A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075428902"/>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3B5361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1AEC27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4467ECEA">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1F8A559">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03968D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A47C70">
            <w:pPr>
              <w:jc w:val="center"/>
              <w:rPr>
                <w:rFonts w:ascii="Arial" w:hAnsi="Arial" w:cs="Arial"/>
                <w:sz w:val="22"/>
                <w:szCs w:val="22"/>
              </w:rPr>
            </w:pPr>
          </w:p>
        </w:tc>
        <w:tc>
          <w:tcPr>
            <w:tcW w:w="9923" w:type="dxa"/>
            <w:gridSpan w:val="4"/>
            <w:vAlign w:val="center"/>
          </w:tcPr>
          <w:p w14:paraId="7146C1C8">
            <w:pPr>
              <w:rPr>
                <w:rFonts w:ascii="Arial" w:hAnsi="Arial" w:cs="Arial"/>
                <w:sz w:val="22"/>
                <w:szCs w:val="22"/>
              </w:rPr>
            </w:pPr>
          </w:p>
          <w:p w14:paraId="4285017A">
            <w:pPr>
              <w:autoSpaceDE w:val="0"/>
              <w:autoSpaceDN w:val="0"/>
              <w:adjustRightInd w:val="0"/>
              <w:rPr>
                <w:rFonts w:ascii="Arial" w:hAnsi="Arial" w:cs="Arial"/>
                <w:sz w:val="22"/>
                <w:szCs w:val="22"/>
              </w:rPr>
            </w:pPr>
          </w:p>
        </w:tc>
      </w:tr>
    </w:tbl>
    <w:p w14:paraId="41CC8038">
      <w:pPr>
        <w:rPr>
          <w:rFonts w:ascii="Arial" w:hAnsi="Arial" w:cs="Arial"/>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57FC25C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5D5FBBA2">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3CAE2725">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0020827F">
            <w:pPr>
              <w:autoSpaceDE w:val="0"/>
              <w:autoSpaceDN w:val="0"/>
              <w:adjustRightInd w:val="0"/>
              <w:jc w:val="center"/>
              <w:rPr>
                <w:rFonts w:ascii="Arial" w:hAnsi="Arial" w:cs="Arial"/>
                <w:b/>
                <w:bCs/>
                <w:sz w:val="22"/>
                <w:szCs w:val="22"/>
              </w:rPr>
            </w:pPr>
          </w:p>
          <w:p w14:paraId="7A3B039F">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4506E186">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3406B629">
            <w:pPr>
              <w:autoSpaceDE w:val="0"/>
              <w:autoSpaceDN w:val="0"/>
              <w:adjustRightInd w:val="0"/>
              <w:jc w:val="center"/>
              <w:rPr>
                <w:rFonts w:ascii="Arial" w:hAnsi="Arial" w:cs="Arial"/>
                <w:b/>
                <w:bCs/>
                <w:sz w:val="22"/>
                <w:szCs w:val="22"/>
              </w:rPr>
            </w:pPr>
          </w:p>
          <w:p w14:paraId="00870CA1">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03786A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F41F9FD">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21205B25">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51043762"/>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1555435">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256140063"/>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18C772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63421972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4C4F85A">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1CB51A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D88D73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45B4AA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43898245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EEAA01C">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2089267095"/>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A0D316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42546884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72D3772">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6A07DEB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AC0FE55">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08E9E497">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25606969"/>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FF322F1">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565337314"/>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D901FD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3357519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D23307D">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2575BC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AF8BC65">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43605053">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873932248"/>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0F64DA0">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c>
          <w:tcPr>
            <w:tcW w:w="851" w:type="dxa"/>
            <w:shd w:val="clear" w:color="auto" w:fill="BEBEBE" w:themeFill="background1" w:themeFillShade="BF"/>
            <w:vAlign w:val="center"/>
          </w:tcPr>
          <w:sdt>
            <w:sdtPr>
              <w:rPr>
                <w:rFonts w:ascii="Arial" w:hAnsi="Arial" w:eastAsia="Times New Roman" w:cs="Arial"/>
                <w:b/>
                <w:bCs/>
                <w:sz w:val="22"/>
                <w:szCs w:val="22"/>
                <w:lang w:eastAsia="en-GB"/>
              </w:rPr>
              <w:id w:val="-1867361740"/>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40CEC4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1432836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ED17B58">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2196589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BE292F">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0A3EAD9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19964B4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562" w:type="dxa"/>
            <w:vAlign w:val="center"/>
          </w:tcPr>
          <w:p w14:paraId="1FD07CEF">
            <w:pPr>
              <w:jc w:val="center"/>
              <w:rPr>
                <w:rFonts w:ascii="Arial" w:hAnsi="Arial" w:cs="Arial"/>
                <w:sz w:val="22"/>
                <w:szCs w:val="22"/>
              </w:rPr>
            </w:pPr>
          </w:p>
        </w:tc>
        <w:tc>
          <w:tcPr>
            <w:tcW w:w="9923" w:type="dxa"/>
            <w:gridSpan w:val="4"/>
            <w:vAlign w:val="center"/>
          </w:tcPr>
          <w:p w14:paraId="1C559087">
            <w:pPr>
              <w:autoSpaceDE w:val="0"/>
              <w:autoSpaceDN w:val="0"/>
              <w:adjustRightInd w:val="0"/>
              <w:rPr>
                <w:rFonts w:ascii="Arial" w:hAnsi="Arial" w:cs="Arial"/>
                <w:sz w:val="22"/>
                <w:szCs w:val="22"/>
              </w:rPr>
            </w:pPr>
          </w:p>
        </w:tc>
      </w:tr>
    </w:tbl>
    <w:p w14:paraId="35D1F001">
      <w:pPr>
        <w:autoSpaceDE w:val="0"/>
        <w:autoSpaceDN w:val="0"/>
        <w:adjustRightInd w:val="0"/>
        <w:spacing w:after="240"/>
        <w:jc w:val="both"/>
        <w:rPr>
          <w:rFonts w:ascii="Arial" w:hAnsi="Arial" w:cs="Arial"/>
          <w:b/>
          <w:sz w:val="22"/>
          <w:szCs w:val="22"/>
        </w:rPr>
      </w:pPr>
    </w:p>
    <w:p w14:paraId="51F125B6">
      <w:pPr>
        <w:rPr>
          <w:rFonts w:ascii="Arial" w:hAnsi="Arial" w:cs="Arial"/>
          <w:b/>
          <w:sz w:val="22"/>
          <w:szCs w:val="22"/>
        </w:rPr>
      </w:pPr>
      <w:r>
        <w:rPr>
          <w:rFonts w:ascii="Arial" w:hAnsi="Arial" w:cs="Arial"/>
          <w:b/>
          <w:sz w:val="22"/>
          <w:szCs w:val="22"/>
        </w:rPr>
        <w:t>SECTION F: Anticipated Risks</w:t>
      </w:r>
    </w:p>
    <w:p w14:paraId="2B409EAB">
      <w:pPr>
        <w:rPr>
          <w:rFonts w:ascii="Arial" w:hAnsi="Arial" w:cs="Arial"/>
          <w:b/>
          <w:sz w:val="22"/>
          <w:szCs w:val="22"/>
        </w:rPr>
      </w:pPr>
    </w:p>
    <w:tbl>
      <w:tblPr>
        <w:tblStyle w:val="9"/>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712BCD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6913E102">
            <w:pPr>
              <w:pStyle w:val="2"/>
              <w:tabs>
                <w:tab w:val="left" w:pos="5103"/>
              </w:tabs>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3AABF03B">
            <w:pPr>
              <w:pStyle w:val="2"/>
              <w:tabs>
                <w:tab w:val="left" w:pos="5103"/>
              </w:tabs>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0F391D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8772E3F">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4F35E7D9">
            <w:pPr>
              <w:rPr>
                <w:rFonts w:ascii="Arial" w:hAnsi="Arial" w:cs="Arial"/>
                <w:sz w:val="22"/>
                <w:szCs w:val="22"/>
              </w:rPr>
            </w:pPr>
            <w:r>
              <w:rPr>
                <w:rFonts w:ascii="Arial" w:hAnsi="Arial" w:cs="Arial"/>
                <w:b/>
                <w:sz w:val="22"/>
                <w:szCs w:val="22"/>
              </w:rPr>
              <w:t>Risks to participants</w:t>
            </w:r>
          </w:p>
          <w:p w14:paraId="620C5C2D">
            <w:pPr>
              <w:rPr>
                <w:rFonts w:ascii="Arial" w:hAnsi="Arial" w:cs="Arial"/>
                <w:b/>
                <w:sz w:val="22"/>
                <w:szCs w:val="22"/>
              </w:rPr>
            </w:pPr>
            <w:r>
              <w:rPr>
                <w:rFonts w:ascii="Arial" w:hAnsi="Arial" w:cs="Arial"/>
                <w:sz w:val="22"/>
                <w:szCs w:val="22"/>
              </w:rPr>
              <w:t xml:space="preserve">For example: sector-specific health &amp; safety, emotional distress, financial disclosure, physical harm, transfer of personal data, sensitive </w:t>
            </w:r>
            <w:r>
              <w:rPr>
                <w:rFonts w:ascii="Arial" w:hAnsi="Arial" w:cs="Arial"/>
                <w:sz w:val="22"/>
                <w:szCs w:val="22"/>
                <w:lang w:val="en-GB"/>
              </w:rPr>
              <w:t>organizational</w:t>
            </w:r>
            <w:r>
              <w:rPr>
                <w:rFonts w:ascii="Arial" w:hAnsi="Arial" w:cs="Arial"/>
                <w:sz w:val="22"/>
                <w:szCs w:val="22"/>
              </w:rPr>
              <w:t xml:space="preserve"> information. If you have identified in section D that there are no participants then enter N/A and go skip to question 3.</w:t>
            </w:r>
          </w:p>
        </w:tc>
      </w:tr>
      <w:tr w14:paraId="524360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D228BEB">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15E6E0B">
            <w:pPr>
              <w:rPr>
                <w:rFonts w:ascii="Arial" w:hAnsi="Arial" w:cs="Arial"/>
                <w:sz w:val="22"/>
                <w:szCs w:val="22"/>
              </w:rPr>
            </w:pPr>
            <w:r>
              <w:rPr>
                <w:rFonts w:ascii="Arial" w:hAnsi="Arial" w:cs="Arial"/>
                <w:sz w:val="22"/>
                <w:szCs w:val="22"/>
              </w:rPr>
              <w:t xml:space="preserve">Minor risk about discomfort in the time of discussing or addressing </w:t>
            </w:r>
            <w:r>
              <w:rPr>
                <w:rFonts w:ascii="Arial" w:hAnsi="Arial" w:cs="Arial"/>
                <w:sz w:val="22"/>
                <w:szCs w:val="22"/>
                <w:lang w:val="en-GB"/>
              </w:rPr>
              <w:t>organizational</w:t>
            </w:r>
            <w:r>
              <w:rPr>
                <w:rFonts w:ascii="Arial" w:hAnsi="Arial" w:cs="Arial"/>
                <w:sz w:val="22"/>
                <w:szCs w:val="22"/>
              </w:rPr>
              <w:t xml:space="preserve"> practices.</w:t>
            </w:r>
          </w:p>
        </w:tc>
        <w:tc>
          <w:tcPr>
            <w:tcW w:w="4932" w:type="dxa"/>
            <w:tcBorders>
              <w:top w:val="single" w:color="auto" w:sz="4" w:space="0"/>
              <w:bottom w:val="single" w:color="auto" w:sz="4" w:space="0"/>
            </w:tcBorders>
          </w:tcPr>
          <w:p w14:paraId="2EB07443">
            <w:pPr>
              <w:rPr>
                <w:rFonts w:ascii="Arial" w:hAnsi="Arial" w:cs="Arial"/>
                <w:sz w:val="22"/>
                <w:szCs w:val="22"/>
              </w:rPr>
            </w:pPr>
            <w:r>
              <w:rPr>
                <w:rFonts w:ascii="Arial" w:hAnsi="Arial" w:cs="Arial"/>
                <w:sz w:val="22"/>
                <w:szCs w:val="22"/>
              </w:rPr>
              <w:t>Clear consent, anonymisation and right to skip/withdraw.</w:t>
            </w:r>
          </w:p>
          <w:p w14:paraId="42690721">
            <w:pPr>
              <w:autoSpaceDE w:val="0"/>
              <w:autoSpaceDN w:val="0"/>
              <w:adjustRightInd w:val="0"/>
              <w:rPr>
                <w:rFonts w:ascii="Arial" w:hAnsi="Arial" w:cs="Arial"/>
                <w:i/>
                <w:sz w:val="22"/>
                <w:szCs w:val="22"/>
              </w:rPr>
            </w:pPr>
          </w:p>
        </w:tc>
      </w:tr>
      <w:tr w14:paraId="2A52B7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7DCE2485">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5BF1A8">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4D83FA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424C66A4">
            <w:pPr>
              <w:jc w:val="center"/>
              <w:rPr>
                <w:rFonts w:ascii="Arial" w:hAnsi="Arial" w:cs="Arial"/>
                <w:sz w:val="22"/>
                <w:szCs w:val="22"/>
              </w:rPr>
            </w:pPr>
          </w:p>
        </w:tc>
        <w:tc>
          <w:tcPr>
            <w:tcW w:w="9923" w:type="dxa"/>
            <w:gridSpan w:val="2"/>
            <w:tcBorders>
              <w:top w:val="single" w:color="auto" w:sz="4" w:space="0"/>
              <w:bottom w:val="single" w:color="auto" w:sz="4" w:space="0"/>
            </w:tcBorders>
          </w:tcPr>
          <w:p w14:paraId="080A865C">
            <w:pPr>
              <w:rPr>
                <w:rFonts w:ascii="Arial" w:hAnsi="Arial" w:cs="Arial"/>
                <w:sz w:val="22"/>
                <w:szCs w:val="22"/>
              </w:rPr>
            </w:pPr>
          </w:p>
          <w:p w14:paraId="16D136AA">
            <w:pPr>
              <w:rPr>
                <w:rFonts w:ascii="Arial" w:hAnsi="Arial" w:cs="Arial"/>
                <w:sz w:val="22"/>
                <w:szCs w:val="22"/>
              </w:rPr>
            </w:pPr>
            <w:r>
              <w:rPr>
                <w:rFonts w:ascii="Arial" w:hAnsi="Arial" w:cs="Arial"/>
                <w:sz w:val="22"/>
                <w:szCs w:val="22"/>
              </w:rPr>
              <w:t>Unlikely, however, participants can feel uneasy addressing tensions between sustainability and profit. Sensitive question should give an option for stopping at any given point.</w:t>
            </w:r>
          </w:p>
          <w:p w14:paraId="732AD6EB">
            <w:pPr>
              <w:autoSpaceDE w:val="0"/>
              <w:autoSpaceDN w:val="0"/>
              <w:adjustRightInd w:val="0"/>
              <w:rPr>
                <w:rFonts w:ascii="Arial" w:hAnsi="Arial" w:cs="Arial"/>
                <w:sz w:val="22"/>
                <w:szCs w:val="22"/>
              </w:rPr>
            </w:pPr>
          </w:p>
        </w:tc>
      </w:tr>
      <w:tr w14:paraId="6CEB91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B25F213">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59C4B325">
            <w:pPr>
              <w:rPr>
                <w:rFonts w:ascii="Arial" w:hAnsi="Arial" w:cs="Arial"/>
                <w:sz w:val="22"/>
                <w:szCs w:val="22"/>
              </w:rPr>
            </w:pPr>
            <w:r>
              <w:rPr>
                <w:rFonts w:ascii="Arial" w:hAnsi="Arial" w:cs="Arial"/>
                <w:b/>
                <w:sz w:val="22"/>
                <w:szCs w:val="22"/>
              </w:rPr>
              <w:t>Risks to the investigator</w:t>
            </w:r>
          </w:p>
          <w:p w14:paraId="6A197006">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5998E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243467F1">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9844339">
            <w:pPr>
              <w:rPr>
                <w:rFonts w:ascii="Arial" w:hAnsi="Arial" w:cs="Arial"/>
                <w:sz w:val="22"/>
                <w:szCs w:val="22"/>
              </w:rPr>
            </w:pPr>
            <w:r>
              <w:rPr>
                <w:rFonts w:ascii="Arial" w:hAnsi="Arial" w:cs="Arial"/>
                <w:sz w:val="22"/>
                <w:szCs w:val="22"/>
              </w:rPr>
              <w:t xml:space="preserve">Low risk about stress and scheduling difficulties can occur. </w:t>
            </w:r>
          </w:p>
        </w:tc>
        <w:tc>
          <w:tcPr>
            <w:tcW w:w="4932" w:type="dxa"/>
            <w:tcBorders>
              <w:top w:val="single" w:color="auto" w:sz="4" w:space="0"/>
              <w:bottom w:val="single" w:color="auto" w:sz="4" w:space="0"/>
            </w:tcBorders>
          </w:tcPr>
          <w:p w14:paraId="32139DCD">
            <w:pPr>
              <w:rPr>
                <w:rFonts w:ascii="Arial" w:hAnsi="Arial" w:cs="Arial"/>
                <w:sz w:val="22"/>
                <w:szCs w:val="22"/>
              </w:rPr>
            </w:pPr>
            <w:r>
              <w:rPr>
                <w:rFonts w:ascii="Arial" w:hAnsi="Arial" w:cs="Arial"/>
                <w:sz w:val="22"/>
                <w:szCs w:val="22"/>
              </w:rPr>
              <w:t>The interviews need to be preferred social media</w:t>
            </w:r>
          </w:p>
        </w:tc>
      </w:tr>
      <w:tr w14:paraId="75EDA3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5F0AF333">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4220E4D6">
            <w:pPr>
              <w:rPr>
                <w:rFonts w:ascii="Arial" w:hAnsi="Arial" w:cs="Arial"/>
                <w:sz w:val="22"/>
                <w:szCs w:val="22"/>
              </w:rPr>
            </w:pPr>
            <w:r>
              <w:rPr>
                <w:rFonts w:ascii="Arial" w:hAnsi="Arial" w:cs="Arial"/>
                <w:b/>
                <w:sz w:val="22"/>
                <w:szCs w:val="22"/>
              </w:rPr>
              <w:t>University/institutional risks</w:t>
            </w:r>
          </w:p>
          <w:p w14:paraId="02F7C282">
            <w:pPr>
              <w:rPr>
                <w:rFonts w:ascii="Arial" w:hAnsi="Arial" w:cs="Arial"/>
                <w:sz w:val="22"/>
                <w:szCs w:val="22"/>
              </w:rPr>
            </w:pPr>
            <w:r>
              <w:rPr>
                <w:rFonts w:ascii="Arial" w:hAnsi="Arial" w:cs="Arial"/>
                <w:sz w:val="22"/>
                <w:szCs w:val="22"/>
              </w:rPr>
              <w:t>For example: adverse publicity, financial loss, data protection</w:t>
            </w:r>
          </w:p>
        </w:tc>
      </w:tr>
      <w:tr w14:paraId="4DFB55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8B01B9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571FB07F">
            <w:pPr>
              <w:rPr>
                <w:rFonts w:ascii="Arial" w:hAnsi="Arial" w:cs="Arial"/>
                <w:sz w:val="22"/>
                <w:szCs w:val="22"/>
              </w:rPr>
            </w:pPr>
            <w:r>
              <w:rPr>
                <w:rFonts w:ascii="Arial" w:hAnsi="Arial" w:cs="Arial"/>
                <w:sz w:val="22"/>
                <w:szCs w:val="22"/>
              </w:rPr>
              <w:t xml:space="preserve">Risk related to </w:t>
            </w:r>
            <w:r>
              <w:rPr>
                <w:rFonts w:ascii="Arial" w:hAnsi="Arial" w:cs="Arial"/>
                <w:sz w:val="22"/>
                <w:szCs w:val="22"/>
                <w:lang w:val="en-GB"/>
              </w:rPr>
              <w:t>reputation</w:t>
            </w:r>
            <w:r>
              <w:rPr>
                <w:rFonts w:ascii="Arial" w:hAnsi="Arial" w:cs="Arial"/>
                <w:sz w:val="22"/>
                <w:szCs w:val="22"/>
              </w:rPr>
              <w:t xml:space="preserve"> harm if the confidentiality breached.</w:t>
            </w:r>
          </w:p>
        </w:tc>
        <w:tc>
          <w:tcPr>
            <w:tcW w:w="4932" w:type="dxa"/>
            <w:tcBorders>
              <w:top w:val="single" w:color="auto" w:sz="4" w:space="0"/>
              <w:bottom w:val="single" w:color="auto" w:sz="4" w:space="0"/>
            </w:tcBorders>
          </w:tcPr>
          <w:p w14:paraId="75C2D1E6">
            <w:pPr>
              <w:autoSpaceDE w:val="0"/>
              <w:autoSpaceDN w:val="0"/>
              <w:adjustRightInd w:val="0"/>
              <w:rPr>
                <w:rFonts w:ascii="Arial" w:hAnsi="Arial" w:cs="Arial"/>
                <w:i/>
                <w:sz w:val="22"/>
                <w:szCs w:val="22"/>
              </w:rPr>
            </w:pPr>
            <w:r>
              <w:rPr>
                <w:rFonts w:ascii="Arial" w:hAnsi="Arial" w:cs="Arial"/>
                <w:sz w:val="22"/>
                <w:szCs w:val="22"/>
                <w:lang w:val="en-GB"/>
              </w:rPr>
              <w:t>GD PR-compliant</w:t>
            </w:r>
            <w:r>
              <w:rPr>
                <w:rFonts w:ascii="Arial" w:hAnsi="Arial" w:cs="Arial"/>
                <w:sz w:val="22"/>
                <w:szCs w:val="22"/>
              </w:rPr>
              <w:t xml:space="preserve"> storage along with </w:t>
            </w:r>
            <w:r>
              <w:rPr>
                <w:rFonts w:ascii="Arial" w:hAnsi="Arial" w:cs="Arial"/>
                <w:sz w:val="22"/>
                <w:szCs w:val="22"/>
                <w:lang w:val="en-GB"/>
              </w:rPr>
              <w:t>anonymize</w:t>
            </w:r>
            <w:r>
              <w:rPr>
                <w:rFonts w:ascii="Arial" w:hAnsi="Arial" w:cs="Arial"/>
                <w:sz w:val="22"/>
                <w:szCs w:val="22"/>
              </w:rPr>
              <w:t xml:space="preserve"> reporting</w:t>
            </w:r>
          </w:p>
        </w:tc>
      </w:tr>
      <w:tr w14:paraId="61BDFE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E109259">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1CCB3527">
            <w:pPr>
              <w:rPr>
                <w:rFonts w:ascii="Arial" w:hAnsi="Arial" w:cs="Arial"/>
                <w:sz w:val="22"/>
                <w:szCs w:val="22"/>
              </w:rPr>
            </w:pPr>
            <w:r>
              <w:rPr>
                <w:rFonts w:ascii="Arial" w:hAnsi="Arial" w:cs="Arial"/>
                <w:b/>
                <w:sz w:val="22"/>
                <w:szCs w:val="22"/>
              </w:rPr>
              <w:t>Environmental risks</w:t>
            </w:r>
          </w:p>
          <w:p w14:paraId="3AC2E452">
            <w:pPr>
              <w:rPr>
                <w:rFonts w:ascii="Arial" w:hAnsi="Arial" w:cs="Arial"/>
                <w:sz w:val="22"/>
                <w:szCs w:val="22"/>
              </w:rPr>
            </w:pPr>
            <w:r>
              <w:rPr>
                <w:rFonts w:ascii="Arial" w:hAnsi="Arial" w:cs="Arial"/>
                <w:sz w:val="22"/>
                <w:szCs w:val="22"/>
              </w:rPr>
              <w:t>For example: accidental spillage of pollutants, damage to local ecosystems</w:t>
            </w:r>
          </w:p>
        </w:tc>
      </w:tr>
      <w:tr w14:paraId="2D5D2C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0E2C0E0">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260E22E6">
            <w:pPr>
              <w:autoSpaceDE w:val="0"/>
              <w:autoSpaceDN w:val="0"/>
              <w:adjustRightInd w:val="0"/>
              <w:rPr>
                <w:rFonts w:ascii="Arial" w:hAnsi="Arial" w:cs="Arial"/>
                <w:sz w:val="22"/>
                <w:szCs w:val="22"/>
              </w:rPr>
            </w:pPr>
            <w:r>
              <w:rPr>
                <w:rFonts w:ascii="Arial" w:hAnsi="Arial" w:cs="Arial"/>
                <w:sz w:val="22"/>
                <w:szCs w:val="22"/>
              </w:rPr>
              <w:t xml:space="preserve"> </w:t>
            </w:r>
          </w:p>
        </w:tc>
        <w:tc>
          <w:tcPr>
            <w:tcW w:w="4932" w:type="dxa"/>
            <w:tcBorders>
              <w:top w:val="single" w:color="auto" w:sz="4" w:space="0"/>
              <w:bottom w:val="single" w:color="auto" w:sz="4" w:space="0"/>
            </w:tcBorders>
          </w:tcPr>
          <w:p w14:paraId="075D9D03">
            <w:pPr>
              <w:autoSpaceDE w:val="0"/>
              <w:autoSpaceDN w:val="0"/>
              <w:adjustRightInd w:val="0"/>
              <w:rPr>
                <w:rFonts w:ascii="Arial" w:hAnsi="Arial" w:cs="Arial"/>
                <w:sz w:val="22"/>
                <w:szCs w:val="22"/>
              </w:rPr>
            </w:pPr>
            <w:r>
              <w:rPr>
                <w:rFonts w:ascii="Arial" w:hAnsi="Arial" w:cs="Arial"/>
                <w:i/>
                <w:sz w:val="22"/>
                <w:szCs w:val="22"/>
              </w:rPr>
              <w:t xml:space="preserve"> </w:t>
            </w:r>
            <w:r>
              <w:rPr>
                <w:rFonts w:ascii="Arial" w:hAnsi="Arial" w:cs="Arial"/>
                <w:sz w:val="22"/>
                <w:szCs w:val="22"/>
              </w:rPr>
              <w:t xml:space="preserve"> </w:t>
            </w:r>
          </w:p>
        </w:tc>
      </w:tr>
    </w:tbl>
    <w:p w14:paraId="6A75452A">
      <w:pPr>
        <w:rPr>
          <w:rFonts w:ascii="Arial" w:hAnsi="Arial" w:cs="Arial"/>
          <w:sz w:val="22"/>
          <w:szCs w:val="22"/>
        </w:rPr>
      </w:pPr>
    </w:p>
    <w:p w14:paraId="2FEB55A5">
      <w:pPr>
        <w:rPr>
          <w:rFonts w:ascii="Arial" w:hAnsi="Arial" w:cs="Arial"/>
          <w:b/>
          <w:sz w:val="22"/>
          <w:szCs w:val="22"/>
        </w:rPr>
      </w:pPr>
      <w:r>
        <w:rPr>
          <w:rFonts w:ascii="Arial" w:hAnsi="Arial" w:cs="Arial"/>
          <w:b/>
          <w:sz w:val="22"/>
          <w:szCs w:val="22"/>
        </w:rPr>
        <w:t>SECTION G: Feedback, Consent and Confidentiality</w:t>
      </w:r>
    </w:p>
    <w:p w14:paraId="7241584E">
      <w:pPr>
        <w:rPr>
          <w:rFonts w:ascii="Arial" w:hAnsi="Arial" w:cs="Arial"/>
          <w:b/>
          <w:sz w:val="22"/>
          <w:szCs w:val="22"/>
        </w:rPr>
      </w:pPr>
    </w:p>
    <w:p w14:paraId="4FE59F7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3723B79B">
      <w:pPr>
        <w:rPr>
          <w:rFonts w:ascii="Arial" w:hAnsi="Arial" w:cs="Arial"/>
          <w:b/>
          <w:sz w:val="22"/>
          <w:szCs w:val="22"/>
        </w:rPr>
      </w:pPr>
    </w:p>
    <w:tbl>
      <w:tblPr>
        <w:tblStyle w:val="9"/>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697943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70477632">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08E418C">
            <w:pPr>
              <w:rPr>
                <w:rFonts w:ascii="Arial" w:hAnsi="Arial" w:cs="Arial"/>
                <w:sz w:val="22"/>
                <w:szCs w:val="22"/>
              </w:rPr>
            </w:pPr>
            <w:r>
              <w:rPr>
                <w:rFonts w:ascii="Arial" w:hAnsi="Arial" w:cs="Arial"/>
                <w:b/>
                <w:sz w:val="22"/>
                <w:szCs w:val="22"/>
              </w:rPr>
              <w:t>Feedback</w:t>
            </w:r>
          </w:p>
          <w:p w14:paraId="6C754231">
            <w:pPr>
              <w:rPr>
                <w:rFonts w:ascii="Arial" w:hAnsi="Arial" w:cs="Arial"/>
                <w:sz w:val="22"/>
                <w:szCs w:val="22"/>
              </w:rPr>
            </w:pPr>
            <w:r>
              <w:rPr>
                <w:rFonts w:ascii="Arial" w:hAnsi="Arial" w:cs="Arial"/>
                <w:sz w:val="22"/>
                <w:szCs w:val="22"/>
              </w:rPr>
              <w:t xml:space="preserve">What </w:t>
            </w:r>
            <w:r>
              <w:rPr>
                <w:rFonts w:ascii="Arial" w:hAnsi="Arial" w:cs="Arial"/>
                <w:sz w:val="22"/>
                <w:szCs w:val="22"/>
                <w:lang w:val="en-GB"/>
              </w:rPr>
              <w:t>DE-briefing</w:t>
            </w:r>
            <w:r>
              <w:rPr>
                <w:rFonts w:ascii="Arial" w:hAnsi="Arial" w:cs="Arial"/>
                <w:sz w:val="22"/>
                <w:szCs w:val="22"/>
              </w:rPr>
              <w:t xml:space="preserve"> and feedback will be provided to participants, how will this be done and when? </w:t>
            </w:r>
          </w:p>
        </w:tc>
      </w:tr>
      <w:tr w14:paraId="30DB7A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6C26C646">
            <w:pPr>
              <w:rPr>
                <w:rFonts w:ascii="Arial" w:hAnsi="Arial" w:cs="Arial"/>
                <w:bCs/>
                <w:sz w:val="22"/>
                <w:szCs w:val="22"/>
              </w:rPr>
            </w:pPr>
          </w:p>
        </w:tc>
        <w:tc>
          <w:tcPr>
            <w:tcW w:w="9923" w:type="dxa"/>
            <w:tcBorders>
              <w:top w:val="single" w:color="auto" w:sz="4" w:space="0"/>
              <w:bottom w:val="single" w:color="auto" w:sz="4" w:space="0"/>
            </w:tcBorders>
          </w:tcPr>
          <w:p w14:paraId="269157A1">
            <w:pPr>
              <w:pStyle w:val="14"/>
              <w:rPr>
                <w:sz w:val="22"/>
                <w:szCs w:val="22"/>
                <w:lang w:eastAsia="en-IN"/>
              </w:rPr>
            </w:pPr>
            <w:r>
              <w:rPr>
                <w:sz w:val="22"/>
                <w:szCs w:val="22"/>
              </w:rPr>
              <w:t>Summary of findings of the research shared via email.</w:t>
            </w:r>
          </w:p>
        </w:tc>
      </w:tr>
      <w:tr w14:paraId="247EA9D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EE63842">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11093FA1">
            <w:pPr>
              <w:rPr>
                <w:rFonts w:ascii="Arial" w:hAnsi="Arial" w:cs="Arial"/>
                <w:sz w:val="22"/>
                <w:szCs w:val="22"/>
              </w:rPr>
            </w:pPr>
            <w:r>
              <w:rPr>
                <w:rFonts w:ascii="Arial" w:hAnsi="Arial" w:cs="Arial"/>
                <w:b/>
                <w:sz w:val="22"/>
                <w:szCs w:val="22"/>
              </w:rPr>
              <w:t>Informed consent</w:t>
            </w:r>
          </w:p>
          <w:p w14:paraId="2ADABC83">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095F50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A462BB8">
            <w:pPr>
              <w:rPr>
                <w:rFonts w:ascii="Arial" w:hAnsi="Arial" w:cs="Arial"/>
                <w:bCs/>
                <w:sz w:val="22"/>
                <w:szCs w:val="22"/>
              </w:rPr>
            </w:pPr>
          </w:p>
        </w:tc>
        <w:tc>
          <w:tcPr>
            <w:tcW w:w="9923" w:type="dxa"/>
            <w:tcBorders>
              <w:top w:val="single" w:color="auto" w:sz="4" w:space="0"/>
              <w:bottom w:val="single" w:color="auto" w:sz="4" w:space="0"/>
            </w:tcBorders>
          </w:tcPr>
          <w:p w14:paraId="6107F56D">
            <w:pPr>
              <w:autoSpaceDE w:val="0"/>
              <w:autoSpaceDN w:val="0"/>
              <w:adjustRightInd w:val="0"/>
              <w:rPr>
                <w:rFonts w:ascii="Arial" w:hAnsi="Arial" w:cs="Arial"/>
                <w:sz w:val="22"/>
                <w:szCs w:val="22"/>
                <w:lang w:val="en-IN"/>
              </w:rPr>
            </w:pPr>
            <w:r>
              <w:rPr>
                <w:rFonts w:ascii="Arial" w:hAnsi="Arial" w:cs="Arial"/>
                <w:sz w:val="22"/>
                <w:szCs w:val="22"/>
              </w:rPr>
              <w:t xml:space="preserve"> </w:t>
            </w:r>
            <w:r>
              <w:rPr>
                <w:rFonts w:ascii="Arial" w:hAnsi="Arial" w:cs="Arial"/>
                <w:sz w:val="22"/>
                <w:szCs w:val="22"/>
                <w:lang w:val="en-IN"/>
              </w:rPr>
              <w:t>An information sheet can be provided with written consent obtained, to ask for their consent anonymously before conducting and interview.</w:t>
            </w:r>
          </w:p>
        </w:tc>
      </w:tr>
      <w:tr w14:paraId="7BB1AA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28A612C0">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062A21CD">
            <w:pPr>
              <w:rPr>
                <w:rFonts w:ascii="Arial" w:hAnsi="Arial" w:cs="Arial"/>
                <w:b/>
                <w:sz w:val="22"/>
                <w:szCs w:val="22"/>
              </w:rPr>
            </w:pPr>
            <w:r>
              <w:rPr>
                <w:rFonts w:ascii="Arial" w:hAnsi="Arial" w:cs="Arial"/>
                <w:b/>
                <w:sz w:val="22"/>
                <w:szCs w:val="22"/>
              </w:rPr>
              <w:t>Confidentiality / Anonymity</w:t>
            </w:r>
          </w:p>
          <w:p w14:paraId="195F64FB">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3B062B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trPr>
        <w:tc>
          <w:tcPr>
            <w:tcW w:w="596" w:type="dxa"/>
            <w:tcBorders>
              <w:top w:val="single" w:color="auto" w:sz="4" w:space="0"/>
              <w:bottom w:val="single" w:color="auto" w:sz="4" w:space="0"/>
            </w:tcBorders>
          </w:tcPr>
          <w:p w14:paraId="69F26E76">
            <w:pPr>
              <w:rPr>
                <w:rFonts w:ascii="Arial" w:hAnsi="Arial" w:cs="Arial"/>
                <w:bCs/>
                <w:sz w:val="22"/>
                <w:szCs w:val="22"/>
              </w:rPr>
            </w:pPr>
          </w:p>
        </w:tc>
        <w:tc>
          <w:tcPr>
            <w:tcW w:w="9923" w:type="dxa"/>
            <w:tcBorders>
              <w:top w:val="single" w:color="auto" w:sz="4" w:space="0"/>
              <w:bottom w:val="single" w:color="auto" w:sz="4" w:space="0"/>
            </w:tcBorders>
          </w:tcPr>
          <w:p w14:paraId="1484859A">
            <w:pPr>
              <w:pStyle w:val="10"/>
              <w:rPr>
                <w:rFonts w:ascii="Arial" w:hAnsi="Arial" w:cs="Arial"/>
                <w:sz w:val="22"/>
                <w:szCs w:val="22"/>
              </w:rPr>
            </w:pPr>
            <w:r>
              <w:rPr>
                <w:rFonts w:ascii="Arial" w:hAnsi="Arial" w:cs="Arial"/>
                <w:sz w:val="22"/>
                <w:szCs w:val="22"/>
              </w:rPr>
              <w:t xml:space="preserve">Transcripts </w:t>
            </w:r>
            <w:r>
              <w:rPr>
                <w:rFonts w:ascii="Arial" w:hAnsi="Arial" w:cs="Arial"/>
                <w:sz w:val="22"/>
                <w:szCs w:val="22"/>
                <w:lang w:val="en-GB"/>
              </w:rPr>
              <w:t>anonymize</w:t>
            </w:r>
            <w:r>
              <w:rPr>
                <w:rFonts w:ascii="Arial" w:hAnsi="Arial" w:cs="Arial"/>
                <w:sz w:val="22"/>
                <w:szCs w:val="22"/>
              </w:rPr>
              <w:t xml:space="preserve">, and no names will be published. All the data will be published through interviewee 1, 2, like this, no name, no details, no link, nothing will be published, only the answers will be taken for the study.  </w:t>
            </w:r>
          </w:p>
        </w:tc>
      </w:tr>
    </w:tbl>
    <w:p w14:paraId="76C0B7ED">
      <w:pPr>
        <w:rPr>
          <w:rFonts w:ascii="Arial" w:hAnsi="Arial" w:cs="Arial"/>
          <w:sz w:val="22"/>
          <w:szCs w:val="22"/>
        </w:rPr>
      </w:pPr>
    </w:p>
    <w:p w14:paraId="5A5CEFCA">
      <w:pPr>
        <w:rPr>
          <w:rFonts w:ascii="Arial" w:hAnsi="Arial" w:cs="Arial"/>
          <w:b/>
          <w:sz w:val="22"/>
          <w:szCs w:val="22"/>
        </w:rPr>
      </w:pPr>
      <w:r>
        <w:rPr>
          <w:rFonts w:ascii="Arial" w:hAnsi="Arial" w:cs="Arial"/>
          <w:b/>
          <w:sz w:val="22"/>
          <w:szCs w:val="22"/>
        </w:rPr>
        <w:t>SECTION H: Data Protection and Storage</w:t>
      </w:r>
    </w:p>
    <w:p w14:paraId="3A67F96A">
      <w:pPr>
        <w:rPr>
          <w:rFonts w:ascii="Arial" w:hAnsi="Arial" w:cs="Arial"/>
          <w:b/>
          <w:sz w:val="22"/>
          <w:szCs w:val="22"/>
        </w:rPr>
      </w:pPr>
    </w:p>
    <w:tbl>
      <w:tblPr>
        <w:tblStyle w:val="9"/>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079026CC">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41D839F7">
            <w:pPr>
              <w:pStyle w:val="14"/>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F348622">
            <w:pPr>
              <w:pStyle w:val="14"/>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D0A922E">
            <w:pPr>
              <w:pStyle w:val="14"/>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996C1A8">
            <w:pPr>
              <w:pStyle w:val="14"/>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404B1FC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402D0EA4">
            <w:pPr>
              <w:pStyle w:val="14"/>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B977BB4">
            <w:pPr>
              <w:pStyle w:val="14"/>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sz w:val="22"/>
                <w:szCs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D715EDE">
            <w:pPr>
              <w:pStyle w:val="14"/>
              <w:autoSpaceDE w:val="0"/>
              <w:autoSpaceDN w:val="0"/>
              <w:adjustRightInd w:val="0"/>
              <w:jc w:val="center"/>
              <w:rPr>
                <w:rFonts w:ascii="Arial" w:hAnsi="Arial" w:eastAsia="MS Gothic" w:cs="Arial"/>
                <w:b/>
                <w:bCs/>
                <w:sz w:val="22"/>
                <w:szCs w:val="22"/>
                <w:lang w:val="en-US"/>
              </w:rPr>
            </w:pPr>
            <w:r>
              <w:rPr>
                <w:rFonts w:ascii="Segoe UI Symbol" w:hAnsi="Segoe UI Symbol" w:eastAsia="MS Gothic" w:cs="Segoe UI Symbo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21512026">
            <w:pPr>
              <w:pStyle w:val="14"/>
              <w:autoSpaceDE w:val="0"/>
              <w:autoSpaceDN w:val="0"/>
              <w:adjustRightInd w:val="0"/>
              <w:jc w:val="center"/>
              <w:rPr>
                <w:rFonts w:ascii="Arial" w:hAnsi="Arial" w:eastAsia="MS Gothic" w:cs="Arial"/>
                <w:b/>
                <w:bCs/>
                <w:sz w:val="22"/>
                <w:szCs w:val="22"/>
                <w:lang w:val="en-US"/>
              </w:rPr>
            </w:pPr>
            <w:r>
              <w:rPr>
                <w:rFonts w:ascii="Segoe UI Symbol" w:hAnsi="Segoe UI Symbol" w:eastAsia="MS Gothic" w:cs="Segoe UI Symbol"/>
                <w:b/>
                <w:bCs/>
                <w:sz w:val="22"/>
                <w:szCs w:val="22"/>
                <w:lang w:val="en-US"/>
              </w:rPr>
              <w:t>x</w:t>
            </w:r>
          </w:p>
        </w:tc>
      </w:tr>
      <w:tr w14:paraId="7DA37DC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0FFF0D">
            <w:pPr>
              <w:pStyle w:val="14"/>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B847B4">
            <w:pPr>
              <w:pStyle w:val="14"/>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388DA2D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041D671C">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77093D9D">
            <w:pPr>
              <w:rPr>
                <w:rFonts w:ascii="Arial" w:hAnsi="Arial" w:cs="Arial"/>
                <w:sz w:val="22"/>
                <w:szCs w:val="22"/>
              </w:rPr>
            </w:pPr>
            <w:r>
              <w:rPr>
                <w:sz w:val="22"/>
                <w:szCs w:val="22"/>
              </w:rPr>
              <w:t xml:space="preserve"> </w:t>
            </w:r>
          </w:p>
        </w:tc>
      </w:tr>
      <w:tr w14:paraId="6CED012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2CAC5CFC">
            <w:pPr>
              <w:pStyle w:val="14"/>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6B77EB56">
            <w:pPr>
              <w:pStyle w:val="14"/>
              <w:autoSpaceDE w:val="0"/>
              <w:autoSpaceDN w:val="0"/>
              <w:adjustRightInd w:val="0"/>
              <w:spacing w:before="0" w:beforeAutospacing="0" w:after="0" w:afterAutospacing="0"/>
              <w:rPr>
                <w:rFonts w:ascii="Arial" w:hAnsi="Arial" w:cs="Arial" w:eastAsiaTheme="minorHAnsi"/>
                <w:sz w:val="22"/>
                <w:szCs w:val="22"/>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28C407E">
            <w:pPr>
              <w:pStyle w:val="14"/>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9932487">
            <w:pPr>
              <w:pStyle w:val="14"/>
              <w:autoSpaceDE w:val="0"/>
              <w:autoSpaceDN w:val="0"/>
              <w:adjustRightInd w:val="0"/>
              <w:jc w:val="center"/>
              <w:rPr>
                <w:rFonts w:ascii="Arial" w:hAnsi="Arial" w:eastAsia="MS Gothic" w:cs="Arial"/>
                <w:b/>
                <w:bCs/>
                <w:sz w:val="22"/>
                <w:szCs w:val="22"/>
                <w:lang w:val="en-US"/>
              </w:rPr>
            </w:pPr>
            <w:r>
              <w:rPr>
                <w:rFonts w:ascii="Arial" w:hAnsi="Arial" w:cs="Arial"/>
                <w:b/>
                <w:bCs/>
                <w:sz w:val="22"/>
                <w:szCs w:val="22"/>
              </w:rPr>
              <w:t>NO</w:t>
            </w:r>
          </w:p>
        </w:tc>
      </w:tr>
      <w:tr w14:paraId="449C568B">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52BC51">
            <w:pPr>
              <w:pStyle w:val="14"/>
              <w:spacing w:before="0" w:beforeAutospacing="0" w:after="0" w:afterAutospacing="0"/>
              <w:jc w:val="center"/>
              <w:rPr>
                <w:rStyle w:val="15"/>
                <w:rFonts w:ascii="Arial" w:hAnsi="Arial" w:cs="Arial"/>
                <w:b w:val="0"/>
                <w:iCs/>
                <w:sz w:val="22"/>
                <w:szCs w:val="22"/>
              </w:rPr>
            </w:pPr>
            <w:r>
              <w:rPr>
                <w:rStyle w:val="15"/>
                <w:rFonts w:ascii="Arial" w:hAnsi="Arial" w:cs="Arial"/>
                <w:b w:val="0"/>
                <w:iCs/>
                <w:sz w:val="22"/>
                <w:szCs w:val="22"/>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00F4645">
            <w:pPr>
              <w:pStyle w:val="14"/>
              <w:spacing w:before="0" w:beforeAutospacing="0" w:after="0" w:afterAutospacing="0"/>
              <w:ind w:left="567" w:right="567"/>
              <w:rPr>
                <w:rFonts w:ascii="Arial" w:hAnsi="Arial" w:cs="Arial"/>
                <w:sz w:val="22"/>
                <w:szCs w:val="22"/>
              </w:rPr>
            </w:pPr>
            <w:r>
              <w:rPr>
                <w:rStyle w:val="15"/>
                <w:rFonts w:ascii="Arial" w:hAnsi="Arial" w:cs="Arial"/>
                <w:i/>
                <w:iCs/>
                <w:sz w:val="22"/>
                <w:szCs w:val="22"/>
              </w:rPr>
              <w:t>“Special category data”</w:t>
            </w:r>
            <w:r>
              <w:rPr>
                <w:rFonts w:ascii="Arial" w:hAnsi="Arial" w:cs="Arial"/>
                <w:i/>
                <w:iCs/>
                <w:sz w:val="22"/>
                <w:szCs w:val="22"/>
              </w:rPr>
              <w:t> means sensitive personal data consisting of information as to the data subjects –</w:t>
            </w:r>
          </w:p>
          <w:p w14:paraId="35078C8D">
            <w:pPr>
              <w:pStyle w:val="14"/>
              <w:spacing w:before="0" w:beforeAutospacing="0" w:after="0" w:afterAutospacing="0"/>
              <w:ind w:left="1134" w:right="567"/>
              <w:rPr>
                <w:rFonts w:ascii="Arial" w:hAnsi="Arial" w:cs="Arial"/>
                <w:sz w:val="22"/>
                <w:szCs w:val="22"/>
              </w:rPr>
            </w:pPr>
            <w:r>
              <w:rPr>
                <w:rFonts w:ascii="Arial" w:hAnsi="Arial" w:cs="Arial"/>
                <w:i/>
                <w:iCs/>
                <w:sz w:val="22"/>
                <w:szCs w:val="22"/>
              </w:rPr>
              <w:t>(a) racial or ethnic origin,</w:t>
            </w:r>
          </w:p>
          <w:p w14:paraId="7DA7BBA2">
            <w:pPr>
              <w:pStyle w:val="14"/>
              <w:spacing w:before="0" w:beforeAutospacing="0" w:after="0" w:afterAutospacing="0"/>
              <w:ind w:left="1134" w:right="567"/>
              <w:rPr>
                <w:rFonts w:ascii="Arial" w:hAnsi="Arial" w:cs="Arial"/>
                <w:sz w:val="22"/>
                <w:szCs w:val="22"/>
              </w:rPr>
            </w:pPr>
            <w:r>
              <w:rPr>
                <w:rFonts w:ascii="Arial" w:hAnsi="Arial" w:cs="Arial"/>
                <w:i/>
                <w:iCs/>
                <w:sz w:val="22"/>
                <w:szCs w:val="22"/>
              </w:rPr>
              <w:t>(b) political opinions,</w:t>
            </w:r>
          </w:p>
          <w:p w14:paraId="26D641D2">
            <w:pPr>
              <w:pStyle w:val="14"/>
              <w:spacing w:before="0" w:beforeAutospacing="0" w:after="0" w:afterAutospacing="0"/>
              <w:ind w:left="1134" w:right="567"/>
              <w:rPr>
                <w:rFonts w:ascii="Arial" w:hAnsi="Arial" w:cs="Arial"/>
                <w:sz w:val="22"/>
                <w:szCs w:val="22"/>
              </w:rPr>
            </w:pPr>
            <w:r>
              <w:rPr>
                <w:rFonts w:ascii="Arial" w:hAnsi="Arial" w:cs="Arial"/>
                <w:i/>
                <w:iCs/>
                <w:sz w:val="22"/>
                <w:szCs w:val="22"/>
              </w:rPr>
              <w:t>(c ) religious beliefs or other beliefs of a similar nature,</w:t>
            </w:r>
          </w:p>
          <w:p w14:paraId="04A7D475">
            <w:pPr>
              <w:pStyle w:val="14"/>
              <w:spacing w:before="0" w:beforeAutospacing="0" w:after="0" w:afterAutospacing="0"/>
              <w:ind w:left="1134" w:right="567"/>
              <w:rPr>
                <w:rFonts w:ascii="Arial" w:hAnsi="Arial" w:cs="Arial"/>
                <w:sz w:val="22"/>
                <w:szCs w:val="22"/>
              </w:rPr>
            </w:pPr>
            <w:r>
              <w:rPr>
                <w:rFonts w:ascii="Arial" w:hAnsi="Arial" w:cs="Arial"/>
                <w:i/>
                <w:iCs/>
                <w:sz w:val="22"/>
                <w:szCs w:val="22"/>
              </w:rPr>
              <w:t>(d) membership of a trade union (within the meaning of the Trade Union and Labour Relations (Consolidation) Act 1992),</w:t>
            </w:r>
          </w:p>
          <w:p w14:paraId="358E44B3">
            <w:pPr>
              <w:pStyle w:val="14"/>
              <w:spacing w:before="0" w:beforeAutospacing="0" w:after="0" w:afterAutospacing="0"/>
              <w:ind w:left="1134" w:right="567"/>
              <w:rPr>
                <w:rFonts w:ascii="Arial" w:hAnsi="Arial" w:cs="Arial"/>
                <w:sz w:val="22"/>
                <w:szCs w:val="22"/>
              </w:rPr>
            </w:pPr>
            <w:r>
              <w:rPr>
                <w:rFonts w:ascii="Arial" w:hAnsi="Arial" w:cs="Arial"/>
                <w:i/>
                <w:iCs/>
                <w:sz w:val="22"/>
                <w:szCs w:val="22"/>
              </w:rPr>
              <w:t>(e) physical or mental health or condition,</w:t>
            </w:r>
          </w:p>
          <w:p w14:paraId="2DEE69B6">
            <w:pPr>
              <w:pStyle w:val="14"/>
              <w:spacing w:before="0" w:beforeAutospacing="0" w:after="0" w:afterAutospacing="0"/>
              <w:ind w:left="1134" w:right="567"/>
              <w:rPr>
                <w:rFonts w:ascii="Arial" w:hAnsi="Arial" w:cs="Arial"/>
                <w:sz w:val="22"/>
                <w:szCs w:val="22"/>
              </w:rPr>
            </w:pPr>
            <w:r>
              <w:rPr>
                <w:rFonts w:ascii="Arial" w:hAnsi="Arial" w:cs="Arial"/>
                <w:i/>
                <w:iCs/>
                <w:sz w:val="22"/>
                <w:szCs w:val="22"/>
              </w:rPr>
              <w:t>(f) sexual life,</w:t>
            </w:r>
          </w:p>
          <w:p w14:paraId="2E5A2710">
            <w:pPr>
              <w:pStyle w:val="14"/>
              <w:spacing w:before="0" w:beforeAutospacing="0" w:after="0" w:afterAutospacing="0"/>
              <w:ind w:left="1134" w:right="567"/>
              <w:rPr>
                <w:rFonts w:ascii="Arial" w:hAnsi="Arial" w:cs="Arial"/>
                <w:sz w:val="22"/>
                <w:szCs w:val="22"/>
              </w:rPr>
            </w:pPr>
            <w:r>
              <w:rPr>
                <w:rFonts w:ascii="Arial" w:hAnsi="Arial" w:cs="Arial"/>
                <w:i/>
                <w:iCs/>
                <w:sz w:val="22"/>
                <w:szCs w:val="22"/>
              </w:rPr>
              <w:t>(g) genetics,</w:t>
            </w:r>
          </w:p>
          <w:p w14:paraId="53995047">
            <w:pPr>
              <w:pStyle w:val="14"/>
              <w:spacing w:before="0" w:beforeAutospacing="0" w:after="0" w:afterAutospacing="0"/>
              <w:ind w:left="1134" w:right="567"/>
              <w:rPr>
                <w:rFonts w:ascii="Arial" w:hAnsi="Arial" w:cs="Arial"/>
                <w:i/>
                <w:iCs/>
                <w:sz w:val="22"/>
                <w:szCs w:val="22"/>
              </w:rPr>
            </w:pPr>
            <w:r>
              <w:rPr>
                <w:rFonts w:ascii="Arial" w:hAnsi="Arial" w:cs="Arial"/>
                <w:i/>
                <w:iCs/>
                <w:sz w:val="22"/>
                <w:szCs w:val="22"/>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BA987DD">
            <w:pPr>
              <w:pStyle w:val="14"/>
              <w:autoSpaceDE w:val="0"/>
              <w:autoSpaceDN w:val="0"/>
              <w:adjustRightInd w:val="0"/>
              <w:jc w:val="center"/>
              <w:rPr>
                <w:rFonts w:ascii="Arial" w:hAnsi="Arial" w:eastAsia="MS Gothic" w:cs="Arial"/>
                <w:b/>
                <w:bCs/>
                <w:sz w:val="22"/>
                <w:szCs w:val="22"/>
                <w:lang w:val="en-US"/>
              </w:rPr>
            </w:pPr>
          </w:p>
          <w:p w14:paraId="71CDFB7B">
            <w:pPr>
              <w:pStyle w:val="14"/>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0635817E">
            <w:pPr>
              <w:pStyle w:val="14"/>
              <w:autoSpaceDE w:val="0"/>
              <w:autoSpaceDN w:val="0"/>
              <w:adjustRightInd w:val="0"/>
              <w:jc w:val="center"/>
              <w:rPr>
                <w:rFonts w:ascii="Arial" w:hAnsi="Arial" w:eastAsia="MS Gothic" w:cs="Arial"/>
                <w:b/>
                <w:bCs/>
                <w:sz w:val="22"/>
                <w:szCs w:val="22"/>
                <w:lang w:val="en-US"/>
              </w:rPr>
            </w:pPr>
          </w:p>
          <w:p w14:paraId="4DB57027">
            <w:pPr>
              <w:pStyle w:val="14"/>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lang w:val="en-US"/>
              </w:rPr>
              <w:t>x</w:t>
            </w:r>
          </w:p>
        </w:tc>
      </w:tr>
      <w:tr w14:paraId="40D6C69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CB0EC30">
            <w:pPr>
              <w:pStyle w:val="14"/>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61B12C">
            <w:pPr>
              <w:pStyle w:val="14"/>
              <w:autoSpaceDE w:val="0"/>
              <w:autoSpaceDN w:val="0"/>
              <w:adjustRightInd w:val="0"/>
              <w:rPr>
                <w:rFonts w:ascii="Arial" w:hAnsi="Arial" w:cs="Arial"/>
                <w:sz w:val="22"/>
                <w:szCs w:val="22"/>
              </w:rP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234F31B8">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0A8E68E1">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145A2C2C">
            <w:pPr>
              <w:rPr>
                <w:rFonts w:ascii="Arial" w:hAnsi="Arial" w:cs="Arial"/>
                <w:sz w:val="22"/>
                <w:szCs w:val="22"/>
              </w:rPr>
            </w:pPr>
            <w:r>
              <w:rPr>
                <w:rFonts w:ascii="Arial" w:hAnsi="Arial" w:cs="Arial"/>
                <w:sz w:val="22"/>
                <w:szCs w:val="22"/>
              </w:rPr>
              <w:t>What counts as ‘sensitive’ will differ between cultures. Any information on behaviour that is not in accordance with cultural norms would count as sensitive personal data.</w:t>
            </w:r>
          </w:p>
          <w:p w14:paraId="625D62CF">
            <w:pPr>
              <w:rPr>
                <w:rFonts w:ascii="Arial" w:hAnsi="Arial" w:cs="Arial"/>
                <w:sz w:val="22"/>
                <w:szCs w:val="22"/>
              </w:rPr>
            </w:pPr>
          </w:p>
          <w:p w14:paraId="33A47C56">
            <w:pPr>
              <w:rPr>
                <w:rFonts w:ascii="Arial" w:hAnsi="Arial" w:cs="Arial"/>
                <w:sz w:val="22"/>
                <w:szCs w:val="22"/>
              </w:rPr>
            </w:pPr>
          </w:p>
          <w:p w14:paraId="4842C09D">
            <w:pPr>
              <w:rPr>
                <w:rFonts w:ascii="Arial" w:hAnsi="Arial" w:cs="Arial"/>
                <w:sz w:val="22"/>
                <w:szCs w:val="22"/>
              </w:rPr>
            </w:pPr>
          </w:p>
          <w:p w14:paraId="43E42AEA">
            <w:pPr>
              <w:autoSpaceDE w:val="0"/>
              <w:autoSpaceDN w:val="0"/>
              <w:adjustRightInd w:val="0"/>
              <w:rPr>
                <w:rFonts w:ascii="Arial" w:hAnsi="Arial" w:cs="Arial"/>
                <w:sz w:val="22"/>
                <w:szCs w:val="22"/>
              </w:rPr>
            </w:pPr>
            <w:r>
              <w:rPr>
                <w:rFonts w:ascii="Arial" w:hAnsi="Arial" w:cs="Arial"/>
                <w:i/>
                <w:sz w:val="22"/>
                <w:szCs w:val="22"/>
              </w:rPr>
              <w:t xml:space="preserve"> </w:t>
            </w:r>
          </w:p>
        </w:tc>
      </w:tr>
    </w:tbl>
    <w:p w14:paraId="30332A19">
      <w:pPr>
        <w:rPr>
          <w:rFonts w:ascii="Arial" w:hAnsi="Arial" w:cs="Arial"/>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C0083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5E2DB26">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5AFE0104">
            <w:pPr>
              <w:autoSpaceDE w:val="0"/>
              <w:autoSpaceDN w:val="0"/>
              <w:adjustRightInd w:val="0"/>
              <w:rPr>
                <w:rFonts w:ascii="Arial" w:hAnsi="Arial" w:cs="Arial"/>
                <w:b/>
                <w:bCs/>
                <w:sz w:val="22"/>
                <w:szCs w:val="22"/>
              </w:rPr>
            </w:pPr>
            <w:r>
              <w:rPr>
                <w:rFonts w:ascii="Arial" w:hAnsi="Arial" w:cs="Arial"/>
                <w:b/>
                <w:sz w:val="22"/>
                <w:szCs w:val="22"/>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D79E9D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290CD2D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3E30F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AC0BA3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7EB469D4">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eastAsia="Times New Roman" w:cs="Arial"/>
                <w:b/>
                <w:bCs/>
                <w:sz w:val="22"/>
                <w:szCs w:val="22"/>
                <w:lang w:eastAsia="en-GB"/>
              </w:rPr>
              <w:id w:val="-71689136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A4CDD67">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124512450"/>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1D6AE2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F0E2A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D7FC0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10EC325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eastAsia="Times New Roman" w:cs="Arial"/>
                <w:b/>
                <w:bCs/>
                <w:sz w:val="22"/>
                <w:szCs w:val="22"/>
                <w:lang w:eastAsia="en-GB"/>
              </w:rPr>
              <w:id w:val="-1058942064"/>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05339D9">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152570788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3DF0D4E">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715A6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73D237">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7F545CB9">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eastAsia="Times New Roman" w:cs="Arial"/>
                <w:b/>
                <w:bCs/>
                <w:sz w:val="22"/>
                <w:szCs w:val="22"/>
                <w:lang w:eastAsia="en-GB"/>
              </w:rPr>
              <w:id w:val="42877952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2760FC1">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1738441066"/>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647445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223EF8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4A747D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507B973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eastAsia="Times New Roman" w:cs="Arial"/>
                <w:b/>
                <w:bCs/>
                <w:sz w:val="22"/>
                <w:szCs w:val="22"/>
                <w:lang w:eastAsia="en-GB"/>
              </w:rPr>
              <w:id w:val="666676712"/>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063D9FD">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24330919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1AE98A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72B611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7A9D1BC">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28DFFE27">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eastAsia="Times New Roman" w:cs="Arial"/>
                <w:b/>
                <w:bCs/>
                <w:sz w:val="22"/>
                <w:szCs w:val="22"/>
                <w:lang w:eastAsia="en-GB"/>
              </w:rPr>
              <w:id w:val="1761182650"/>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425E46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1031489010"/>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2CB71849">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598B29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6388E84">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62C02BA7">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eastAsia="Times New Roman" w:cs="Arial"/>
                <w:b/>
                <w:bCs/>
                <w:sz w:val="22"/>
                <w:szCs w:val="22"/>
                <w:lang w:eastAsia="en-GB"/>
              </w:rPr>
              <w:id w:val="-4037644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1578D5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eastAsia="Times New Roman" w:cs="Arial"/>
                <w:b/>
                <w:bCs/>
                <w:sz w:val="22"/>
                <w:szCs w:val="22"/>
                <w:lang w:eastAsia="en-GB"/>
              </w:rPr>
              <w:id w:val="-200403784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6D737FA">
                <w:pPr>
                  <w:autoSpaceDE w:val="0"/>
                  <w:autoSpaceDN w:val="0"/>
                  <w:adjustRightInd w:val="0"/>
                  <w:jc w:val="center"/>
                  <w:rPr>
                    <w:rFonts w:ascii="Arial" w:hAnsi="Arial" w:cs="Arial"/>
                    <w:sz w:val="22"/>
                    <w:szCs w:val="22"/>
                  </w:rPr>
                </w:pPr>
                <w:r>
                  <w:rPr>
                    <w:rFonts w:ascii="Segoe UI Symbol" w:hAnsi="Segoe UI Symbol" w:eastAsia="MS Gothic" w:cs="Segoe UI Symbol"/>
                    <w:b/>
                    <w:bCs/>
                    <w:sz w:val="22"/>
                    <w:szCs w:val="22"/>
                  </w:rPr>
                  <w:t>☐</w:t>
                </w:r>
              </w:p>
            </w:sdtContent>
          </w:sdt>
        </w:tc>
      </w:tr>
      <w:tr w14:paraId="33A2FF5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ACC4A27">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1A459549">
            <w:pPr>
              <w:autoSpaceDE w:val="0"/>
              <w:autoSpaceDN w:val="0"/>
              <w:adjustRightInd w:val="0"/>
              <w:rPr>
                <w:rFonts w:ascii="Arial" w:hAnsi="Arial" w:cs="Arial"/>
                <w:sz w:val="22"/>
                <w:szCs w:val="22"/>
              </w:rPr>
            </w:pPr>
            <w:r>
              <w:rPr>
                <w:rFonts w:ascii="Arial" w:hAnsi="Arial" w:cs="Arial"/>
                <w:sz w:val="22"/>
                <w:szCs w:val="22"/>
              </w:rPr>
              <w:t>Other – specify:</w:t>
            </w:r>
          </w:p>
          <w:p w14:paraId="7A7CC032">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556230815"/>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EE64496">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1575544959"/>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2E2033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10924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F2AB80D">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74E39679">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w:t>
            </w:r>
            <w:r>
              <w:rPr>
                <w:rFonts w:ascii="Arial" w:hAnsi="Arial" w:cs="Arial"/>
                <w:bCs/>
                <w:sz w:val="22"/>
                <w:szCs w:val="22"/>
                <w:lang w:val="en-GB"/>
              </w:rPr>
              <w:t>pseudonymous</w:t>
            </w:r>
            <w:r>
              <w:rPr>
                <w:rFonts w:ascii="Arial" w:hAnsi="Arial" w:cs="Arial"/>
                <w:sz w:val="22"/>
                <w:szCs w:val="22"/>
              </w:rPr>
              <w:t>:</w:t>
            </w:r>
          </w:p>
        </w:tc>
      </w:tr>
      <w:tr w14:paraId="749A8B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48C94EA4">
            <w:pPr>
              <w:jc w:val="center"/>
              <w:rPr>
                <w:rFonts w:ascii="Arial" w:hAnsi="Arial" w:cs="Arial"/>
                <w:sz w:val="22"/>
                <w:szCs w:val="22"/>
              </w:rPr>
            </w:pPr>
          </w:p>
        </w:tc>
        <w:tc>
          <w:tcPr>
            <w:tcW w:w="9923" w:type="dxa"/>
            <w:gridSpan w:val="3"/>
          </w:tcPr>
          <w:p w14:paraId="6DDACC08">
            <w:pPr>
              <w:rPr>
                <w:rFonts w:ascii="Arial" w:hAnsi="Arial" w:cs="Arial"/>
                <w:sz w:val="22"/>
                <w:szCs w:val="22"/>
              </w:rPr>
            </w:pPr>
            <w:r>
              <w:rPr>
                <w:rFonts w:ascii="Arial" w:hAnsi="Arial" w:cs="Arial"/>
                <w:sz w:val="22"/>
                <w:szCs w:val="22"/>
              </w:rPr>
              <w:t xml:space="preserve"> </w:t>
            </w:r>
          </w:p>
          <w:p w14:paraId="7DD242AB">
            <w:pPr>
              <w:rPr>
                <w:rFonts w:ascii="Arial" w:hAnsi="Arial" w:cs="Arial"/>
                <w:sz w:val="22"/>
                <w:szCs w:val="22"/>
                <w:lang w:val="en-IN"/>
              </w:rPr>
            </w:pPr>
            <w:r>
              <w:rPr>
                <w:rFonts w:ascii="Arial" w:hAnsi="Arial" w:cs="Arial"/>
                <w:sz w:val="22"/>
                <w:szCs w:val="22"/>
                <w:lang w:val="en-IN"/>
              </w:rPr>
              <w:t xml:space="preserve">Password protected, encrypted and </w:t>
            </w:r>
            <w:r>
              <w:rPr>
                <w:rFonts w:ascii="Arial" w:hAnsi="Arial" w:cs="Arial"/>
                <w:sz w:val="22"/>
                <w:szCs w:val="22"/>
                <w:lang w:val="en-GB"/>
              </w:rPr>
              <w:t>anonymize</w:t>
            </w:r>
            <w:r>
              <w:rPr>
                <w:rFonts w:ascii="Arial" w:hAnsi="Arial" w:cs="Arial"/>
                <w:sz w:val="22"/>
                <w:szCs w:val="22"/>
                <w:lang w:val="en-IN"/>
              </w:rPr>
              <w:t xml:space="preserve"> also the data will be stored securely.</w:t>
            </w:r>
          </w:p>
          <w:p w14:paraId="06548C64">
            <w:pPr>
              <w:autoSpaceDE w:val="0"/>
              <w:autoSpaceDN w:val="0"/>
              <w:adjustRightInd w:val="0"/>
              <w:rPr>
                <w:rFonts w:ascii="Arial" w:hAnsi="Arial" w:cs="Arial"/>
                <w:b/>
                <w:bCs/>
                <w:sz w:val="22"/>
                <w:szCs w:val="22"/>
              </w:rPr>
            </w:pPr>
          </w:p>
        </w:tc>
      </w:tr>
    </w:tbl>
    <w:p w14:paraId="67F7EF3F">
      <w:pPr>
        <w:rPr>
          <w:rFonts w:ascii="Arial" w:hAnsi="Arial" w:cs="Arial"/>
          <w:sz w:val="22"/>
          <w:szCs w:val="22"/>
        </w:rPr>
      </w:pPr>
    </w:p>
    <w:tbl>
      <w:tblPr>
        <w:tblStyle w:val="17"/>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EC202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2DA23B66">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43CD8707">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62A881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3EB30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60B18FA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16E1912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668A4C93">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272E1D3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571DE57">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2C6B94C3">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4334734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636B8B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eastAsia="en-GB"/>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80913804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C58D69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r>
      <w:tr w14:paraId="2BD221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40BF8">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14EBF107">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206609976"/>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A8A5B68">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1162969108"/>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8E171A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4EBB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767CB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3FBB9A1">
            <w:pPr>
              <w:autoSpaceDE w:val="0"/>
              <w:autoSpaceDN w:val="0"/>
              <w:adjustRightInd w:val="0"/>
              <w:rPr>
                <w:rFonts w:ascii="Arial" w:hAnsi="Arial" w:cs="Arial"/>
                <w:sz w:val="22"/>
                <w:szCs w:val="22"/>
              </w:rPr>
            </w:pPr>
            <w:r>
              <w:rPr>
                <w:rFonts w:ascii="Arial" w:hAnsi="Arial" w:cs="Arial"/>
                <w:sz w:val="22"/>
                <w:szCs w:val="22"/>
              </w:rPr>
              <w:t xml:space="preserve">Sharing of data with other </w:t>
            </w:r>
            <w:r>
              <w:rPr>
                <w:rFonts w:ascii="Arial" w:hAnsi="Arial" w:cs="Arial"/>
                <w:sz w:val="22"/>
                <w:szCs w:val="22"/>
                <w:lang w:val="en-GB"/>
              </w:rPr>
              <w:t>organizations</w:t>
            </w:r>
            <w:r>
              <w:rPr>
                <w:rFonts w:ascii="Arial" w:hAnsi="Arial" w:cs="Arial"/>
                <w:sz w:val="22"/>
                <w:szCs w:val="22"/>
              </w:rPr>
              <w:t>?</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853718064"/>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0B0D1CAC">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692922631"/>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111BB6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2B2D9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76AC5C1">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6314378">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311477419"/>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5AF641F0">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982232726"/>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344C6B0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660C1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24A8FBE">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117951B4">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580263657"/>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76402C8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eastAsia="en-GB"/>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705679297"/>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16F8EB1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eastAsia="en-GB"/>
                  </w:rPr>
                  <w:t>☒</w:t>
                </w:r>
              </w:p>
            </w:sdtContent>
          </w:sdt>
        </w:tc>
      </w:tr>
      <w:tr w14:paraId="1CD343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8DA0F4C">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5089A3B6">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eastAsia="Times New Roman" w:cs="Arial"/>
                <w:b/>
                <w:bCs/>
                <w:sz w:val="22"/>
                <w:szCs w:val="22"/>
                <w:lang w:eastAsia="en-GB"/>
              </w:rPr>
              <w:id w:val="1833259881"/>
              <w14:checkbox>
                <w14:checked w14:val="0"/>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4B5A536F">
                <w:pPr>
                  <w:autoSpaceDE w:val="0"/>
                  <w:autoSpaceDN w:val="0"/>
                  <w:adjustRightInd w:val="0"/>
                  <w:jc w:val="center"/>
                  <w:rPr>
                    <w:rFonts w:ascii="Arial" w:hAnsi="Arial" w:cs="Arial"/>
                    <w:bCs/>
                    <w:sz w:val="22"/>
                    <w:szCs w:val="22"/>
                  </w:rPr>
                </w:pPr>
                <w:r>
                  <w:rPr>
                    <w:rFonts w:ascii="Segoe UI Symbol" w:hAnsi="Segoe UI Symbol" w:eastAsia="MS Gothic" w:cs="Segoe UI Symbol"/>
                    <w:b/>
                    <w:bCs/>
                    <w:sz w:val="22"/>
                    <w:szCs w:val="22"/>
                  </w:rPr>
                  <w:t>☐</w:t>
                </w:r>
              </w:p>
            </w:sdtContent>
          </w:sdt>
        </w:tc>
        <w:tc>
          <w:tcPr>
            <w:tcW w:w="1026" w:type="dxa"/>
            <w:shd w:val="clear" w:color="auto" w:fill="BEBEBE" w:themeFill="background1" w:themeFillShade="BF"/>
            <w:vAlign w:val="center"/>
          </w:tcPr>
          <w:sdt>
            <w:sdtPr>
              <w:rPr>
                <w:rFonts w:ascii="Arial" w:hAnsi="Arial" w:eastAsia="Times New Roman" w:cs="Arial"/>
                <w:b/>
                <w:bCs/>
                <w:sz w:val="22"/>
                <w:szCs w:val="22"/>
                <w:lang w:eastAsia="en-GB"/>
              </w:rPr>
              <w:id w:val="48495840"/>
              <w14:checkbox>
                <w14:checked w14:val="1"/>
                <w14:checkedState w14:val="2612" w14:font="MS Gothic"/>
                <w14:uncheckedState w14:val="2610" w14:font="MS Gothic"/>
              </w14:checkbox>
            </w:sdtPr>
            <w:sdtEndPr>
              <w:rPr>
                <w:rFonts w:ascii="Arial" w:hAnsi="Arial" w:eastAsia="Times New Roman" w:cs="Arial"/>
                <w:b/>
                <w:bCs/>
                <w:sz w:val="22"/>
                <w:szCs w:val="22"/>
                <w:lang w:eastAsia="en-GB"/>
              </w:rPr>
            </w:sdtEndPr>
            <w:sdtContent>
              <w:p w14:paraId="633FACC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C9A19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CC9CDA">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7AA5561">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785EBBB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EC64EEA">
            <w:pPr>
              <w:autoSpaceDE w:val="0"/>
              <w:autoSpaceDN w:val="0"/>
              <w:adjustRightInd w:val="0"/>
              <w:jc w:val="center"/>
              <w:rPr>
                <w:rFonts w:ascii="Arial" w:hAnsi="Arial" w:cs="Arial"/>
                <w:sz w:val="22"/>
                <w:szCs w:val="22"/>
              </w:rPr>
            </w:pPr>
          </w:p>
        </w:tc>
        <w:tc>
          <w:tcPr>
            <w:tcW w:w="9923" w:type="dxa"/>
            <w:gridSpan w:val="3"/>
            <w:vAlign w:val="center"/>
          </w:tcPr>
          <w:p w14:paraId="58CE2B44">
            <w:pPr>
              <w:autoSpaceDE w:val="0"/>
              <w:autoSpaceDN w:val="0"/>
              <w:adjustRightInd w:val="0"/>
              <w:rPr>
                <w:rFonts w:ascii="Arial" w:hAnsi="Arial" w:cs="Arial"/>
                <w:sz w:val="22"/>
                <w:szCs w:val="22"/>
              </w:rPr>
            </w:pPr>
            <w:r>
              <w:rPr>
                <w:rFonts w:ascii="Arial" w:hAnsi="Arial" w:cs="Arial"/>
                <w:i/>
                <w:sz w:val="22"/>
                <w:szCs w:val="22"/>
                <w:lang w:eastAsia="en-GB"/>
              </w:rPr>
              <w:t xml:space="preserve"> </w:t>
            </w:r>
          </w:p>
        </w:tc>
      </w:tr>
      <w:tr w14:paraId="077F247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5558BBD">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1DDECD85">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0B5CC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3A67EBC">
            <w:pPr>
              <w:autoSpaceDE w:val="0"/>
              <w:autoSpaceDN w:val="0"/>
              <w:adjustRightInd w:val="0"/>
              <w:jc w:val="center"/>
              <w:rPr>
                <w:rFonts w:ascii="Arial" w:hAnsi="Arial" w:cs="Arial"/>
                <w:sz w:val="22"/>
                <w:szCs w:val="22"/>
              </w:rPr>
            </w:pPr>
          </w:p>
        </w:tc>
        <w:tc>
          <w:tcPr>
            <w:tcW w:w="9923" w:type="dxa"/>
            <w:gridSpan w:val="3"/>
            <w:vAlign w:val="center"/>
          </w:tcPr>
          <w:p w14:paraId="1558D129">
            <w:pPr>
              <w:autoSpaceDE w:val="0"/>
              <w:autoSpaceDN w:val="0"/>
              <w:adjustRightInd w:val="0"/>
              <w:rPr>
                <w:rFonts w:ascii="Arial" w:hAnsi="Arial" w:cs="Arial"/>
                <w:sz w:val="22"/>
                <w:szCs w:val="22"/>
              </w:rPr>
            </w:pPr>
            <w:r>
              <w:rPr>
                <w:rFonts w:ascii="Arial" w:hAnsi="Arial" w:cs="Arial"/>
                <w:sz w:val="22"/>
                <w:szCs w:val="22"/>
              </w:rPr>
              <w:t>Researcher along with supervisor.</w:t>
            </w:r>
          </w:p>
        </w:tc>
      </w:tr>
      <w:tr w14:paraId="61ED69F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0CD6208">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62368DDE">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3AE744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C08339A">
            <w:pPr>
              <w:autoSpaceDE w:val="0"/>
              <w:autoSpaceDN w:val="0"/>
              <w:adjustRightInd w:val="0"/>
              <w:jc w:val="center"/>
              <w:rPr>
                <w:rFonts w:ascii="Arial" w:hAnsi="Arial" w:cs="Arial"/>
                <w:sz w:val="22"/>
                <w:szCs w:val="22"/>
              </w:rPr>
            </w:pPr>
          </w:p>
        </w:tc>
        <w:tc>
          <w:tcPr>
            <w:tcW w:w="9923" w:type="dxa"/>
            <w:gridSpan w:val="3"/>
          </w:tcPr>
          <w:p w14:paraId="11B07E3A">
            <w:pPr>
              <w:autoSpaceDE w:val="0"/>
              <w:autoSpaceDN w:val="0"/>
              <w:adjustRightInd w:val="0"/>
              <w:rPr>
                <w:rFonts w:ascii="Arial" w:hAnsi="Arial" w:cs="Arial"/>
                <w:sz w:val="22"/>
                <w:szCs w:val="22"/>
              </w:rPr>
            </w:pPr>
            <w:r>
              <w:rPr>
                <w:rFonts w:ascii="Arial" w:hAnsi="Arial" w:cs="Arial"/>
                <w:sz w:val="22"/>
                <w:szCs w:val="22"/>
              </w:rPr>
              <w:t>Principal researcher.</w:t>
            </w:r>
          </w:p>
        </w:tc>
      </w:tr>
      <w:tr w14:paraId="2C76D6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53AA1C9">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455D6EF7">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43BFA5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60F74AA">
            <w:pPr>
              <w:autoSpaceDE w:val="0"/>
              <w:autoSpaceDN w:val="0"/>
              <w:adjustRightInd w:val="0"/>
              <w:jc w:val="center"/>
              <w:rPr>
                <w:rFonts w:ascii="Arial" w:hAnsi="Arial" w:cs="Arial"/>
                <w:sz w:val="22"/>
                <w:szCs w:val="22"/>
              </w:rPr>
            </w:pPr>
          </w:p>
        </w:tc>
        <w:tc>
          <w:tcPr>
            <w:tcW w:w="9923" w:type="dxa"/>
            <w:gridSpan w:val="3"/>
          </w:tcPr>
          <w:p w14:paraId="79FB963D">
            <w:pPr>
              <w:autoSpaceDE w:val="0"/>
              <w:autoSpaceDN w:val="0"/>
              <w:adjustRightInd w:val="0"/>
              <w:rPr>
                <w:rFonts w:ascii="Arial" w:hAnsi="Arial" w:cs="Arial"/>
                <w:iCs/>
                <w:sz w:val="22"/>
                <w:szCs w:val="22"/>
              </w:rPr>
            </w:pPr>
            <w:r>
              <w:rPr>
                <w:rFonts w:ascii="Arial" w:hAnsi="Arial" w:cs="Arial"/>
                <w:iCs/>
                <w:sz w:val="22"/>
                <w:szCs w:val="22"/>
                <w:lang w:eastAsia="en-GB"/>
              </w:rPr>
              <w:t>Stored in the Office 365 whereas the deleted after project.</w:t>
            </w:r>
          </w:p>
        </w:tc>
      </w:tr>
      <w:tr w14:paraId="48A93E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A37965C">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31901C64">
            <w:pPr>
              <w:autoSpaceDE w:val="0"/>
              <w:autoSpaceDN w:val="0"/>
              <w:adjustRightInd w:val="0"/>
              <w:rPr>
                <w:rFonts w:ascii="Arial" w:hAnsi="Arial" w:cs="Arial"/>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3"/>
                <w:rFonts w:ascii="Arial" w:hAnsi="Arial" w:cs="Arial"/>
                <w:color w:val="auto"/>
                <w:sz w:val="22"/>
                <w:szCs w:val="22"/>
              </w:rPr>
              <w:t>https://www.uwtsd.ac.uk/library/research-data-management/</w:t>
            </w:r>
            <w:r>
              <w:rPr>
                <w:rStyle w:val="13"/>
                <w:rFonts w:ascii="Arial" w:hAnsi="Arial" w:cs="Arial"/>
                <w:color w:val="auto"/>
                <w:sz w:val="22"/>
                <w:szCs w:val="22"/>
              </w:rPr>
              <w:fldChar w:fldCharType="end"/>
            </w:r>
            <w:r>
              <w:rPr>
                <w:rFonts w:ascii="Arial" w:hAnsi="Arial" w:cs="Arial"/>
                <w:sz w:val="22"/>
                <w:szCs w:val="22"/>
              </w:rPr>
              <w:t>)</w:t>
            </w:r>
          </w:p>
        </w:tc>
        <w:tc>
          <w:tcPr>
            <w:tcW w:w="2018" w:type="dxa"/>
            <w:gridSpan w:val="2"/>
            <w:vAlign w:val="center"/>
          </w:tcPr>
          <w:p w14:paraId="009E016C">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r w14:paraId="718C372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1FD2DCB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776AC7E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682C353">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14:paraId="2B2D5BAB">
      <w:pPr>
        <w:rPr>
          <w:rFonts w:ascii="Arial" w:hAnsi="Arial" w:cs="Arial"/>
          <w:b/>
          <w:bCs/>
          <w:sz w:val="22"/>
          <w:szCs w:val="22"/>
        </w:rPr>
      </w:pPr>
    </w:p>
    <w:p w14:paraId="06226A18">
      <w:pPr>
        <w:rPr>
          <w:rFonts w:ascii="Arial" w:hAnsi="Arial" w:cs="Arial"/>
          <w:b/>
          <w:bCs/>
          <w:sz w:val="22"/>
          <w:szCs w:val="22"/>
        </w:rPr>
      </w:pPr>
    </w:p>
    <w:p w14:paraId="714CCC52">
      <w:pPr>
        <w:autoSpaceDE w:val="0"/>
        <w:autoSpaceDN w:val="0"/>
        <w:adjustRightInd w:val="0"/>
        <w:spacing w:after="240"/>
        <w:jc w:val="both"/>
        <w:rPr>
          <w:rFonts w:ascii="Arial" w:hAnsi="Arial" w:cs="Arial"/>
          <w:b/>
          <w:sz w:val="22"/>
          <w:szCs w:val="22"/>
        </w:rPr>
      </w:pPr>
      <w:r>
        <w:rPr>
          <w:rFonts w:ascii="Arial" w:hAnsi="Arial" w:cs="Arial"/>
          <w:b/>
          <w:sz w:val="22"/>
          <w:szCs w:val="22"/>
        </w:rPr>
        <w:t>SECTION I: Declaration</w:t>
      </w:r>
    </w:p>
    <w:tbl>
      <w:tblPr>
        <w:tblStyle w:val="9"/>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722F58D5">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2A474912">
            <w:pPr>
              <w:jc w:val="center"/>
              <w:rPr>
                <w:rFonts w:ascii="Arial" w:hAnsi="Arial" w:cs="Arial"/>
                <w:sz w:val="22"/>
                <w:szCs w:val="22"/>
              </w:rPr>
            </w:pPr>
          </w:p>
        </w:tc>
        <w:tc>
          <w:tcPr>
            <w:tcW w:w="9923" w:type="dxa"/>
            <w:gridSpan w:val="5"/>
            <w:shd w:val="clear" w:color="auto" w:fill="F1F1F1" w:themeFill="background1" w:themeFillShade="F2"/>
            <w:vAlign w:val="center"/>
          </w:tcPr>
          <w:p w14:paraId="0BCB04F2">
            <w:pPr>
              <w:jc w:val="both"/>
              <w:rPr>
                <w:rFonts w:ascii="Arial" w:hAnsi="Arial" w:cs="Arial"/>
                <w:b/>
                <w:bCs/>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sz w:val="22"/>
                <w:szCs w:val="22"/>
              </w:rPr>
              <w:t>.</w:t>
            </w:r>
          </w:p>
          <w:p w14:paraId="06895D62">
            <w:pPr>
              <w:jc w:val="both"/>
              <w:rPr>
                <w:rFonts w:ascii="Arial" w:hAnsi="Arial" w:cs="Arial"/>
                <w:b/>
                <w:bCs/>
                <w:sz w:val="22"/>
                <w:szCs w:val="22"/>
              </w:rPr>
            </w:pPr>
          </w:p>
          <w:p w14:paraId="5ED0252F">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3"/>
                <w:rFonts w:ascii="Arial" w:hAnsi="Arial" w:cs="Arial"/>
                <w:color w:val="auto"/>
                <w:sz w:val="22"/>
                <w:szCs w:val="22"/>
              </w:rPr>
              <w:t>https://www.uwtsd.ac.uk/research/research-ethics/</w:t>
            </w:r>
            <w:r>
              <w:rPr>
                <w:rStyle w:val="13"/>
                <w:rFonts w:ascii="Arial" w:hAnsi="Arial" w:cs="Arial"/>
                <w:color w:val="auto"/>
                <w:sz w:val="22"/>
                <w:szCs w:val="22"/>
              </w:rPr>
              <w:fldChar w:fldCharType="end"/>
            </w:r>
            <w:r>
              <w:rPr>
                <w:rFonts w:ascii="Arial" w:hAnsi="Arial" w:cs="Arial"/>
                <w:sz w:val="22"/>
                <w:szCs w:val="22"/>
              </w:rPr>
              <w:t xml:space="preserve"> </w:t>
            </w:r>
          </w:p>
        </w:tc>
      </w:tr>
      <w:tr w14:paraId="299CA9A4">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D6FDEA3">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7BCE5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54B9D0F3">
            <w:pPr>
              <w:spacing w:before="100" w:beforeAutospacing="1" w:after="100" w:afterAutospacing="1"/>
              <w:rPr>
                <w:rFonts w:hint="default" w:ascii="Arial" w:hAnsi="Arial" w:cs="Arial"/>
                <w:sz w:val="22"/>
                <w:szCs w:val="22"/>
                <w:lang w:val="en-GB"/>
              </w:rPr>
            </w:pPr>
            <w:r>
              <w:rPr>
                <w:rFonts w:hint="default" w:ascii="Arial" w:hAnsi="Arial" w:cs="Arial"/>
                <w:sz w:val="22"/>
                <w:szCs w:val="22"/>
                <w:lang w:val="en-GB"/>
              </w:rPr>
              <w:t xml:space="preserve">Kothakapu </w:t>
            </w:r>
            <w:r>
              <w:rPr>
                <w:rFonts w:ascii="Arial" w:hAnsi="Arial" w:cs="Arial"/>
                <w:sz w:val="22"/>
                <w:szCs w:val="22"/>
              </w:rPr>
              <w:t>Varun</w:t>
            </w:r>
            <w:r>
              <w:rPr>
                <w:rFonts w:hint="default" w:ascii="Arial" w:hAnsi="Arial" w:cs="Arial"/>
                <w:sz w:val="22"/>
                <w:szCs w:val="22"/>
                <w:lang w:val="en-GB"/>
              </w:rPr>
              <w:t xml:space="preserve"> kumar reddy</w:t>
            </w:r>
          </w:p>
        </w:tc>
        <w:tc>
          <w:tcPr>
            <w:tcW w:w="2139" w:type="dxa"/>
            <w:gridSpan w:val="3"/>
            <w:vAlign w:val="center"/>
          </w:tcPr>
          <w:p w14:paraId="7791D204">
            <w:pPr>
              <w:spacing w:before="100" w:beforeAutospacing="1" w:after="100" w:afterAutospacing="1"/>
              <w:rPr>
                <w:rFonts w:ascii="Arial" w:hAnsi="Arial" w:cs="Arial"/>
                <w:b/>
                <w:bCs/>
                <w:sz w:val="22"/>
                <w:szCs w:val="22"/>
              </w:rPr>
            </w:pPr>
            <w:r>
              <w:rPr>
                <w:rFonts w:ascii="Arial" w:hAnsi="Arial" w:cs="Arial"/>
                <w:b/>
                <w:bCs/>
                <w:sz w:val="22"/>
                <w:szCs w:val="22"/>
              </w:rPr>
              <w:t>Date:</w:t>
            </w:r>
          </w:p>
          <w:p w14:paraId="3032D831">
            <w:pPr>
              <w:spacing w:before="100" w:beforeAutospacing="1" w:after="100" w:afterAutospacing="1"/>
              <w:rPr>
                <w:rFonts w:ascii="Arial" w:hAnsi="Arial" w:cs="Arial"/>
                <w:sz w:val="22"/>
                <w:szCs w:val="22"/>
              </w:rPr>
            </w:pPr>
            <w:r>
              <w:rPr>
                <w:rFonts w:ascii="Arial" w:hAnsi="Arial" w:cs="Arial"/>
                <w:sz w:val="22"/>
                <w:szCs w:val="22"/>
              </w:rPr>
              <w:t>19/07/2025</w:t>
            </w:r>
          </w:p>
        </w:tc>
      </w:tr>
      <w:tr w14:paraId="4FBABB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7A24CA3F">
            <w:pPr>
              <w:pStyle w:val="24"/>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706FD2A3">
            <w:pPr>
              <w:pStyle w:val="24"/>
              <w:ind w:left="0"/>
              <w:rPr>
                <w:rFonts w:ascii="Arial" w:hAnsi="Arial" w:cs="Arial"/>
              </w:rPr>
            </w:pPr>
            <w:r>
              <w:rPr>
                <w:rFonts w:ascii="Arial" w:hAnsi="Arial" w:cs="Arial"/>
              </w:rPr>
              <w:t>Director of Studies/Supervisor:</w:t>
            </w:r>
          </w:p>
        </w:tc>
        <w:tc>
          <w:tcPr>
            <w:tcW w:w="4959" w:type="dxa"/>
            <w:gridSpan w:val="2"/>
            <w:vAlign w:val="center"/>
          </w:tcPr>
          <w:p w14:paraId="0CF0ABE2">
            <w:pPr>
              <w:pStyle w:val="24"/>
              <w:ind w:left="0"/>
              <w:rPr>
                <w:rFonts w:hint="default" w:ascii="Arial" w:hAnsi="Arial" w:cs="Arial"/>
                <w:lang w:val="en-GB"/>
              </w:rPr>
            </w:pPr>
            <w:r>
              <w:rPr>
                <w:rFonts w:ascii="Arial" w:hAnsi="Arial" w:cs="Arial"/>
              </w:rPr>
              <w:t xml:space="preserve"> </w:t>
            </w:r>
            <w:r>
              <w:rPr>
                <w:rFonts w:hint="default" w:ascii="Arial" w:hAnsi="Arial" w:cs="Arial"/>
                <w:lang w:val="en-GB"/>
              </w:rPr>
              <w:t>Marie pitson</w:t>
            </w:r>
          </w:p>
        </w:tc>
        <w:tc>
          <w:tcPr>
            <w:tcW w:w="2123" w:type="dxa"/>
            <w:vMerge w:val="restart"/>
          </w:tcPr>
          <w:p w14:paraId="07FEA98A">
            <w:pPr>
              <w:pStyle w:val="24"/>
              <w:ind w:left="0"/>
              <w:rPr>
                <w:rFonts w:hint="default" w:ascii="Arial" w:hAnsi="Arial" w:cs="Arial"/>
                <w:b w:val="0"/>
                <w:bCs w:val="0"/>
                <w:i/>
                <w:iCs/>
                <w:u w:val="single"/>
                <w:lang w:val="en-GB"/>
              </w:rPr>
            </w:pPr>
            <w:r>
              <w:rPr>
                <w:rFonts w:ascii="Arial" w:hAnsi="Arial" w:cs="Arial"/>
                <w:b/>
                <w:bCs/>
              </w:rPr>
              <w:t>Date:</w:t>
            </w:r>
            <w:r>
              <w:rPr>
                <w:rFonts w:hint="default" w:ascii="Arial" w:hAnsi="Arial" w:cs="Arial"/>
                <w:b w:val="0"/>
                <w:bCs w:val="0"/>
                <w:u w:val="single"/>
                <w:lang w:val="en-GB"/>
              </w:rPr>
              <w:t>02/09/2025</w:t>
            </w:r>
          </w:p>
        </w:tc>
      </w:tr>
      <w:tr w14:paraId="0890D6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49BB935B">
            <w:pPr>
              <w:pStyle w:val="24"/>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3C10DB6E">
            <w:pPr>
              <w:pStyle w:val="24"/>
              <w:ind w:left="0"/>
              <w:rPr>
                <w:rFonts w:ascii="Arial" w:hAnsi="Arial" w:cs="Arial"/>
              </w:rPr>
            </w:pPr>
            <w:r>
              <w:rPr>
                <w:rFonts w:ascii="Arial" w:hAnsi="Arial" w:cs="Arial"/>
              </w:rPr>
              <w:t>Signature:</w:t>
            </w:r>
          </w:p>
        </w:tc>
        <w:tc>
          <w:tcPr>
            <w:tcW w:w="4959" w:type="dxa"/>
            <w:gridSpan w:val="2"/>
            <w:vAlign w:val="center"/>
          </w:tcPr>
          <w:p w14:paraId="6DBEEED6">
            <w:pPr>
              <w:pStyle w:val="24"/>
              <w:ind w:left="0"/>
              <w:rPr>
                <w:rFonts w:ascii="Arial" w:hAnsi="Arial" w:cs="Arial"/>
              </w:rPr>
            </w:pPr>
          </w:p>
          <w:p w14:paraId="5DFD8EC2">
            <w:pPr>
              <w:pStyle w:val="24"/>
              <w:ind w:left="0"/>
              <w:rPr>
                <w:rFonts w:ascii="Arial" w:hAnsi="Arial" w:cs="Arial"/>
              </w:rPr>
            </w:pPr>
          </w:p>
          <w:p w14:paraId="4FC92130">
            <w:pPr>
              <w:pStyle w:val="24"/>
              <w:ind w:left="0"/>
              <w:rPr>
                <w:rFonts w:ascii="Arial" w:hAnsi="Arial" w:cs="Arial"/>
              </w:rPr>
            </w:pPr>
          </w:p>
          <w:p w14:paraId="3D3207F2">
            <w:pPr>
              <w:pStyle w:val="24"/>
              <w:ind w:left="0"/>
              <w:rPr>
                <w:rFonts w:ascii="Arial" w:hAnsi="Arial" w:cs="Arial"/>
              </w:rPr>
            </w:pPr>
          </w:p>
          <w:p w14:paraId="01D3492B">
            <w:pPr>
              <w:pStyle w:val="24"/>
              <w:ind w:left="0"/>
              <w:rPr>
                <w:rFonts w:ascii="Arial" w:hAnsi="Arial" w:cs="Arial"/>
              </w:rPr>
            </w:pPr>
          </w:p>
          <w:p w14:paraId="3081F0FB">
            <w:pPr>
              <w:pStyle w:val="24"/>
              <w:ind w:left="0"/>
              <w:rPr>
                <w:rFonts w:ascii="Arial" w:hAnsi="Arial" w:cs="Arial"/>
              </w:rPr>
            </w:pPr>
          </w:p>
          <w:p w14:paraId="50DD8CD0">
            <w:pPr>
              <w:pStyle w:val="24"/>
              <w:ind w:left="0"/>
              <w:rPr>
                <w:rFonts w:ascii="Arial" w:hAnsi="Arial" w:cs="Arial"/>
              </w:rPr>
            </w:pPr>
          </w:p>
        </w:tc>
        <w:tc>
          <w:tcPr>
            <w:tcW w:w="2123" w:type="dxa"/>
            <w:vMerge w:val="continue"/>
            <w:vAlign w:val="center"/>
          </w:tcPr>
          <w:p w14:paraId="5E6FF82E">
            <w:pPr>
              <w:pStyle w:val="24"/>
              <w:ind w:left="0"/>
              <w:rPr>
                <w:rFonts w:ascii="Arial" w:hAnsi="Arial" w:cs="Arial"/>
              </w:rPr>
            </w:pPr>
          </w:p>
        </w:tc>
      </w:tr>
    </w:tbl>
    <w:p w14:paraId="378C5082">
      <w:pPr>
        <w:rPr>
          <w:rFonts w:ascii="Arial" w:hAnsi="Arial" w:cs="Arial"/>
          <w:sz w:val="22"/>
          <w:szCs w:val="22"/>
        </w:rPr>
      </w:pPr>
    </w:p>
    <w:p w14:paraId="1CF95841">
      <w:pPr>
        <w:rPr>
          <w:rFonts w:ascii="Arial" w:hAnsi="Arial" w:cs="Arial"/>
          <w:i/>
          <w:sz w:val="22"/>
          <w:szCs w:val="22"/>
        </w:rPr>
      </w:pPr>
    </w:p>
    <w:p w14:paraId="24BB84F7">
      <w:pPr>
        <w:rPr>
          <w:rFonts w:ascii="Arial" w:hAnsi="Arial" w:cs="Arial"/>
          <w:i/>
          <w:sz w:val="22"/>
          <w:szCs w:val="22"/>
        </w:rPr>
      </w:pPr>
    </w:p>
    <w:p w14:paraId="48E8B8EB">
      <w:pPr>
        <w:rPr>
          <w:rFonts w:ascii="Arial" w:hAnsi="Arial" w:cs="Arial"/>
          <w:b/>
          <w:i/>
          <w:sz w:val="22"/>
          <w:szCs w:val="22"/>
        </w:rPr>
      </w:pPr>
      <w:r>
        <w:rPr>
          <w:rFonts w:ascii="Arial" w:hAnsi="Arial" w:cs="Arial"/>
          <w:b/>
          <w:i/>
          <w:sz w:val="22"/>
          <w:szCs w:val="22"/>
        </w:rPr>
        <w:t>FOR INTERNAL USE ONLY:</w:t>
      </w:r>
    </w:p>
    <w:tbl>
      <w:tblPr>
        <w:tblStyle w:val="9"/>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835"/>
        <w:gridCol w:w="4949"/>
        <w:gridCol w:w="2139"/>
      </w:tblGrid>
      <w:tr w14:paraId="7CB650BD">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561" w:hRule="atLeast"/>
        </w:trPr>
        <w:tc>
          <w:tcPr>
            <w:tcW w:w="554" w:type="dxa"/>
            <w:shd w:val="clear" w:color="auto" w:fill="F1F1F1" w:themeFill="background1" w:themeFillShade="F2"/>
            <w:vAlign w:val="center"/>
          </w:tcPr>
          <w:p w14:paraId="230AEA43">
            <w:pPr>
              <w:jc w:val="center"/>
              <w:rPr>
                <w:rFonts w:ascii="Arial" w:hAnsi="Arial" w:cs="Arial"/>
                <w:sz w:val="22"/>
                <w:szCs w:val="22"/>
              </w:rPr>
            </w:pPr>
          </w:p>
        </w:tc>
        <w:tc>
          <w:tcPr>
            <w:tcW w:w="9923" w:type="dxa"/>
            <w:gridSpan w:val="3"/>
            <w:shd w:val="clear" w:color="auto" w:fill="F1F1F1" w:themeFill="background1" w:themeFillShade="F2"/>
            <w:vAlign w:val="center"/>
          </w:tcPr>
          <w:p w14:paraId="74C9CC7A">
            <w:pPr>
              <w:jc w:val="both"/>
              <w:rPr>
                <w:rFonts w:ascii="Arial" w:hAnsi="Arial" w:cs="Arial"/>
                <w:b/>
                <w:sz w:val="22"/>
                <w:szCs w:val="22"/>
              </w:rPr>
            </w:pPr>
            <w:r>
              <w:rPr>
                <w:rFonts w:ascii="Arial" w:hAnsi="Arial" w:cs="Arial"/>
                <w:b/>
                <w:sz w:val="22"/>
                <w:szCs w:val="22"/>
              </w:rPr>
              <w:t xml:space="preserve">Ethical approval given </w:t>
            </w:r>
          </w:p>
        </w:tc>
      </w:tr>
      <w:tr w14:paraId="71E0BAC6">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9445C91">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EA014E5">
            <w:pPr>
              <w:spacing w:before="100" w:beforeAutospacing="1" w:after="100" w:afterAutospacing="1"/>
              <w:rPr>
                <w:rFonts w:ascii="Arial" w:hAnsi="Arial" w:cs="Arial"/>
                <w:sz w:val="22"/>
                <w:szCs w:val="22"/>
              </w:rPr>
            </w:pPr>
            <w:r>
              <w:rPr>
                <w:rFonts w:ascii="Arial" w:hAnsi="Arial" w:cs="Arial"/>
                <w:b/>
                <w:bCs/>
                <w:sz w:val="22"/>
                <w:szCs w:val="22"/>
              </w:rPr>
              <w:t>Signature of assessor:</w:t>
            </w:r>
          </w:p>
        </w:tc>
        <w:tc>
          <w:tcPr>
            <w:tcW w:w="4949" w:type="dxa"/>
            <w:tcBorders>
              <w:left w:val="single" w:color="auto" w:sz="4" w:space="0"/>
            </w:tcBorders>
            <w:vAlign w:val="center"/>
          </w:tcPr>
          <w:p w14:paraId="6E4E7685">
            <w:pPr>
              <w:spacing w:before="100" w:beforeAutospacing="1" w:after="100" w:afterAutospacing="1"/>
              <w:rPr>
                <w:rFonts w:ascii="Arial" w:hAnsi="Arial" w:cs="Arial"/>
                <w:sz w:val="22"/>
                <w:szCs w:val="22"/>
              </w:rPr>
            </w:pPr>
          </w:p>
        </w:tc>
        <w:tc>
          <w:tcPr>
            <w:tcW w:w="2139" w:type="dxa"/>
            <w:vAlign w:val="center"/>
          </w:tcPr>
          <w:p w14:paraId="5325CAA5">
            <w:pPr>
              <w:spacing w:before="100" w:beforeAutospacing="1" w:after="100" w:afterAutospacing="1"/>
              <w:rPr>
                <w:rFonts w:ascii="Arial" w:hAnsi="Arial" w:cs="Arial"/>
                <w:b/>
                <w:bCs/>
                <w:sz w:val="22"/>
                <w:szCs w:val="22"/>
              </w:rPr>
            </w:pPr>
            <w:r>
              <w:rPr>
                <w:rFonts w:ascii="Arial" w:hAnsi="Arial" w:cs="Arial"/>
                <w:b/>
                <w:bCs/>
                <w:sz w:val="22"/>
                <w:szCs w:val="22"/>
              </w:rPr>
              <w:t>Date:</w:t>
            </w:r>
          </w:p>
          <w:p w14:paraId="6BDBFF5E">
            <w:pPr>
              <w:spacing w:before="100" w:beforeAutospacing="1" w:after="100" w:afterAutospacing="1"/>
              <w:rPr>
                <w:rFonts w:ascii="Arial" w:hAnsi="Arial" w:cs="Arial"/>
                <w:sz w:val="22"/>
                <w:szCs w:val="22"/>
              </w:rPr>
            </w:pPr>
          </w:p>
        </w:tc>
      </w:tr>
      <w:tr w14:paraId="3E6DDD7B">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56A210F">
            <w:pPr>
              <w:spacing w:before="100" w:beforeAutospacing="1" w:after="100" w:afterAutospacing="1"/>
              <w:jc w:val="center"/>
              <w:rPr>
                <w:rFonts w:ascii="Arial" w:hAnsi="Arial" w:cs="Arial"/>
                <w:bCs/>
                <w:sz w:val="22"/>
                <w:szCs w:val="22"/>
              </w:rPr>
            </w:pPr>
            <w:r>
              <w:rPr>
                <w:rFonts w:ascii="Arial" w:hAnsi="Arial" w:cs="Arial"/>
                <w:sz w:val="22"/>
                <w:szCs w:val="22"/>
              </w:rPr>
              <w:t>2</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3832246">
            <w:pPr>
              <w:spacing w:before="100" w:beforeAutospacing="1" w:after="100" w:afterAutospacing="1"/>
              <w:rPr>
                <w:rFonts w:ascii="Arial" w:hAnsi="Arial" w:cs="Arial"/>
                <w:b/>
                <w:bCs/>
                <w:sz w:val="22"/>
                <w:szCs w:val="22"/>
              </w:rPr>
            </w:pPr>
            <w:r>
              <w:rPr>
                <w:rFonts w:ascii="Arial" w:hAnsi="Arial" w:cs="Arial"/>
                <w:sz w:val="22"/>
                <w:szCs w:val="22"/>
              </w:rPr>
              <w:t>Name:</w:t>
            </w:r>
          </w:p>
        </w:tc>
        <w:tc>
          <w:tcPr>
            <w:tcW w:w="7088" w:type="dxa"/>
            <w:gridSpan w:val="2"/>
            <w:tcBorders>
              <w:left w:val="single" w:color="auto" w:sz="4" w:space="0"/>
            </w:tcBorders>
            <w:vAlign w:val="center"/>
          </w:tcPr>
          <w:p w14:paraId="38C6D1DD">
            <w:pPr>
              <w:spacing w:before="100" w:beforeAutospacing="1" w:after="100" w:afterAutospacing="1"/>
              <w:rPr>
                <w:rFonts w:ascii="Arial" w:hAnsi="Arial" w:cs="Arial"/>
                <w:b/>
                <w:bCs/>
                <w:sz w:val="22"/>
                <w:szCs w:val="22"/>
              </w:rPr>
            </w:pPr>
          </w:p>
        </w:tc>
      </w:tr>
      <w:tr w14:paraId="5F266E2F">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7D69B7E">
            <w:pPr>
              <w:spacing w:before="100" w:beforeAutospacing="1" w:after="100" w:afterAutospacing="1"/>
              <w:jc w:val="center"/>
              <w:rPr>
                <w:rFonts w:ascii="Arial" w:hAnsi="Arial" w:cs="Arial"/>
                <w:bCs/>
                <w:sz w:val="22"/>
                <w:szCs w:val="22"/>
              </w:rPr>
            </w:pPr>
            <w:r>
              <w:rPr>
                <w:rFonts w:ascii="Arial" w:hAnsi="Arial" w:cs="Arial"/>
                <w:sz w:val="22"/>
                <w:szCs w:val="22"/>
              </w:rPr>
              <w:t>3</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F17E227">
            <w:pPr>
              <w:spacing w:before="100" w:beforeAutospacing="1" w:after="100" w:afterAutospacing="1"/>
              <w:rPr>
                <w:rFonts w:ascii="Arial" w:hAnsi="Arial" w:cs="Arial"/>
                <w:b/>
                <w:bCs/>
                <w:sz w:val="22"/>
                <w:szCs w:val="22"/>
              </w:rPr>
            </w:pPr>
            <w:r>
              <w:rPr>
                <w:rFonts w:ascii="Arial" w:hAnsi="Arial" w:cs="Arial"/>
                <w:sz w:val="22"/>
                <w:szCs w:val="22"/>
              </w:rPr>
              <w:t>Role:</w:t>
            </w:r>
          </w:p>
        </w:tc>
        <w:tc>
          <w:tcPr>
            <w:tcW w:w="7088" w:type="dxa"/>
            <w:gridSpan w:val="2"/>
            <w:tcBorders>
              <w:left w:val="single" w:color="auto" w:sz="4" w:space="0"/>
            </w:tcBorders>
            <w:vAlign w:val="center"/>
          </w:tcPr>
          <w:p w14:paraId="724BC08A">
            <w:pPr>
              <w:spacing w:before="100" w:beforeAutospacing="1" w:after="100" w:afterAutospacing="1"/>
              <w:rPr>
                <w:rFonts w:ascii="Arial" w:hAnsi="Arial" w:cs="Arial"/>
                <w:b/>
                <w:bCs/>
                <w:sz w:val="22"/>
                <w:szCs w:val="22"/>
              </w:rPr>
            </w:pPr>
          </w:p>
        </w:tc>
      </w:tr>
    </w:tbl>
    <w:p w14:paraId="4B51F825">
      <w:pPr>
        <w:numPr>
          <w:ilvl w:val="0"/>
          <w:numId w:val="0"/>
        </w:numPr>
        <w:rPr>
          <w:rFonts w:hint="default"/>
          <w:b/>
          <w:bCs/>
          <w:sz w:val="36"/>
          <w:szCs w:val="36"/>
          <w:lang w:val="en-GB"/>
        </w:rPr>
      </w:pPr>
    </w:p>
    <w:p w14:paraId="5925C23C">
      <w:pPr>
        <w:numPr>
          <w:ilvl w:val="0"/>
          <w:numId w:val="0"/>
        </w:numPr>
        <w:rPr>
          <w:rFonts w:hint="default"/>
          <w:b/>
          <w:bCs/>
          <w:sz w:val="28"/>
          <w:szCs w:val="28"/>
          <w:lang w:val="en-GB"/>
        </w:rPr>
      </w:pPr>
      <w:r>
        <w:rPr>
          <w:rFonts w:hint="default"/>
          <w:b/>
          <w:bCs/>
          <w:sz w:val="28"/>
          <w:szCs w:val="28"/>
          <w:lang w:val="en-GB"/>
        </w:rPr>
        <w:t>UNDERSTANDING THE ROLE OF SUSTAINABILITY</w:t>
      </w:r>
    </w:p>
    <w:p w14:paraId="77DD5741">
      <w:pPr>
        <w:numPr>
          <w:ilvl w:val="0"/>
          <w:numId w:val="0"/>
        </w:numPr>
        <w:rPr>
          <w:rFonts w:hint="default"/>
          <w:b/>
          <w:bCs/>
          <w:sz w:val="28"/>
          <w:szCs w:val="28"/>
          <w:lang w:val="en-GB"/>
        </w:rPr>
      </w:pPr>
      <w:r>
        <w:rPr>
          <w:rFonts w:hint="default"/>
          <w:b/>
          <w:bCs/>
          <w:sz w:val="28"/>
          <w:szCs w:val="28"/>
          <w:lang w:val="en-GB"/>
        </w:rPr>
        <w:t>IN STRATEGIC DECISION MAKING PERSPECTIVES</w:t>
      </w:r>
    </w:p>
    <w:p w14:paraId="5F82916D">
      <w:pPr>
        <w:keepNext w:val="0"/>
        <w:keepLines w:val="0"/>
        <w:widowControl/>
        <w:suppressLineNumbers w:val="0"/>
        <w:spacing w:after="240" w:afterAutospacing="0"/>
        <w:jc w:val="left"/>
        <w:rPr>
          <w:b/>
          <w:bCs/>
          <w:color w:val="242424"/>
        </w:rPr>
      </w:pPr>
      <w:r>
        <w:rPr>
          <w:rFonts w:ascii="SimSun" w:hAnsi="SimSun" w:eastAsia="SimSun" w:cs="SimSun"/>
          <w:b/>
          <w:bCs/>
          <w:color w:val="242424"/>
          <w:kern w:val="0"/>
          <w:sz w:val="24"/>
          <w:szCs w:val="24"/>
          <w:lang w:val="en-US" w:eastAsia="zh-CN" w:bidi="ar"/>
        </w:rPr>
        <w:t>This survey is part of a postgraduate dissertation that examines how sustainability influences strategic decision-making within the UK retail sector. The study seeks to understand how managers view sustainability, how it shapes organisational practices, and what factors support or hinder its integration into long-term business planning. Your participation will provide important insights that contribute to this academic research.</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Purpose of the Study</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The purpose of this study is to explore managerial perspectives on sustainability in the UK retail industry. The research aims to assess how sustainability considerations affect strategic decisions, operational practices, and business priorities. The information gathered will be used to identify common themes, challenges, and opportunities related to sustainability within retail organisations.</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What Participation Involves</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The survey consists of multiple-choice and Likert-scale questions. It is expected to take approximately 5 minutes to complete. The questions focus on your managerial background, your understanding of sustainability, your organisation’s practices, and the factors that influence sustainability-related decisions.</w:t>
      </w:r>
      <w:r>
        <w:rPr>
          <w:rFonts w:ascii="SimSun" w:hAnsi="SimSun" w:eastAsia="SimSun" w:cs="SimSun"/>
          <w:b/>
          <w:bCs/>
          <w:color w:val="242424"/>
          <w:kern w:val="0"/>
          <w:sz w:val="24"/>
          <w:szCs w:val="24"/>
          <w:lang w:val="en-US" w:eastAsia="zh-CN" w:bidi="ar"/>
        </w:rPr>
        <w:br w:type="textWrapping"/>
      </w:r>
      <w:r>
        <w:rPr>
          <w:rFonts w:ascii="SimSun" w:hAnsi="SimSun" w:eastAsia="SimSun" w:cs="SimSun"/>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Confidentiality and Data Use</w:t>
      </w:r>
    </w:p>
    <w:p w14:paraId="545C6BF4">
      <w:pPr>
        <w:keepNext w:val="0"/>
        <w:keepLines w:val="0"/>
        <w:widowControl/>
        <w:numPr>
          <w:ilvl w:val="0"/>
          <w:numId w:val="9"/>
        </w:numPr>
        <w:suppressLineNumbers w:val="0"/>
        <w:spacing w:before="0" w:beforeAutospacing="1" w:after="0" w:afterAutospacing="1"/>
        <w:ind w:left="720" w:hanging="360"/>
        <w:jc w:val="left"/>
        <w:rPr>
          <w:b/>
          <w:bCs/>
        </w:rPr>
      </w:pPr>
      <w:r>
        <w:rPr>
          <w:b/>
          <w:bCs/>
          <w:color w:val="242424"/>
        </w:rPr>
        <w:t>All responses will remain anonymous.</w:t>
      </w:r>
    </w:p>
    <w:p w14:paraId="796A7300">
      <w:pPr>
        <w:keepNext w:val="0"/>
        <w:keepLines w:val="0"/>
        <w:widowControl/>
        <w:numPr>
          <w:ilvl w:val="0"/>
          <w:numId w:val="9"/>
        </w:numPr>
        <w:suppressLineNumbers w:val="0"/>
        <w:spacing w:before="0" w:beforeAutospacing="1" w:after="0" w:afterAutospacing="1"/>
        <w:ind w:left="720" w:hanging="360"/>
        <w:jc w:val="left"/>
        <w:rPr>
          <w:b/>
          <w:bCs/>
        </w:rPr>
      </w:pPr>
      <w:r>
        <w:rPr>
          <w:b/>
          <w:bCs/>
          <w:color w:val="242424"/>
        </w:rPr>
        <w:t>No personally identifiable information will be collected.</w:t>
      </w:r>
    </w:p>
    <w:p w14:paraId="548F6564">
      <w:pPr>
        <w:keepNext w:val="0"/>
        <w:keepLines w:val="0"/>
        <w:widowControl/>
        <w:numPr>
          <w:ilvl w:val="0"/>
          <w:numId w:val="9"/>
        </w:numPr>
        <w:suppressLineNumbers w:val="0"/>
        <w:spacing w:before="0" w:beforeAutospacing="1" w:after="0" w:afterAutospacing="1"/>
        <w:ind w:left="720" w:hanging="360"/>
        <w:jc w:val="left"/>
        <w:rPr>
          <w:b/>
          <w:bCs/>
        </w:rPr>
      </w:pPr>
      <w:r>
        <w:rPr>
          <w:b/>
          <w:bCs/>
          <w:color w:val="242424"/>
        </w:rPr>
        <w:t>The data will be used only for academic purposes related to this dissertation.</w:t>
      </w:r>
    </w:p>
    <w:p w14:paraId="7DCDBB93">
      <w:pPr>
        <w:keepNext w:val="0"/>
        <w:keepLines w:val="0"/>
        <w:widowControl/>
        <w:numPr>
          <w:ilvl w:val="0"/>
          <w:numId w:val="9"/>
        </w:numPr>
        <w:suppressLineNumbers w:val="0"/>
        <w:spacing w:before="0" w:beforeAutospacing="1" w:after="0" w:afterAutospacing="1"/>
        <w:ind w:left="720" w:hanging="360"/>
        <w:jc w:val="left"/>
        <w:rPr>
          <w:b/>
          <w:bCs/>
        </w:rPr>
      </w:pPr>
      <w:r>
        <w:rPr>
          <w:b/>
          <w:bCs/>
          <w:color w:val="242424"/>
        </w:rPr>
        <w:t>All information will be stored securely and handled in accordance with data protection and GDPR guidelines.</w:t>
      </w:r>
    </w:p>
    <w:p w14:paraId="4B1D87E3">
      <w:pPr>
        <w:keepNext w:val="0"/>
        <w:keepLines w:val="0"/>
        <w:widowControl/>
        <w:suppressLineNumbers w:val="0"/>
        <w:spacing w:after="240" w:afterAutospacing="0"/>
        <w:jc w:val="left"/>
        <w:rPr>
          <w:b/>
          <w:bCs/>
        </w:rPr>
      </w:pP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Voluntary Participation</w:t>
      </w:r>
    </w:p>
    <w:p w14:paraId="2A44BA88">
      <w:pPr>
        <w:keepNext w:val="0"/>
        <w:keepLines w:val="0"/>
        <w:widowControl/>
        <w:numPr>
          <w:ilvl w:val="0"/>
          <w:numId w:val="10"/>
        </w:numPr>
        <w:suppressLineNumbers w:val="0"/>
        <w:spacing w:before="0" w:beforeAutospacing="1" w:after="0" w:afterAutospacing="1"/>
        <w:ind w:left="720" w:hanging="360"/>
        <w:jc w:val="left"/>
        <w:rPr>
          <w:b/>
          <w:bCs/>
        </w:rPr>
      </w:pPr>
      <w:r>
        <w:rPr>
          <w:b/>
          <w:bCs/>
          <w:color w:val="242424"/>
        </w:rPr>
        <w:t>Participation in this survey is voluntary.</w:t>
      </w:r>
    </w:p>
    <w:p w14:paraId="20D6A91F">
      <w:pPr>
        <w:keepNext w:val="0"/>
        <w:keepLines w:val="0"/>
        <w:widowControl/>
        <w:numPr>
          <w:ilvl w:val="0"/>
          <w:numId w:val="10"/>
        </w:numPr>
        <w:suppressLineNumbers w:val="0"/>
        <w:spacing w:before="0" w:beforeAutospacing="1" w:after="0" w:afterAutospacing="1"/>
        <w:ind w:left="720" w:hanging="360"/>
        <w:jc w:val="left"/>
        <w:rPr>
          <w:b/>
          <w:bCs/>
        </w:rPr>
      </w:pPr>
      <w:r>
        <w:rPr>
          <w:b/>
          <w:bCs/>
          <w:color w:val="242424"/>
        </w:rPr>
        <w:t>You may choose to withdraw or close the survey at any time before submission.</w:t>
      </w:r>
    </w:p>
    <w:p w14:paraId="2B6F849B">
      <w:pPr>
        <w:keepNext w:val="0"/>
        <w:keepLines w:val="0"/>
        <w:widowControl/>
        <w:numPr>
          <w:ilvl w:val="0"/>
          <w:numId w:val="10"/>
        </w:numPr>
        <w:suppressLineNumbers w:val="0"/>
        <w:spacing w:before="0" w:beforeAutospacing="1" w:after="0" w:afterAutospacing="1"/>
        <w:ind w:left="720" w:hanging="360"/>
        <w:jc w:val="left"/>
        <w:rPr>
          <w:b/>
          <w:bCs/>
        </w:rPr>
      </w:pPr>
      <w:r>
        <w:rPr>
          <w:b/>
          <w:bCs/>
          <w:color w:val="242424"/>
        </w:rPr>
        <w:t>There are no consequences for choosing not to take part.</w:t>
      </w:r>
    </w:p>
    <w:p w14:paraId="3E831451">
      <w:pPr>
        <w:keepNext w:val="0"/>
        <w:keepLines w:val="0"/>
        <w:widowControl/>
        <w:suppressLineNumbers w:val="0"/>
        <w:jc w:val="left"/>
        <w:rPr>
          <w:b/>
          <w:bCs/>
        </w:rPr>
      </w:pP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Eligibility to Participate</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Participants should meet the following criteria:</w:t>
      </w:r>
    </w:p>
    <w:p w14:paraId="290BDDDD">
      <w:pPr>
        <w:keepNext w:val="0"/>
        <w:keepLines w:val="0"/>
        <w:widowControl/>
        <w:numPr>
          <w:ilvl w:val="0"/>
          <w:numId w:val="11"/>
        </w:numPr>
        <w:suppressLineNumbers w:val="0"/>
        <w:spacing w:before="0" w:beforeAutospacing="1" w:after="0" w:afterAutospacing="1"/>
        <w:ind w:left="720" w:hanging="360"/>
        <w:jc w:val="left"/>
        <w:rPr>
          <w:b/>
          <w:bCs/>
        </w:rPr>
      </w:pPr>
      <w:r>
        <w:rPr>
          <w:b/>
          <w:bCs/>
          <w:color w:val="242424"/>
        </w:rPr>
        <w:t>Currently working in a managerial or supervisory role in the UK retail sector</w:t>
      </w:r>
    </w:p>
    <w:p w14:paraId="69C05C46">
      <w:pPr>
        <w:keepNext w:val="0"/>
        <w:keepLines w:val="0"/>
        <w:widowControl/>
        <w:numPr>
          <w:ilvl w:val="0"/>
          <w:numId w:val="11"/>
        </w:numPr>
        <w:suppressLineNumbers w:val="0"/>
        <w:spacing w:before="0" w:beforeAutospacing="1" w:after="0" w:afterAutospacing="1"/>
        <w:ind w:left="720" w:hanging="360"/>
        <w:jc w:val="left"/>
        <w:rPr>
          <w:b/>
          <w:bCs/>
        </w:rPr>
      </w:pPr>
      <w:r>
        <w:rPr>
          <w:b/>
          <w:bCs/>
          <w:color w:val="242424"/>
        </w:rPr>
        <w:t>Aged 18 or older</w:t>
      </w:r>
    </w:p>
    <w:p w14:paraId="1A191109">
      <w:pPr>
        <w:keepNext w:val="0"/>
        <w:keepLines w:val="0"/>
        <w:widowControl/>
        <w:numPr>
          <w:ilvl w:val="0"/>
          <w:numId w:val="11"/>
        </w:numPr>
        <w:suppressLineNumbers w:val="0"/>
        <w:spacing w:before="0" w:beforeAutospacing="1" w:after="0" w:afterAutospacing="1"/>
        <w:ind w:left="720" w:hanging="360"/>
        <w:jc w:val="left"/>
        <w:rPr>
          <w:b/>
          <w:bCs/>
        </w:rPr>
      </w:pPr>
      <w:r>
        <w:rPr>
          <w:b/>
          <w:bCs/>
          <w:color w:val="242424"/>
        </w:rPr>
        <w:t>Familiar with or involved in sustainability-related discussions or decisions within their organisation</w:t>
      </w:r>
    </w:p>
    <w:p w14:paraId="4783C281">
      <w:pPr>
        <w:keepNext w:val="0"/>
        <w:keepLines w:val="0"/>
        <w:widowControl/>
        <w:suppressLineNumbers w:val="0"/>
        <w:jc w:val="left"/>
        <w:rPr>
          <w:b/>
          <w:bCs/>
        </w:rPr>
      </w:pP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Consent Statement</w:t>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br w:type="textWrapping"/>
      </w:r>
      <w:r>
        <w:rPr>
          <w:rFonts w:ascii="SimSun" w:hAnsi="SimSun" w:eastAsia="SimSun" w:cs="SimSun"/>
          <w:b/>
          <w:bCs/>
          <w:color w:val="242424"/>
          <w:kern w:val="0"/>
          <w:sz w:val="24"/>
          <w:szCs w:val="24"/>
          <w:lang w:val="en-US" w:eastAsia="zh-CN" w:bidi="ar"/>
        </w:rPr>
        <w:t>By proceeding with this survey, you confirm that:</w:t>
      </w:r>
    </w:p>
    <w:p w14:paraId="75998AA2">
      <w:pPr>
        <w:keepNext w:val="0"/>
        <w:keepLines w:val="0"/>
        <w:widowControl/>
        <w:numPr>
          <w:ilvl w:val="0"/>
          <w:numId w:val="12"/>
        </w:numPr>
        <w:suppressLineNumbers w:val="0"/>
        <w:spacing w:before="0" w:beforeAutospacing="1" w:after="0" w:afterAutospacing="1"/>
        <w:ind w:left="720" w:hanging="360"/>
        <w:jc w:val="left"/>
        <w:rPr>
          <w:b w:val="0"/>
          <w:bCs w:val="0"/>
        </w:rPr>
      </w:pPr>
      <w:r>
        <w:rPr>
          <w:b w:val="0"/>
          <w:bCs w:val="0"/>
          <w:color w:val="242424"/>
        </w:rPr>
        <w:t>You have read and understood the information provided above</w:t>
      </w:r>
    </w:p>
    <w:p w14:paraId="3B3C37BF">
      <w:pPr>
        <w:keepNext w:val="0"/>
        <w:keepLines w:val="0"/>
        <w:widowControl/>
        <w:numPr>
          <w:ilvl w:val="0"/>
          <w:numId w:val="12"/>
        </w:numPr>
        <w:suppressLineNumbers w:val="0"/>
        <w:spacing w:before="0" w:beforeAutospacing="1" w:after="0" w:afterAutospacing="1"/>
        <w:ind w:left="720" w:hanging="360"/>
        <w:jc w:val="left"/>
        <w:rPr>
          <w:b w:val="0"/>
          <w:bCs w:val="0"/>
        </w:rPr>
      </w:pPr>
      <w:r>
        <w:rPr>
          <w:b w:val="0"/>
          <w:bCs w:val="0"/>
          <w:color w:val="242424"/>
        </w:rPr>
        <w:t>You meet the eligibility requirements for participation</w:t>
      </w:r>
    </w:p>
    <w:p w14:paraId="16E1B0FB">
      <w:pPr>
        <w:keepNext w:val="0"/>
        <w:keepLines w:val="0"/>
        <w:widowControl/>
        <w:numPr>
          <w:ilvl w:val="0"/>
          <w:numId w:val="12"/>
        </w:numPr>
        <w:suppressLineNumbers w:val="0"/>
        <w:spacing w:before="0" w:beforeAutospacing="1" w:after="0" w:afterAutospacing="1"/>
        <w:ind w:left="720" w:hanging="360"/>
        <w:jc w:val="left"/>
        <w:rPr>
          <w:b w:val="0"/>
          <w:bCs w:val="0"/>
        </w:rPr>
      </w:pPr>
      <w:r>
        <w:rPr>
          <w:b w:val="0"/>
          <w:bCs w:val="0"/>
          <w:color w:val="242424"/>
        </w:rPr>
        <w:t>You voluntarily agree to take part in this research</w:t>
      </w:r>
    </w:p>
    <w:p w14:paraId="1CD94CAF">
      <w:pPr>
        <w:keepNext w:val="0"/>
        <w:keepLines w:val="0"/>
        <w:widowControl/>
        <w:suppressLineNumbers w:val="0"/>
        <w:spacing w:line="168" w:lineRule="atLeast"/>
        <w:jc w:val="left"/>
        <w:rPr>
          <w:b/>
          <w:bCs/>
          <w:color w:val="242424"/>
        </w:rPr>
      </w:pPr>
      <w:r>
        <w:rPr>
          <w:rFonts w:ascii="SimSun" w:hAnsi="SimSun" w:eastAsia="SimSun" w:cs="SimSun"/>
          <w:b/>
          <w:bCs/>
          <w:color w:val="242424"/>
          <w:kern w:val="0"/>
          <w:sz w:val="24"/>
          <w:szCs w:val="24"/>
          <w:lang w:val="en-US" w:eastAsia="zh-CN" w:bidi="ar"/>
        </w:rPr>
        <w:t>When you submit this form, it will not automatically collect your details like name and email address unless you provide it yourself.</w:t>
      </w:r>
    </w:p>
    <w:p w14:paraId="024B34DF">
      <w:pPr>
        <w:keepNext w:val="0"/>
        <w:keepLines w:val="0"/>
        <w:widowControl/>
        <w:suppressLineNumbers w:val="0"/>
        <w:pBdr>
          <w:top w:val="none" w:color="auto" w:sz="0" w:space="0"/>
          <w:left w:val="none" w:color="auto" w:sz="0" w:space="0"/>
          <w:bottom w:val="none" w:color="auto" w:sz="0" w:space="0"/>
          <w:right w:val="none" w:color="auto" w:sz="0" w:space="0"/>
        </w:pBdr>
        <w:spacing w:line="16" w:lineRule="atLeast"/>
        <w:ind w:left="0" w:firstLine="0"/>
        <w:jc w:val="left"/>
        <w:rPr>
          <w:rFonts w:ascii="Segoe UI" w:hAnsi="Segoe UI" w:eastAsia="Segoe UI" w:cs="Segoe UI"/>
          <w:b/>
          <w:bCs/>
          <w:i w:val="0"/>
          <w:iCs w:val="0"/>
          <w:caps w:val="0"/>
          <w:color w:val="242424"/>
          <w:spacing w:val="0"/>
          <w:sz w:val="16"/>
          <w:szCs w:val="16"/>
        </w:rPr>
      </w:pPr>
    </w:p>
    <w:p w14:paraId="556CBC94">
      <w:pPr>
        <w:keepNext w:val="0"/>
        <w:keepLines w:val="0"/>
        <w:widowControl/>
        <w:suppressLineNumbers w:val="0"/>
        <w:ind w:left="0" w:firstLine="0"/>
        <w:jc w:val="left"/>
        <w:rPr>
          <w:rFonts w:hint="default" w:ascii="Segoe UI" w:hAnsi="Segoe UI" w:eastAsia="Segoe UI" w:cs="Segoe UI"/>
          <w:b/>
          <w:bCs/>
          <w:i w:val="0"/>
          <w:iCs w:val="0"/>
          <w:caps w:val="0"/>
          <w:color w:val="242424"/>
          <w:spacing w:val="0"/>
          <w:sz w:val="16"/>
          <w:szCs w:val="16"/>
        </w:rPr>
      </w:pPr>
    </w:p>
    <w:p w14:paraId="5E6B2530">
      <w:pPr>
        <w:numPr>
          <w:ilvl w:val="0"/>
          <w:numId w:val="0"/>
        </w:numPr>
        <w:rPr>
          <w:rFonts w:hint="default"/>
          <w:b/>
          <w:bCs/>
          <w:sz w:val="36"/>
          <w:szCs w:val="36"/>
          <w:lang w:val="en-GB"/>
        </w:rPr>
      </w:pPr>
    </w:p>
    <w:p w14:paraId="6D7CA8BB">
      <w:pPr>
        <w:numPr>
          <w:ilvl w:val="0"/>
          <w:numId w:val="0"/>
        </w:numPr>
        <w:rPr>
          <w:rFonts w:hint="default"/>
          <w:b/>
          <w:bCs/>
          <w:sz w:val="36"/>
          <w:szCs w:val="36"/>
          <w:lang w:val="en-GB"/>
        </w:rPr>
      </w:pPr>
    </w:p>
    <w:p w14:paraId="0E388ABB">
      <w:pPr>
        <w:numPr>
          <w:ilvl w:val="0"/>
          <w:numId w:val="0"/>
        </w:numPr>
        <w:rPr>
          <w:rFonts w:hint="default"/>
          <w:b/>
          <w:bCs/>
          <w:sz w:val="36"/>
          <w:szCs w:val="36"/>
          <w:lang w:val="en-GB"/>
        </w:rPr>
      </w:pPr>
    </w:p>
    <w:p w14:paraId="0D6E8991">
      <w:pPr>
        <w:numPr>
          <w:ilvl w:val="0"/>
          <w:numId w:val="0"/>
        </w:numPr>
        <w:rPr>
          <w:rFonts w:hint="default"/>
          <w:b/>
          <w:bCs/>
          <w:sz w:val="36"/>
          <w:szCs w:val="36"/>
          <w:lang w:val="en-GB"/>
        </w:rPr>
      </w:pPr>
    </w:p>
    <w:p w14:paraId="2405D35D">
      <w:pPr>
        <w:numPr>
          <w:ilvl w:val="0"/>
          <w:numId w:val="0"/>
        </w:numPr>
        <w:rPr>
          <w:rFonts w:hint="default"/>
          <w:b/>
          <w:bCs/>
          <w:sz w:val="36"/>
          <w:szCs w:val="36"/>
          <w:lang w:val="en-GB"/>
        </w:rPr>
      </w:pPr>
    </w:p>
    <w:p w14:paraId="02A5F032">
      <w:pPr>
        <w:numPr>
          <w:ilvl w:val="0"/>
          <w:numId w:val="0"/>
        </w:numPr>
        <w:ind w:firstLine="1261" w:firstLineChars="350"/>
        <w:rPr>
          <w:rFonts w:hint="default"/>
          <w:b/>
          <w:bCs/>
          <w:sz w:val="36"/>
          <w:szCs w:val="36"/>
          <w:lang w:val="en-GB"/>
        </w:rPr>
      </w:pPr>
      <w:r>
        <w:rPr>
          <w:rFonts w:hint="default"/>
          <w:b/>
          <w:bCs/>
          <w:sz w:val="36"/>
          <w:szCs w:val="36"/>
          <w:lang w:val="en-GB"/>
        </w:rPr>
        <w:t>PARTICPANTS  QUESTIONNAIRES</w:t>
      </w:r>
    </w:p>
    <w:p w14:paraId="2337960D">
      <w:pPr>
        <w:numPr>
          <w:ilvl w:val="0"/>
          <w:numId w:val="0"/>
        </w:numPr>
        <w:rPr>
          <w:rFonts w:hint="default"/>
          <w:b/>
          <w:bCs/>
          <w:sz w:val="36"/>
          <w:szCs w:val="36"/>
          <w:lang w:val="en-GB"/>
        </w:rPr>
      </w:pPr>
    </w:p>
    <w:p w14:paraId="4368E68B">
      <w:pPr>
        <w:numPr>
          <w:ilvl w:val="0"/>
          <w:numId w:val="13"/>
        </w:numPr>
        <w:rPr>
          <w:rFonts w:ascii="Times New Roman" w:hAnsi="Times New Roman" w:cs="Times New Roman"/>
          <w:sz w:val="24"/>
          <w:szCs w:val="24"/>
        </w:rPr>
      </w:pPr>
      <w:r>
        <w:rPr>
          <w:rFonts w:ascii="Times New Roman" w:hAnsi="Times New Roman" w:cs="Times New Roman"/>
          <w:sz w:val="24"/>
          <w:szCs w:val="24"/>
        </w:rPr>
        <w:t>What is your current managerial position within your organization?</w:t>
      </w:r>
    </w:p>
    <w:p w14:paraId="2A61409C">
      <w:pPr>
        <w:numPr>
          <w:ilvl w:val="0"/>
          <w:numId w:val="13"/>
        </w:numPr>
        <w:rPr>
          <w:rFonts w:ascii="Times New Roman" w:hAnsi="Times New Roman" w:cs="Times New Roman"/>
          <w:sz w:val="24"/>
          <w:szCs w:val="24"/>
        </w:rPr>
      </w:pPr>
      <w:r>
        <w:rPr>
          <w:rFonts w:ascii="Times New Roman" w:hAnsi="Times New Roman" w:cs="Times New Roman"/>
          <w:sz w:val="24"/>
          <w:szCs w:val="24"/>
        </w:rPr>
        <w:t>How many years of experience do you have in the retail sector?</w:t>
      </w:r>
    </w:p>
    <w:p w14:paraId="6FF8598A">
      <w:pPr>
        <w:numPr>
          <w:ilvl w:val="0"/>
          <w:numId w:val="13"/>
        </w:numPr>
        <w:rPr>
          <w:rFonts w:ascii="Times New Roman" w:hAnsi="Times New Roman" w:cs="Times New Roman"/>
          <w:sz w:val="24"/>
          <w:szCs w:val="24"/>
        </w:rPr>
      </w:pPr>
      <w:r>
        <w:rPr>
          <w:rFonts w:ascii="Times New Roman" w:hAnsi="Times New Roman" w:cs="Times New Roman"/>
          <w:sz w:val="24"/>
          <w:szCs w:val="24"/>
        </w:rPr>
        <w:t>What is the size of your company?</w:t>
      </w:r>
    </w:p>
    <w:p w14:paraId="258FFE2B">
      <w:pPr>
        <w:numPr>
          <w:ilvl w:val="1"/>
          <w:numId w:val="13"/>
        </w:numPr>
        <w:rPr>
          <w:rFonts w:ascii="Times New Roman" w:hAnsi="Times New Roman" w:cs="Times New Roman"/>
          <w:sz w:val="24"/>
          <w:szCs w:val="24"/>
        </w:rPr>
      </w:pPr>
      <w:r>
        <w:rPr>
          <w:rFonts w:ascii="Times New Roman" w:hAnsi="Times New Roman" w:cs="Times New Roman"/>
          <w:sz w:val="24"/>
          <w:szCs w:val="24"/>
        </w:rPr>
        <w:t>(a) Small (1–49 employees)</w:t>
      </w:r>
    </w:p>
    <w:p w14:paraId="201674FD">
      <w:pPr>
        <w:numPr>
          <w:ilvl w:val="1"/>
          <w:numId w:val="13"/>
        </w:numPr>
        <w:rPr>
          <w:rFonts w:ascii="Times New Roman" w:hAnsi="Times New Roman" w:cs="Times New Roman"/>
          <w:sz w:val="24"/>
          <w:szCs w:val="24"/>
        </w:rPr>
      </w:pPr>
      <w:r>
        <w:rPr>
          <w:rFonts w:ascii="Times New Roman" w:hAnsi="Times New Roman" w:cs="Times New Roman"/>
          <w:sz w:val="24"/>
          <w:szCs w:val="24"/>
        </w:rPr>
        <w:t>(b) Medium (50–249 employees)</w:t>
      </w:r>
    </w:p>
    <w:p w14:paraId="1892DEB0">
      <w:pPr>
        <w:numPr>
          <w:ilvl w:val="1"/>
          <w:numId w:val="13"/>
        </w:numPr>
        <w:rPr>
          <w:rFonts w:ascii="Times New Roman" w:hAnsi="Times New Roman" w:cs="Times New Roman"/>
          <w:sz w:val="24"/>
          <w:szCs w:val="24"/>
        </w:rPr>
      </w:pPr>
      <w:r>
        <w:rPr>
          <w:rFonts w:ascii="Times New Roman" w:hAnsi="Times New Roman" w:cs="Times New Roman"/>
          <w:sz w:val="24"/>
          <w:szCs w:val="24"/>
        </w:rPr>
        <w:t>(c) Large (250+ employees)</w:t>
      </w:r>
    </w:p>
    <w:p w14:paraId="4926E677">
      <w:pPr>
        <w:numPr>
          <w:ilvl w:val="0"/>
          <w:numId w:val="13"/>
        </w:numPr>
        <w:rPr>
          <w:rFonts w:ascii="Times New Roman" w:hAnsi="Times New Roman" w:cs="Times New Roman"/>
          <w:sz w:val="24"/>
          <w:szCs w:val="24"/>
        </w:rPr>
      </w:pPr>
      <w:r>
        <w:rPr>
          <w:rFonts w:ascii="Times New Roman" w:hAnsi="Times New Roman" w:cs="Times New Roman"/>
          <w:sz w:val="24"/>
          <w:szCs w:val="24"/>
        </w:rPr>
        <w:t xml:space="preserve">Which retail segment does your company primarily operate in? </w:t>
      </w:r>
    </w:p>
    <w:p w14:paraId="1F3D35DB">
      <w:pPr>
        <w:numPr>
          <w:ilvl w:val="0"/>
          <w:numId w:val="13"/>
        </w:numPr>
        <w:rPr>
          <w:rFonts w:ascii="Times New Roman" w:hAnsi="Times New Roman" w:cs="Times New Roman"/>
          <w:sz w:val="24"/>
          <w:szCs w:val="24"/>
        </w:rPr>
      </w:pPr>
      <w:r>
        <w:rPr>
          <w:rFonts w:ascii="Times New Roman" w:hAnsi="Times New Roman" w:cs="Times New Roman"/>
          <w:sz w:val="24"/>
          <w:szCs w:val="24"/>
        </w:rPr>
        <w:t>Does your company have a formal sustainability policy or strategy?</w:t>
      </w:r>
    </w:p>
    <w:p w14:paraId="0A47D9D2">
      <w:pPr>
        <w:numPr>
          <w:ilvl w:val="1"/>
          <w:numId w:val="13"/>
        </w:numPr>
        <w:rPr>
          <w:rFonts w:ascii="Times New Roman" w:hAnsi="Times New Roman" w:cs="Times New Roman"/>
          <w:sz w:val="24"/>
          <w:szCs w:val="24"/>
        </w:rPr>
      </w:pPr>
      <w:r>
        <w:rPr>
          <w:rFonts w:ascii="Times New Roman" w:hAnsi="Times New Roman" w:cs="Times New Roman"/>
          <w:sz w:val="24"/>
          <w:szCs w:val="24"/>
        </w:rPr>
        <w:t>(a) Yes</w:t>
      </w:r>
    </w:p>
    <w:p w14:paraId="017BF6CE">
      <w:pPr>
        <w:numPr>
          <w:ilvl w:val="1"/>
          <w:numId w:val="13"/>
        </w:numPr>
        <w:rPr>
          <w:rFonts w:ascii="Times New Roman" w:hAnsi="Times New Roman" w:cs="Times New Roman"/>
          <w:sz w:val="24"/>
          <w:szCs w:val="24"/>
        </w:rPr>
      </w:pPr>
      <w:r>
        <w:rPr>
          <w:rFonts w:ascii="Times New Roman" w:hAnsi="Times New Roman" w:cs="Times New Roman"/>
          <w:sz w:val="24"/>
          <w:szCs w:val="24"/>
        </w:rPr>
        <w:t>(b) No</w:t>
      </w:r>
    </w:p>
    <w:p w14:paraId="0BB7E214">
      <w:pPr>
        <w:numPr>
          <w:ilvl w:val="1"/>
          <w:numId w:val="13"/>
        </w:numPr>
        <w:rPr>
          <w:rFonts w:ascii="Times New Roman" w:hAnsi="Times New Roman" w:cs="Times New Roman"/>
          <w:sz w:val="24"/>
          <w:szCs w:val="24"/>
        </w:rPr>
      </w:pPr>
      <w:r>
        <w:rPr>
          <w:rFonts w:ascii="Times New Roman" w:hAnsi="Times New Roman" w:cs="Times New Roman"/>
          <w:sz w:val="24"/>
          <w:szCs w:val="24"/>
        </w:rPr>
        <w:t>(c) In development</w:t>
      </w:r>
    </w:p>
    <w:p w14:paraId="258922CA">
      <w:pPr>
        <w:numPr>
          <w:ilvl w:val="0"/>
          <w:numId w:val="14"/>
        </w:numPr>
        <w:rPr>
          <w:rFonts w:ascii="Times New Roman" w:hAnsi="Times New Roman" w:cs="Times New Roman"/>
          <w:sz w:val="24"/>
          <w:szCs w:val="24"/>
        </w:rPr>
      </w:pPr>
      <w:r>
        <w:rPr>
          <w:rFonts w:ascii="Times New Roman" w:hAnsi="Times New Roman" w:cs="Times New Roman"/>
          <w:sz w:val="24"/>
          <w:szCs w:val="24"/>
        </w:rPr>
        <w:t xml:space="preserve">How important do you believe sustainability is for the long-term success of your organization? </w:t>
      </w:r>
    </w:p>
    <w:p w14:paraId="19085615">
      <w:pPr>
        <w:numPr>
          <w:ilvl w:val="0"/>
          <w:numId w:val="14"/>
        </w:numPr>
        <w:rPr>
          <w:rFonts w:ascii="Times New Roman" w:hAnsi="Times New Roman" w:cs="Times New Roman"/>
          <w:sz w:val="24"/>
          <w:szCs w:val="24"/>
        </w:rPr>
      </w:pPr>
      <w:r>
        <w:rPr>
          <w:rFonts w:ascii="Times New Roman" w:hAnsi="Times New Roman" w:cs="Times New Roman"/>
          <w:sz w:val="24"/>
          <w:szCs w:val="24"/>
        </w:rPr>
        <w:t>How well do you understand sustainability concepts (e.g., environmental, social, and governance aspects)?</w:t>
      </w:r>
    </w:p>
    <w:p w14:paraId="6FDB2E08">
      <w:pPr>
        <w:numPr>
          <w:ilvl w:val="0"/>
          <w:numId w:val="14"/>
        </w:numPr>
        <w:rPr>
          <w:rFonts w:ascii="Times New Roman" w:hAnsi="Times New Roman" w:cs="Times New Roman"/>
          <w:sz w:val="24"/>
          <w:szCs w:val="24"/>
        </w:rPr>
      </w:pPr>
      <w:r>
        <w:rPr>
          <w:rFonts w:ascii="Times New Roman" w:hAnsi="Times New Roman" w:cs="Times New Roman"/>
          <w:sz w:val="24"/>
          <w:szCs w:val="24"/>
        </w:rPr>
        <w:t>To what extent do you agree that sustainability is a key driver of innovation in retail?</w:t>
      </w:r>
    </w:p>
    <w:p w14:paraId="4681D0E8">
      <w:pPr>
        <w:numPr>
          <w:ilvl w:val="0"/>
          <w:numId w:val="14"/>
        </w:numPr>
        <w:rPr>
          <w:rFonts w:ascii="Times New Roman" w:hAnsi="Times New Roman" w:cs="Times New Roman"/>
          <w:sz w:val="24"/>
          <w:szCs w:val="24"/>
        </w:rPr>
      </w:pPr>
      <w:r>
        <w:rPr>
          <w:rFonts w:ascii="Times New Roman" w:hAnsi="Times New Roman" w:cs="Times New Roman"/>
          <w:sz w:val="24"/>
          <w:szCs w:val="24"/>
        </w:rPr>
        <w:t>How would you describe your organization’s approach to sustainability compared to competitors?</w:t>
      </w:r>
    </w:p>
    <w:p w14:paraId="7D38329D">
      <w:pPr>
        <w:numPr>
          <w:ilvl w:val="1"/>
          <w:numId w:val="14"/>
        </w:numPr>
        <w:rPr>
          <w:rFonts w:ascii="Times New Roman" w:hAnsi="Times New Roman" w:cs="Times New Roman"/>
          <w:sz w:val="24"/>
          <w:szCs w:val="24"/>
        </w:rPr>
      </w:pPr>
      <w:r>
        <w:rPr>
          <w:rFonts w:ascii="Times New Roman" w:hAnsi="Times New Roman" w:cs="Times New Roman"/>
          <w:sz w:val="24"/>
          <w:szCs w:val="24"/>
        </w:rPr>
        <w:t>(a) Leading</w:t>
      </w:r>
    </w:p>
    <w:p w14:paraId="6FFAA52C">
      <w:pPr>
        <w:numPr>
          <w:ilvl w:val="1"/>
          <w:numId w:val="14"/>
        </w:numPr>
        <w:rPr>
          <w:rFonts w:ascii="Times New Roman" w:hAnsi="Times New Roman" w:cs="Times New Roman"/>
          <w:sz w:val="24"/>
          <w:szCs w:val="24"/>
        </w:rPr>
      </w:pPr>
      <w:r>
        <w:rPr>
          <w:rFonts w:ascii="Times New Roman" w:hAnsi="Times New Roman" w:cs="Times New Roman"/>
          <w:sz w:val="24"/>
          <w:szCs w:val="24"/>
        </w:rPr>
        <w:t>(b) Average</w:t>
      </w:r>
    </w:p>
    <w:p w14:paraId="7D9F77CD">
      <w:pPr>
        <w:numPr>
          <w:ilvl w:val="1"/>
          <w:numId w:val="14"/>
        </w:numPr>
        <w:rPr>
          <w:rFonts w:ascii="Times New Roman" w:hAnsi="Times New Roman" w:cs="Times New Roman"/>
          <w:sz w:val="24"/>
          <w:szCs w:val="24"/>
        </w:rPr>
      </w:pPr>
      <w:r>
        <w:rPr>
          <w:rFonts w:ascii="Times New Roman" w:hAnsi="Times New Roman" w:cs="Times New Roman"/>
          <w:sz w:val="24"/>
          <w:szCs w:val="24"/>
        </w:rPr>
        <w:t>(c) Lagging behind</w:t>
      </w:r>
    </w:p>
    <w:p w14:paraId="69C3E630">
      <w:pPr>
        <w:numPr>
          <w:ilvl w:val="0"/>
          <w:numId w:val="14"/>
        </w:numPr>
        <w:rPr>
          <w:rFonts w:ascii="Times New Roman" w:hAnsi="Times New Roman" w:cs="Times New Roman"/>
          <w:sz w:val="24"/>
          <w:szCs w:val="24"/>
        </w:rPr>
      </w:pPr>
      <w:r>
        <w:rPr>
          <w:rFonts w:ascii="Times New Roman" w:hAnsi="Times New Roman" w:cs="Times New Roman"/>
          <w:sz w:val="24"/>
          <w:szCs w:val="24"/>
        </w:rPr>
        <w:t>In your opinion, what motivates your organization to adopt sustainable practices? (Select all that apply)</w:t>
      </w:r>
    </w:p>
    <w:p w14:paraId="1B629CE0">
      <w:pPr>
        <w:numPr>
          <w:ilvl w:val="0"/>
          <w:numId w:val="15"/>
        </w:numPr>
        <w:rPr>
          <w:rFonts w:ascii="Times New Roman" w:hAnsi="Times New Roman" w:cs="Times New Roman"/>
          <w:sz w:val="24"/>
          <w:szCs w:val="24"/>
        </w:rPr>
      </w:pPr>
      <w:r>
        <w:rPr>
          <w:rFonts w:ascii="Times New Roman" w:hAnsi="Times New Roman" w:cs="Times New Roman"/>
          <w:sz w:val="24"/>
          <w:szCs w:val="24"/>
        </w:rPr>
        <w:t>Customer expectations</w:t>
      </w:r>
    </w:p>
    <w:p w14:paraId="31290442">
      <w:pPr>
        <w:numPr>
          <w:ilvl w:val="0"/>
          <w:numId w:val="15"/>
        </w:numPr>
        <w:rPr>
          <w:rFonts w:ascii="Times New Roman" w:hAnsi="Times New Roman" w:cs="Times New Roman"/>
          <w:sz w:val="24"/>
          <w:szCs w:val="24"/>
        </w:rPr>
      </w:pPr>
      <w:r>
        <w:rPr>
          <w:rFonts w:ascii="Times New Roman" w:hAnsi="Times New Roman" w:cs="Times New Roman"/>
          <w:sz w:val="24"/>
          <w:szCs w:val="24"/>
        </w:rPr>
        <w:t>Government regulations</w:t>
      </w:r>
    </w:p>
    <w:p w14:paraId="0D952B60">
      <w:pPr>
        <w:numPr>
          <w:ilvl w:val="0"/>
          <w:numId w:val="15"/>
        </w:numPr>
        <w:rPr>
          <w:rFonts w:ascii="Times New Roman" w:hAnsi="Times New Roman" w:cs="Times New Roman"/>
          <w:sz w:val="24"/>
          <w:szCs w:val="24"/>
        </w:rPr>
      </w:pPr>
      <w:r>
        <w:rPr>
          <w:rFonts w:ascii="Times New Roman" w:hAnsi="Times New Roman" w:cs="Times New Roman"/>
          <w:sz w:val="24"/>
          <w:szCs w:val="24"/>
        </w:rPr>
        <w:t>Corporate values</w:t>
      </w:r>
    </w:p>
    <w:p w14:paraId="2EADBBB9">
      <w:pPr>
        <w:numPr>
          <w:ilvl w:val="0"/>
          <w:numId w:val="15"/>
        </w:numPr>
        <w:rPr>
          <w:rFonts w:ascii="Times New Roman" w:hAnsi="Times New Roman" w:cs="Times New Roman"/>
          <w:sz w:val="24"/>
          <w:szCs w:val="24"/>
        </w:rPr>
      </w:pPr>
      <w:r>
        <w:rPr>
          <w:rFonts w:ascii="Times New Roman" w:hAnsi="Times New Roman" w:cs="Times New Roman"/>
          <w:sz w:val="24"/>
          <w:szCs w:val="24"/>
        </w:rPr>
        <w:t>Cost savings</w:t>
      </w:r>
    </w:p>
    <w:p w14:paraId="2BF282E4">
      <w:pPr>
        <w:numPr>
          <w:ilvl w:val="0"/>
          <w:numId w:val="15"/>
        </w:numPr>
        <w:rPr>
          <w:rFonts w:ascii="Times New Roman" w:hAnsi="Times New Roman" w:cs="Times New Roman"/>
          <w:sz w:val="24"/>
          <w:szCs w:val="24"/>
        </w:rPr>
      </w:pPr>
      <w:r>
        <w:rPr>
          <w:rFonts w:ascii="Times New Roman" w:hAnsi="Times New Roman" w:cs="Times New Roman"/>
          <w:sz w:val="24"/>
          <w:szCs w:val="24"/>
        </w:rPr>
        <w:t>Competitive advantage</w:t>
      </w:r>
    </w:p>
    <w:p w14:paraId="1BC4158B">
      <w:pPr>
        <w:pStyle w:val="24"/>
        <w:numPr>
          <w:ilvl w:val="0"/>
          <w:numId w:val="16"/>
        </w:numPr>
        <w:rPr>
          <w:rFonts w:ascii="Times New Roman" w:hAnsi="Times New Roman" w:cs="Times New Roman"/>
          <w:sz w:val="24"/>
          <w:szCs w:val="24"/>
        </w:rPr>
      </w:pPr>
      <w:r>
        <w:rPr>
          <w:rFonts w:ascii="Times New Roman" w:hAnsi="Times New Roman" w:cs="Times New Roman"/>
          <w:sz w:val="24"/>
          <w:szCs w:val="24"/>
        </w:rPr>
        <w:t>How frequently is sustainability discussed during strategic planning or board meetings?</w:t>
      </w:r>
    </w:p>
    <w:p w14:paraId="4C7B285F">
      <w:pPr>
        <w:numPr>
          <w:ilvl w:val="0"/>
          <w:numId w:val="16"/>
        </w:numPr>
        <w:rPr>
          <w:rFonts w:ascii="Times New Roman" w:hAnsi="Times New Roman" w:cs="Times New Roman"/>
          <w:sz w:val="24"/>
          <w:szCs w:val="24"/>
        </w:rPr>
      </w:pPr>
      <w:r>
        <w:rPr>
          <w:rFonts w:ascii="Times New Roman" w:hAnsi="Times New Roman" w:cs="Times New Roman"/>
          <w:sz w:val="24"/>
          <w:szCs w:val="24"/>
        </w:rPr>
        <w:t>To what extent are sustainability goals integrated into your organization’s overall business strategy?</w:t>
      </w:r>
    </w:p>
    <w:p w14:paraId="2BC8AB2A">
      <w:pPr>
        <w:numPr>
          <w:ilvl w:val="0"/>
          <w:numId w:val="16"/>
        </w:numPr>
        <w:rPr>
          <w:rFonts w:ascii="Times New Roman" w:hAnsi="Times New Roman" w:cs="Times New Roman"/>
          <w:sz w:val="24"/>
          <w:szCs w:val="24"/>
        </w:rPr>
      </w:pPr>
      <w:r>
        <w:rPr>
          <w:rFonts w:ascii="Times New Roman" w:hAnsi="Times New Roman" w:cs="Times New Roman"/>
          <w:sz w:val="24"/>
          <w:szCs w:val="24"/>
        </w:rPr>
        <w:t>Who primarily influences sustainability-related decisions in your company?</w:t>
      </w:r>
    </w:p>
    <w:p w14:paraId="4C5B3E41">
      <w:pPr>
        <w:numPr>
          <w:ilvl w:val="0"/>
          <w:numId w:val="17"/>
        </w:numPr>
        <w:rPr>
          <w:rFonts w:ascii="Times New Roman" w:hAnsi="Times New Roman" w:cs="Times New Roman"/>
          <w:sz w:val="24"/>
          <w:szCs w:val="24"/>
        </w:rPr>
      </w:pPr>
      <w:r>
        <w:rPr>
          <w:rFonts w:ascii="Times New Roman" w:hAnsi="Times New Roman" w:cs="Times New Roman"/>
          <w:sz w:val="24"/>
          <w:szCs w:val="24"/>
        </w:rPr>
        <w:t>(a) Senior management</w:t>
      </w:r>
    </w:p>
    <w:p w14:paraId="63700ED7">
      <w:pPr>
        <w:numPr>
          <w:ilvl w:val="0"/>
          <w:numId w:val="17"/>
        </w:numPr>
        <w:rPr>
          <w:rFonts w:ascii="Times New Roman" w:hAnsi="Times New Roman" w:cs="Times New Roman"/>
          <w:sz w:val="24"/>
          <w:szCs w:val="24"/>
        </w:rPr>
      </w:pPr>
      <w:r>
        <w:rPr>
          <w:rFonts w:ascii="Times New Roman" w:hAnsi="Times New Roman" w:cs="Times New Roman"/>
          <w:sz w:val="24"/>
          <w:szCs w:val="24"/>
        </w:rPr>
        <w:t>(b) Sustainability team</w:t>
      </w:r>
    </w:p>
    <w:p w14:paraId="5CF63608">
      <w:pPr>
        <w:numPr>
          <w:ilvl w:val="0"/>
          <w:numId w:val="17"/>
        </w:numPr>
        <w:rPr>
          <w:rFonts w:ascii="Times New Roman" w:hAnsi="Times New Roman" w:cs="Times New Roman"/>
          <w:sz w:val="24"/>
          <w:szCs w:val="24"/>
        </w:rPr>
      </w:pPr>
      <w:r>
        <w:rPr>
          <w:rFonts w:ascii="Times New Roman" w:hAnsi="Times New Roman" w:cs="Times New Roman"/>
          <w:sz w:val="24"/>
          <w:szCs w:val="24"/>
        </w:rPr>
        <w:t>(c) Operations department</w:t>
      </w:r>
    </w:p>
    <w:p w14:paraId="6C83A845">
      <w:pPr>
        <w:numPr>
          <w:ilvl w:val="0"/>
          <w:numId w:val="17"/>
        </w:numPr>
        <w:rPr>
          <w:rFonts w:ascii="Times New Roman" w:hAnsi="Times New Roman" w:cs="Times New Roman"/>
          <w:sz w:val="24"/>
          <w:szCs w:val="24"/>
        </w:rPr>
      </w:pPr>
      <w:r>
        <w:rPr>
          <w:rFonts w:ascii="Times New Roman" w:hAnsi="Times New Roman" w:cs="Times New Roman"/>
          <w:sz w:val="24"/>
          <w:szCs w:val="24"/>
        </w:rPr>
        <w:t>(d) External stakeholders</w:t>
      </w:r>
    </w:p>
    <w:p w14:paraId="11DB5754">
      <w:pPr>
        <w:pStyle w:val="24"/>
        <w:numPr>
          <w:ilvl w:val="0"/>
          <w:numId w:val="16"/>
        </w:numPr>
        <w:rPr>
          <w:rFonts w:ascii="Times New Roman" w:hAnsi="Times New Roman" w:cs="Times New Roman"/>
          <w:sz w:val="24"/>
          <w:szCs w:val="24"/>
        </w:rPr>
      </w:pPr>
      <w:r>
        <w:rPr>
          <w:rFonts w:ascii="Times New Roman" w:hAnsi="Times New Roman" w:cs="Times New Roman"/>
          <w:sz w:val="24"/>
          <w:szCs w:val="24"/>
        </w:rPr>
        <w:t>How do you evaluate the impact of sustainability initiatives on business performance?</w:t>
      </w:r>
    </w:p>
    <w:p w14:paraId="26B1F986">
      <w:pPr>
        <w:pStyle w:val="24"/>
        <w:numPr>
          <w:ilvl w:val="0"/>
          <w:numId w:val="16"/>
        </w:numPr>
        <w:rPr>
          <w:rFonts w:ascii="Times New Roman" w:hAnsi="Times New Roman" w:cs="Times New Roman"/>
          <w:sz w:val="24"/>
          <w:szCs w:val="24"/>
        </w:rPr>
      </w:pPr>
      <w:r>
        <w:rPr>
          <w:rFonts w:ascii="Times New Roman" w:hAnsi="Times New Roman" w:cs="Times New Roman"/>
          <w:sz w:val="24"/>
          <w:szCs w:val="24"/>
        </w:rPr>
        <w:t>Has your organization set measurable sustainability targets ?</w:t>
      </w:r>
    </w:p>
    <w:p w14:paraId="14BE5283">
      <w:pPr>
        <w:numPr>
          <w:ilvl w:val="0"/>
          <w:numId w:val="16"/>
        </w:numPr>
        <w:rPr>
          <w:rFonts w:ascii="Times New Roman" w:hAnsi="Times New Roman" w:cs="Times New Roman"/>
          <w:sz w:val="24"/>
          <w:szCs w:val="24"/>
        </w:rPr>
      </w:pPr>
      <w:r>
        <w:rPr>
          <w:rFonts w:ascii="Times New Roman" w:hAnsi="Times New Roman" w:cs="Times New Roman"/>
          <w:sz w:val="24"/>
          <w:szCs w:val="24"/>
        </w:rPr>
        <w:t>How often do sustainability considerations override short-term financial goals in decision-making?</w:t>
      </w:r>
    </w:p>
    <w:p w14:paraId="5198F72B">
      <w:pPr>
        <w:pStyle w:val="24"/>
        <w:numPr>
          <w:ilvl w:val="0"/>
          <w:numId w:val="16"/>
        </w:numPr>
        <w:rPr>
          <w:rFonts w:ascii="Times New Roman" w:hAnsi="Times New Roman" w:cs="Times New Roman"/>
          <w:sz w:val="24"/>
          <w:szCs w:val="24"/>
        </w:rPr>
      </w:pPr>
      <w:r>
        <w:rPr>
          <w:rFonts w:ascii="Times New Roman" w:hAnsi="Times New Roman" w:cs="Times New Roman"/>
          <w:sz w:val="24"/>
          <w:szCs w:val="24"/>
        </w:rPr>
        <w:t>What are the biggest challenges in implementing sustainability in strategic decisions?</w:t>
      </w:r>
    </w:p>
    <w:p w14:paraId="744F1884">
      <w:pPr>
        <w:numPr>
          <w:ilvl w:val="0"/>
          <w:numId w:val="18"/>
        </w:numPr>
        <w:rPr>
          <w:rFonts w:ascii="Times New Roman" w:hAnsi="Times New Roman" w:cs="Times New Roman"/>
          <w:sz w:val="24"/>
          <w:szCs w:val="24"/>
        </w:rPr>
      </w:pPr>
      <w:r>
        <w:rPr>
          <w:rFonts w:ascii="Times New Roman" w:hAnsi="Times New Roman" w:cs="Times New Roman"/>
          <w:sz w:val="24"/>
          <w:szCs w:val="24"/>
        </w:rPr>
        <w:t>Lack of resources</w:t>
      </w:r>
    </w:p>
    <w:p w14:paraId="196C6F60">
      <w:pPr>
        <w:numPr>
          <w:ilvl w:val="0"/>
          <w:numId w:val="18"/>
        </w:numPr>
        <w:rPr>
          <w:rFonts w:ascii="Times New Roman" w:hAnsi="Times New Roman" w:cs="Times New Roman"/>
          <w:sz w:val="24"/>
          <w:szCs w:val="24"/>
        </w:rPr>
      </w:pPr>
      <w:r>
        <w:rPr>
          <w:rFonts w:ascii="Times New Roman" w:hAnsi="Times New Roman" w:cs="Times New Roman"/>
          <w:sz w:val="24"/>
          <w:szCs w:val="24"/>
        </w:rPr>
        <w:t>Limited management support</w:t>
      </w:r>
    </w:p>
    <w:p w14:paraId="6FF96D3F">
      <w:pPr>
        <w:numPr>
          <w:ilvl w:val="0"/>
          <w:numId w:val="18"/>
        </w:numPr>
        <w:rPr>
          <w:rFonts w:ascii="Times New Roman" w:hAnsi="Times New Roman" w:cs="Times New Roman"/>
          <w:sz w:val="24"/>
          <w:szCs w:val="24"/>
        </w:rPr>
      </w:pPr>
      <w:r>
        <w:rPr>
          <w:rFonts w:ascii="Times New Roman" w:hAnsi="Times New Roman" w:cs="Times New Roman"/>
          <w:sz w:val="24"/>
          <w:szCs w:val="24"/>
        </w:rPr>
        <w:t>Cost implications</w:t>
      </w:r>
    </w:p>
    <w:p w14:paraId="4EE0ECA4">
      <w:pPr>
        <w:numPr>
          <w:ilvl w:val="0"/>
          <w:numId w:val="18"/>
        </w:numPr>
        <w:rPr>
          <w:rFonts w:ascii="Times New Roman" w:hAnsi="Times New Roman" w:cs="Times New Roman"/>
          <w:sz w:val="24"/>
          <w:szCs w:val="24"/>
        </w:rPr>
      </w:pPr>
      <w:r>
        <w:rPr>
          <w:rFonts w:ascii="Times New Roman" w:hAnsi="Times New Roman" w:cs="Times New Roman"/>
          <w:sz w:val="24"/>
          <w:szCs w:val="24"/>
        </w:rPr>
        <w:t>Lack of expertise</w:t>
      </w:r>
    </w:p>
    <w:p w14:paraId="25E33901">
      <w:pPr>
        <w:numPr>
          <w:ilvl w:val="0"/>
          <w:numId w:val="18"/>
        </w:numPr>
        <w:rPr>
          <w:rFonts w:ascii="Times New Roman" w:hAnsi="Times New Roman" w:cs="Times New Roman"/>
          <w:sz w:val="24"/>
          <w:szCs w:val="24"/>
        </w:rPr>
      </w:pPr>
      <w:r>
        <w:rPr>
          <w:rFonts w:ascii="Times New Roman" w:hAnsi="Times New Roman" w:cs="Times New Roman"/>
          <w:sz w:val="24"/>
          <w:szCs w:val="24"/>
        </w:rPr>
        <w:t>Difficulty measuring outcomes</w:t>
      </w:r>
    </w:p>
    <w:p w14:paraId="190EA4A5">
      <w:pPr>
        <w:ind w:left="360"/>
        <w:rPr>
          <w:rFonts w:ascii="Times New Roman" w:hAnsi="Times New Roman" w:cs="Times New Roman"/>
          <w:sz w:val="24"/>
          <w:szCs w:val="24"/>
        </w:rPr>
      </w:pPr>
      <w:r>
        <w:rPr>
          <w:rFonts w:ascii="Times New Roman" w:hAnsi="Times New Roman" w:cs="Times New Roman"/>
          <w:sz w:val="24"/>
          <w:szCs w:val="24"/>
        </w:rPr>
        <w:t>18. How significant are financial constraints in limiting your company’s sustainability efforts?</w:t>
      </w:r>
    </w:p>
    <w:p w14:paraId="61CF1A24">
      <w:pPr>
        <w:rPr>
          <w:rFonts w:ascii="Times New Roman" w:hAnsi="Times New Roman" w:cs="Times New Roman"/>
          <w:sz w:val="24"/>
          <w:szCs w:val="24"/>
        </w:rPr>
      </w:pPr>
      <w:r>
        <w:rPr>
          <w:rFonts w:ascii="Times New Roman" w:hAnsi="Times New Roman" w:cs="Times New Roman"/>
          <w:sz w:val="24"/>
          <w:szCs w:val="24"/>
        </w:rPr>
        <w:t xml:space="preserve">        19. How do supply chain partners affect your company’s ability to achieve sustainability goals?</w:t>
      </w:r>
    </w:p>
    <w:p w14:paraId="4304ABC2">
      <w:pPr>
        <w:ind w:left="360"/>
        <w:rPr>
          <w:rFonts w:ascii="Times New Roman" w:hAnsi="Times New Roman" w:cs="Times New Roman"/>
          <w:sz w:val="24"/>
          <w:szCs w:val="24"/>
        </w:rPr>
      </w:pPr>
      <w:r>
        <w:rPr>
          <w:rFonts w:ascii="Times New Roman" w:hAnsi="Times New Roman" w:cs="Times New Roman"/>
          <w:sz w:val="24"/>
          <w:szCs w:val="24"/>
        </w:rPr>
        <w:t xml:space="preserve">20. Do you believe sustainability initiatives add unnecessary complexity to business operations? </w:t>
      </w:r>
    </w:p>
    <w:p w14:paraId="3A1C23D3">
      <w:pPr>
        <w:ind w:left="360"/>
        <w:rPr>
          <w:rFonts w:ascii="Times New Roman" w:hAnsi="Times New Roman" w:cs="Times New Roman"/>
          <w:sz w:val="24"/>
          <w:szCs w:val="24"/>
        </w:rPr>
      </w:pPr>
      <w:r>
        <w:rPr>
          <w:rFonts w:ascii="Times New Roman" w:hAnsi="Times New Roman" w:cs="Times New Roman"/>
          <w:sz w:val="24"/>
          <w:szCs w:val="24"/>
        </w:rPr>
        <w:t>21. How has the integration of sustainability affected your company’s brand image?</w:t>
      </w:r>
    </w:p>
    <w:p w14:paraId="64971830">
      <w:pPr>
        <w:ind w:left="360"/>
        <w:rPr>
          <w:rFonts w:ascii="Times New Roman" w:hAnsi="Times New Roman" w:cs="Times New Roman"/>
          <w:sz w:val="24"/>
          <w:szCs w:val="24"/>
        </w:rPr>
      </w:pPr>
      <w:r>
        <w:rPr>
          <w:rFonts w:ascii="Times New Roman" w:hAnsi="Times New Roman" w:cs="Times New Roman"/>
          <w:sz w:val="24"/>
          <w:szCs w:val="24"/>
        </w:rPr>
        <w:t>22. Have sustainability initiatives led to measurable improvements in financial performance or efficiency?</w:t>
      </w:r>
    </w:p>
    <w:p w14:paraId="1387CEAB">
      <w:pPr>
        <w:ind w:left="360"/>
        <w:rPr>
          <w:rFonts w:ascii="Times New Roman" w:hAnsi="Times New Roman" w:cs="Times New Roman"/>
          <w:sz w:val="24"/>
          <w:szCs w:val="24"/>
        </w:rPr>
      </w:pPr>
      <w:r>
        <w:rPr>
          <w:rFonts w:ascii="Times New Roman" w:hAnsi="Times New Roman" w:cs="Times New Roman"/>
          <w:sz w:val="24"/>
          <w:szCs w:val="24"/>
        </w:rPr>
        <w:t>23. How do customers respond to your company’s sustainability initiatives?</w:t>
      </w:r>
    </w:p>
    <w:p w14:paraId="5C1038CE">
      <w:pPr>
        <w:ind w:left="360"/>
        <w:rPr>
          <w:rFonts w:ascii="Times New Roman" w:hAnsi="Times New Roman" w:cs="Times New Roman"/>
          <w:sz w:val="24"/>
          <w:szCs w:val="24"/>
        </w:rPr>
      </w:pPr>
      <w:r>
        <w:rPr>
          <w:rFonts w:ascii="Times New Roman" w:hAnsi="Times New Roman" w:cs="Times New Roman"/>
          <w:sz w:val="24"/>
          <w:szCs w:val="24"/>
        </w:rPr>
        <w:t>24. What areas of sustainability do you expect to prioritize in the next 3–5 years?</w:t>
      </w:r>
    </w:p>
    <w:p w14:paraId="756029FF">
      <w:pPr>
        <w:ind w:left="360"/>
        <w:rPr>
          <w:rFonts w:ascii="Times New Roman" w:hAnsi="Times New Roman" w:cs="Times New Roman"/>
          <w:sz w:val="24"/>
          <w:szCs w:val="24"/>
        </w:rPr>
      </w:pPr>
      <w:r>
        <w:rPr>
          <w:rFonts w:ascii="Times New Roman" w:hAnsi="Times New Roman" w:cs="Times New Roman"/>
          <w:sz w:val="24"/>
          <w:szCs w:val="24"/>
        </w:rPr>
        <w:t>25. What support or policy changes would help retail managers better integrate sustainability into strategic decisions?</w:t>
      </w:r>
    </w:p>
    <w:p w14:paraId="6D11B9AC">
      <w:pPr>
        <w:rPr>
          <w:rFonts w:ascii="Times New Roman" w:hAnsi="Times New Roman" w:cs="Times New Roman"/>
          <w:sz w:val="24"/>
          <w:szCs w:val="24"/>
        </w:rPr>
      </w:pPr>
    </w:p>
    <w:p w14:paraId="763A6106">
      <w:pPr>
        <w:numPr>
          <w:ilvl w:val="0"/>
          <w:numId w:val="0"/>
        </w:numPr>
        <w:rPr>
          <w:rFonts w:hint="default"/>
          <w:b/>
          <w:bCs/>
          <w:lang w:val="en-GB"/>
        </w:rPr>
      </w:pPr>
    </w:p>
    <w:sectPr>
      <w:headerReference r:id="rId7" w:type="first"/>
      <w:footerReference r:id="rId10" w:type="first"/>
      <w:headerReference r:id="rId5" w:type="default"/>
      <w:footerReference r:id="rId8" w:type="default"/>
      <w:headerReference r:id="rId6" w:type="even"/>
      <w:footerReference r:id="rId9" w:type="even"/>
      <w:pgSz w:w="11906" w:h="16838"/>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72000FB8-CC0D-4760-88BF-BB08965F7FAC}"/>
  </w:font>
  <w:font w:name="Arial">
    <w:panose1 w:val="020B0604020202020204"/>
    <w:charset w:val="00"/>
    <w:family w:val="swiss"/>
    <w:pitch w:val="default"/>
    <w:sig w:usb0="E0002EFF" w:usb1="C000785B" w:usb2="00000009" w:usb3="00000000" w:csb0="400001FF" w:csb1="FFFF0000"/>
    <w:embedRegular r:id="rId2" w:fontKey="{956D4642-45A2-4960-8F5A-FAEE4CA43B14}"/>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3629B880-3A35-40E5-9050-FA288DCE829D}"/>
  </w:font>
  <w:font w:name="Wingdings">
    <w:panose1 w:val="05000000000000000000"/>
    <w:charset w:val="02"/>
    <w:family w:val="auto"/>
    <w:pitch w:val="default"/>
    <w:sig w:usb0="00000000" w:usb1="00000000" w:usb2="00000000" w:usb3="00000000" w:csb0="80000000" w:csb1="00000000"/>
    <w:embedRegular r:id="rId4" w:fontKey="{54B04017-4CA0-4982-849E-06E41259F459}"/>
  </w:font>
  <w:font w:name="Calibri">
    <w:panose1 w:val="020F0502020204030204"/>
    <w:charset w:val="00"/>
    <w:family w:val="swiss"/>
    <w:pitch w:val="default"/>
    <w:sig w:usb0="E4002EFF" w:usb1="C200247B" w:usb2="00000009" w:usb3="00000000" w:csb0="200001FF" w:csb1="00000000"/>
    <w:embedRegular r:id="rId5" w:fontKey="{0C71EB9F-3344-4E98-A95F-9B1601AF2F29}"/>
  </w:font>
  <w:font w:name="等线">
    <w:altName w:val="Microsoft YaHei"/>
    <w:panose1 w:val="00000000000000000000"/>
    <w:charset w:val="86"/>
    <w:family w:val="auto"/>
    <w:pitch w:val="default"/>
    <w:sig w:usb0="00000000" w:usb1="00000000" w:usb2="00000000" w:usb3="00000000" w:csb0="00000000" w:csb1="00000000"/>
  </w:font>
  <w:font w:name="Cambria">
    <w:panose1 w:val="02040503050406030204"/>
    <w:charset w:val="00"/>
    <w:family w:val="roman"/>
    <w:pitch w:val="default"/>
    <w:sig w:usb0="E00006FF" w:usb1="420024FF" w:usb2="02000000" w:usb3="00000000" w:csb0="2000019F" w:csb1="00000000"/>
    <w:embedRegular r:id="rId6" w:fontKey="{C60C9AB6-C57B-4210-B629-8DE93EF2580C}"/>
  </w:font>
  <w:font w:name="Symbol">
    <w:panose1 w:val="05050102010706020507"/>
    <w:charset w:val="02"/>
    <w:family w:val="roman"/>
    <w:pitch w:val="default"/>
    <w:sig w:usb0="00000000" w:usb1="00000000" w:usb2="00000000" w:usb3="00000000" w:csb0="80000000" w:csb1="00000000"/>
    <w:embedRegular r:id="rId7" w:fontKey="{6ABE35B0-466F-4EE8-933C-61D5B4EB1A41}"/>
  </w:font>
  <w:font w:name="Segoe UI Symbol">
    <w:panose1 w:val="020B0502040204020203"/>
    <w:charset w:val="00"/>
    <w:family w:val="swiss"/>
    <w:pitch w:val="default"/>
    <w:sig w:usb0="800001E3" w:usb1="1200FFEF" w:usb2="00040000" w:usb3="04000000" w:csb0="00000001" w:csb1="40000000"/>
    <w:embedRegular r:id="rId8" w:fontKey="{DB7F51B5-5014-4DB2-A8AB-BC9654FB6BFF}"/>
  </w:font>
  <w:font w:name="MS Gothic">
    <w:panose1 w:val="020B0609070205080204"/>
    <w:charset w:val="80"/>
    <w:family w:val="modern"/>
    <w:pitch w:val="default"/>
    <w:sig w:usb0="E00002FF" w:usb1="6AC7FDFB" w:usb2="08000012" w:usb3="00000000" w:csb0="4002009F" w:csb1="DFD70000"/>
    <w:embedRegular r:id="rId9" w:fontKey="{F204D2AB-5952-4A48-B896-0945C5FA8F21}"/>
  </w:font>
  <w:font w:name="Segoe UI">
    <w:panose1 w:val="020B0502040204020203"/>
    <w:charset w:val="00"/>
    <w:family w:val="auto"/>
    <w:pitch w:val="default"/>
    <w:sig w:usb0="E4002EFF" w:usb1="C000E47F" w:usb2="00000009" w:usb3="00000000" w:csb0="200001FF" w:csb1="00000000"/>
    <w:embedRegular r:id="rId10" w:fontKey="{5E2AC625-5F33-46F1-B18B-A3AD60A2B9C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92640329"/>
      <w:docPartObj>
        <w:docPartGallery w:val="autotext"/>
      </w:docPartObj>
    </w:sdtPr>
    <w:sdtEndPr>
      <w:rPr>
        <w:sz w:val="20"/>
        <w:szCs w:val="20"/>
      </w:rPr>
    </w:sdtEndPr>
    <w:sdtContent>
      <w:p w14:paraId="5EA1A042">
        <w:pPr>
          <w:pStyle w:val="11"/>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2</w:t>
        </w:r>
        <w:r>
          <w:rPr>
            <w:sz w:val="20"/>
            <w:szCs w:val="20"/>
          </w:rPr>
          <w:fldChar w:fldCharType="end"/>
        </w:r>
      </w:p>
    </w:sdtContent>
  </w:sdt>
  <w:p w14:paraId="3059152A">
    <w:pPr>
      <w:pStyle w:val="11"/>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9BE2F8A">
    <w:pPr>
      <w:pStyle w:val="11"/>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5DF9D48">
    <w:pPr>
      <w:pStyle w:val="11"/>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7D0D53F">
    <w:pPr>
      <w:pStyle w:val="12"/>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3632842">
    <w:pPr>
      <w:pStyle w:val="12"/>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D15573B">
    <w:pPr>
      <w:pStyle w:val="12"/>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71C5F0C"/>
    <w:multiLevelType w:val="multilevel"/>
    <w:tmpl w:val="871C5F0C"/>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
    <w:nsid w:val="D24E93FB"/>
    <w:multiLevelType w:val="singleLevel"/>
    <w:tmpl w:val="D24E93FB"/>
    <w:lvl w:ilvl="0" w:tentative="0">
      <w:start w:val="2"/>
      <w:numFmt w:val="upperLetter"/>
      <w:lvlText w:val="%1."/>
      <w:lvlJc w:val="left"/>
      <w:pPr>
        <w:tabs>
          <w:tab w:val="left" w:pos="312"/>
        </w:tabs>
      </w:pPr>
    </w:lvl>
  </w:abstractNum>
  <w:abstractNum w:abstractNumId="2">
    <w:nsid w:val="F33BF312"/>
    <w:multiLevelType w:val="multilevel"/>
    <w:tmpl w:val="F33BF312"/>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053E5454"/>
    <w:multiLevelType w:val="multilevel"/>
    <w:tmpl w:val="053E5454"/>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4">
    <w:nsid w:val="08D91506"/>
    <w:multiLevelType w:val="multilevel"/>
    <w:tmpl w:val="08D91506"/>
    <w:lvl w:ilvl="0" w:tentative="0">
      <w:start w:val="6"/>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0F298AF5"/>
    <w:multiLevelType w:val="multilevel"/>
    <w:tmpl w:val="0F298AF5"/>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6">
    <w:nsid w:val="11C201A3"/>
    <w:multiLevelType w:val="multilevel"/>
    <w:tmpl w:val="11C201A3"/>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7">
    <w:nsid w:val="18693461"/>
    <w:multiLevelType w:val="multilevel"/>
    <w:tmpl w:val="1869346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192028A2"/>
    <w:multiLevelType w:val="multilevel"/>
    <w:tmpl w:val="192028A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299622DB"/>
    <w:multiLevelType w:val="multilevel"/>
    <w:tmpl w:val="299622DB"/>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0">
    <w:nsid w:val="2DBB0D08"/>
    <w:multiLevelType w:val="multilevel"/>
    <w:tmpl w:val="2DBB0D0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nsid w:val="354E1DDD"/>
    <w:multiLevelType w:val="multilevel"/>
    <w:tmpl w:val="354E1DDD"/>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abstractNum w:abstractNumId="12">
    <w:nsid w:val="370B598F"/>
    <w:multiLevelType w:val="multilevel"/>
    <w:tmpl w:val="370B598F"/>
    <w:lvl w:ilvl="0" w:tentative="0">
      <w:start w:val="11"/>
      <w:numFmt w:val="decimal"/>
      <w:lvlText w:val="%1."/>
      <w:lvlJc w:val="left"/>
      <w:pPr>
        <w:tabs>
          <w:tab w:val="left" w:pos="720"/>
        </w:tabs>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3">
    <w:nsid w:val="50AF3577"/>
    <w:multiLevelType w:val="multilevel"/>
    <w:tmpl w:val="50AF3577"/>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14">
    <w:nsid w:val="6BB3114A"/>
    <w:multiLevelType w:val="multilevel"/>
    <w:tmpl w:val="6BB3114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5">
    <w:nsid w:val="6C066468"/>
    <w:multiLevelType w:val="multilevel"/>
    <w:tmpl w:val="6C06646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6">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7">
    <w:nsid w:val="78F07365"/>
    <w:multiLevelType w:val="multilevel"/>
    <w:tmpl w:val="78F0736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0"/>
  </w:num>
  <w:num w:numId="2">
    <w:abstractNumId w:val="15"/>
  </w:num>
  <w:num w:numId="3">
    <w:abstractNumId w:val="17"/>
  </w:num>
  <w:num w:numId="4">
    <w:abstractNumId w:val="7"/>
  </w:num>
  <w:num w:numId="5">
    <w:abstractNumId w:val="1"/>
  </w:num>
  <w:num w:numId="6">
    <w:abstractNumId w:val="16"/>
  </w:num>
  <w:num w:numId="7">
    <w:abstractNumId w:val="8"/>
  </w:num>
  <w:num w:numId="8">
    <w:abstractNumId w:val="14"/>
  </w:num>
  <w:num w:numId="9">
    <w:abstractNumId w:val="5"/>
  </w:num>
  <w:num w:numId="10">
    <w:abstractNumId w:val="0"/>
  </w:num>
  <w:num w:numId="11">
    <w:abstractNumId w:val="2"/>
  </w:num>
  <w:num w:numId="12">
    <w:abstractNumId w:val="13"/>
  </w:num>
  <w:num w:numId="13">
    <w:abstractNumId w:val="3"/>
  </w:num>
  <w:num w:numId="14">
    <w:abstractNumId w:val="4"/>
  </w:num>
  <w:num w:numId="15">
    <w:abstractNumId w:val="9"/>
  </w:num>
  <w:num w:numId="16">
    <w:abstractNumId w:val="12"/>
  </w:num>
  <w:num w:numId="17">
    <w:abstractNumId w:val="6"/>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val="fullPage" w:percent="50"/>
  <w:displayBackgroundShape w:val="1"/>
  <w:embedTrueTypeFonts/>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563B"/>
    <w:rsid w:val="000519F7"/>
    <w:rsid w:val="000B627A"/>
    <w:rsid w:val="0013796E"/>
    <w:rsid w:val="001E1E92"/>
    <w:rsid w:val="00294743"/>
    <w:rsid w:val="002A3630"/>
    <w:rsid w:val="00322861"/>
    <w:rsid w:val="00371B8D"/>
    <w:rsid w:val="003B111E"/>
    <w:rsid w:val="00434075"/>
    <w:rsid w:val="00450F99"/>
    <w:rsid w:val="00485B60"/>
    <w:rsid w:val="004B7065"/>
    <w:rsid w:val="00556DB9"/>
    <w:rsid w:val="005835A1"/>
    <w:rsid w:val="0061712E"/>
    <w:rsid w:val="006261DF"/>
    <w:rsid w:val="006921BA"/>
    <w:rsid w:val="00702C03"/>
    <w:rsid w:val="00751472"/>
    <w:rsid w:val="007B33BF"/>
    <w:rsid w:val="00843D9C"/>
    <w:rsid w:val="009964A6"/>
    <w:rsid w:val="009D5712"/>
    <w:rsid w:val="00B54B40"/>
    <w:rsid w:val="00B80721"/>
    <w:rsid w:val="00BB272E"/>
    <w:rsid w:val="00C055A5"/>
    <w:rsid w:val="00CF2444"/>
    <w:rsid w:val="00DA1997"/>
    <w:rsid w:val="00DD1435"/>
    <w:rsid w:val="00DE05D1"/>
    <w:rsid w:val="00F1563B"/>
    <w:rsid w:val="00FE2486"/>
    <w:rsid w:val="2C8D0492"/>
    <w:rsid w:val="2EAE4E0C"/>
    <w:rsid w:val="45751033"/>
    <w:rsid w:val="4E5030B0"/>
    <w:rsid w:val="794C3B65"/>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semiHidden="0" w:name="annotation text"/>
    <w:lsdException w:uiPriority="99" w:semiHidden="0" w:name="header"/>
    <w:lsdException w:qFormat="1" w:uiPriority="99" w:semiHidden="0" w:name="footer"/>
    <w:lsdException w:uiPriority="99" w:name="index heading"/>
    <w:lsdException w:qFormat="1" w:uiPriority="35" w:name="caption"/>
    <w:lsdException w:uiPriority="99" w:semiHidden="0"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jc w:val="both"/>
    </w:pPr>
    <w:rPr>
      <w:rFonts w:ascii="Times New Roman" w:hAnsi="Times New Roman" w:eastAsia="Times New Roman" w:cs="Times New Roman"/>
      <w:sz w:val="24"/>
      <w:szCs w:val="24"/>
      <w:lang w:val="en-GB" w:eastAsia="en-IN" w:bidi="ar-SA"/>
    </w:rPr>
  </w:style>
  <w:style w:type="paragraph" w:styleId="2">
    <w:name w:val="heading 1"/>
    <w:basedOn w:val="1"/>
    <w:next w:val="1"/>
    <w:qFormat/>
    <w:uiPriority w:val="9"/>
    <w:pPr>
      <w:keepNext/>
      <w:keepLines/>
      <w:outlineLvl w:val="0"/>
    </w:pPr>
    <w:rPr>
      <w:b/>
      <w:bCs/>
      <w:sz w:val="28"/>
      <w:szCs w:val="28"/>
    </w:rPr>
  </w:style>
  <w:style w:type="paragraph" w:styleId="3">
    <w:name w:val="heading 2"/>
    <w:basedOn w:val="1"/>
    <w:next w:val="1"/>
    <w:unhideWhenUsed/>
    <w:qFormat/>
    <w:uiPriority w:val="9"/>
    <w:pPr>
      <w:keepNext/>
      <w:keepLines/>
      <w:outlineLvl w:val="1"/>
    </w:pPr>
    <w:rPr>
      <w:b/>
      <w:bCs/>
      <w:sz w:val="26"/>
      <w:szCs w:val="26"/>
    </w:rPr>
  </w:style>
  <w:style w:type="paragraph" w:styleId="4">
    <w:name w:val="heading 3"/>
    <w:basedOn w:val="1"/>
    <w:next w:val="1"/>
    <w:unhideWhenUsed/>
    <w:qFormat/>
    <w:uiPriority w:val="9"/>
    <w:pPr>
      <w:keepNext/>
      <w:keepLines/>
      <w:outlineLvl w:val="2"/>
    </w:pPr>
    <w:rPr>
      <w:b/>
      <w:bCs/>
    </w:rPr>
  </w:style>
  <w:style w:type="paragraph" w:styleId="5">
    <w:name w:val="heading 4"/>
    <w:basedOn w:val="1"/>
    <w:next w:val="1"/>
    <w:unhideWhenUsed/>
    <w:qFormat/>
    <w:uiPriority w:val="9"/>
    <w:pPr>
      <w:keepNext/>
      <w:keepLines/>
      <w:spacing w:before="280" w:after="80"/>
      <w:jc w:val="center"/>
      <w:outlineLvl w:val="3"/>
    </w:pPr>
    <w:rPr>
      <w:b/>
      <w:color w:val="000000" w:themeColor="text1"/>
      <w14:textFill>
        <w14:solidFill>
          <w14:schemeClr w14:val="tx1"/>
        </w14:solidFill>
      </w14:textFill>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iCs/>
      <w:color w:val="666666"/>
      <w:sz w:val="22"/>
      <w:szCs w:val="22"/>
    </w:rPr>
  </w:style>
  <w:style w:type="character" w:default="1" w:styleId="8">
    <w:name w:val="Default Paragraph Font"/>
    <w:semiHidden/>
    <w:unhideWhenUsed/>
    <w:qFormat/>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annotation text"/>
    <w:basedOn w:val="1"/>
    <w:unhideWhenUsed/>
    <w:qFormat/>
    <w:uiPriority w:val="99"/>
  </w:style>
  <w:style w:type="paragraph" w:styleId="11">
    <w:name w:val="footer"/>
    <w:basedOn w:val="1"/>
    <w:link w:val="27"/>
    <w:unhideWhenUsed/>
    <w:qFormat/>
    <w:uiPriority w:val="99"/>
    <w:pPr>
      <w:tabs>
        <w:tab w:val="center" w:pos="4513"/>
        <w:tab w:val="right" w:pos="9026"/>
      </w:tabs>
      <w:spacing w:line="240" w:lineRule="auto"/>
    </w:pPr>
  </w:style>
  <w:style w:type="paragraph" w:styleId="12">
    <w:name w:val="header"/>
    <w:basedOn w:val="1"/>
    <w:link w:val="26"/>
    <w:unhideWhenUsed/>
    <w:uiPriority w:val="99"/>
    <w:pPr>
      <w:tabs>
        <w:tab w:val="center" w:pos="4513"/>
        <w:tab w:val="right" w:pos="9026"/>
      </w:tabs>
      <w:spacing w:line="240" w:lineRule="auto"/>
    </w:pPr>
  </w:style>
  <w:style w:type="character" w:styleId="13">
    <w:name w:val="Hyperlink"/>
    <w:basedOn w:val="8"/>
    <w:unhideWhenUsed/>
    <w:uiPriority w:val="99"/>
    <w:rPr>
      <w:color w:val="0000FF" w:themeColor="hyperlink"/>
      <w:u w:val="single"/>
      <w14:textFill>
        <w14:solidFill>
          <w14:schemeClr w14:val="hlink"/>
        </w14:solidFill>
      </w14:textFill>
    </w:rPr>
  </w:style>
  <w:style w:type="paragraph" w:styleId="14">
    <w:name w:val="Normal (Web)"/>
    <w:basedOn w:val="1"/>
    <w:qFormat/>
    <w:uiPriority w:val="99"/>
    <w:pPr>
      <w:spacing w:before="100" w:beforeAutospacing="1" w:after="100" w:afterAutospacing="1"/>
    </w:pPr>
    <w:rPr>
      <w:sz w:val="24"/>
      <w:szCs w:val="24"/>
      <w:lang w:eastAsia="en-GB"/>
    </w:rPr>
  </w:style>
  <w:style w:type="character" w:styleId="15">
    <w:name w:val="Strong"/>
    <w:qFormat/>
    <w:uiPriority w:val="22"/>
    <w:rPr>
      <w:b/>
      <w:bCs/>
    </w:rPr>
  </w:style>
  <w:style w:type="paragraph" w:styleId="16">
    <w:name w:val="Subtitle"/>
    <w:basedOn w:val="1"/>
    <w:next w:val="1"/>
    <w:qFormat/>
    <w:uiPriority w:val="11"/>
    <w:pPr>
      <w:keepNext/>
      <w:keepLines/>
      <w:spacing w:after="320"/>
    </w:pPr>
    <w:rPr>
      <w:rFonts w:ascii="Arial" w:hAnsi="Arial" w:eastAsia="Arial" w:cs="Arial"/>
      <w:color w:val="666666"/>
      <w:sz w:val="30"/>
      <w:szCs w:val="30"/>
    </w:rPr>
  </w:style>
  <w:style w:type="table" w:styleId="17">
    <w:name w:val="Table Grid"/>
    <w:basedOn w:val="9"/>
    <w:qFormat/>
    <w:uiPriority w:val="59"/>
    <w:rPr>
      <w:rFonts w:ascii="Times New Roman" w:hAnsi="Times New Roman" w:eastAsia="Times New Roman" w:cs="Times New Roman"/>
      <w:lang w:eastAsia="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18">
    <w:name w:val="table of figures"/>
    <w:basedOn w:val="1"/>
    <w:next w:val="1"/>
    <w:unhideWhenUsed/>
    <w:uiPriority w:val="99"/>
  </w:style>
  <w:style w:type="paragraph" w:styleId="19">
    <w:name w:val="Title"/>
    <w:basedOn w:val="1"/>
    <w:next w:val="1"/>
    <w:qFormat/>
    <w:uiPriority w:val="10"/>
    <w:pPr>
      <w:keepNext/>
      <w:keepLines/>
      <w:spacing w:after="60"/>
    </w:pPr>
    <w:rPr>
      <w:sz w:val="52"/>
      <w:szCs w:val="52"/>
    </w:rPr>
  </w:style>
  <w:style w:type="paragraph" w:styleId="20">
    <w:name w:val="toc 1"/>
    <w:basedOn w:val="1"/>
    <w:next w:val="1"/>
    <w:autoRedefine/>
    <w:unhideWhenUsed/>
    <w:uiPriority w:val="39"/>
    <w:pPr>
      <w:spacing w:after="100"/>
    </w:pPr>
  </w:style>
  <w:style w:type="paragraph" w:styleId="21">
    <w:name w:val="toc 2"/>
    <w:basedOn w:val="1"/>
    <w:next w:val="1"/>
    <w:autoRedefine/>
    <w:unhideWhenUsed/>
    <w:qFormat/>
    <w:uiPriority w:val="39"/>
    <w:pPr>
      <w:spacing w:after="100"/>
      <w:ind w:left="240"/>
    </w:pPr>
  </w:style>
  <w:style w:type="table" w:customStyle="1" w:styleId="22">
    <w:name w:val="TableNormal"/>
    <w:qFormat/>
    <w:uiPriority w:val="0"/>
    <w:tblPr>
      <w:tblCellMar>
        <w:top w:w="100" w:type="dxa"/>
        <w:left w:w="100" w:type="dxa"/>
        <w:bottom w:w="100" w:type="dxa"/>
        <w:right w:w="100" w:type="dxa"/>
      </w:tblCellMar>
    </w:tblPr>
  </w:style>
  <w:style w:type="character" w:customStyle="1" w:styleId="23">
    <w:name w:val="Unresolved Mention"/>
    <w:basedOn w:val="8"/>
    <w:semiHidden/>
    <w:unhideWhenUsed/>
    <w:uiPriority w:val="99"/>
    <w:rPr>
      <w:color w:val="605E5C"/>
      <w:shd w:val="clear" w:color="auto" w:fill="E1DFDD"/>
    </w:rPr>
  </w:style>
  <w:style w:type="paragraph" w:styleId="24">
    <w:name w:val="List Paragraph"/>
    <w:basedOn w:val="1"/>
    <w:qFormat/>
    <w:uiPriority w:val="34"/>
    <w:pPr>
      <w:ind w:left="720"/>
      <w:contextualSpacing/>
      <w:jc w:val="left"/>
    </w:pPr>
    <w:rPr>
      <w:rFonts w:eastAsiaTheme="minorHAnsi" w:cstheme="minorBidi"/>
      <w:kern w:val="2"/>
      <w:lang w:val="en-US" w:eastAsia="en-US"/>
      <w14:ligatures w14:val="standardContextual"/>
    </w:r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bCs w:val="0"/>
      <w:color w:val="376092" w:themeColor="accent1" w:themeShade="BF"/>
      <w:sz w:val="32"/>
      <w:szCs w:val="32"/>
      <w:lang w:val="en-US" w:eastAsia="en-US"/>
    </w:rPr>
  </w:style>
  <w:style w:type="character" w:customStyle="1" w:styleId="26">
    <w:name w:val="Header Char"/>
    <w:basedOn w:val="8"/>
    <w:link w:val="12"/>
    <w:qFormat/>
    <w:uiPriority w:val="99"/>
  </w:style>
  <w:style w:type="character" w:customStyle="1" w:styleId="27">
    <w:name w:val="Footer Char"/>
    <w:basedOn w:val="8"/>
    <w:link w:val="11"/>
    <w:qFormat/>
    <w:uiPriority w:val="99"/>
  </w:style>
</w:styles>
</file>

<file path=word/_rels/document.xml.rels><?xml version="1.0" encoding="UTF-8" standalone="yes"?>
<Relationships xmlns="http://schemas.openxmlformats.org/package/2006/relationships"><Relationship Id="rId9" Type="http://schemas.openxmlformats.org/officeDocument/2006/relationships/footer" Target="footer2.xml"/><Relationship Id="rId8" Type="http://schemas.openxmlformats.org/officeDocument/2006/relationships/footer" Target="footer1.xml"/><Relationship Id="rId7" Type="http://schemas.openxmlformats.org/officeDocument/2006/relationships/header" Target="header3.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3" Type="http://schemas.openxmlformats.org/officeDocument/2006/relationships/fontTable" Target="fontTable.xml"/><Relationship Id="rId22" Type="http://schemas.openxmlformats.org/officeDocument/2006/relationships/customXml" Target="../customXml/item1.xml"/><Relationship Id="rId21" Type="http://schemas.openxmlformats.org/officeDocument/2006/relationships/numbering" Target="numbering.xml"/><Relationship Id="rId20" Type="http://schemas.openxmlformats.org/officeDocument/2006/relationships/image" Target="media/image9.png"/><Relationship Id="rId2" Type="http://schemas.openxmlformats.org/officeDocument/2006/relationships/settings" Target="settings.xml"/><Relationship Id="rId19" Type="http://schemas.openxmlformats.org/officeDocument/2006/relationships/image" Target="media/image8.png"/><Relationship Id="rId18" Type="http://schemas.openxmlformats.org/officeDocument/2006/relationships/image" Target="media/image7.png"/><Relationship Id="rId17" Type="http://schemas.openxmlformats.org/officeDocument/2006/relationships/image" Target="media/image6.png"/><Relationship Id="rId16" Type="http://schemas.openxmlformats.org/officeDocument/2006/relationships/image" Target="media/image5.png"/><Relationship Id="rId15" Type="http://schemas.openxmlformats.org/officeDocument/2006/relationships/image" Target="media/image4.png"/><Relationship Id="rId14" Type="http://schemas.openxmlformats.org/officeDocument/2006/relationships/image" Target="media/image3.png"/><Relationship Id="rId13" Type="http://schemas.openxmlformats.org/officeDocument/2006/relationships/image" Target="media/image2.png"/><Relationship Id="rId12" Type="http://schemas.openxmlformats.org/officeDocument/2006/relationships/image" Target="media/image1.jpeg"/><Relationship Id="rId11" Type="http://schemas.openxmlformats.org/officeDocument/2006/relationships/theme" Target="theme/theme1.xml"/><Relationship Id="rId10" Type="http://schemas.openxmlformats.org/officeDocument/2006/relationships/footer" Target="footer3.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9" Type="http://schemas.openxmlformats.org/officeDocument/2006/relationships/font" Target="fonts/font9.odttf"/><Relationship Id="rId8" Type="http://schemas.openxmlformats.org/officeDocument/2006/relationships/font" Target="fonts/font8.odttf"/><Relationship Id="rId7" Type="http://schemas.openxmlformats.org/officeDocument/2006/relationships/font" Target="fonts/font7.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0" Type="http://schemas.openxmlformats.org/officeDocument/2006/relationships/font" Target="fonts/font10.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30D506-8A85-4D0A-A894-9BBD2996D39E}">
  <ds:schemaRefs/>
</ds:datastoreItem>
</file>

<file path=docProps/app.xml><?xml version="1.0" encoding="utf-8"?>
<Properties xmlns="http://schemas.openxmlformats.org/officeDocument/2006/extended-properties" xmlns:vt="http://schemas.openxmlformats.org/officeDocument/2006/docPropsVTypes">
  <Template>Normal</Template>
  <Pages>103</Pages>
  <Words>21943</Words>
  <Characters>125077</Characters>
  <Lines>1042</Lines>
  <Paragraphs>293</Paragraphs>
  <TotalTime>15</TotalTime>
  <ScaleCrop>false</ScaleCrop>
  <LinksUpToDate>false</LinksUpToDate>
  <CharactersWithSpaces>146727</CharactersWithSpaces>
  <Application>WPS Office_12.2.0.23155_F1E327BC-269C-435d-A152-05C5408002CA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2025-12-11T20:19:00Z</dcterms:created>
  <dc:creator>vr561</dc:creator>
  <cp:lastModifiedBy>varun Reddy</cp:lastModifiedBy>
  <dcterms:modified xsi:type="dcterms:W3CDTF">2025-12-12T20:49:15Z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2057-12.2.0.23155</vt:lpwstr>
  </property>
  <property fmtid="{D5CDD505-2E9C-101B-9397-08002B2CF9AE}" pid="3" name="ICV">
    <vt:lpwstr>C6AB2F5EBEA042B185A3B530B6BBAEBB_13</vt:lpwstr>
  </property>
</Properties>
</file>