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695563" w14:textId="08EF46D1" w:rsidR="00247B0F" w:rsidRDefault="007043ED" w:rsidP="003309E1">
      <w:pPr>
        <w:pStyle w:val="Title"/>
        <w:jc w:val="both"/>
      </w:pPr>
      <w:r>
        <w:t xml:space="preserve">What lessons can be drawn from the </w:t>
      </w:r>
      <w:r w:rsidR="008C1DFE">
        <w:t>successes</w:t>
      </w:r>
      <w:r>
        <w:t xml:space="preserve"> and fa</w:t>
      </w:r>
      <w:r w:rsidR="008C1DFE">
        <w:t>i</w:t>
      </w:r>
      <w:r>
        <w:t>l</w:t>
      </w:r>
      <w:r w:rsidR="008C1DFE">
        <w:t>ings</w:t>
      </w:r>
      <w:r>
        <w:t xml:space="preserve"> of the Qin Dynasty?</w:t>
      </w:r>
    </w:p>
    <w:p w14:paraId="07218CEB" w14:textId="72309CFA" w:rsidR="00627712" w:rsidRDefault="00627712" w:rsidP="003309E1">
      <w:pPr>
        <w:jc w:val="both"/>
        <w:rPr>
          <w:sz w:val="28"/>
          <w:szCs w:val="28"/>
        </w:rPr>
      </w:pPr>
    </w:p>
    <w:p w14:paraId="4E030A25" w14:textId="511A2D79" w:rsidR="00030785" w:rsidRPr="00575C1C" w:rsidRDefault="00030785" w:rsidP="003309E1">
      <w:pPr>
        <w:jc w:val="both"/>
        <w:rPr>
          <w:sz w:val="28"/>
          <w:szCs w:val="28"/>
        </w:rPr>
      </w:pPr>
      <w:r w:rsidRPr="00575C1C">
        <w:rPr>
          <w:sz w:val="28"/>
          <w:szCs w:val="28"/>
        </w:rPr>
        <w:t>Qin was the kingdom to unite China after the collapse of the prior Zhou Dynasty. This dynasty was short-lived, however, lasting only 15 years. Although it was a comparatively small period of time, Qin has left an immense footprint on Chinese culture and history, and many lessons can be drawn from their time in power.</w:t>
      </w:r>
    </w:p>
    <w:p w14:paraId="744F6D85" w14:textId="4C1DB10B" w:rsidR="00030785" w:rsidRPr="00575C1C" w:rsidRDefault="00CF79DA" w:rsidP="003309E1">
      <w:pPr>
        <w:jc w:val="both"/>
        <w:rPr>
          <w:sz w:val="28"/>
          <w:szCs w:val="28"/>
        </w:rPr>
      </w:pPr>
      <w:r w:rsidRPr="00575C1C">
        <w:rPr>
          <w:sz w:val="28"/>
          <w:szCs w:val="28"/>
        </w:rPr>
        <w:t xml:space="preserve">Though not directly related to the conquering of the other warring states, Qin had a unique advantage in its ‘set-up’. John </w:t>
      </w:r>
      <w:proofErr w:type="spellStart"/>
      <w:r w:rsidRPr="00575C1C">
        <w:rPr>
          <w:sz w:val="28"/>
          <w:szCs w:val="28"/>
        </w:rPr>
        <w:t>Keay</w:t>
      </w:r>
      <w:proofErr w:type="spellEnd"/>
      <w:r w:rsidRPr="00575C1C">
        <w:rPr>
          <w:sz w:val="28"/>
          <w:szCs w:val="28"/>
        </w:rPr>
        <w:t xml:space="preserve"> explains in his book that the predecessor</w:t>
      </w:r>
      <w:r w:rsidR="008F1758" w:rsidRPr="00575C1C">
        <w:rPr>
          <w:sz w:val="28"/>
          <w:szCs w:val="28"/>
        </w:rPr>
        <w:t xml:space="preserve"> </w:t>
      </w:r>
      <w:r w:rsidRPr="00575C1C">
        <w:rPr>
          <w:sz w:val="28"/>
          <w:szCs w:val="28"/>
        </w:rPr>
        <w:t>of the First Emperor</w:t>
      </w:r>
      <w:r w:rsidR="008F1758" w:rsidRPr="00575C1C">
        <w:rPr>
          <w:sz w:val="28"/>
          <w:szCs w:val="28"/>
        </w:rPr>
        <w:t>, specifically his great-great-great-grandfather King Hui,</w:t>
      </w:r>
      <w:r w:rsidRPr="00575C1C">
        <w:rPr>
          <w:sz w:val="28"/>
          <w:szCs w:val="28"/>
        </w:rPr>
        <w:t xml:space="preserve"> laid brilliant groundwork for Qin’s ascension. The main benefit of this laid in the lands that were conquered</w:t>
      </w:r>
      <w:r w:rsidR="008F1758" w:rsidRPr="00575C1C">
        <w:rPr>
          <w:sz w:val="28"/>
          <w:szCs w:val="28"/>
        </w:rPr>
        <w:t xml:space="preserve">: the lands were rich in minerals, land for agriculture and the square mileage of land taken. All of this was a great boon to Qin, as before they were one of the weaker states of the period, but these conquests changed them from a simple state to what </w:t>
      </w:r>
      <w:proofErr w:type="spellStart"/>
      <w:r w:rsidR="008F1758" w:rsidRPr="00575C1C">
        <w:rPr>
          <w:sz w:val="28"/>
          <w:szCs w:val="28"/>
        </w:rPr>
        <w:t>Keay</w:t>
      </w:r>
      <w:proofErr w:type="spellEnd"/>
      <w:r w:rsidR="008F1758" w:rsidRPr="00575C1C">
        <w:rPr>
          <w:sz w:val="28"/>
          <w:szCs w:val="28"/>
        </w:rPr>
        <w:t xml:space="preserve"> called a super-state </w:t>
      </w:r>
      <w:sdt>
        <w:sdtPr>
          <w:rPr>
            <w:sz w:val="28"/>
            <w:szCs w:val="28"/>
          </w:rPr>
          <w:id w:val="-829515923"/>
          <w:citation/>
        </w:sdtPr>
        <w:sdtEndPr/>
        <w:sdtContent>
          <w:r w:rsidR="008F1758" w:rsidRPr="00575C1C">
            <w:rPr>
              <w:sz w:val="28"/>
              <w:szCs w:val="28"/>
            </w:rPr>
            <w:fldChar w:fldCharType="begin"/>
          </w:r>
          <w:r w:rsidR="008F1758" w:rsidRPr="00575C1C">
            <w:rPr>
              <w:sz w:val="28"/>
              <w:szCs w:val="28"/>
            </w:rPr>
            <w:instrText xml:space="preserve">CITATION Joh09 \p 83 \l 2057 </w:instrText>
          </w:r>
          <w:r w:rsidR="008F1758" w:rsidRPr="00575C1C">
            <w:rPr>
              <w:sz w:val="28"/>
              <w:szCs w:val="28"/>
            </w:rPr>
            <w:fldChar w:fldCharType="separate"/>
          </w:r>
          <w:r w:rsidR="007F0BA1" w:rsidRPr="00575C1C">
            <w:rPr>
              <w:noProof/>
              <w:sz w:val="28"/>
              <w:szCs w:val="28"/>
            </w:rPr>
            <w:t>(Keay, 2009, p. 83)</w:t>
          </w:r>
          <w:r w:rsidR="008F1758" w:rsidRPr="00575C1C">
            <w:rPr>
              <w:sz w:val="28"/>
              <w:szCs w:val="28"/>
            </w:rPr>
            <w:fldChar w:fldCharType="end"/>
          </w:r>
        </w:sdtContent>
      </w:sdt>
      <w:r w:rsidR="008F1758" w:rsidRPr="00575C1C">
        <w:rPr>
          <w:sz w:val="28"/>
          <w:szCs w:val="28"/>
        </w:rPr>
        <w:t xml:space="preserve">. </w:t>
      </w:r>
      <w:r w:rsidR="00724F37" w:rsidRPr="00575C1C">
        <w:rPr>
          <w:sz w:val="28"/>
          <w:szCs w:val="28"/>
        </w:rPr>
        <w:t xml:space="preserve">This gave Qin perks they could make use of as a burgeoning power as it gave them the resources and population needed to experiment; the main experiment </w:t>
      </w:r>
      <w:proofErr w:type="spellStart"/>
      <w:r w:rsidR="00724F37" w:rsidRPr="00575C1C">
        <w:rPr>
          <w:sz w:val="28"/>
          <w:szCs w:val="28"/>
        </w:rPr>
        <w:t>Keay</w:t>
      </w:r>
      <w:proofErr w:type="spellEnd"/>
      <w:r w:rsidR="00724F37" w:rsidRPr="00575C1C">
        <w:rPr>
          <w:sz w:val="28"/>
          <w:szCs w:val="28"/>
        </w:rPr>
        <w:t xml:space="preserve"> mentions is one of “a brief experiment in feudal dyarchy, directly administered ‘counties’ and ‘commanderies’ were carved out across the country.” He also explains other changes were made to the conquered regions in that “</w:t>
      </w:r>
      <w:r w:rsidR="008C1DFE" w:rsidRPr="00575C1C">
        <w:rPr>
          <w:sz w:val="28"/>
          <w:szCs w:val="28"/>
        </w:rPr>
        <w:t xml:space="preserve">Qin methods of registration  and recruitment were imposed, the ‘legalist’ tariff of rewards and punishments was introduced, and weights, measures and calendar were standardised” </w:t>
      </w:r>
      <w:sdt>
        <w:sdtPr>
          <w:rPr>
            <w:sz w:val="28"/>
            <w:szCs w:val="28"/>
          </w:rPr>
          <w:id w:val="-1786883223"/>
          <w:citation/>
        </w:sdtPr>
        <w:sdtEndPr/>
        <w:sdtContent>
          <w:r w:rsidR="00724F37" w:rsidRPr="00575C1C">
            <w:rPr>
              <w:sz w:val="28"/>
              <w:szCs w:val="28"/>
            </w:rPr>
            <w:fldChar w:fldCharType="begin"/>
          </w:r>
          <w:r w:rsidR="00724F37" w:rsidRPr="00575C1C">
            <w:rPr>
              <w:sz w:val="28"/>
              <w:szCs w:val="28"/>
            </w:rPr>
            <w:instrText xml:space="preserve">CITATION Joh09 \p 83 \l 2057 </w:instrText>
          </w:r>
          <w:r w:rsidR="00724F37" w:rsidRPr="00575C1C">
            <w:rPr>
              <w:sz w:val="28"/>
              <w:szCs w:val="28"/>
            </w:rPr>
            <w:fldChar w:fldCharType="separate"/>
          </w:r>
          <w:r w:rsidR="007F0BA1" w:rsidRPr="00575C1C">
            <w:rPr>
              <w:noProof/>
              <w:sz w:val="28"/>
              <w:szCs w:val="28"/>
            </w:rPr>
            <w:t>(Keay, 2009, p. 83)</w:t>
          </w:r>
          <w:r w:rsidR="00724F37" w:rsidRPr="00575C1C">
            <w:rPr>
              <w:sz w:val="28"/>
              <w:szCs w:val="28"/>
            </w:rPr>
            <w:fldChar w:fldCharType="end"/>
          </w:r>
        </w:sdtContent>
      </w:sdt>
      <w:r w:rsidR="008C1DFE" w:rsidRPr="00575C1C">
        <w:rPr>
          <w:sz w:val="28"/>
          <w:szCs w:val="28"/>
        </w:rPr>
        <w:t xml:space="preserve">. Whilst not necessarily the grandiose achievements of military victories and territorial gains, these changes were great administrative successes, as they allowed the Qin to have a stable system of governance back in their home territories which in turn allowed them to focus more ‘active’ attention on the matter of unifying the warring states. </w:t>
      </w:r>
    </w:p>
    <w:p w14:paraId="7C8D77AE" w14:textId="635D3ADC" w:rsidR="005141C3" w:rsidRPr="00575C1C" w:rsidRDefault="008C1DFE" w:rsidP="003309E1">
      <w:pPr>
        <w:jc w:val="both"/>
        <w:rPr>
          <w:sz w:val="28"/>
          <w:szCs w:val="28"/>
        </w:rPr>
      </w:pPr>
      <w:r w:rsidRPr="00575C1C">
        <w:rPr>
          <w:sz w:val="28"/>
          <w:szCs w:val="28"/>
        </w:rPr>
        <w:t xml:space="preserve">After the groundwork of his predecessors had been laid, the First Emperor </w:t>
      </w:r>
      <w:r w:rsidR="007F0BA1" w:rsidRPr="00575C1C">
        <w:rPr>
          <w:sz w:val="28"/>
          <w:szCs w:val="28"/>
        </w:rPr>
        <w:t xml:space="preserve">had a relatively easy road to conquering the remaining states. Once China had been brought under the </w:t>
      </w:r>
      <w:r w:rsidR="00BD0FCA" w:rsidRPr="00575C1C">
        <w:rPr>
          <w:sz w:val="28"/>
          <w:szCs w:val="28"/>
        </w:rPr>
        <w:t>rulership</w:t>
      </w:r>
      <w:r w:rsidR="007F0BA1" w:rsidRPr="00575C1C">
        <w:rPr>
          <w:sz w:val="28"/>
          <w:szCs w:val="28"/>
        </w:rPr>
        <w:t xml:space="preserve"> of Qin</w:t>
      </w:r>
      <w:r w:rsidR="00BD0FCA" w:rsidRPr="00575C1C">
        <w:rPr>
          <w:sz w:val="28"/>
          <w:szCs w:val="28"/>
        </w:rPr>
        <w:t xml:space="preserve">, many positive and negative policies were implemented by the Emperor. </w:t>
      </w:r>
      <w:r w:rsidR="006B3893" w:rsidRPr="00575C1C">
        <w:rPr>
          <w:sz w:val="28"/>
          <w:szCs w:val="28"/>
        </w:rPr>
        <w:t xml:space="preserve">One of the most positive policies was that of overwhelming standardisation, although a very negative policy from a cultural history point of view. Patricia </w:t>
      </w:r>
      <w:proofErr w:type="spellStart"/>
      <w:r w:rsidR="006B3893" w:rsidRPr="00575C1C">
        <w:rPr>
          <w:sz w:val="28"/>
          <w:szCs w:val="28"/>
        </w:rPr>
        <w:t>Ebrey</w:t>
      </w:r>
      <w:proofErr w:type="spellEnd"/>
      <w:r w:rsidR="006B3893" w:rsidRPr="00575C1C">
        <w:rPr>
          <w:sz w:val="28"/>
          <w:szCs w:val="28"/>
        </w:rPr>
        <w:t xml:space="preserve"> writes that “The First Emperor was </w:t>
      </w:r>
      <w:r w:rsidR="006B3893" w:rsidRPr="00575C1C">
        <w:rPr>
          <w:sz w:val="28"/>
          <w:szCs w:val="28"/>
        </w:rPr>
        <w:lastRenderedPageBreak/>
        <w:t xml:space="preserve">determined to not only amalgamate China into a single state, but to impose uniformity on it. Maintaining local forms of currency, weights and measures, or writing scripts was made an act of treason” </w:t>
      </w:r>
      <w:sdt>
        <w:sdtPr>
          <w:rPr>
            <w:sz w:val="28"/>
            <w:szCs w:val="28"/>
          </w:rPr>
          <w:id w:val="992305058"/>
          <w:citation/>
        </w:sdtPr>
        <w:sdtEndPr/>
        <w:sdtContent>
          <w:r w:rsidR="006B3893" w:rsidRPr="00575C1C">
            <w:rPr>
              <w:sz w:val="28"/>
              <w:szCs w:val="28"/>
            </w:rPr>
            <w:fldChar w:fldCharType="begin"/>
          </w:r>
          <w:r w:rsidR="006B3893" w:rsidRPr="00575C1C">
            <w:rPr>
              <w:sz w:val="28"/>
              <w:szCs w:val="28"/>
            </w:rPr>
            <w:instrText xml:space="preserve">CITATION Pat96 \p 61 \l 2057 </w:instrText>
          </w:r>
          <w:r w:rsidR="006B3893" w:rsidRPr="00575C1C">
            <w:rPr>
              <w:sz w:val="28"/>
              <w:szCs w:val="28"/>
            </w:rPr>
            <w:fldChar w:fldCharType="separate"/>
          </w:r>
          <w:r w:rsidR="006B3893" w:rsidRPr="00575C1C">
            <w:rPr>
              <w:noProof/>
              <w:sz w:val="28"/>
              <w:szCs w:val="28"/>
            </w:rPr>
            <w:t>(Ebrey, 1996, p. 61)</w:t>
          </w:r>
          <w:r w:rsidR="006B3893" w:rsidRPr="00575C1C">
            <w:rPr>
              <w:sz w:val="28"/>
              <w:szCs w:val="28"/>
            </w:rPr>
            <w:fldChar w:fldCharType="end"/>
          </w:r>
        </w:sdtContent>
      </w:sdt>
      <w:r w:rsidR="006B3893" w:rsidRPr="00575C1C">
        <w:rPr>
          <w:sz w:val="28"/>
          <w:szCs w:val="28"/>
        </w:rPr>
        <w:t xml:space="preserve">. </w:t>
      </w:r>
      <w:r w:rsidR="003309E1" w:rsidRPr="00575C1C">
        <w:rPr>
          <w:sz w:val="28"/>
          <w:szCs w:val="28"/>
        </w:rPr>
        <w:t xml:space="preserve">From the standpoint of an emperor, this policy is a must for a new empire as culturally diverse as his was. Had he not so coldly standardised these elements, writing especially so, his newly </w:t>
      </w:r>
      <w:r w:rsidR="00232762" w:rsidRPr="00575C1C">
        <w:rPr>
          <w:sz w:val="28"/>
          <w:szCs w:val="28"/>
        </w:rPr>
        <w:t>widened</w:t>
      </w:r>
      <w:r w:rsidR="003309E1" w:rsidRPr="00575C1C">
        <w:rPr>
          <w:sz w:val="28"/>
          <w:szCs w:val="28"/>
        </w:rPr>
        <w:t xml:space="preserve"> bureaucracy would have been shattered by regional differences</w:t>
      </w:r>
      <w:r w:rsidR="00232762" w:rsidRPr="00575C1C">
        <w:rPr>
          <w:sz w:val="28"/>
          <w:szCs w:val="28"/>
        </w:rPr>
        <w:t xml:space="preserve">. As Edgar Kiser and Cai Yong phrased it “Assuming rulers seek the most efficient form of administration, they will use different types of agency relations in different structural conditions” </w:t>
      </w:r>
      <w:sdt>
        <w:sdtPr>
          <w:rPr>
            <w:sz w:val="28"/>
            <w:szCs w:val="28"/>
          </w:rPr>
          <w:id w:val="-1246720566"/>
          <w:citation/>
        </w:sdtPr>
        <w:sdtEndPr/>
        <w:sdtContent>
          <w:r w:rsidR="00232762" w:rsidRPr="00575C1C">
            <w:rPr>
              <w:sz w:val="28"/>
              <w:szCs w:val="28"/>
            </w:rPr>
            <w:fldChar w:fldCharType="begin"/>
          </w:r>
          <w:r w:rsidR="00232762" w:rsidRPr="00575C1C">
            <w:rPr>
              <w:sz w:val="28"/>
              <w:szCs w:val="28"/>
            </w:rPr>
            <w:instrText xml:space="preserve">CITATION Cai03 \p 514 \l 2057 </w:instrText>
          </w:r>
          <w:r w:rsidR="00232762" w:rsidRPr="00575C1C">
            <w:rPr>
              <w:sz w:val="28"/>
              <w:szCs w:val="28"/>
            </w:rPr>
            <w:fldChar w:fldCharType="separate"/>
          </w:r>
          <w:r w:rsidR="00232762" w:rsidRPr="00575C1C">
            <w:rPr>
              <w:noProof/>
              <w:sz w:val="28"/>
              <w:szCs w:val="28"/>
            </w:rPr>
            <w:t>(Kiser &amp; Yong, 2003, p. 514)</w:t>
          </w:r>
          <w:r w:rsidR="00232762" w:rsidRPr="00575C1C">
            <w:rPr>
              <w:sz w:val="28"/>
              <w:szCs w:val="28"/>
            </w:rPr>
            <w:fldChar w:fldCharType="end"/>
          </w:r>
        </w:sdtContent>
      </w:sdt>
      <w:r w:rsidR="00232762" w:rsidRPr="00575C1C">
        <w:rPr>
          <w:sz w:val="28"/>
          <w:szCs w:val="28"/>
        </w:rPr>
        <w:t xml:space="preserve">, and by this they are referring to the levels of bureaucratisation, and in the case of Qin, the level was already high before the unification because Lord Shang visited Qin in 361 BCE and instituted many legalist doctrines, through a bureaucratic system that was advanced for its time </w:t>
      </w:r>
      <w:sdt>
        <w:sdtPr>
          <w:rPr>
            <w:sz w:val="28"/>
            <w:szCs w:val="28"/>
          </w:rPr>
          <w:id w:val="-593708330"/>
          <w:citation/>
        </w:sdtPr>
        <w:sdtEndPr/>
        <w:sdtContent>
          <w:r w:rsidR="00232762" w:rsidRPr="00575C1C">
            <w:rPr>
              <w:sz w:val="28"/>
              <w:szCs w:val="28"/>
            </w:rPr>
            <w:fldChar w:fldCharType="begin"/>
          </w:r>
          <w:r w:rsidR="00232762" w:rsidRPr="00575C1C">
            <w:rPr>
              <w:sz w:val="28"/>
              <w:szCs w:val="28"/>
            </w:rPr>
            <w:instrText xml:space="preserve">CITATION Pat96 \p 60 \l 2057 </w:instrText>
          </w:r>
          <w:r w:rsidR="00232762" w:rsidRPr="00575C1C">
            <w:rPr>
              <w:sz w:val="28"/>
              <w:szCs w:val="28"/>
            </w:rPr>
            <w:fldChar w:fldCharType="separate"/>
          </w:r>
          <w:r w:rsidR="00232762" w:rsidRPr="00575C1C">
            <w:rPr>
              <w:noProof/>
              <w:sz w:val="28"/>
              <w:szCs w:val="28"/>
            </w:rPr>
            <w:t>(Ebrey, 1996, p. 60)</w:t>
          </w:r>
          <w:r w:rsidR="00232762" w:rsidRPr="00575C1C">
            <w:rPr>
              <w:sz w:val="28"/>
              <w:szCs w:val="28"/>
            </w:rPr>
            <w:fldChar w:fldCharType="end"/>
          </w:r>
        </w:sdtContent>
      </w:sdt>
      <w:r w:rsidR="00232762" w:rsidRPr="00575C1C">
        <w:rPr>
          <w:sz w:val="28"/>
          <w:szCs w:val="28"/>
        </w:rPr>
        <w:t>.</w:t>
      </w:r>
      <w:r w:rsidR="000D285C" w:rsidRPr="00575C1C">
        <w:rPr>
          <w:sz w:val="28"/>
          <w:szCs w:val="28"/>
        </w:rPr>
        <w:t xml:space="preserve"> After making local variation an act of treason, his standardised reforms could work to give a sense of unity to the newly conquered lands and arguably the greatest obstacle to this sense of unity was the variations found in writing. It need not be said how important a standard system of writing is in maintaining a bureaucratic machine and an empire as a whole, so to rectify the variations the emperor instituted a system which “involved eradicating obsolete and offensive characters, simplifying and rationalising others, and standardising each and every one.” </w:t>
      </w:r>
      <w:sdt>
        <w:sdtPr>
          <w:rPr>
            <w:sz w:val="28"/>
            <w:szCs w:val="28"/>
          </w:rPr>
          <w:id w:val="905181241"/>
          <w:citation/>
        </w:sdtPr>
        <w:sdtEndPr/>
        <w:sdtContent>
          <w:r w:rsidR="000D285C" w:rsidRPr="00575C1C">
            <w:rPr>
              <w:sz w:val="28"/>
              <w:szCs w:val="28"/>
            </w:rPr>
            <w:fldChar w:fldCharType="begin"/>
          </w:r>
          <w:r w:rsidR="000D285C" w:rsidRPr="00575C1C">
            <w:rPr>
              <w:sz w:val="28"/>
              <w:szCs w:val="28"/>
            </w:rPr>
            <w:instrText xml:space="preserve">CITATION Joh09 \p 93 \l 2057 </w:instrText>
          </w:r>
          <w:r w:rsidR="000D285C" w:rsidRPr="00575C1C">
            <w:rPr>
              <w:sz w:val="28"/>
              <w:szCs w:val="28"/>
            </w:rPr>
            <w:fldChar w:fldCharType="separate"/>
          </w:r>
          <w:r w:rsidR="000D285C" w:rsidRPr="00575C1C">
            <w:rPr>
              <w:noProof/>
              <w:sz w:val="28"/>
              <w:szCs w:val="28"/>
            </w:rPr>
            <w:t>(Keay, 2009, p. 93)</w:t>
          </w:r>
          <w:r w:rsidR="000D285C" w:rsidRPr="00575C1C">
            <w:rPr>
              <w:sz w:val="28"/>
              <w:szCs w:val="28"/>
            </w:rPr>
            <w:fldChar w:fldCharType="end"/>
          </w:r>
        </w:sdtContent>
      </w:sdt>
      <w:r w:rsidR="000D285C" w:rsidRPr="00575C1C">
        <w:rPr>
          <w:sz w:val="28"/>
          <w:szCs w:val="28"/>
        </w:rPr>
        <w:t xml:space="preserve"> which, in a language as complex as Chinese, is no small feat that can be brushed under the rug. With this new standard, there would be no miscommunications regarding written language</w:t>
      </w:r>
      <w:r w:rsidR="00570790" w:rsidRPr="00575C1C">
        <w:rPr>
          <w:sz w:val="28"/>
          <w:szCs w:val="28"/>
        </w:rPr>
        <w:t xml:space="preserve"> which once would have posed a problem when a bureaucrat with a regional dialect of their own had to communicate with one from another region that had its own variations in dialect. </w:t>
      </w:r>
      <w:r w:rsidR="005D1DF9" w:rsidRPr="00575C1C">
        <w:rPr>
          <w:sz w:val="28"/>
          <w:szCs w:val="28"/>
        </w:rPr>
        <w:t xml:space="preserve">Not as monumental, but still nonetheless important, was the standardisation of weights, measures and currency. </w:t>
      </w:r>
      <w:r w:rsidR="00BD3EC9" w:rsidRPr="00575C1C">
        <w:rPr>
          <w:sz w:val="28"/>
          <w:szCs w:val="28"/>
        </w:rPr>
        <w:t>Currency was changed to “copper coins […]</w:t>
      </w:r>
      <w:r w:rsidR="005141C3" w:rsidRPr="00575C1C">
        <w:rPr>
          <w:sz w:val="28"/>
          <w:szCs w:val="28"/>
        </w:rPr>
        <w:t xml:space="preserve"> </w:t>
      </w:r>
      <w:r w:rsidR="00BD3EC9" w:rsidRPr="00575C1C">
        <w:rPr>
          <w:sz w:val="28"/>
          <w:szCs w:val="28"/>
        </w:rPr>
        <w:t xml:space="preserve">became standard tender throughout the empire […] and their design would last more than 2000 years” </w:t>
      </w:r>
      <w:sdt>
        <w:sdtPr>
          <w:rPr>
            <w:sz w:val="28"/>
            <w:szCs w:val="28"/>
          </w:rPr>
          <w:id w:val="-758292049"/>
          <w:citation/>
        </w:sdtPr>
        <w:sdtEndPr/>
        <w:sdtContent>
          <w:r w:rsidR="00BD3EC9" w:rsidRPr="00575C1C">
            <w:rPr>
              <w:sz w:val="28"/>
              <w:szCs w:val="28"/>
            </w:rPr>
            <w:fldChar w:fldCharType="begin"/>
          </w:r>
          <w:r w:rsidR="00BD3EC9" w:rsidRPr="00575C1C">
            <w:rPr>
              <w:sz w:val="28"/>
              <w:szCs w:val="28"/>
            </w:rPr>
            <w:instrText xml:space="preserve">CITATION Joh09 \p 92-93 \l 2057 </w:instrText>
          </w:r>
          <w:r w:rsidR="00BD3EC9" w:rsidRPr="00575C1C">
            <w:rPr>
              <w:sz w:val="28"/>
              <w:szCs w:val="28"/>
            </w:rPr>
            <w:fldChar w:fldCharType="separate"/>
          </w:r>
          <w:r w:rsidR="00BD3EC9" w:rsidRPr="00575C1C">
            <w:rPr>
              <w:noProof/>
              <w:sz w:val="28"/>
              <w:szCs w:val="28"/>
            </w:rPr>
            <w:t>(Keay, 2009, pp. 92-93)</w:t>
          </w:r>
          <w:r w:rsidR="00BD3EC9" w:rsidRPr="00575C1C">
            <w:rPr>
              <w:sz w:val="28"/>
              <w:szCs w:val="28"/>
            </w:rPr>
            <w:fldChar w:fldCharType="end"/>
          </w:r>
        </w:sdtContent>
      </w:sdt>
      <w:r w:rsidR="00BD3EC9" w:rsidRPr="00575C1C">
        <w:rPr>
          <w:sz w:val="28"/>
          <w:szCs w:val="28"/>
        </w:rPr>
        <w:t xml:space="preserve">. </w:t>
      </w:r>
      <w:proofErr w:type="spellStart"/>
      <w:r w:rsidR="00356317" w:rsidRPr="00575C1C">
        <w:rPr>
          <w:sz w:val="28"/>
          <w:szCs w:val="28"/>
        </w:rPr>
        <w:t>Keay</w:t>
      </w:r>
      <w:proofErr w:type="spellEnd"/>
      <w:r w:rsidR="00356317" w:rsidRPr="00575C1C">
        <w:rPr>
          <w:sz w:val="28"/>
          <w:szCs w:val="28"/>
        </w:rPr>
        <w:t xml:space="preserve"> also mentions that </w:t>
      </w:r>
      <w:r w:rsidR="005141C3" w:rsidRPr="00575C1C">
        <w:rPr>
          <w:sz w:val="28"/>
          <w:szCs w:val="28"/>
        </w:rPr>
        <w:t xml:space="preserve">“The standardisation of weights and measures was also extended throughout the empire, heavy penalties being prescribed for any variation beyond an acceptable factor” </w:t>
      </w:r>
      <w:sdt>
        <w:sdtPr>
          <w:rPr>
            <w:sz w:val="28"/>
            <w:szCs w:val="28"/>
          </w:rPr>
          <w:id w:val="-840848677"/>
          <w:citation/>
        </w:sdtPr>
        <w:sdtEndPr/>
        <w:sdtContent>
          <w:r w:rsidR="005141C3" w:rsidRPr="00575C1C">
            <w:rPr>
              <w:sz w:val="28"/>
              <w:szCs w:val="28"/>
            </w:rPr>
            <w:fldChar w:fldCharType="begin"/>
          </w:r>
          <w:r w:rsidR="005141C3" w:rsidRPr="00575C1C">
            <w:rPr>
              <w:sz w:val="28"/>
              <w:szCs w:val="28"/>
            </w:rPr>
            <w:instrText xml:space="preserve">CITATION Joh09 \p 93 \n  \l 2057 </w:instrText>
          </w:r>
          <w:r w:rsidR="005141C3" w:rsidRPr="00575C1C">
            <w:rPr>
              <w:sz w:val="28"/>
              <w:szCs w:val="28"/>
            </w:rPr>
            <w:fldChar w:fldCharType="separate"/>
          </w:r>
          <w:r w:rsidR="005141C3" w:rsidRPr="00575C1C">
            <w:rPr>
              <w:noProof/>
              <w:sz w:val="28"/>
              <w:szCs w:val="28"/>
            </w:rPr>
            <w:t>(2009, p. 93)</w:t>
          </w:r>
          <w:r w:rsidR="005141C3" w:rsidRPr="00575C1C">
            <w:rPr>
              <w:sz w:val="28"/>
              <w:szCs w:val="28"/>
            </w:rPr>
            <w:fldChar w:fldCharType="end"/>
          </w:r>
        </w:sdtContent>
      </w:sdt>
      <w:r w:rsidR="005141C3" w:rsidRPr="00575C1C">
        <w:rPr>
          <w:sz w:val="28"/>
          <w:szCs w:val="28"/>
        </w:rPr>
        <w:t>. Through all this standardisation of life, a bureaucratic and official sense of unity was established, meaning that the empire could function with a unified system.</w:t>
      </w:r>
    </w:p>
    <w:p w14:paraId="4822E80D" w14:textId="2809D772" w:rsidR="002F08E7" w:rsidRPr="00575C1C" w:rsidRDefault="005141C3" w:rsidP="003309E1">
      <w:pPr>
        <w:jc w:val="both"/>
        <w:rPr>
          <w:sz w:val="28"/>
          <w:szCs w:val="28"/>
        </w:rPr>
      </w:pPr>
      <w:r w:rsidRPr="00575C1C">
        <w:rPr>
          <w:sz w:val="28"/>
          <w:szCs w:val="28"/>
        </w:rPr>
        <w:t xml:space="preserve">Expanding on points made above, the bureaucracy of Qin was a </w:t>
      </w:r>
      <w:r w:rsidR="00F94971" w:rsidRPr="00575C1C">
        <w:rPr>
          <w:sz w:val="28"/>
          <w:szCs w:val="28"/>
        </w:rPr>
        <w:t>marvel of its time. Unlike the other contemporary states during the period, Qin was in a unique position</w:t>
      </w:r>
      <w:r w:rsidR="00D153DB" w:rsidRPr="00575C1C">
        <w:rPr>
          <w:sz w:val="28"/>
          <w:szCs w:val="28"/>
        </w:rPr>
        <w:t>,</w:t>
      </w:r>
      <w:r w:rsidR="00F94971" w:rsidRPr="00575C1C">
        <w:rPr>
          <w:sz w:val="28"/>
          <w:szCs w:val="28"/>
        </w:rPr>
        <w:t xml:space="preserve"> </w:t>
      </w:r>
      <w:r w:rsidR="00D153DB" w:rsidRPr="00575C1C">
        <w:rPr>
          <w:sz w:val="28"/>
          <w:szCs w:val="28"/>
        </w:rPr>
        <w:t xml:space="preserve">before they started their wars of unification, </w:t>
      </w:r>
      <w:r w:rsidR="00F94971" w:rsidRPr="00575C1C">
        <w:rPr>
          <w:sz w:val="28"/>
          <w:szCs w:val="28"/>
        </w:rPr>
        <w:t xml:space="preserve">as they had an </w:t>
      </w:r>
      <w:r w:rsidR="00F94971" w:rsidRPr="00575C1C">
        <w:rPr>
          <w:sz w:val="28"/>
          <w:szCs w:val="28"/>
        </w:rPr>
        <w:lastRenderedPageBreak/>
        <w:t xml:space="preserve">extended period of time where they were at peace. This time of peace allowed them to finely tune their bureaucracy by adding wider ranging ministerial positions, adding redundant posts and using a merit-based system of selection instead of by blood </w:t>
      </w:r>
      <w:sdt>
        <w:sdtPr>
          <w:rPr>
            <w:sz w:val="28"/>
            <w:szCs w:val="28"/>
          </w:rPr>
          <w:id w:val="1073854133"/>
          <w:citation/>
        </w:sdtPr>
        <w:sdtEndPr/>
        <w:sdtContent>
          <w:r w:rsidR="00F94971" w:rsidRPr="00575C1C">
            <w:rPr>
              <w:sz w:val="28"/>
              <w:szCs w:val="28"/>
            </w:rPr>
            <w:fldChar w:fldCharType="begin"/>
          </w:r>
          <w:r w:rsidR="00F94971" w:rsidRPr="00575C1C">
            <w:rPr>
              <w:sz w:val="28"/>
              <w:szCs w:val="28"/>
            </w:rPr>
            <w:instrText xml:space="preserve">CITATION Cai03 \p 514 \l 2057 </w:instrText>
          </w:r>
          <w:r w:rsidR="00F94971" w:rsidRPr="00575C1C">
            <w:rPr>
              <w:sz w:val="28"/>
              <w:szCs w:val="28"/>
            </w:rPr>
            <w:fldChar w:fldCharType="separate"/>
          </w:r>
          <w:r w:rsidR="00F94971" w:rsidRPr="00575C1C">
            <w:rPr>
              <w:noProof/>
              <w:sz w:val="28"/>
              <w:szCs w:val="28"/>
            </w:rPr>
            <w:t>(Kiser &amp; Yong, 2003, p. 514)</w:t>
          </w:r>
          <w:r w:rsidR="00F94971" w:rsidRPr="00575C1C">
            <w:rPr>
              <w:sz w:val="28"/>
              <w:szCs w:val="28"/>
            </w:rPr>
            <w:fldChar w:fldCharType="end"/>
          </w:r>
        </w:sdtContent>
      </w:sdt>
      <w:r w:rsidR="00F94971" w:rsidRPr="00575C1C">
        <w:rPr>
          <w:sz w:val="28"/>
          <w:szCs w:val="28"/>
        </w:rPr>
        <w:t xml:space="preserve">. Unlike the states who were constantly fighting, Qin could focus on making their systems work smoothly and have ministers with a greater amount of experience who would provide benefits in the long run as opposed to a state at war which would need solutions there and then with little concern for what came afterwards as that would be a problem for </w:t>
      </w:r>
      <w:r w:rsidR="00403D43" w:rsidRPr="00575C1C">
        <w:rPr>
          <w:sz w:val="28"/>
          <w:szCs w:val="28"/>
        </w:rPr>
        <w:t xml:space="preserve">after defeating or surviving their opponent. </w:t>
      </w:r>
      <w:r w:rsidR="00D153DB" w:rsidRPr="00575C1C">
        <w:rPr>
          <w:sz w:val="28"/>
          <w:szCs w:val="28"/>
        </w:rPr>
        <w:t>After unifying the country, the emperor altered the political landscape drastically with his reforms in which</w:t>
      </w:r>
      <w:r w:rsidR="002F08E7" w:rsidRPr="00575C1C">
        <w:rPr>
          <w:sz w:val="28"/>
          <w:szCs w:val="28"/>
        </w:rPr>
        <w:t>:</w:t>
      </w:r>
    </w:p>
    <w:p w14:paraId="20AEBEAE" w14:textId="2E9274D1" w:rsidR="002F08E7" w:rsidRPr="00575C1C" w:rsidRDefault="002F08E7" w:rsidP="002F08E7">
      <w:pPr>
        <w:jc w:val="center"/>
        <w:rPr>
          <w:sz w:val="28"/>
          <w:szCs w:val="28"/>
        </w:rPr>
      </w:pPr>
      <w:r w:rsidRPr="00575C1C">
        <w:rPr>
          <w:sz w:val="28"/>
          <w:szCs w:val="28"/>
        </w:rPr>
        <w:t xml:space="preserve">It established 36 original prefectures. </w:t>
      </w:r>
      <w:proofErr w:type="spellStart"/>
      <w:r w:rsidRPr="00575C1C">
        <w:rPr>
          <w:sz w:val="28"/>
          <w:szCs w:val="28"/>
        </w:rPr>
        <w:t>Neishi</w:t>
      </w:r>
      <w:proofErr w:type="spellEnd"/>
      <w:r w:rsidRPr="00575C1C">
        <w:rPr>
          <w:sz w:val="28"/>
          <w:szCs w:val="28"/>
        </w:rPr>
        <w:t xml:space="preserve"> was a parallel administrative unit alongside the prefectures and had jurisdiction over the counties surrounding the capital city. […] The Qin Empire encompassed 41 prefectures, excluding the areas governed by the </w:t>
      </w:r>
      <w:proofErr w:type="spellStart"/>
      <w:r w:rsidRPr="00575C1C">
        <w:rPr>
          <w:sz w:val="28"/>
          <w:szCs w:val="28"/>
        </w:rPr>
        <w:t>Neishi</w:t>
      </w:r>
      <w:proofErr w:type="spellEnd"/>
      <w:r w:rsidRPr="00575C1C">
        <w:rPr>
          <w:sz w:val="28"/>
          <w:szCs w:val="28"/>
        </w:rPr>
        <w:t xml:space="preserve">. A county was set up as an administrative unit inferior to a prefecture. In areas populated by ethnic minorities, the counties were called Dao. In total there were about 1,000 of these counties </w:t>
      </w:r>
      <w:sdt>
        <w:sdtPr>
          <w:rPr>
            <w:sz w:val="28"/>
            <w:szCs w:val="28"/>
          </w:rPr>
          <w:id w:val="1742833008"/>
          <w:citation/>
        </w:sdtPr>
        <w:sdtEndPr/>
        <w:sdtContent>
          <w:r w:rsidRPr="00575C1C">
            <w:rPr>
              <w:sz w:val="28"/>
              <w:szCs w:val="28"/>
            </w:rPr>
            <w:fldChar w:fldCharType="begin"/>
          </w:r>
          <w:r w:rsidRPr="00575C1C">
            <w:rPr>
              <w:sz w:val="28"/>
              <w:szCs w:val="28"/>
            </w:rPr>
            <w:instrText xml:space="preserve">CITATION Qiz15 \p 36 \l 2057 </w:instrText>
          </w:r>
          <w:r w:rsidRPr="00575C1C">
            <w:rPr>
              <w:sz w:val="28"/>
              <w:szCs w:val="28"/>
            </w:rPr>
            <w:fldChar w:fldCharType="separate"/>
          </w:r>
          <w:r w:rsidRPr="00575C1C">
            <w:rPr>
              <w:noProof/>
              <w:sz w:val="28"/>
              <w:szCs w:val="28"/>
            </w:rPr>
            <w:t>(Zhang, 2015, p. 36)</w:t>
          </w:r>
          <w:r w:rsidRPr="00575C1C">
            <w:rPr>
              <w:sz w:val="28"/>
              <w:szCs w:val="28"/>
            </w:rPr>
            <w:fldChar w:fldCharType="end"/>
          </w:r>
        </w:sdtContent>
      </w:sdt>
      <w:r w:rsidRPr="00575C1C">
        <w:rPr>
          <w:sz w:val="28"/>
          <w:szCs w:val="28"/>
        </w:rPr>
        <w:t>.</w:t>
      </w:r>
    </w:p>
    <w:p w14:paraId="0AA7FA9E" w14:textId="4A9D7C0E" w:rsidR="005141C3" w:rsidRPr="00575C1C" w:rsidRDefault="002F08E7" w:rsidP="003309E1">
      <w:pPr>
        <w:jc w:val="both"/>
        <w:rPr>
          <w:sz w:val="28"/>
          <w:szCs w:val="28"/>
        </w:rPr>
      </w:pPr>
      <w:r w:rsidRPr="00575C1C">
        <w:rPr>
          <w:sz w:val="28"/>
          <w:szCs w:val="28"/>
        </w:rPr>
        <w:t xml:space="preserve"> </w:t>
      </w:r>
      <w:r w:rsidR="00D153DB" w:rsidRPr="00575C1C">
        <w:rPr>
          <w:sz w:val="28"/>
          <w:szCs w:val="28"/>
        </w:rPr>
        <w:t xml:space="preserve">This huge change in the political landscape would require an efficient system to run, and Qin’s fortunate starting point had just the bureaucracy needed </w:t>
      </w:r>
      <w:r w:rsidRPr="00575C1C">
        <w:rPr>
          <w:sz w:val="28"/>
          <w:szCs w:val="28"/>
        </w:rPr>
        <w:t xml:space="preserve">for expansion </w:t>
      </w:r>
      <w:r w:rsidR="00D153DB" w:rsidRPr="00575C1C">
        <w:rPr>
          <w:sz w:val="28"/>
          <w:szCs w:val="28"/>
        </w:rPr>
        <w:t xml:space="preserve">to take on this role. </w:t>
      </w:r>
      <w:r w:rsidR="00D1491C" w:rsidRPr="00575C1C">
        <w:rPr>
          <w:sz w:val="28"/>
          <w:szCs w:val="28"/>
        </w:rPr>
        <w:t xml:space="preserve">Their already tuned bureaucracy could be applied to the newly formed empire, and the history the nation already had with a legalist system proved be an asset in this effort “The main thing that distinguishes China is the presence of an elaborate philosophical foundation for bureaucratisation in legalism – this seems to have facilitated the diffusion of the bureaucratic model” </w:t>
      </w:r>
      <w:sdt>
        <w:sdtPr>
          <w:rPr>
            <w:sz w:val="28"/>
            <w:szCs w:val="28"/>
          </w:rPr>
          <w:id w:val="889080085"/>
          <w:citation/>
        </w:sdtPr>
        <w:sdtEndPr/>
        <w:sdtContent>
          <w:r w:rsidR="00D1491C" w:rsidRPr="00575C1C">
            <w:rPr>
              <w:sz w:val="28"/>
              <w:szCs w:val="28"/>
            </w:rPr>
            <w:fldChar w:fldCharType="begin"/>
          </w:r>
          <w:r w:rsidR="00D1491C" w:rsidRPr="00575C1C">
            <w:rPr>
              <w:sz w:val="28"/>
              <w:szCs w:val="28"/>
            </w:rPr>
            <w:instrText xml:space="preserve">CITATION Cai03 \p 525 \l 2057 </w:instrText>
          </w:r>
          <w:r w:rsidR="00D1491C" w:rsidRPr="00575C1C">
            <w:rPr>
              <w:sz w:val="28"/>
              <w:szCs w:val="28"/>
            </w:rPr>
            <w:fldChar w:fldCharType="separate"/>
          </w:r>
          <w:r w:rsidR="00D1491C" w:rsidRPr="00575C1C">
            <w:rPr>
              <w:noProof/>
              <w:sz w:val="28"/>
              <w:szCs w:val="28"/>
            </w:rPr>
            <w:t>(Kiser &amp; Yong, 2003, p. 525)</w:t>
          </w:r>
          <w:r w:rsidR="00D1491C" w:rsidRPr="00575C1C">
            <w:rPr>
              <w:sz w:val="28"/>
              <w:szCs w:val="28"/>
            </w:rPr>
            <w:fldChar w:fldCharType="end"/>
          </w:r>
        </w:sdtContent>
      </w:sdt>
      <w:r w:rsidR="00D1491C" w:rsidRPr="00575C1C">
        <w:rPr>
          <w:sz w:val="28"/>
          <w:szCs w:val="28"/>
        </w:rPr>
        <w:t xml:space="preserve">; had they not had this model already in place in the home territory any new system they created would likely be cumbersome and inefficient for a long time whilst all the chinks were worked out through trial and error. This bureaucracy that Qin had before the conquest allowed them to establish control over their vastly expanded territories and can be summed up as a success, as Kiser and Yong say: “Although the Qin Dynasty itself lasted less than two decades, many of its administrative innovations lasted more than two millennia” </w:t>
      </w:r>
      <w:sdt>
        <w:sdtPr>
          <w:rPr>
            <w:sz w:val="28"/>
            <w:szCs w:val="28"/>
          </w:rPr>
          <w:id w:val="-1924560597"/>
          <w:citation/>
        </w:sdtPr>
        <w:sdtEndPr/>
        <w:sdtContent>
          <w:r w:rsidR="00D1491C" w:rsidRPr="00575C1C">
            <w:rPr>
              <w:sz w:val="28"/>
              <w:szCs w:val="28"/>
            </w:rPr>
            <w:fldChar w:fldCharType="begin"/>
          </w:r>
          <w:r w:rsidR="00D1491C" w:rsidRPr="00575C1C">
            <w:rPr>
              <w:sz w:val="28"/>
              <w:szCs w:val="28"/>
            </w:rPr>
            <w:instrText xml:space="preserve">CITATION Cai03 \p 512 \n  \l 2057 </w:instrText>
          </w:r>
          <w:r w:rsidR="00D1491C" w:rsidRPr="00575C1C">
            <w:rPr>
              <w:sz w:val="28"/>
              <w:szCs w:val="28"/>
            </w:rPr>
            <w:fldChar w:fldCharType="separate"/>
          </w:r>
          <w:r w:rsidR="00D1491C" w:rsidRPr="00575C1C">
            <w:rPr>
              <w:noProof/>
              <w:sz w:val="28"/>
              <w:szCs w:val="28"/>
            </w:rPr>
            <w:t>(2003, p. 512)</w:t>
          </w:r>
          <w:r w:rsidR="00D1491C" w:rsidRPr="00575C1C">
            <w:rPr>
              <w:sz w:val="28"/>
              <w:szCs w:val="28"/>
            </w:rPr>
            <w:fldChar w:fldCharType="end"/>
          </w:r>
        </w:sdtContent>
      </w:sdt>
      <w:r w:rsidR="00D1491C" w:rsidRPr="00575C1C">
        <w:rPr>
          <w:sz w:val="28"/>
          <w:szCs w:val="28"/>
        </w:rPr>
        <w:t xml:space="preserve"> which stands as a testament to their achievement.</w:t>
      </w:r>
    </w:p>
    <w:p w14:paraId="4307C80C" w14:textId="604B1199" w:rsidR="005015B4" w:rsidRPr="00575C1C" w:rsidRDefault="007D2D45" w:rsidP="003309E1">
      <w:pPr>
        <w:jc w:val="both"/>
        <w:rPr>
          <w:sz w:val="28"/>
          <w:szCs w:val="28"/>
        </w:rPr>
      </w:pPr>
      <w:r w:rsidRPr="00575C1C">
        <w:rPr>
          <w:sz w:val="28"/>
          <w:szCs w:val="28"/>
        </w:rPr>
        <w:t xml:space="preserve">In comparison to these two great accomplishments stands both a success and arguably their greatest failing: their over-zealous embrace of legalism. </w:t>
      </w:r>
      <w:r w:rsidR="00692F02" w:rsidRPr="00575C1C">
        <w:rPr>
          <w:sz w:val="28"/>
          <w:szCs w:val="28"/>
        </w:rPr>
        <w:t xml:space="preserve">The </w:t>
      </w:r>
      <w:r w:rsidR="00692F02" w:rsidRPr="00575C1C">
        <w:rPr>
          <w:sz w:val="28"/>
          <w:szCs w:val="28"/>
        </w:rPr>
        <w:lastRenderedPageBreak/>
        <w:t xml:space="preserve">philosophy was originally brought by Lord Shang in 361 BCE, during the declining Zhou Dynasty, and helped drastically improve the kingdom, which at the time was considered </w:t>
      </w:r>
      <w:r w:rsidR="00605D91" w:rsidRPr="00575C1C">
        <w:rPr>
          <w:sz w:val="28"/>
          <w:szCs w:val="28"/>
        </w:rPr>
        <w:t>‘</w:t>
      </w:r>
      <w:r w:rsidR="00692F02" w:rsidRPr="00575C1C">
        <w:rPr>
          <w:sz w:val="28"/>
          <w:szCs w:val="28"/>
        </w:rPr>
        <w:t>rough</w:t>
      </w:r>
      <w:r w:rsidR="00605D91" w:rsidRPr="00575C1C">
        <w:rPr>
          <w:sz w:val="28"/>
          <w:szCs w:val="28"/>
        </w:rPr>
        <w:t>’</w:t>
      </w:r>
      <w:r w:rsidR="00692F02" w:rsidRPr="00575C1C">
        <w:rPr>
          <w:sz w:val="28"/>
          <w:szCs w:val="28"/>
        </w:rPr>
        <w:t xml:space="preserve"> and </w:t>
      </w:r>
      <w:r w:rsidR="00605D91" w:rsidRPr="00575C1C">
        <w:rPr>
          <w:sz w:val="28"/>
          <w:szCs w:val="28"/>
        </w:rPr>
        <w:t>‘</w:t>
      </w:r>
      <w:r w:rsidR="00692F02" w:rsidRPr="00575C1C">
        <w:rPr>
          <w:sz w:val="28"/>
          <w:szCs w:val="28"/>
        </w:rPr>
        <w:t>uncultured</w:t>
      </w:r>
      <w:r w:rsidR="00605D91" w:rsidRPr="00575C1C">
        <w:rPr>
          <w:sz w:val="28"/>
          <w:szCs w:val="28"/>
        </w:rPr>
        <w:t>’</w:t>
      </w:r>
      <w:r w:rsidR="00692F02" w:rsidRPr="00575C1C">
        <w:rPr>
          <w:sz w:val="28"/>
          <w:szCs w:val="28"/>
        </w:rPr>
        <w:t xml:space="preserve"> </w:t>
      </w:r>
      <w:sdt>
        <w:sdtPr>
          <w:rPr>
            <w:sz w:val="28"/>
            <w:szCs w:val="28"/>
          </w:rPr>
          <w:id w:val="-21402197"/>
          <w:citation/>
        </w:sdtPr>
        <w:sdtEndPr/>
        <w:sdtContent>
          <w:r w:rsidR="00692F02" w:rsidRPr="00575C1C">
            <w:rPr>
              <w:sz w:val="28"/>
              <w:szCs w:val="28"/>
            </w:rPr>
            <w:fldChar w:fldCharType="begin"/>
          </w:r>
          <w:r w:rsidR="00692F02" w:rsidRPr="00575C1C">
            <w:rPr>
              <w:sz w:val="28"/>
              <w:szCs w:val="28"/>
            </w:rPr>
            <w:instrText xml:space="preserve">CITATION Pat96 \p 60 \l 2057 </w:instrText>
          </w:r>
          <w:r w:rsidR="00692F02" w:rsidRPr="00575C1C">
            <w:rPr>
              <w:sz w:val="28"/>
              <w:szCs w:val="28"/>
            </w:rPr>
            <w:fldChar w:fldCharType="separate"/>
          </w:r>
          <w:r w:rsidR="00692F02" w:rsidRPr="00575C1C">
            <w:rPr>
              <w:noProof/>
              <w:sz w:val="28"/>
              <w:szCs w:val="28"/>
            </w:rPr>
            <w:t>(Ebrey, 1996, p. 60)</w:t>
          </w:r>
          <w:r w:rsidR="00692F02" w:rsidRPr="00575C1C">
            <w:rPr>
              <w:sz w:val="28"/>
              <w:szCs w:val="28"/>
            </w:rPr>
            <w:fldChar w:fldCharType="end"/>
          </w:r>
        </w:sdtContent>
      </w:sdt>
      <w:r w:rsidR="00692F02" w:rsidRPr="00575C1C">
        <w:rPr>
          <w:sz w:val="28"/>
          <w:szCs w:val="28"/>
        </w:rPr>
        <w:t xml:space="preserve">. Through these reforms, Qin was strengthened and “By the third century BCE, the people of Qin had become exceptionally law-abiding, agricultural production had been increased, and direct taxation was brining substantial revenues to the king’s coffers” </w:t>
      </w:r>
      <w:sdt>
        <w:sdtPr>
          <w:rPr>
            <w:sz w:val="28"/>
            <w:szCs w:val="28"/>
          </w:rPr>
          <w:id w:val="1267743005"/>
          <w:citation/>
        </w:sdtPr>
        <w:sdtEndPr/>
        <w:sdtContent>
          <w:r w:rsidR="00692F02" w:rsidRPr="00575C1C">
            <w:rPr>
              <w:sz w:val="28"/>
              <w:szCs w:val="28"/>
            </w:rPr>
            <w:fldChar w:fldCharType="begin"/>
          </w:r>
          <w:r w:rsidR="00692F02" w:rsidRPr="00575C1C">
            <w:rPr>
              <w:sz w:val="28"/>
              <w:szCs w:val="28"/>
            </w:rPr>
            <w:instrText xml:space="preserve">CITATION Pat96 \p 60 \l 2057 </w:instrText>
          </w:r>
          <w:r w:rsidR="00692F02" w:rsidRPr="00575C1C">
            <w:rPr>
              <w:sz w:val="28"/>
              <w:szCs w:val="28"/>
            </w:rPr>
            <w:fldChar w:fldCharType="separate"/>
          </w:r>
          <w:r w:rsidR="00692F02" w:rsidRPr="00575C1C">
            <w:rPr>
              <w:noProof/>
              <w:sz w:val="28"/>
              <w:szCs w:val="28"/>
            </w:rPr>
            <w:t>(Ebrey, 1996, p. 60)</w:t>
          </w:r>
          <w:r w:rsidR="00692F02" w:rsidRPr="00575C1C">
            <w:rPr>
              <w:sz w:val="28"/>
              <w:szCs w:val="28"/>
            </w:rPr>
            <w:fldChar w:fldCharType="end"/>
          </w:r>
        </w:sdtContent>
      </w:sdt>
      <w:r w:rsidR="00692F02" w:rsidRPr="00575C1C">
        <w:rPr>
          <w:sz w:val="28"/>
          <w:szCs w:val="28"/>
        </w:rPr>
        <w:t xml:space="preserve">. This statement can be taken two ways: the people of Qin were prosperous because legalism helped stabilise their society or they stayed in line because they feared of legalism. Most scholars of the Han Dynasty and many after would allocate the situation to the latter, and it is understandable why they hold such a sentiment as the legalism of both the empire and kingdom were brutal. </w:t>
      </w:r>
      <w:r w:rsidR="00605D91" w:rsidRPr="00575C1C">
        <w:rPr>
          <w:sz w:val="28"/>
          <w:szCs w:val="28"/>
        </w:rPr>
        <w:t xml:space="preserve">Drawing particular attention to the empire, punishments were totally unforgiving, as illustrated by “under some circumstances the theft of a single coin could result in the amputation of a foot, plus tattooing of the torso (a particularly degrading form of disfigurement) and hard labour” </w:t>
      </w:r>
      <w:sdt>
        <w:sdtPr>
          <w:rPr>
            <w:sz w:val="28"/>
            <w:szCs w:val="28"/>
          </w:rPr>
          <w:id w:val="-2017070845"/>
          <w:citation/>
        </w:sdtPr>
        <w:sdtEndPr/>
        <w:sdtContent>
          <w:r w:rsidR="00605D91" w:rsidRPr="00575C1C">
            <w:rPr>
              <w:sz w:val="28"/>
              <w:szCs w:val="28"/>
            </w:rPr>
            <w:fldChar w:fldCharType="begin"/>
          </w:r>
          <w:r w:rsidR="00605D91" w:rsidRPr="00575C1C">
            <w:rPr>
              <w:sz w:val="28"/>
              <w:szCs w:val="28"/>
            </w:rPr>
            <w:instrText xml:space="preserve">CITATION Joh09 \p 92 \l 2057 </w:instrText>
          </w:r>
          <w:r w:rsidR="00605D91" w:rsidRPr="00575C1C">
            <w:rPr>
              <w:sz w:val="28"/>
              <w:szCs w:val="28"/>
            </w:rPr>
            <w:fldChar w:fldCharType="separate"/>
          </w:r>
          <w:r w:rsidR="00605D91" w:rsidRPr="00575C1C">
            <w:rPr>
              <w:noProof/>
              <w:sz w:val="28"/>
              <w:szCs w:val="28"/>
            </w:rPr>
            <w:t>(Keay, 2009, p. 92)</w:t>
          </w:r>
          <w:r w:rsidR="00605D91" w:rsidRPr="00575C1C">
            <w:rPr>
              <w:sz w:val="28"/>
              <w:szCs w:val="28"/>
            </w:rPr>
            <w:fldChar w:fldCharType="end"/>
          </w:r>
        </w:sdtContent>
      </w:sdt>
      <w:r w:rsidR="00605D91" w:rsidRPr="00575C1C">
        <w:rPr>
          <w:sz w:val="28"/>
          <w:szCs w:val="28"/>
        </w:rPr>
        <w:t>.</w:t>
      </w:r>
      <w:r w:rsidR="00322298" w:rsidRPr="00575C1C">
        <w:rPr>
          <w:sz w:val="28"/>
          <w:szCs w:val="28"/>
        </w:rPr>
        <w:t xml:space="preserve"> As consolation for the extreme punishments, the justice system as a whole was well regulated and was relatively accessible to the population. The system required the public to understand and report crimes to their local official, who would then send it up the bureaucratic ladder; the practice was influenced by Shang Yang, the common people of Qin were educated about the law. It was permitted for commoners to inform law officials of other’s crimes, which shows that they had some understanding of the law. Denunciation was the first step in many legal proceedings </w:t>
      </w:r>
      <w:sdt>
        <w:sdtPr>
          <w:rPr>
            <w:sz w:val="28"/>
            <w:szCs w:val="28"/>
          </w:rPr>
          <w:id w:val="1407652275"/>
          <w:citation/>
        </w:sdtPr>
        <w:sdtEndPr/>
        <w:sdtContent>
          <w:r w:rsidR="00322298" w:rsidRPr="00575C1C">
            <w:rPr>
              <w:sz w:val="28"/>
              <w:szCs w:val="28"/>
            </w:rPr>
            <w:fldChar w:fldCharType="begin"/>
          </w:r>
          <w:r w:rsidR="00322298" w:rsidRPr="00575C1C">
            <w:rPr>
              <w:sz w:val="28"/>
              <w:szCs w:val="28"/>
            </w:rPr>
            <w:instrText xml:space="preserve">CITATION Cha10 \p 692-693 \l 2057 </w:instrText>
          </w:r>
          <w:r w:rsidR="00322298" w:rsidRPr="00575C1C">
            <w:rPr>
              <w:sz w:val="28"/>
              <w:szCs w:val="28"/>
            </w:rPr>
            <w:fldChar w:fldCharType="separate"/>
          </w:r>
          <w:r w:rsidR="00322298" w:rsidRPr="00575C1C">
            <w:rPr>
              <w:noProof/>
              <w:sz w:val="28"/>
              <w:szCs w:val="28"/>
            </w:rPr>
            <w:t>(Sanft, 2010, pp. 692-693)</w:t>
          </w:r>
          <w:r w:rsidR="00322298" w:rsidRPr="00575C1C">
            <w:rPr>
              <w:sz w:val="28"/>
              <w:szCs w:val="28"/>
            </w:rPr>
            <w:fldChar w:fldCharType="end"/>
          </w:r>
        </w:sdtContent>
      </w:sdt>
      <w:r w:rsidR="00322298" w:rsidRPr="00575C1C">
        <w:rPr>
          <w:sz w:val="28"/>
          <w:szCs w:val="28"/>
        </w:rPr>
        <w:t xml:space="preserve">. Aiding this process was the advanced bureaucracy as the public could inform on any person within the system and they would be tried equally as all are equal under the law. The legalism that helped prop up the state also worked tirelessly against </w:t>
      </w:r>
      <w:r w:rsidR="005015B4" w:rsidRPr="00575C1C">
        <w:rPr>
          <w:sz w:val="28"/>
          <w:szCs w:val="28"/>
        </w:rPr>
        <w:t>them and</w:t>
      </w:r>
      <w:r w:rsidR="00322298" w:rsidRPr="00575C1C">
        <w:rPr>
          <w:sz w:val="28"/>
          <w:szCs w:val="28"/>
        </w:rPr>
        <w:t xml:space="preserve"> is one of the largest factors involving their demise. </w:t>
      </w:r>
      <w:r w:rsidR="005015B4" w:rsidRPr="00575C1C">
        <w:rPr>
          <w:sz w:val="28"/>
          <w:szCs w:val="28"/>
        </w:rPr>
        <w:t>Because of the extremity of the punishments the populace would undoubtedly become disillusioned with the government, even the smallest transgression will get you punished in an excessive manner. During the insurrection that began the downfall of the Qin, the leaders were seeking a justification for their actions and in discussing this:</w:t>
      </w:r>
    </w:p>
    <w:p w14:paraId="17789B04" w14:textId="5D7B5969" w:rsidR="008C1DFE" w:rsidRPr="00575C1C" w:rsidRDefault="005015B4" w:rsidP="005015B4">
      <w:pPr>
        <w:jc w:val="center"/>
        <w:rPr>
          <w:sz w:val="28"/>
          <w:szCs w:val="28"/>
        </w:rPr>
      </w:pPr>
      <w:r w:rsidRPr="00575C1C">
        <w:rPr>
          <w:sz w:val="28"/>
          <w:szCs w:val="28"/>
        </w:rPr>
        <w:t xml:space="preserve">[Wu Pi] emphasising a number of reasons popular sentiment had been so strongly against the Qin. A number of reasons he gives were based on assertions about the harshness of the Qin penal system, though he mentions other factors as well, including excessive taxation and demands for labour </w:t>
      </w:r>
      <w:r w:rsidRPr="00575C1C">
        <w:rPr>
          <w:sz w:val="28"/>
          <w:szCs w:val="28"/>
        </w:rPr>
        <w:lastRenderedPageBreak/>
        <w:t xml:space="preserve">service. Through these acts, the Qin had gradually turned the populace against them </w:t>
      </w:r>
      <w:sdt>
        <w:sdtPr>
          <w:rPr>
            <w:sz w:val="28"/>
            <w:szCs w:val="28"/>
          </w:rPr>
          <w:id w:val="495856667"/>
          <w:citation/>
        </w:sdtPr>
        <w:sdtEndPr/>
        <w:sdtContent>
          <w:r w:rsidRPr="00575C1C">
            <w:rPr>
              <w:sz w:val="28"/>
              <w:szCs w:val="28"/>
            </w:rPr>
            <w:fldChar w:fldCharType="begin"/>
          </w:r>
          <w:r w:rsidRPr="00575C1C">
            <w:rPr>
              <w:sz w:val="28"/>
              <w:szCs w:val="28"/>
            </w:rPr>
            <w:instrText xml:space="preserve">CITATION Cha10 \p 704-705 \l 2057 </w:instrText>
          </w:r>
          <w:r w:rsidRPr="00575C1C">
            <w:rPr>
              <w:sz w:val="28"/>
              <w:szCs w:val="28"/>
            </w:rPr>
            <w:fldChar w:fldCharType="separate"/>
          </w:r>
          <w:r w:rsidRPr="00575C1C">
            <w:rPr>
              <w:noProof/>
              <w:sz w:val="28"/>
              <w:szCs w:val="28"/>
            </w:rPr>
            <w:t>(Sanft, 2010, pp. 704-705)</w:t>
          </w:r>
          <w:r w:rsidRPr="00575C1C">
            <w:rPr>
              <w:sz w:val="28"/>
              <w:szCs w:val="28"/>
            </w:rPr>
            <w:fldChar w:fldCharType="end"/>
          </w:r>
        </w:sdtContent>
      </w:sdt>
      <w:r w:rsidRPr="00575C1C">
        <w:rPr>
          <w:sz w:val="28"/>
          <w:szCs w:val="28"/>
        </w:rPr>
        <w:t>.</w:t>
      </w:r>
    </w:p>
    <w:p w14:paraId="6021FC5E" w14:textId="5948B7DA" w:rsidR="005015B4" w:rsidRPr="00575C1C" w:rsidRDefault="005015B4" w:rsidP="005015B4">
      <w:pPr>
        <w:rPr>
          <w:sz w:val="28"/>
          <w:szCs w:val="28"/>
        </w:rPr>
      </w:pPr>
      <w:r w:rsidRPr="00575C1C">
        <w:rPr>
          <w:sz w:val="28"/>
          <w:szCs w:val="28"/>
        </w:rPr>
        <w:t>Although no one could openly say it when in areas where others would hear, it can be implied virtually all the population were buckling under the system and would follow anyone who would remove it, as the Han Dynasty did. Under these circumstances, it would not be too great a leap of logic to compare the system of reporting used in Qin to that of McCarthyism</w:t>
      </w:r>
      <w:r w:rsidR="00B77218" w:rsidRPr="00575C1C">
        <w:rPr>
          <w:sz w:val="28"/>
          <w:szCs w:val="28"/>
        </w:rPr>
        <w:t xml:space="preserve"> in the 1940s and 1950s.</w:t>
      </w:r>
      <w:r w:rsidRPr="00575C1C">
        <w:rPr>
          <w:sz w:val="28"/>
          <w:szCs w:val="28"/>
        </w:rPr>
        <w:t xml:space="preserve"> </w:t>
      </w:r>
      <w:r w:rsidR="00B77218" w:rsidRPr="00575C1C">
        <w:rPr>
          <w:sz w:val="28"/>
          <w:szCs w:val="28"/>
        </w:rPr>
        <w:t>The</w:t>
      </w:r>
      <w:r w:rsidRPr="00575C1C">
        <w:rPr>
          <w:sz w:val="28"/>
          <w:szCs w:val="28"/>
        </w:rPr>
        <w:t xml:space="preserve"> terror that </w:t>
      </w:r>
      <w:r w:rsidR="00B77218" w:rsidRPr="00575C1C">
        <w:rPr>
          <w:sz w:val="28"/>
          <w:szCs w:val="28"/>
        </w:rPr>
        <w:t>McCarthyism</w:t>
      </w:r>
      <w:r w:rsidRPr="00575C1C">
        <w:rPr>
          <w:sz w:val="28"/>
          <w:szCs w:val="28"/>
        </w:rPr>
        <w:t xml:space="preserve"> induced in the population</w:t>
      </w:r>
      <w:r w:rsidR="00B77218" w:rsidRPr="00575C1C">
        <w:rPr>
          <w:sz w:val="28"/>
          <w:szCs w:val="28"/>
        </w:rPr>
        <w:t xml:space="preserve"> was huge as e</w:t>
      </w:r>
      <w:r w:rsidRPr="00575C1C">
        <w:rPr>
          <w:sz w:val="28"/>
          <w:szCs w:val="28"/>
        </w:rPr>
        <w:t>ven saying one wrong thing or acting suspicious in any way would get you tried for communist sympathies in this case</w:t>
      </w:r>
      <w:r w:rsidR="00B77218" w:rsidRPr="00575C1C">
        <w:rPr>
          <w:sz w:val="28"/>
          <w:szCs w:val="28"/>
        </w:rPr>
        <w:t xml:space="preserve">. In a similar vein, during Qin “Criticism of the government was not tolerated by the First Emperor” </w:t>
      </w:r>
      <w:sdt>
        <w:sdtPr>
          <w:rPr>
            <w:sz w:val="28"/>
            <w:szCs w:val="28"/>
          </w:rPr>
          <w:id w:val="-1536881961"/>
          <w:citation/>
        </w:sdtPr>
        <w:sdtEndPr/>
        <w:sdtContent>
          <w:r w:rsidR="00B77218" w:rsidRPr="00575C1C">
            <w:rPr>
              <w:sz w:val="28"/>
              <w:szCs w:val="28"/>
            </w:rPr>
            <w:fldChar w:fldCharType="begin"/>
          </w:r>
          <w:r w:rsidR="00B77218" w:rsidRPr="00575C1C">
            <w:rPr>
              <w:sz w:val="28"/>
              <w:szCs w:val="28"/>
            </w:rPr>
            <w:instrText xml:space="preserve">CITATION Pat96 \p 61 \l 2057 </w:instrText>
          </w:r>
          <w:r w:rsidR="00B77218" w:rsidRPr="00575C1C">
            <w:rPr>
              <w:sz w:val="28"/>
              <w:szCs w:val="28"/>
            </w:rPr>
            <w:fldChar w:fldCharType="separate"/>
          </w:r>
          <w:r w:rsidR="00B77218" w:rsidRPr="00575C1C">
            <w:rPr>
              <w:noProof/>
              <w:sz w:val="28"/>
              <w:szCs w:val="28"/>
            </w:rPr>
            <w:t>(Ebrey, 1996, p. 61)</w:t>
          </w:r>
          <w:r w:rsidR="00B77218" w:rsidRPr="00575C1C">
            <w:rPr>
              <w:sz w:val="28"/>
              <w:szCs w:val="28"/>
            </w:rPr>
            <w:fldChar w:fldCharType="end"/>
          </w:r>
        </w:sdtContent>
      </w:sdt>
      <w:r w:rsidR="00B77218" w:rsidRPr="00575C1C">
        <w:rPr>
          <w:sz w:val="28"/>
          <w:szCs w:val="28"/>
        </w:rPr>
        <w:t xml:space="preserve"> and to add more evidence showing the brutality of legalism when scholar’s opposed the suppression of all other schools of thought and knowledge as a whole “Recalcitrant scholars were also suppressed – tradition holds that 460 were buried alive in a common grave as a warning against defiance of the emperor’s orders” </w:t>
      </w:r>
      <w:sdt>
        <w:sdtPr>
          <w:rPr>
            <w:sz w:val="28"/>
            <w:szCs w:val="28"/>
          </w:rPr>
          <w:id w:val="1439721709"/>
          <w:citation/>
        </w:sdtPr>
        <w:sdtEndPr/>
        <w:sdtContent>
          <w:r w:rsidR="00B77218" w:rsidRPr="00575C1C">
            <w:rPr>
              <w:sz w:val="28"/>
              <w:szCs w:val="28"/>
            </w:rPr>
            <w:fldChar w:fldCharType="begin"/>
          </w:r>
          <w:r w:rsidR="00B77218" w:rsidRPr="00575C1C">
            <w:rPr>
              <w:sz w:val="28"/>
              <w:szCs w:val="28"/>
            </w:rPr>
            <w:instrText xml:space="preserve">CITATION Pat96 \p 63 \l 2057 </w:instrText>
          </w:r>
          <w:r w:rsidR="00B77218" w:rsidRPr="00575C1C">
            <w:rPr>
              <w:sz w:val="28"/>
              <w:szCs w:val="28"/>
            </w:rPr>
            <w:fldChar w:fldCharType="separate"/>
          </w:r>
          <w:r w:rsidR="00B77218" w:rsidRPr="00575C1C">
            <w:rPr>
              <w:noProof/>
              <w:sz w:val="28"/>
              <w:szCs w:val="28"/>
            </w:rPr>
            <w:t>(Ebrey, 1996, p. 63)</w:t>
          </w:r>
          <w:r w:rsidR="00B77218" w:rsidRPr="00575C1C">
            <w:rPr>
              <w:sz w:val="28"/>
              <w:szCs w:val="28"/>
            </w:rPr>
            <w:fldChar w:fldCharType="end"/>
          </w:r>
        </w:sdtContent>
      </w:sdt>
      <w:r w:rsidR="00B77218" w:rsidRPr="00575C1C">
        <w:rPr>
          <w:sz w:val="28"/>
          <w:szCs w:val="28"/>
        </w:rPr>
        <w:t>. Brutality toward petty criminal</w:t>
      </w:r>
      <w:r w:rsidR="001B1CE1" w:rsidRPr="00575C1C">
        <w:rPr>
          <w:sz w:val="28"/>
          <w:szCs w:val="28"/>
        </w:rPr>
        <w:t>s</w:t>
      </w:r>
      <w:r w:rsidR="00B77218" w:rsidRPr="00575C1C">
        <w:rPr>
          <w:sz w:val="28"/>
          <w:szCs w:val="28"/>
        </w:rPr>
        <w:t xml:space="preserve"> </w:t>
      </w:r>
      <w:r w:rsidR="00E845D8" w:rsidRPr="00575C1C">
        <w:rPr>
          <w:sz w:val="28"/>
          <w:szCs w:val="28"/>
        </w:rPr>
        <w:t>whose</w:t>
      </w:r>
      <w:r w:rsidR="00B77218" w:rsidRPr="00575C1C">
        <w:rPr>
          <w:sz w:val="28"/>
          <w:szCs w:val="28"/>
        </w:rPr>
        <w:t xml:space="preserve"> offence w</w:t>
      </w:r>
      <w:r w:rsidR="001B1CE1" w:rsidRPr="00575C1C">
        <w:rPr>
          <w:sz w:val="28"/>
          <w:szCs w:val="28"/>
        </w:rPr>
        <w:t>ere</w:t>
      </w:r>
      <w:r w:rsidR="00B77218" w:rsidRPr="00575C1C">
        <w:rPr>
          <w:sz w:val="28"/>
          <w:szCs w:val="28"/>
        </w:rPr>
        <w:t xml:space="preserve"> minor misdemeanour</w:t>
      </w:r>
      <w:r w:rsidR="001B1CE1" w:rsidRPr="00575C1C">
        <w:rPr>
          <w:sz w:val="28"/>
          <w:szCs w:val="28"/>
        </w:rPr>
        <w:t>s</w:t>
      </w:r>
      <w:r w:rsidR="00B77218" w:rsidRPr="00575C1C">
        <w:rPr>
          <w:sz w:val="28"/>
          <w:szCs w:val="28"/>
        </w:rPr>
        <w:t xml:space="preserve">, to scholars who opposed the emperor for fear of thought control and violent murderers, all were seen as deserving of the same treatment and penalties for better and for worse. All of these underlying disgruntlements with legalism eventually built up and boiled over and aided the downfall of the Qin dynasty. </w:t>
      </w:r>
    </w:p>
    <w:p w14:paraId="33EB99AF" w14:textId="2F51F383" w:rsidR="00BD0FCA" w:rsidRPr="00575C1C" w:rsidRDefault="00BD0FCA" w:rsidP="003309E1">
      <w:pPr>
        <w:jc w:val="both"/>
        <w:rPr>
          <w:sz w:val="28"/>
          <w:szCs w:val="28"/>
        </w:rPr>
      </w:pPr>
      <w:r w:rsidRPr="00575C1C">
        <w:rPr>
          <w:sz w:val="28"/>
          <w:szCs w:val="28"/>
        </w:rPr>
        <w:t>The Qin Dynasty had many successes and many failures.</w:t>
      </w:r>
      <w:r w:rsidR="00570790" w:rsidRPr="00575C1C">
        <w:rPr>
          <w:sz w:val="28"/>
          <w:szCs w:val="28"/>
        </w:rPr>
        <w:t xml:space="preserve"> </w:t>
      </w:r>
      <w:r w:rsidR="001B6961" w:rsidRPr="00575C1C">
        <w:rPr>
          <w:sz w:val="28"/>
          <w:szCs w:val="28"/>
        </w:rPr>
        <w:t xml:space="preserve">An important lesson that can be drawn from the successes of standardisation is that it will help maintain cohesion of a new empire, and remove obstacles to uniformity in communication, trade and linguistic understanding. </w:t>
      </w:r>
      <w:r w:rsidR="007D10D6" w:rsidRPr="00575C1C">
        <w:rPr>
          <w:sz w:val="28"/>
          <w:szCs w:val="28"/>
        </w:rPr>
        <w:t xml:space="preserve">Looking at their legal reforms from a purely logical standpoint, they’re a great success as they </w:t>
      </w:r>
      <w:r w:rsidR="00E845D8" w:rsidRPr="00575C1C">
        <w:rPr>
          <w:sz w:val="28"/>
          <w:szCs w:val="28"/>
        </w:rPr>
        <w:t xml:space="preserve">effectively kept the newly conquered population in line whilst the empire was consolidated. But this success was also the greatest failing, as it showed that an extreme legal system will lead to a very disillusioned populace and help lay the groundwork for rebellion and defiance. </w:t>
      </w:r>
      <w:r w:rsidR="00A318BC" w:rsidRPr="00575C1C">
        <w:rPr>
          <w:sz w:val="28"/>
          <w:szCs w:val="28"/>
        </w:rPr>
        <w:t>Qin may have been short-lived, but its influence on Chinese history is undeniable, and the lessons learned by successive dynasties following Qin both learned from and repeated its mistakes.</w:t>
      </w:r>
      <w:bookmarkStart w:id="0" w:name="_GoBack"/>
      <w:bookmarkEnd w:id="0"/>
    </w:p>
    <w:sdt>
      <w:sdtPr>
        <w:rPr>
          <w:rFonts w:asciiTheme="minorHAnsi" w:eastAsiaTheme="minorEastAsia" w:hAnsiTheme="minorHAnsi" w:cstheme="minorBidi"/>
          <w:color w:val="auto"/>
          <w:sz w:val="22"/>
          <w:szCs w:val="22"/>
          <w:lang w:val="en-GB" w:eastAsia="ja-JP"/>
        </w:rPr>
        <w:id w:val="-498267384"/>
        <w:docPartObj>
          <w:docPartGallery w:val="Bibliographies"/>
          <w:docPartUnique/>
        </w:docPartObj>
      </w:sdtPr>
      <w:sdtEndPr/>
      <w:sdtContent>
        <w:p w14:paraId="2908D8D1" w14:textId="77777777" w:rsidR="00472E6A" w:rsidRDefault="00472E6A" w:rsidP="003309E1">
          <w:pPr>
            <w:pStyle w:val="Heading1"/>
            <w:jc w:val="both"/>
          </w:pPr>
          <w:r>
            <w:t>Bibliography</w:t>
          </w:r>
        </w:p>
        <w:sdt>
          <w:sdtPr>
            <w:id w:val="111145805"/>
            <w:bibliography/>
          </w:sdtPr>
          <w:sdtEndPr/>
          <w:sdtContent>
            <w:p w14:paraId="58E54B41" w14:textId="77777777" w:rsidR="007F0BA1" w:rsidRDefault="00472E6A" w:rsidP="003309E1">
              <w:pPr>
                <w:pStyle w:val="Bibliography"/>
                <w:jc w:val="both"/>
                <w:rPr>
                  <w:noProof/>
                  <w:sz w:val="24"/>
                  <w:szCs w:val="24"/>
                  <w:lang w:val="en-US"/>
                </w:rPr>
              </w:pPr>
              <w:r>
                <w:fldChar w:fldCharType="begin"/>
              </w:r>
              <w:r>
                <w:instrText xml:space="preserve"> BIBLIOGRAPHY </w:instrText>
              </w:r>
              <w:r>
                <w:fldChar w:fldCharType="separate"/>
              </w:r>
              <w:r w:rsidR="007F0BA1">
                <w:rPr>
                  <w:noProof/>
                  <w:lang w:val="en-US"/>
                </w:rPr>
                <w:t xml:space="preserve">Ebrey, P. B., 1996. </w:t>
              </w:r>
              <w:r w:rsidR="007F0BA1">
                <w:rPr>
                  <w:i/>
                  <w:iCs/>
                  <w:noProof/>
                  <w:lang w:val="en-US"/>
                </w:rPr>
                <w:t xml:space="preserve">The Cambridge Illustrated History of China. </w:t>
              </w:r>
              <w:r w:rsidR="007F0BA1">
                <w:rPr>
                  <w:noProof/>
                  <w:lang w:val="en-US"/>
                </w:rPr>
                <w:t>Cambridge: Press Syndicate of the University of Cambridge.</w:t>
              </w:r>
            </w:p>
            <w:p w14:paraId="6F84EF67" w14:textId="77777777" w:rsidR="007F0BA1" w:rsidRDefault="007F0BA1" w:rsidP="003309E1">
              <w:pPr>
                <w:pStyle w:val="Bibliography"/>
                <w:jc w:val="both"/>
                <w:rPr>
                  <w:noProof/>
                  <w:lang w:val="en-US"/>
                </w:rPr>
              </w:pPr>
              <w:r>
                <w:rPr>
                  <w:noProof/>
                  <w:lang w:val="en-US"/>
                </w:rPr>
                <w:t xml:space="preserve">Keay, J., 2009. </w:t>
              </w:r>
              <w:r>
                <w:rPr>
                  <w:i/>
                  <w:iCs/>
                  <w:noProof/>
                  <w:lang w:val="en-US"/>
                </w:rPr>
                <w:t xml:space="preserve">China: A History. </w:t>
              </w:r>
              <w:r>
                <w:rPr>
                  <w:noProof/>
                  <w:lang w:val="en-US"/>
                </w:rPr>
                <w:t>London: Harper Press.</w:t>
              </w:r>
            </w:p>
            <w:p w14:paraId="59E126BF" w14:textId="77777777" w:rsidR="007F0BA1" w:rsidRDefault="007F0BA1" w:rsidP="003309E1">
              <w:pPr>
                <w:pStyle w:val="Bibliography"/>
                <w:jc w:val="both"/>
                <w:rPr>
                  <w:noProof/>
                  <w:lang w:val="en-US"/>
                </w:rPr>
              </w:pPr>
              <w:r>
                <w:rPr>
                  <w:noProof/>
                  <w:lang w:val="en-US"/>
                </w:rPr>
                <w:lastRenderedPageBreak/>
                <w:t xml:space="preserve">Kiser, E. &amp; Yong, C., 2003. War and Bureaucratisation in Qin China: Exploring an Anomalous Case. </w:t>
              </w:r>
              <w:r>
                <w:rPr>
                  <w:i/>
                  <w:iCs/>
                  <w:noProof/>
                  <w:lang w:val="en-US"/>
                </w:rPr>
                <w:t xml:space="preserve">American Sociological Review, </w:t>
              </w:r>
              <w:r>
                <w:rPr>
                  <w:noProof/>
                  <w:lang w:val="en-US"/>
                </w:rPr>
                <w:t>68(4), pp. 511-539.</w:t>
              </w:r>
            </w:p>
            <w:p w14:paraId="2D984F9F" w14:textId="77777777" w:rsidR="007F0BA1" w:rsidRDefault="007F0BA1" w:rsidP="003309E1">
              <w:pPr>
                <w:pStyle w:val="Bibliography"/>
                <w:jc w:val="both"/>
                <w:rPr>
                  <w:noProof/>
                  <w:lang w:val="en-US"/>
                </w:rPr>
              </w:pPr>
              <w:r>
                <w:rPr>
                  <w:noProof/>
                  <w:lang w:val="en-US"/>
                </w:rPr>
                <w:t xml:space="preserve">Pines, Y., 2009. </w:t>
              </w:r>
              <w:r>
                <w:rPr>
                  <w:i/>
                  <w:iCs/>
                  <w:noProof/>
                  <w:lang w:val="en-US"/>
                </w:rPr>
                <w:t xml:space="preserve">Envisioning Eternal Empire: Chinese Political Thought of the Warring States Era. </w:t>
              </w:r>
              <w:r>
                <w:rPr>
                  <w:noProof/>
                  <w:lang w:val="en-US"/>
                </w:rPr>
                <w:t>Honolulu: University of Hawai'i Press.</w:t>
              </w:r>
            </w:p>
            <w:p w14:paraId="47333F42" w14:textId="77777777" w:rsidR="007F0BA1" w:rsidRDefault="007F0BA1" w:rsidP="003309E1">
              <w:pPr>
                <w:pStyle w:val="Bibliography"/>
                <w:jc w:val="both"/>
                <w:rPr>
                  <w:noProof/>
                  <w:lang w:val="en-US"/>
                </w:rPr>
              </w:pPr>
              <w:r>
                <w:rPr>
                  <w:noProof/>
                  <w:lang w:val="en-US"/>
                </w:rPr>
                <w:t xml:space="preserve">Sanft, C., 2010. Law and Communication in Qin and Western Han China. </w:t>
              </w:r>
              <w:r>
                <w:rPr>
                  <w:i/>
                  <w:iCs/>
                  <w:noProof/>
                  <w:lang w:val="en-US"/>
                </w:rPr>
                <w:t xml:space="preserve">Journal of the Economic and Social History of the Orient, </w:t>
              </w:r>
              <w:r>
                <w:rPr>
                  <w:noProof/>
                  <w:lang w:val="en-US"/>
                </w:rPr>
                <w:t>53(5), pp. 679-711.</w:t>
              </w:r>
            </w:p>
            <w:p w14:paraId="140E9F2C" w14:textId="77777777" w:rsidR="007F0BA1" w:rsidRDefault="007F0BA1" w:rsidP="003309E1">
              <w:pPr>
                <w:pStyle w:val="Bibliography"/>
                <w:jc w:val="both"/>
                <w:rPr>
                  <w:noProof/>
                  <w:lang w:val="en-US"/>
                </w:rPr>
              </w:pPr>
              <w:r>
                <w:rPr>
                  <w:noProof/>
                  <w:lang w:val="en-US"/>
                </w:rPr>
                <w:t xml:space="preserve">Zhang, Q., 2015. </w:t>
              </w:r>
              <w:r>
                <w:rPr>
                  <w:i/>
                  <w:iCs/>
                  <w:noProof/>
                  <w:lang w:val="en-US"/>
                </w:rPr>
                <w:t xml:space="preserve">An Introduction to Chinese History and Culture. </w:t>
              </w:r>
              <w:r>
                <w:rPr>
                  <w:noProof/>
                  <w:lang w:val="en-US"/>
                </w:rPr>
                <w:t>Xi'an: Northwest University.</w:t>
              </w:r>
            </w:p>
            <w:p w14:paraId="03BB2BAB" w14:textId="77777777" w:rsidR="00472E6A" w:rsidRDefault="00472E6A" w:rsidP="003309E1">
              <w:pPr>
                <w:jc w:val="both"/>
              </w:pPr>
              <w:r>
                <w:rPr>
                  <w:b/>
                  <w:bCs/>
                  <w:noProof/>
                </w:rPr>
                <w:fldChar w:fldCharType="end"/>
              </w:r>
            </w:p>
            <w:sdt>
              <w:sdtPr>
                <w:rPr>
                  <w:rFonts w:asciiTheme="minorHAnsi" w:eastAsiaTheme="minorEastAsia" w:hAnsiTheme="minorHAnsi" w:cstheme="minorBidi"/>
                  <w:color w:val="auto"/>
                  <w:sz w:val="22"/>
                  <w:szCs w:val="22"/>
                  <w:lang w:val="en-GB" w:eastAsia="ja-JP"/>
                </w:rPr>
                <w:id w:val="856158110"/>
                <w:docPartObj>
                  <w:docPartGallery w:val="Bibliographies"/>
                  <w:docPartUnique/>
                </w:docPartObj>
              </w:sdtPr>
              <w:sdtEndPr/>
              <w:sdtContent>
                <w:p w14:paraId="509DDC13" w14:textId="1396C158" w:rsidR="007F0BA1" w:rsidRDefault="007F0BA1" w:rsidP="003309E1">
                  <w:pPr>
                    <w:pStyle w:val="Heading1"/>
                    <w:jc w:val="both"/>
                  </w:pPr>
                  <w:r>
                    <w:t>References</w:t>
                  </w:r>
                </w:p>
                <w:sdt>
                  <w:sdtPr>
                    <w:id w:val="-573587230"/>
                    <w:bibliography/>
                  </w:sdtPr>
                  <w:sdtEndPr/>
                  <w:sdtContent>
                    <w:p w14:paraId="4E6DCF0B" w14:textId="77777777" w:rsidR="007F0BA1" w:rsidRDefault="007F0BA1" w:rsidP="003309E1">
                      <w:pPr>
                        <w:pStyle w:val="Bibliography"/>
                        <w:jc w:val="both"/>
                        <w:rPr>
                          <w:noProof/>
                          <w:sz w:val="24"/>
                          <w:szCs w:val="24"/>
                          <w:lang w:val="en-US"/>
                        </w:rPr>
                      </w:pPr>
                      <w:r>
                        <w:fldChar w:fldCharType="begin"/>
                      </w:r>
                      <w:r>
                        <w:instrText xml:space="preserve"> BIBLIOGRAPHY </w:instrText>
                      </w:r>
                      <w:r>
                        <w:fldChar w:fldCharType="separate"/>
                      </w:r>
                      <w:r>
                        <w:rPr>
                          <w:noProof/>
                          <w:lang w:val="en-US"/>
                        </w:rPr>
                        <w:t xml:space="preserve">Ebrey, P. B., 1996. </w:t>
                      </w:r>
                      <w:r>
                        <w:rPr>
                          <w:i/>
                          <w:iCs/>
                          <w:noProof/>
                          <w:lang w:val="en-US"/>
                        </w:rPr>
                        <w:t xml:space="preserve">The Cambridge Illustrated History of China. </w:t>
                      </w:r>
                      <w:r>
                        <w:rPr>
                          <w:noProof/>
                          <w:lang w:val="en-US"/>
                        </w:rPr>
                        <w:t>Cambridge: Press Syndicate of the University of Cambridge.</w:t>
                      </w:r>
                    </w:p>
                    <w:p w14:paraId="65ACBB86" w14:textId="77777777" w:rsidR="007F0BA1" w:rsidRDefault="007F0BA1" w:rsidP="003309E1">
                      <w:pPr>
                        <w:pStyle w:val="Bibliography"/>
                        <w:jc w:val="both"/>
                        <w:rPr>
                          <w:noProof/>
                          <w:lang w:val="en-US"/>
                        </w:rPr>
                      </w:pPr>
                      <w:r>
                        <w:rPr>
                          <w:noProof/>
                          <w:lang w:val="en-US"/>
                        </w:rPr>
                        <w:t xml:space="preserve">Keay, J., 2009. </w:t>
                      </w:r>
                      <w:r>
                        <w:rPr>
                          <w:i/>
                          <w:iCs/>
                          <w:noProof/>
                          <w:lang w:val="en-US"/>
                        </w:rPr>
                        <w:t xml:space="preserve">China: A History. </w:t>
                      </w:r>
                      <w:r>
                        <w:rPr>
                          <w:noProof/>
                          <w:lang w:val="en-US"/>
                        </w:rPr>
                        <w:t>London: Harper Press.</w:t>
                      </w:r>
                    </w:p>
                    <w:p w14:paraId="2EA2FE6A" w14:textId="77777777" w:rsidR="007F0BA1" w:rsidRDefault="007F0BA1" w:rsidP="003309E1">
                      <w:pPr>
                        <w:pStyle w:val="Bibliography"/>
                        <w:jc w:val="both"/>
                        <w:rPr>
                          <w:noProof/>
                          <w:lang w:val="en-US"/>
                        </w:rPr>
                      </w:pPr>
                      <w:r>
                        <w:rPr>
                          <w:noProof/>
                          <w:lang w:val="en-US"/>
                        </w:rPr>
                        <w:t xml:space="preserve">Kiser, E. &amp; Yong, C., 2003. War and Bureaucratisation in Qin China: Exploring an Anomalous Case. </w:t>
                      </w:r>
                      <w:r>
                        <w:rPr>
                          <w:i/>
                          <w:iCs/>
                          <w:noProof/>
                          <w:lang w:val="en-US"/>
                        </w:rPr>
                        <w:t xml:space="preserve">American Sociological Review, </w:t>
                      </w:r>
                      <w:r>
                        <w:rPr>
                          <w:noProof/>
                          <w:lang w:val="en-US"/>
                        </w:rPr>
                        <w:t>68(4), pp. 511-539.</w:t>
                      </w:r>
                    </w:p>
                    <w:p w14:paraId="3E06F037" w14:textId="77777777" w:rsidR="007F0BA1" w:rsidRDefault="007F0BA1" w:rsidP="003309E1">
                      <w:pPr>
                        <w:pStyle w:val="Bibliography"/>
                        <w:jc w:val="both"/>
                        <w:rPr>
                          <w:noProof/>
                          <w:lang w:val="en-US"/>
                        </w:rPr>
                      </w:pPr>
                      <w:r>
                        <w:rPr>
                          <w:noProof/>
                          <w:lang w:val="en-US"/>
                        </w:rPr>
                        <w:t xml:space="preserve">Pines, Y., 2009. </w:t>
                      </w:r>
                      <w:r>
                        <w:rPr>
                          <w:i/>
                          <w:iCs/>
                          <w:noProof/>
                          <w:lang w:val="en-US"/>
                        </w:rPr>
                        <w:t xml:space="preserve">Envisioning Eternal Empire: Chinese Political Thought of the Warring States Era. </w:t>
                      </w:r>
                      <w:r>
                        <w:rPr>
                          <w:noProof/>
                          <w:lang w:val="en-US"/>
                        </w:rPr>
                        <w:t>Honolulu: University of Hawai'i Press.</w:t>
                      </w:r>
                    </w:p>
                    <w:p w14:paraId="2B3A414D" w14:textId="77777777" w:rsidR="007F0BA1" w:rsidRDefault="007F0BA1" w:rsidP="003309E1">
                      <w:pPr>
                        <w:pStyle w:val="Bibliography"/>
                        <w:jc w:val="both"/>
                        <w:rPr>
                          <w:noProof/>
                          <w:lang w:val="en-US"/>
                        </w:rPr>
                      </w:pPr>
                      <w:r>
                        <w:rPr>
                          <w:noProof/>
                          <w:lang w:val="en-US"/>
                        </w:rPr>
                        <w:t xml:space="preserve">Sanft, C., 2010. Law and Communication in Qin and Western Han China. </w:t>
                      </w:r>
                      <w:r>
                        <w:rPr>
                          <w:i/>
                          <w:iCs/>
                          <w:noProof/>
                          <w:lang w:val="en-US"/>
                        </w:rPr>
                        <w:t xml:space="preserve">Journal of the Economic and Social History of the Orient, </w:t>
                      </w:r>
                      <w:r>
                        <w:rPr>
                          <w:noProof/>
                          <w:lang w:val="en-US"/>
                        </w:rPr>
                        <w:t>53(5), pp. 679-711.</w:t>
                      </w:r>
                    </w:p>
                    <w:p w14:paraId="74E80036" w14:textId="77777777" w:rsidR="007F0BA1" w:rsidRDefault="007F0BA1" w:rsidP="003309E1">
                      <w:pPr>
                        <w:pStyle w:val="Bibliography"/>
                        <w:jc w:val="both"/>
                        <w:rPr>
                          <w:noProof/>
                          <w:lang w:val="en-US"/>
                        </w:rPr>
                      </w:pPr>
                      <w:r>
                        <w:rPr>
                          <w:noProof/>
                          <w:lang w:val="en-US"/>
                        </w:rPr>
                        <w:t xml:space="preserve">Zhang, Q., 2015. </w:t>
                      </w:r>
                      <w:r>
                        <w:rPr>
                          <w:i/>
                          <w:iCs/>
                          <w:noProof/>
                          <w:lang w:val="en-US"/>
                        </w:rPr>
                        <w:t xml:space="preserve">An Introduction to Chinese History and Culture. </w:t>
                      </w:r>
                      <w:r>
                        <w:rPr>
                          <w:noProof/>
                          <w:lang w:val="en-US"/>
                        </w:rPr>
                        <w:t>Xi'an: Northwest University.</w:t>
                      </w:r>
                    </w:p>
                    <w:p w14:paraId="793DB73C" w14:textId="79878CE5" w:rsidR="00472E6A" w:rsidRDefault="007F0BA1" w:rsidP="003309E1">
                      <w:pPr>
                        <w:jc w:val="both"/>
                      </w:pPr>
                      <w:r>
                        <w:rPr>
                          <w:b/>
                          <w:bCs/>
                          <w:noProof/>
                        </w:rPr>
                        <w:fldChar w:fldCharType="end"/>
                      </w:r>
                    </w:p>
                  </w:sdtContent>
                </w:sdt>
              </w:sdtContent>
            </w:sdt>
          </w:sdtContent>
        </w:sdt>
      </w:sdtContent>
    </w:sdt>
    <w:p w14:paraId="30148E0B" w14:textId="77777777" w:rsidR="00AA4571" w:rsidRDefault="00AA4571" w:rsidP="003309E1">
      <w:pPr>
        <w:jc w:val="both"/>
      </w:pPr>
    </w:p>
    <w:sectPr w:rsidR="00AA45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8B8601" w14:textId="77777777" w:rsidR="00E31537" w:rsidRDefault="00E31537" w:rsidP="00627712">
      <w:pPr>
        <w:spacing w:after="0" w:line="240" w:lineRule="auto"/>
      </w:pPr>
      <w:r>
        <w:separator/>
      </w:r>
    </w:p>
  </w:endnote>
  <w:endnote w:type="continuationSeparator" w:id="0">
    <w:p w14:paraId="09A11A11" w14:textId="77777777" w:rsidR="00E31537" w:rsidRDefault="00E31537" w:rsidP="00627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BB9692" w14:textId="77777777" w:rsidR="00E31537" w:rsidRDefault="00E31537" w:rsidP="00627712">
      <w:pPr>
        <w:spacing w:after="0" w:line="240" w:lineRule="auto"/>
      </w:pPr>
      <w:r>
        <w:separator/>
      </w:r>
    </w:p>
  </w:footnote>
  <w:footnote w:type="continuationSeparator" w:id="0">
    <w:p w14:paraId="1438C666" w14:textId="77777777" w:rsidR="00E31537" w:rsidRDefault="00E31537" w:rsidP="006277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B0F"/>
    <w:rsid w:val="00030785"/>
    <w:rsid w:val="000D285C"/>
    <w:rsid w:val="001B1CE1"/>
    <w:rsid w:val="001B6961"/>
    <w:rsid w:val="00232762"/>
    <w:rsid w:val="00247B0F"/>
    <w:rsid w:val="002E749B"/>
    <w:rsid w:val="002F08E7"/>
    <w:rsid w:val="00322298"/>
    <w:rsid w:val="003309E1"/>
    <w:rsid w:val="00356317"/>
    <w:rsid w:val="00403D43"/>
    <w:rsid w:val="00472E6A"/>
    <w:rsid w:val="005015B4"/>
    <w:rsid w:val="005141C3"/>
    <w:rsid w:val="00570790"/>
    <w:rsid w:val="00575C1C"/>
    <w:rsid w:val="005D1DF9"/>
    <w:rsid w:val="00605D91"/>
    <w:rsid w:val="00627712"/>
    <w:rsid w:val="00692F02"/>
    <w:rsid w:val="006B3893"/>
    <w:rsid w:val="007043ED"/>
    <w:rsid w:val="00724F37"/>
    <w:rsid w:val="007A1DA7"/>
    <w:rsid w:val="007D10D6"/>
    <w:rsid w:val="007D2D45"/>
    <w:rsid w:val="007F0BA1"/>
    <w:rsid w:val="00887408"/>
    <w:rsid w:val="008C1DFE"/>
    <w:rsid w:val="008F1758"/>
    <w:rsid w:val="009B2687"/>
    <w:rsid w:val="00A318BC"/>
    <w:rsid w:val="00AA4571"/>
    <w:rsid w:val="00B73C09"/>
    <w:rsid w:val="00B77218"/>
    <w:rsid w:val="00BD0FCA"/>
    <w:rsid w:val="00BD3EC9"/>
    <w:rsid w:val="00C635B3"/>
    <w:rsid w:val="00CA6E64"/>
    <w:rsid w:val="00CF79DA"/>
    <w:rsid w:val="00D1491C"/>
    <w:rsid w:val="00D153DB"/>
    <w:rsid w:val="00D916C6"/>
    <w:rsid w:val="00E146F5"/>
    <w:rsid w:val="00E31537"/>
    <w:rsid w:val="00E845D8"/>
    <w:rsid w:val="00F9497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1174C7"/>
  <w15:chartTrackingRefBased/>
  <w15:docId w15:val="{9EDF5318-3239-4ED5-876D-0DB38E560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B0F"/>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B0F"/>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247B0F"/>
  </w:style>
  <w:style w:type="paragraph" w:styleId="Header">
    <w:name w:val="header"/>
    <w:basedOn w:val="Normal"/>
    <w:link w:val="HeaderChar"/>
    <w:uiPriority w:val="99"/>
    <w:unhideWhenUsed/>
    <w:rsid w:val="006277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712"/>
  </w:style>
  <w:style w:type="paragraph" w:styleId="Footer">
    <w:name w:val="footer"/>
    <w:basedOn w:val="Normal"/>
    <w:link w:val="FooterChar"/>
    <w:uiPriority w:val="99"/>
    <w:unhideWhenUsed/>
    <w:rsid w:val="006277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712"/>
  </w:style>
  <w:style w:type="paragraph" w:styleId="Title">
    <w:name w:val="Title"/>
    <w:basedOn w:val="Normal"/>
    <w:next w:val="Normal"/>
    <w:link w:val="TitleChar"/>
    <w:uiPriority w:val="10"/>
    <w:qFormat/>
    <w:rsid w:val="006277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771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36156">
      <w:bodyDiv w:val="1"/>
      <w:marLeft w:val="0"/>
      <w:marRight w:val="0"/>
      <w:marTop w:val="0"/>
      <w:marBottom w:val="0"/>
      <w:divBdr>
        <w:top w:val="none" w:sz="0" w:space="0" w:color="auto"/>
        <w:left w:val="none" w:sz="0" w:space="0" w:color="auto"/>
        <w:bottom w:val="none" w:sz="0" w:space="0" w:color="auto"/>
        <w:right w:val="none" w:sz="0" w:space="0" w:color="auto"/>
      </w:divBdr>
    </w:div>
    <w:div w:id="14235501">
      <w:bodyDiv w:val="1"/>
      <w:marLeft w:val="0"/>
      <w:marRight w:val="0"/>
      <w:marTop w:val="0"/>
      <w:marBottom w:val="0"/>
      <w:divBdr>
        <w:top w:val="none" w:sz="0" w:space="0" w:color="auto"/>
        <w:left w:val="none" w:sz="0" w:space="0" w:color="auto"/>
        <w:bottom w:val="none" w:sz="0" w:space="0" w:color="auto"/>
        <w:right w:val="none" w:sz="0" w:space="0" w:color="auto"/>
      </w:divBdr>
    </w:div>
    <w:div w:id="15273287">
      <w:bodyDiv w:val="1"/>
      <w:marLeft w:val="0"/>
      <w:marRight w:val="0"/>
      <w:marTop w:val="0"/>
      <w:marBottom w:val="0"/>
      <w:divBdr>
        <w:top w:val="none" w:sz="0" w:space="0" w:color="auto"/>
        <w:left w:val="none" w:sz="0" w:space="0" w:color="auto"/>
        <w:bottom w:val="none" w:sz="0" w:space="0" w:color="auto"/>
        <w:right w:val="none" w:sz="0" w:space="0" w:color="auto"/>
      </w:divBdr>
    </w:div>
    <w:div w:id="25639258">
      <w:bodyDiv w:val="1"/>
      <w:marLeft w:val="0"/>
      <w:marRight w:val="0"/>
      <w:marTop w:val="0"/>
      <w:marBottom w:val="0"/>
      <w:divBdr>
        <w:top w:val="none" w:sz="0" w:space="0" w:color="auto"/>
        <w:left w:val="none" w:sz="0" w:space="0" w:color="auto"/>
        <w:bottom w:val="none" w:sz="0" w:space="0" w:color="auto"/>
        <w:right w:val="none" w:sz="0" w:space="0" w:color="auto"/>
      </w:divBdr>
    </w:div>
    <w:div w:id="32582408">
      <w:bodyDiv w:val="1"/>
      <w:marLeft w:val="0"/>
      <w:marRight w:val="0"/>
      <w:marTop w:val="0"/>
      <w:marBottom w:val="0"/>
      <w:divBdr>
        <w:top w:val="none" w:sz="0" w:space="0" w:color="auto"/>
        <w:left w:val="none" w:sz="0" w:space="0" w:color="auto"/>
        <w:bottom w:val="none" w:sz="0" w:space="0" w:color="auto"/>
        <w:right w:val="none" w:sz="0" w:space="0" w:color="auto"/>
      </w:divBdr>
    </w:div>
    <w:div w:id="41951222">
      <w:bodyDiv w:val="1"/>
      <w:marLeft w:val="0"/>
      <w:marRight w:val="0"/>
      <w:marTop w:val="0"/>
      <w:marBottom w:val="0"/>
      <w:divBdr>
        <w:top w:val="none" w:sz="0" w:space="0" w:color="auto"/>
        <w:left w:val="none" w:sz="0" w:space="0" w:color="auto"/>
        <w:bottom w:val="none" w:sz="0" w:space="0" w:color="auto"/>
        <w:right w:val="none" w:sz="0" w:space="0" w:color="auto"/>
      </w:divBdr>
    </w:div>
    <w:div w:id="46034013">
      <w:bodyDiv w:val="1"/>
      <w:marLeft w:val="0"/>
      <w:marRight w:val="0"/>
      <w:marTop w:val="0"/>
      <w:marBottom w:val="0"/>
      <w:divBdr>
        <w:top w:val="none" w:sz="0" w:space="0" w:color="auto"/>
        <w:left w:val="none" w:sz="0" w:space="0" w:color="auto"/>
        <w:bottom w:val="none" w:sz="0" w:space="0" w:color="auto"/>
        <w:right w:val="none" w:sz="0" w:space="0" w:color="auto"/>
      </w:divBdr>
    </w:div>
    <w:div w:id="69935195">
      <w:bodyDiv w:val="1"/>
      <w:marLeft w:val="0"/>
      <w:marRight w:val="0"/>
      <w:marTop w:val="0"/>
      <w:marBottom w:val="0"/>
      <w:divBdr>
        <w:top w:val="none" w:sz="0" w:space="0" w:color="auto"/>
        <w:left w:val="none" w:sz="0" w:space="0" w:color="auto"/>
        <w:bottom w:val="none" w:sz="0" w:space="0" w:color="auto"/>
        <w:right w:val="none" w:sz="0" w:space="0" w:color="auto"/>
      </w:divBdr>
    </w:div>
    <w:div w:id="84040906">
      <w:bodyDiv w:val="1"/>
      <w:marLeft w:val="0"/>
      <w:marRight w:val="0"/>
      <w:marTop w:val="0"/>
      <w:marBottom w:val="0"/>
      <w:divBdr>
        <w:top w:val="none" w:sz="0" w:space="0" w:color="auto"/>
        <w:left w:val="none" w:sz="0" w:space="0" w:color="auto"/>
        <w:bottom w:val="none" w:sz="0" w:space="0" w:color="auto"/>
        <w:right w:val="none" w:sz="0" w:space="0" w:color="auto"/>
      </w:divBdr>
    </w:div>
    <w:div w:id="111947726">
      <w:bodyDiv w:val="1"/>
      <w:marLeft w:val="0"/>
      <w:marRight w:val="0"/>
      <w:marTop w:val="0"/>
      <w:marBottom w:val="0"/>
      <w:divBdr>
        <w:top w:val="none" w:sz="0" w:space="0" w:color="auto"/>
        <w:left w:val="none" w:sz="0" w:space="0" w:color="auto"/>
        <w:bottom w:val="none" w:sz="0" w:space="0" w:color="auto"/>
        <w:right w:val="none" w:sz="0" w:space="0" w:color="auto"/>
      </w:divBdr>
    </w:div>
    <w:div w:id="118232924">
      <w:bodyDiv w:val="1"/>
      <w:marLeft w:val="0"/>
      <w:marRight w:val="0"/>
      <w:marTop w:val="0"/>
      <w:marBottom w:val="0"/>
      <w:divBdr>
        <w:top w:val="none" w:sz="0" w:space="0" w:color="auto"/>
        <w:left w:val="none" w:sz="0" w:space="0" w:color="auto"/>
        <w:bottom w:val="none" w:sz="0" w:space="0" w:color="auto"/>
        <w:right w:val="none" w:sz="0" w:space="0" w:color="auto"/>
      </w:divBdr>
    </w:div>
    <w:div w:id="138115202">
      <w:bodyDiv w:val="1"/>
      <w:marLeft w:val="0"/>
      <w:marRight w:val="0"/>
      <w:marTop w:val="0"/>
      <w:marBottom w:val="0"/>
      <w:divBdr>
        <w:top w:val="none" w:sz="0" w:space="0" w:color="auto"/>
        <w:left w:val="none" w:sz="0" w:space="0" w:color="auto"/>
        <w:bottom w:val="none" w:sz="0" w:space="0" w:color="auto"/>
        <w:right w:val="none" w:sz="0" w:space="0" w:color="auto"/>
      </w:divBdr>
    </w:div>
    <w:div w:id="142547153">
      <w:bodyDiv w:val="1"/>
      <w:marLeft w:val="0"/>
      <w:marRight w:val="0"/>
      <w:marTop w:val="0"/>
      <w:marBottom w:val="0"/>
      <w:divBdr>
        <w:top w:val="none" w:sz="0" w:space="0" w:color="auto"/>
        <w:left w:val="none" w:sz="0" w:space="0" w:color="auto"/>
        <w:bottom w:val="none" w:sz="0" w:space="0" w:color="auto"/>
        <w:right w:val="none" w:sz="0" w:space="0" w:color="auto"/>
      </w:divBdr>
    </w:div>
    <w:div w:id="186986263">
      <w:bodyDiv w:val="1"/>
      <w:marLeft w:val="0"/>
      <w:marRight w:val="0"/>
      <w:marTop w:val="0"/>
      <w:marBottom w:val="0"/>
      <w:divBdr>
        <w:top w:val="none" w:sz="0" w:space="0" w:color="auto"/>
        <w:left w:val="none" w:sz="0" w:space="0" w:color="auto"/>
        <w:bottom w:val="none" w:sz="0" w:space="0" w:color="auto"/>
        <w:right w:val="none" w:sz="0" w:space="0" w:color="auto"/>
      </w:divBdr>
    </w:div>
    <w:div w:id="189224407">
      <w:bodyDiv w:val="1"/>
      <w:marLeft w:val="0"/>
      <w:marRight w:val="0"/>
      <w:marTop w:val="0"/>
      <w:marBottom w:val="0"/>
      <w:divBdr>
        <w:top w:val="none" w:sz="0" w:space="0" w:color="auto"/>
        <w:left w:val="none" w:sz="0" w:space="0" w:color="auto"/>
        <w:bottom w:val="none" w:sz="0" w:space="0" w:color="auto"/>
        <w:right w:val="none" w:sz="0" w:space="0" w:color="auto"/>
      </w:divBdr>
    </w:div>
    <w:div w:id="219561323">
      <w:bodyDiv w:val="1"/>
      <w:marLeft w:val="0"/>
      <w:marRight w:val="0"/>
      <w:marTop w:val="0"/>
      <w:marBottom w:val="0"/>
      <w:divBdr>
        <w:top w:val="none" w:sz="0" w:space="0" w:color="auto"/>
        <w:left w:val="none" w:sz="0" w:space="0" w:color="auto"/>
        <w:bottom w:val="none" w:sz="0" w:space="0" w:color="auto"/>
        <w:right w:val="none" w:sz="0" w:space="0" w:color="auto"/>
      </w:divBdr>
    </w:div>
    <w:div w:id="251399004">
      <w:bodyDiv w:val="1"/>
      <w:marLeft w:val="0"/>
      <w:marRight w:val="0"/>
      <w:marTop w:val="0"/>
      <w:marBottom w:val="0"/>
      <w:divBdr>
        <w:top w:val="none" w:sz="0" w:space="0" w:color="auto"/>
        <w:left w:val="none" w:sz="0" w:space="0" w:color="auto"/>
        <w:bottom w:val="none" w:sz="0" w:space="0" w:color="auto"/>
        <w:right w:val="none" w:sz="0" w:space="0" w:color="auto"/>
      </w:divBdr>
    </w:div>
    <w:div w:id="270747271">
      <w:bodyDiv w:val="1"/>
      <w:marLeft w:val="0"/>
      <w:marRight w:val="0"/>
      <w:marTop w:val="0"/>
      <w:marBottom w:val="0"/>
      <w:divBdr>
        <w:top w:val="none" w:sz="0" w:space="0" w:color="auto"/>
        <w:left w:val="none" w:sz="0" w:space="0" w:color="auto"/>
        <w:bottom w:val="none" w:sz="0" w:space="0" w:color="auto"/>
        <w:right w:val="none" w:sz="0" w:space="0" w:color="auto"/>
      </w:divBdr>
    </w:div>
    <w:div w:id="348873677">
      <w:bodyDiv w:val="1"/>
      <w:marLeft w:val="0"/>
      <w:marRight w:val="0"/>
      <w:marTop w:val="0"/>
      <w:marBottom w:val="0"/>
      <w:divBdr>
        <w:top w:val="none" w:sz="0" w:space="0" w:color="auto"/>
        <w:left w:val="none" w:sz="0" w:space="0" w:color="auto"/>
        <w:bottom w:val="none" w:sz="0" w:space="0" w:color="auto"/>
        <w:right w:val="none" w:sz="0" w:space="0" w:color="auto"/>
      </w:divBdr>
    </w:div>
    <w:div w:id="433552437">
      <w:bodyDiv w:val="1"/>
      <w:marLeft w:val="0"/>
      <w:marRight w:val="0"/>
      <w:marTop w:val="0"/>
      <w:marBottom w:val="0"/>
      <w:divBdr>
        <w:top w:val="none" w:sz="0" w:space="0" w:color="auto"/>
        <w:left w:val="none" w:sz="0" w:space="0" w:color="auto"/>
        <w:bottom w:val="none" w:sz="0" w:space="0" w:color="auto"/>
        <w:right w:val="none" w:sz="0" w:space="0" w:color="auto"/>
      </w:divBdr>
    </w:div>
    <w:div w:id="487214241">
      <w:bodyDiv w:val="1"/>
      <w:marLeft w:val="0"/>
      <w:marRight w:val="0"/>
      <w:marTop w:val="0"/>
      <w:marBottom w:val="0"/>
      <w:divBdr>
        <w:top w:val="none" w:sz="0" w:space="0" w:color="auto"/>
        <w:left w:val="none" w:sz="0" w:space="0" w:color="auto"/>
        <w:bottom w:val="none" w:sz="0" w:space="0" w:color="auto"/>
        <w:right w:val="none" w:sz="0" w:space="0" w:color="auto"/>
      </w:divBdr>
    </w:div>
    <w:div w:id="491071312">
      <w:bodyDiv w:val="1"/>
      <w:marLeft w:val="0"/>
      <w:marRight w:val="0"/>
      <w:marTop w:val="0"/>
      <w:marBottom w:val="0"/>
      <w:divBdr>
        <w:top w:val="none" w:sz="0" w:space="0" w:color="auto"/>
        <w:left w:val="none" w:sz="0" w:space="0" w:color="auto"/>
        <w:bottom w:val="none" w:sz="0" w:space="0" w:color="auto"/>
        <w:right w:val="none" w:sz="0" w:space="0" w:color="auto"/>
      </w:divBdr>
    </w:div>
    <w:div w:id="496071184">
      <w:bodyDiv w:val="1"/>
      <w:marLeft w:val="0"/>
      <w:marRight w:val="0"/>
      <w:marTop w:val="0"/>
      <w:marBottom w:val="0"/>
      <w:divBdr>
        <w:top w:val="none" w:sz="0" w:space="0" w:color="auto"/>
        <w:left w:val="none" w:sz="0" w:space="0" w:color="auto"/>
        <w:bottom w:val="none" w:sz="0" w:space="0" w:color="auto"/>
        <w:right w:val="none" w:sz="0" w:space="0" w:color="auto"/>
      </w:divBdr>
    </w:div>
    <w:div w:id="524289418">
      <w:bodyDiv w:val="1"/>
      <w:marLeft w:val="0"/>
      <w:marRight w:val="0"/>
      <w:marTop w:val="0"/>
      <w:marBottom w:val="0"/>
      <w:divBdr>
        <w:top w:val="none" w:sz="0" w:space="0" w:color="auto"/>
        <w:left w:val="none" w:sz="0" w:space="0" w:color="auto"/>
        <w:bottom w:val="none" w:sz="0" w:space="0" w:color="auto"/>
        <w:right w:val="none" w:sz="0" w:space="0" w:color="auto"/>
      </w:divBdr>
    </w:div>
    <w:div w:id="549999133">
      <w:bodyDiv w:val="1"/>
      <w:marLeft w:val="0"/>
      <w:marRight w:val="0"/>
      <w:marTop w:val="0"/>
      <w:marBottom w:val="0"/>
      <w:divBdr>
        <w:top w:val="none" w:sz="0" w:space="0" w:color="auto"/>
        <w:left w:val="none" w:sz="0" w:space="0" w:color="auto"/>
        <w:bottom w:val="none" w:sz="0" w:space="0" w:color="auto"/>
        <w:right w:val="none" w:sz="0" w:space="0" w:color="auto"/>
      </w:divBdr>
    </w:div>
    <w:div w:id="618726130">
      <w:bodyDiv w:val="1"/>
      <w:marLeft w:val="0"/>
      <w:marRight w:val="0"/>
      <w:marTop w:val="0"/>
      <w:marBottom w:val="0"/>
      <w:divBdr>
        <w:top w:val="none" w:sz="0" w:space="0" w:color="auto"/>
        <w:left w:val="none" w:sz="0" w:space="0" w:color="auto"/>
        <w:bottom w:val="none" w:sz="0" w:space="0" w:color="auto"/>
        <w:right w:val="none" w:sz="0" w:space="0" w:color="auto"/>
      </w:divBdr>
    </w:div>
    <w:div w:id="669989783">
      <w:bodyDiv w:val="1"/>
      <w:marLeft w:val="0"/>
      <w:marRight w:val="0"/>
      <w:marTop w:val="0"/>
      <w:marBottom w:val="0"/>
      <w:divBdr>
        <w:top w:val="none" w:sz="0" w:space="0" w:color="auto"/>
        <w:left w:val="none" w:sz="0" w:space="0" w:color="auto"/>
        <w:bottom w:val="none" w:sz="0" w:space="0" w:color="auto"/>
        <w:right w:val="none" w:sz="0" w:space="0" w:color="auto"/>
      </w:divBdr>
    </w:div>
    <w:div w:id="726343586">
      <w:bodyDiv w:val="1"/>
      <w:marLeft w:val="0"/>
      <w:marRight w:val="0"/>
      <w:marTop w:val="0"/>
      <w:marBottom w:val="0"/>
      <w:divBdr>
        <w:top w:val="none" w:sz="0" w:space="0" w:color="auto"/>
        <w:left w:val="none" w:sz="0" w:space="0" w:color="auto"/>
        <w:bottom w:val="none" w:sz="0" w:space="0" w:color="auto"/>
        <w:right w:val="none" w:sz="0" w:space="0" w:color="auto"/>
      </w:divBdr>
    </w:div>
    <w:div w:id="809245038">
      <w:bodyDiv w:val="1"/>
      <w:marLeft w:val="0"/>
      <w:marRight w:val="0"/>
      <w:marTop w:val="0"/>
      <w:marBottom w:val="0"/>
      <w:divBdr>
        <w:top w:val="none" w:sz="0" w:space="0" w:color="auto"/>
        <w:left w:val="none" w:sz="0" w:space="0" w:color="auto"/>
        <w:bottom w:val="none" w:sz="0" w:space="0" w:color="auto"/>
        <w:right w:val="none" w:sz="0" w:space="0" w:color="auto"/>
      </w:divBdr>
    </w:div>
    <w:div w:id="821308844">
      <w:bodyDiv w:val="1"/>
      <w:marLeft w:val="0"/>
      <w:marRight w:val="0"/>
      <w:marTop w:val="0"/>
      <w:marBottom w:val="0"/>
      <w:divBdr>
        <w:top w:val="none" w:sz="0" w:space="0" w:color="auto"/>
        <w:left w:val="none" w:sz="0" w:space="0" w:color="auto"/>
        <w:bottom w:val="none" w:sz="0" w:space="0" w:color="auto"/>
        <w:right w:val="none" w:sz="0" w:space="0" w:color="auto"/>
      </w:divBdr>
    </w:div>
    <w:div w:id="827940959">
      <w:bodyDiv w:val="1"/>
      <w:marLeft w:val="0"/>
      <w:marRight w:val="0"/>
      <w:marTop w:val="0"/>
      <w:marBottom w:val="0"/>
      <w:divBdr>
        <w:top w:val="none" w:sz="0" w:space="0" w:color="auto"/>
        <w:left w:val="none" w:sz="0" w:space="0" w:color="auto"/>
        <w:bottom w:val="none" w:sz="0" w:space="0" w:color="auto"/>
        <w:right w:val="none" w:sz="0" w:space="0" w:color="auto"/>
      </w:divBdr>
    </w:div>
    <w:div w:id="849444320">
      <w:bodyDiv w:val="1"/>
      <w:marLeft w:val="0"/>
      <w:marRight w:val="0"/>
      <w:marTop w:val="0"/>
      <w:marBottom w:val="0"/>
      <w:divBdr>
        <w:top w:val="none" w:sz="0" w:space="0" w:color="auto"/>
        <w:left w:val="none" w:sz="0" w:space="0" w:color="auto"/>
        <w:bottom w:val="none" w:sz="0" w:space="0" w:color="auto"/>
        <w:right w:val="none" w:sz="0" w:space="0" w:color="auto"/>
      </w:divBdr>
    </w:div>
    <w:div w:id="925304397">
      <w:bodyDiv w:val="1"/>
      <w:marLeft w:val="0"/>
      <w:marRight w:val="0"/>
      <w:marTop w:val="0"/>
      <w:marBottom w:val="0"/>
      <w:divBdr>
        <w:top w:val="none" w:sz="0" w:space="0" w:color="auto"/>
        <w:left w:val="none" w:sz="0" w:space="0" w:color="auto"/>
        <w:bottom w:val="none" w:sz="0" w:space="0" w:color="auto"/>
        <w:right w:val="none" w:sz="0" w:space="0" w:color="auto"/>
      </w:divBdr>
    </w:div>
    <w:div w:id="1007515924">
      <w:bodyDiv w:val="1"/>
      <w:marLeft w:val="0"/>
      <w:marRight w:val="0"/>
      <w:marTop w:val="0"/>
      <w:marBottom w:val="0"/>
      <w:divBdr>
        <w:top w:val="none" w:sz="0" w:space="0" w:color="auto"/>
        <w:left w:val="none" w:sz="0" w:space="0" w:color="auto"/>
        <w:bottom w:val="none" w:sz="0" w:space="0" w:color="auto"/>
        <w:right w:val="none" w:sz="0" w:space="0" w:color="auto"/>
      </w:divBdr>
    </w:div>
    <w:div w:id="1016149798">
      <w:bodyDiv w:val="1"/>
      <w:marLeft w:val="0"/>
      <w:marRight w:val="0"/>
      <w:marTop w:val="0"/>
      <w:marBottom w:val="0"/>
      <w:divBdr>
        <w:top w:val="none" w:sz="0" w:space="0" w:color="auto"/>
        <w:left w:val="none" w:sz="0" w:space="0" w:color="auto"/>
        <w:bottom w:val="none" w:sz="0" w:space="0" w:color="auto"/>
        <w:right w:val="none" w:sz="0" w:space="0" w:color="auto"/>
      </w:divBdr>
    </w:div>
    <w:div w:id="1056971048">
      <w:bodyDiv w:val="1"/>
      <w:marLeft w:val="0"/>
      <w:marRight w:val="0"/>
      <w:marTop w:val="0"/>
      <w:marBottom w:val="0"/>
      <w:divBdr>
        <w:top w:val="none" w:sz="0" w:space="0" w:color="auto"/>
        <w:left w:val="none" w:sz="0" w:space="0" w:color="auto"/>
        <w:bottom w:val="none" w:sz="0" w:space="0" w:color="auto"/>
        <w:right w:val="none" w:sz="0" w:space="0" w:color="auto"/>
      </w:divBdr>
    </w:div>
    <w:div w:id="1075013883">
      <w:bodyDiv w:val="1"/>
      <w:marLeft w:val="0"/>
      <w:marRight w:val="0"/>
      <w:marTop w:val="0"/>
      <w:marBottom w:val="0"/>
      <w:divBdr>
        <w:top w:val="none" w:sz="0" w:space="0" w:color="auto"/>
        <w:left w:val="none" w:sz="0" w:space="0" w:color="auto"/>
        <w:bottom w:val="none" w:sz="0" w:space="0" w:color="auto"/>
        <w:right w:val="none" w:sz="0" w:space="0" w:color="auto"/>
      </w:divBdr>
    </w:div>
    <w:div w:id="1076897290">
      <w:bodyDiv w:val="1"/>
      <w:marLeft w:val="0"/>
      <w:marRight w:val="0"/>
      <w:marTop w:val="0"/>
      <w:marBottom w:val="0"/>
      <w:divBdr>
        <w:top w:val="none" w:sz="0" w:space="0" w:color="auto"/>
        <w:left w:val="none" w:sz="0" w:space="0" w:color="auto"/>
        <w:bottom w:val="none" w:sz="0" w:space="0" w:color="auto"/>
        <w:right w:val="none" w:sz="0" w:space="0" w:color="auto"/>
      </w:divBdr>
    </w:div>
    <w:div w:id="1110777835">
      <w:bodyDiv w:val="1"/>
      <w:marLeft w:val="0"/>
      <w:marRight w:val="0"/>
      <w:marTop w:val="0"/>
      <w:marBottom w:val="0"/>
      <w:divBdr>
        <w:top w:val="none" w:sz="0" w:space="0" w:color="auto"/>
        <w:left w:val="none" w:sz="0" w:space="0" w:color="auto"/>
        <w:bottom w:val="none" w:sz="0" w:space="0" w:color="auto"/>
        <w:right w:val="none" w:sz="0" w:space="0" w:color="auto"/>
      </w:divBdr>
    </w:div>
    <w:div w:id="1172988345">
      <w:bodyDiv w:val="1"/>
      <w:marLeft w:val="0"/>
      <w:marRight w:val="0"/>
      <w:marTop w:val="0"/>
      <w:marBottom w:val="0"/>
      <w:divBdr>
        <w:top w:val="none" w:sz="0" w:space="0" w:color="auto"/>
        <w:left w:val="none" w:sz="0" w:space="0" w:color="auto"/>
        <w:bottom w:val="none" w:sz="0" w:space="0" w:color="auto"/>
        <w:right w:val="none" w:sz="0" w:space="0" w:color="auto"/>
      </w:divBdr>
    </w:div>
    <w:div w:id="1174420146">
      <w:bodyDiv w:val="1"/>
      <w:marLeft w:val="0"/>
      <w:marRight w:val="0"/>
      <w:marTop w:val="0"/>
      <w:marBottom w:val="0"/>
      <w:divBdr>
        <w:top w:val="none" w:sz="0" w:space="0" w:color="auto"/>
        <w:left w:val="none" w:sz="0" w:space="0" w:color="auto"/>
        <w:bottom w:val="none" w:sz="0" w:space="0" w:color="auto"/>
        <w:right w:val="none" w:sz="0" w:space="0" w:color="auto"/>
      </w:divBdr>
    </w:div>
    <w:div w:id="1240748951">
      <w:bodyDiv w:val="1"/>
      <w:marLeft w:val="0"/>
      <w:marRight w:val="0"/>
      <w:marTop w:val="0"/>
      <w:marBottom w:val="0"/>
      <w:divBdr>
        <w:top w:val="none" w:sz="0" w:space="0" w:color="auto"/>
        <w:left w:val="none" w:sz="0" w:space="0" w:color="auto"/>
        <w:bottom w:val="none" w:sz="0" w:space="0" w:color="auto"/>
        <w:right w:val="none" w:sz="0" w:space="0" w:color="auto"/>
      </w:divBdr>
    </w:div>
    <w:div w:id="1252084736">
      <w:bodyDiv w:val="1"/>
      <w:marLeft w:val="0"/>
      <w:marRight w:val="0"/>
      <w:marTop w:val="0"/>
      <w:marBottom w:val="0"/>
      <w:divBdr>
        <w:top w:val="none" w:sz="0" w:space="0" w:color="auto"/>
        <w:left w:val="none" w:sz="0" w:space="0" w:color="auto"/>
        <w:bottom w:val="none" w:sz="0" w:space="0" w:color="auto"/>
        <w:right w:val="none" w:sz="0" w:space="0" w:color="auto"/>
      </w:divBdr>
    </w:div>
    <w:div w:id="1260941545">
      <w:bodyDiv w:val="1"/>
      <w:marLeft w:val="0"/>
      <w:marRight w:val="0"/>
      <w:marTop w:val="0"/>
      <w:marBottom w:val="0"/>
      <w:divBdr>
        <w:top w:val="none" w:sz="0" w:space="0" w:color="auto"/>
        <w:left w:val="none" w:sz="0" w:space="0" w:color="auto"/>
        <w:bottom w:val="none" w:sz="0" w:space="0" w:color="auto"/>
        <w:right w:val="none" w:sz="0" w:space="0" w:color="auto"/>
      </w:divBdr>
    </w:div>
    <w:div w:id="1315915663">
      <w:bodyDiv w:val="1"/>
      <w:marLeft w:val="0"/>
      <w:marRight w:val="0"/>
      <w:marTop w:val="0"/>
      <w:marBottom w:val="0"/>
      <w:divBdr>
        <w:top w:val="none" w:sz="0" w:space="0" w:color="auto"/>
        <w:left w:val="none" w:sz="0" w:space="0" w:color="auto"/>
        <w:bottom w:val="none" w:sz="0" w:space="0" w:color="auto"/>
        <w:right w:val="none" w:sz="0" w:space="0" w:color="auto"/>
      </w:divBdr>
    </w:div>
    <w:div w:id="1323047505">
      <w:bodyDiv w:val="1"/>
      <w:marLeft w:val="0"/>
      <w:marRight w:val="0"/>
      <w:marTop w:val="0"/>
      <w:marBottom w:val="0"/>
      <w:divBdr>
        <w:top w:val="none" w:sz="0" w:space="0" w:color="auto"/>
        <w:left w:val="none" w:sz="0" w:space="0" w:color="auto"/>
        <w:bottom w:val="none" w:sz="0" w:space="0" w:color="auto"/>
        <w:right w:val="none" w:sz="0" w:space="0" w:color="auto"/>
      </w:divBdr>
    </w:div>
    <w:div w:id="1370033438">
      <w:bodyDiv w:val="1"/>
      <w:marLeft w:val="0"/>
      <w:marRight w:val="0"/>
      <w:marTop w:val="0"/>
      <w:marBottom w:val="0"/>
      <w:divBdr>
        <w:top w:val="none" w:sz="0" w:space="0" w:color="auto"/>
        <w:left w:val="none" w:sz="0" w:space="0" w:color="auto"/>
        <w:bottom w:val="none" w:sz="0" w:space="0" w:color="auto"/>
        <w:right w:val="none" w:sz="0" w:space="0" w:color="auto"/>
      </w:divBdr>
    </w:div>
    <w:div w:id="1416706836">
      <w:bodyDiv w:val="1"/>
      <w:marLeft w:val="0"/>
      <w:marRight w:val="0"/>
      <w:marTop w:val="0"/>
      <w:marBottom w:val="0"/>
      <w:divBdr>
        <w:top w:val="none" w:sz="0" w:space="0" w:color="auto"/>
        <w:left w:val="none" w:sz="0" w:space="0" w:color="auto"/>
        <w:bottom w:val="none" w:sz="0" w:space="0" w:color="auto"/>
        <w:right w:val="none" w:sz="0" w:space="0" w:color="auto"/>
      </w:divBdr>
    </w:div>
    <w:div w:id="1526138389">
      <w:bodyDiv w:val="1"/>
      <w:marLeft w:val="0"/>
      <w:marRight w:val="0"/>
      <w:marTop w:val="0"/>
      <w:marBottom w:val="0"/>
      <w:divBdr>
        <w:top w:val="none" w:sz="0" w:space="0" w:color="auto"/>
        <w:left w:val="none" w:sz="0" w:space="0" w:color="auto"/>
        <w:bottom w:val="none" w:sz="0" w:space="0" w:color="auto"/>
        <w:right w:val="none" w:sz="0" w:space="0" w:color="auto"/>
      </w:divBdr>
    </w:div>
    <w:div w:id="1528985383">
      <w:bodyDiv w:val="1"/>
      <w:marLeft w:val="0"/>
      <w:marRight w:val="0"/>
      <w:marTop w:val="0"/>
      <w:marBottom w:val="0"/>
      <w:divBdr>
        <w:top w:val="none" w:sz="0" w:space="0" w:color="auto"/>
        <w:left w:val="none" w:sz="0" w:space="0" w:color="auto"/>
        <w:bottom w:val="none" w:sz="0" w:space="0" w:color="auto"/>
        <w:right w:val="none" w:sz="0" w:space="0" w:color="auto"/>
      </w:divBdr>
    </w:div>
    <w:div w:id="1567643039">
      <w:bodyDiv w:val="1"/>
      <w:marLeft w:val="0"/>
      <w:marRight w:val="0"/>
      <w:marTop w:val="0"/>
      <w:marBottom w:val="0"/>
      <w:divBdr>
        <w:top w:val="none" w:sz="0" w:space="0" w:color="auto"/>
        <w:left w:val="none" w:sz="0" w:space="0" w:color="auto"/>
        <w:bottom w:val="none" w:sz="0" w:space="0" w:color="auto"/>
        <w:right w:val="none" w:sz="0" w:space="0" w:color="auto"/>
      </w:divBdr>
    </w:div>
    <w:div w:id="1658652843">
      <w:bodyDiv w:val="1"/>
      <w:marLeft w:val="0"/>
      <w:marRight w:val="0"/>
      <w:marTop w:val="0"/>
      <w:marBottom w:val="0"/>
      <w:divBdr>
        <w:top w:val="none" w:sz="0" w:space="0" w:color="auto"/>
        <w:left w:val="none" w:sz="0" w:space="0" w:color="auto"/>
        <w:bottom w:val="none" w:sz="0" w:space="0" w:color="auto"/>
        <w:right w:val="none" w:sz="0" w:space="0" w:color="auto"/>
      </w:divBdr>
    </w:div>
    <w:div w:id="1690983296">
      <w:bodyDiv w:val="1"/>
      <w:marLeft w:val="0"/>
      <w:marRight w:val="0"/>
      <w:marTop w:val="0"/>
      <w:marBottom w:val="0"/>
      <w:divBdr>
        <w:top w:val="none" w:sz="0" w:space="0" w:color="auto"/>
        <w:left w:val="none" w:sz="0" w:space="0" w:color="auto"/>
        <w:bottom w:val="none" w:sz="0" w:space="0" w:color="auto"/>
        <w:right w:val="none" w:sz="0" w:space="0" w:color="auto"/>
      </w:divBdr>
    </w:div>
    <w:div w:id="1735470675">
      <w:bodyDiv w:val="1"/>
      <w:marLeft w:val="0"/>
      <w:marRight w:val="0"/>
      <w:marTop w:val="0"/>
      <w:marBottom w:val="0"/>
      <w:divBdr>
        <w:top w:val="none" w:sz="0" w:space="0" w:color="auto"/>
        <w:left w:val="none" w:sz="0" w:space="0" w:color="auto"/>
        <w:bottom w:val="none" w:sz="0" w:space="0" w:color="auto"/>
        <w:right w:val="none" w:sz="0" w:space="0" w:color="auto"/>
      </w:divBdr>
    </w:div>
    <w:div w:id="1768429175">
      <w:bodyDiv w:val="1"/>
      <w:marLeft w:val="0"/>
      <w:marRight w:val="0"/>
      <w:marTop w:val="0"/>
      <w:marBottom w:val="0"/>
      <w:divBdr>
        <w:top w:val="none" w:sz="0" w:space="0" w:color="auto"/>
        <w:left w:val="none" w:sz="0" w:space="0" w:color="auto"/>
        <w:bottom w:val="none" w:sz="0" w:space="0" w:color="auto"/>
        <w:right w:val="none" w:sz="0" w:space="0" w:color="auto"/>
      </w:divBdr>
    </w:div>
    <w:div w:id="1970433875">
      <w:bodyDiv w:val="1"/>
      <w:marLeft w:val="0"/>
      <w:marRight w:val="0"/>
      <w:marTop w:val="0"/>
      <w:marBottom w:val="0"/>
      <w:divBdr>
        <w:top w:val="none" w:sz="0" w:space="0" w:color="auto"/>
        <w:left w:val="none" w:sz="0" w:space="0" w:color="auto"/>
        <w:bottom w:val="none" w:sz="0" w:space="0" w:color="auto"/>
        <w:right w:val="none" w:sz="0" w:space="0" w:color="auto"/>
      </w:divBdr>
    </w:div>
    <w:div w:id="1984195381">
      <w:bodyDiv w:val="1"/>
      <w:marLeft w:val="0"/>
      <w:marRight w:val="0"/>
      <w:marTop w:val="0"/>
      <w:marBottom w:val="0"/>
      <w:divBdr>
        <w:top w:val="none" w:sz="0" w:space="0" w:color="auto"/>
        <w:left w:val="none" w:sz="0" w:space="0" w:color="auto"/>
        <w:bottom w:val="none" w:sz="0" w:space="0" w:color="auto"/>
        <w:right w:val="none" w:sz="0" w:space="0" w:color="auto"/>
      </w:divBdr>
    </w:div>
    <w:div w:id="1985743583">
      <w:bodyDiv w:val="1"/>
      <w:marLeft w:val="0"/>
      <w:marRight w:val="0"/>
      <w:marTop w:val="0"/>
      <w:marBottom w:val="0"/>
      <w:divBdr>
        <w:top w:val="none" w:sz="0" w:space="0" w:color="auto"/>
        <w:left w:val="none" w:sz="0" w:space="0" w:color="auto"/>
        <w:bottom w:val="none" w:sz="0" w:space="0" w:color="auto"/>
        <w:right w:val="none" w:sz="0" w:space="0" w:color="auto"/>
      </w:divBdr>
    </w:div>
    <w:div w:id="1996912839">
      <w:bodyDiv w:val="1"/>
      <w:marLeft w:val="0"/>
      <w:marRight w:val="0"/>
      <w:marTop w:val="0"/>
      <w:marBottom w:val="0"/>
      <w:divBdr>
        <w:top w:val="none" w:sz="0" w:space="0" w:color="auto"/>
        <w:left w:val="none" w:sz="0" w:space="0" w:color="auto"/>
        <w:bottom w:val="none" w:sz="0" w:space="0" w:color="auto"/>
        <w:right w:val="none" w:sz="0" w:space="0" w:color="auto"/>
      </w:divBdr>
    </w:div>
    <w:div w:id="1999847860">
      <w:bodyDiv w:val="1"/>
      <w:marLeft w:val="0"/>
      <w:marRight w:val="0"/>
      <w:marTop w:val="0"/>
      <w:marBottom w:val="0"/>
      <w:divBdr>
        <w:top w:val="none" w:sz="0" w:space="0" w:color="auto"/>
        <w:left w:val="none" w:sz="0" w:space="0" w:color="auto"/>
        <w:bottom w:val="none" w:sz="0" w:space="0" w:color="auto"/>
        <w:right w:val="none" w:sz="0" w:space="0" w:color="auto"/>
      </w:divBdr>
    </w:div>
    <w:div w:id="2031226107">
      <w:bodyDiv w:val="1"/>
      <w:marLeft w:val="0"/>
      <w:marRight w:val="0"/>
      <w:marTop w:val="0"/>
      <w:marBottom w:val="0"/>
      <w:divBdr>
        <w:top w:val="none" w:sz="0" w:space="0" w:color="auto"/>
        <w:left w:val="none" w:sz="0" w:space="0" w:color="auto"/>
        <w:bottom w:val="none" w:sz="0" w:space="0" w:color="auto"/>
        <w:right w:val="none" w:sz="0" w:space="0" w:color="auto"/>
      </w:divBdr>
    </w:div>
    <w:div w:id="2064325644">
      <w:bodyDiv w:val="1"/>
      <w:marLeft w:val="0"/>
      <w:marRight w:val="0"/>
      <w:marTop w:val="0"/>
      <w:marBottom w:val="0"/>
      <w:divBdr>
        <w:top w:val="none" w:sz="0" w:space="0" w:color="auto"/>
        <w:left w:val="none" w:sz="0" w:space="0" w:color="auto"/>
        <w:bottom w:val="none" w:sz="0" w:space="0" w:color="auto"/>
        <w:right w:val="none" w:sz="0" w:space="0" w:color="auto"/>
      </w:divBdr>
    </w:div>
    <w:div w:id="2135513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Pat96</b:Tag>
    <b:SourceType>Book</b:SourceType>
    <b:Guid>{98A8AE2C-1F7C-470B-B0BC-41765B3047EA}</b:Guid>
    <b:Title>The Cambridge Illustrated History of China</b:Title>
    <b:Year>1996</b:Year>
    <b:City>Cambridge</b:City>
    <b:Publisher>Press Syndicate of the University of Cambridge</b:Publisher>
    <b:Author>
      <b:Author>
        <b:NameList>
          <b:Person>
            <b:Last>Ebrey</b:Last>
            <b:First>Patricia</b:First>
            <b:Middle>Buckley</b:Middle>
          </b:Person>
        </b:NameList>
      </b:Author>
    </b:Author>
    <b:RefOrder>2</b:RefOrder>
  </b:Source>
  <b:Source>
    <b:Tag>Qiz15</b:Tag>
    <b:SourceType>Book</b:SourceType>
    <b:Guid>{E21EAB1D-CF13-4522-B954-D8C70B68444C}</b:Guid>
    <b:Author>
      <b:Author>
        <b:NameList>
          <b:Person>
            <b:Last>Zhang</b:Last>
            <b:First>Qizhi</b:First>
          </b:Person>
        </b:NameList>
      </b:Author>
    </b:Author>
    <b:Title>An Introduction to Chinese History and Culture</b:Title>
    <b:Year>2015</b:Year>
    <b:City>Xi'an</b:City>
    <b:Publisher>Northwest University</b:Publisher>
    <b:RefOrder>4</b:RefOrder>
  </b:Source>
  <b:Source>
    <b:Tag>Yur09</b:Tag>
    <b:SourceType>Book</b:SourceType>
    <b:Guid>{1F08F0E2-670C-4142-886A-E4A11C87B1C8}</b:Guid>
    <b:Author>
      <b:Author>
        <b:NameList>
          <b:Person>
            <b:Last>Pines</b:Last>
            <b:First>Yuri</b:First>
          </b:Person>
        </b:NameList>
      </b:Author>
    </b:Author>
    <b:Title>Envisioning Eternal Empire: Chinese Political Thought of the Warring States Era</b:Title>
    <b:Year>2009</b:Year>
    <b:City>Honolulu</b:City>
    <b:Publisher>University of Hawai'i Press</b:Publisher>
    <b:RefOrder>6</b:RefOrder>
  </b:Source>
  <b:Source>
    <b:Tag>Joh09</b:Tag>
    <b:SourceType>Book</b:SourceType>
    <b:Guid>{DFF1CBB5-5D95-488B-96B1-804EE3C75DDE}</b:Guid>
    <b:Title>China: A History</b:Title>
    <b:City>London</b:City>
    <b:Publisher>Harper Press</b:Publisher>
    <b:Year>2009</b:Year>
    <b:Author>
      <b:Author>
        <b:NameList>
          <b:Person>
            <b:Last>Keay</b:Last>
            <b:First>John</b:First>
          </b:Person>
        </b:NameList>
      </b:Author>
    </b:Author>
    <b:RefOrder>1</b:RefOrder>
  </b:Source>
  <b:Source>
    <b:Tag>Cai03</b:Tag>
    <b:SourceType>JournalArticle</b:SourceType>
    <b:Guid>{1BDFDB20-0A8B-46D0-91D9-76FEA448305E}</b:Guid>
    <b:Title>War and Bureaucratisation in Qin China: Exploring an Anomalous Case</b:Title>
    <b:Year>2003</b:Year>
    <b:Pages>511-539</b:Pages>
    <b:JournalName>American Sociological Review</b:JournalName>
    <b:Volume>68</b:Volume>
    <b:Issue>4</b:Issue>
    <b:Author>
      <b:Author>
        <b:NameList>
          <b:Person>
            <b:Last>Kiser</b:Last>
            <b:First>Edgar</b:First>
          </b:Person>
          <b:Person>
            <b:Last>Yong</b:Last>
            <b:First>Cai</b:First>
          </b:Person>
        </b:NameList>
      </b:Author>
    </b:Author>
    <b:RefOrder>3</b:RefOrder>
  </b:Source>
  <b:Source>
    <b:Tag>Cha10</b:Tag>
    <b:SourceType>JournalArticle</b:SourceType>
    <b:Guid>{CA5E8C4D-FE15-4D8D-9DC7-02B1B3EBA2EF}</b:Guid>
    <b:Author>
      <b:Author>
        <b:NameList>
          <b:Person>
            <b:Last>Sanft</b:Last>
            <b:First>Charles</b:First>
          </b:Person>
        </b:NameList>
      </b:Author>
    </b:Author>
    <b:Title>Law and Communication in Qin and Western Han China</b:Title>
    <b:JournalName>Journal of the Economic and Social History of the Orient</b:JournalName>
    <b:Year>2010</b:Year>
    <b:Pages>679-711</b:Pages>
    <b:Volume>53</b:Volume>
    <b:Issue>5</b:Issue>
    <b:RefOrder>5</b:RefOrder>
  </b:Source>
</b:Sources>
</file>

<file path=customXml/itemProps1.xml><?xml version="1.0" encoding="utf-8"?>
<ds:datastoreItem xmlns:ds="http://schemas.openxmlformats.org/officeDocument/2006/customXml" ds:itemID="{0AC84BC7-6094-4319-8EE3-04DFFA399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1084</TotalTime>
  <Pages>6</Pages>
  <Words>2256</Words>
  <Characters>12860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Murray</dc:creator>
  <cp:keywords/>
  <dc:description/>
  <cp:lastModifiedBy>Joshua Murray</cp:lastModifiedBy>
  <cp:revision>21</cp:revision>
  <dcterms:created xsi:type="dcterms:W3CDTF">2019-11-29T23:08:00Z</dcterms:created>
  <dcterms:modified xsi:type="dcterms:W3CDTF">2019-12-18T11:09:00Z</dcterms:modified>
</cp:coreProperties>
</file>