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C9D15" w14:textId="77777777" w:rsidR="00AB188A" w:rsidRDefault="00AB188A" w:rsidP="00342A3A">
      <w:pPr>
        <w:jc w:val="center"/>
        <w:rPr>
          <w:sz w:val="32"/>
          <w:szCs w:val="28"/>
        </w:rPr>
      </w:pPr>
    </w:p>
    <w:p w14:paraId="1784093E" w14:textId="77777777" w:rsidR="00AB188A" w:rsidRDefault="00AB188A" w:rsidP="00342A3A">
      <w:pPr>
        <w:jc w:val="center"/>
        <w:rPr>
          <w:sz w:val="32"/>
          <w:szCs w:val="28"/>
        </w:rPr>
      </w:pPr>
    </w:p>
    <w:p w14:paraId="6C7EA272" w14:textId="14E0C87C" w:rsidR="00CF0EA8" w:rsidRPr="00CE7814" w:rsidRDefault="00023476" w:rsidP="00AB188A">
      <w:pPr>
        <w:rPr>
          <w:sz w:val="32"/>
          <w:szCs w:val="28"/>
        </w:rPr>
      </w:pPr>
      <w:r w:rsidRPr="00CE7814">
        <w:rPr>
          <w:sz w:val="32"/>
          <w:szCs w:val="28"/>
        </w:rPr>
        <w:t>Module: International Financial Man</w:t>
      </w:r>
      <w:r w:rsidR="00CE7814" w:rsidRPr="00CE7814">
        <w:rPr>
          <w:sz w:val="32"/>
          <w:szCs w:val="28"/>
        </w:rPr>
        <w:t>a</w:t>
      </w:r>
      <w:r w:rsidRPr="00CE7814">
        <w:rPr>
          <w:sz w:val="32"/>
          <w:szCs w:val="28"/>
        </w:rPr>
        <w:t>gement</w:t>
      </w:r>
    </w:p>
    <w:p w14:paraId="2CA61B95" w14:textId="07E1FB5D" w:rsidR="00CE7814" w:rsidRDefault="00CE7814" w:rsidP="00AB188A">
      <w:pPr>
        <w:rPr>
          <w:sz w:val="32"/>
          <w:szCs w:val="28"/>
        </w:rPr>
      </w:pPr>
      <w:r w:rsidRPr="00CE7814">
        <w:rPr>
          <w:sz w:val="32"/>
          <w:szCs w:val="28"/>
        </w:rPr>
        <w:t>February Term</w:t>
      </w:r>
      <w:r>
        <w:rPr>
          <w:sz w:val="32"/>
          <w:szCs w:val="28"/>
        </w:rPr>
        <w:t xml:space="preserve"> 2024</w:t>
      </w:r>
    </w:p>
    <w:p w14:paraId="31E5CAC5" w14:textId="6690F069" w:rsidR="00CE7814" w:rsidRDefault="00CE7814" w:rsidP="00AB188A">
      <w:pPr>
        <w:rPr>
          <w:sz w:val="32"/>
          <w:szCs w:val="28"/>
        </w:rPr>
      </w:pPr>
      <w:r>
        <w:rPr>
          <w:sz w:val="32"/>
          <w:szCs w:val="28"/>
        </w:rPr>
        <w:t>Student: Valentina Stefanovska</w:t>
      </w:r>
    </w:p>
    <w:p w14:paraId="4DF3CC18" w14:textId="7A7F6E7C" w:rsidR="00CE7814" w:rsidRDefault="00CE7814" w:rsidP="00AB188A">
      <w:pPr>
        <w:rPr>
          <w:sz w:val="32"/>
          <w:szCs w:val="28"/>
        </w:rPr>
      </w:pPr>
      <w:r>
        <w:rPr>
          <w:sz w:val="32"/>
          <w:szCs w:val="28"/>
        </w:rPr>
        <w:t>Student ID: 2123930</w:t>
      </w:r>
    </w:p>
    <w:p w14:paraId="3AED9999" w14:textId="1636DF6B" w:rsidR="0071692F" w:rsidRPr="00CE7814" w:rsidRDefault="00807AF1" w:rsidP="00AB188A">
      <w:pPr>
        <w:rPr>
          <w:sz w:val="32"/>
          <w:szCs w:val="28"/>
        </w:rPr>
      </w:pPr>
      <w:r>
        <w:rPr>
          <w:sz w:val="32"/>
          <w:szCs w:val="28"/>
        </w:rPr>
        <w:t>Lecturer: Dr.Andry Rakotovololona</w:t>
      </w:r>
    </w:p>
    <w:p w14:paraId="4C7A1F6B" w14:textId="77777777" w:rsidR="00DF6C17" w:rsidRPr="00CE7814" w:rsidRDefault="00DF6C17" w:rsidP="00342A3A">
      <w:pPr>
        <w:jc w:val="center"/>
        <w:rPr>
          <w:sz w:val="32"/>
          <w:szCs w:val="28"/>
        </w:rPr>
      </w:pPr>
    </w:p>
    <w:p w14:paraId="28FBDD21" w14:textId="615EF67B" w:rsidR="00664518" w:rsidRPr="00CE7814" w:rsidRDefault="00664518" w:rsidP="00664518"/>
    <w:p w14:paraId="1322AF11" w14:textId="34A2E59C" w:rsidR="00664518" w:rsidRPr="00CE7814" w:rsidRDefault="00664518" w:rsidP="00664518"/>
    <w:p w14:paraId="684F619E" w14:textId="4860E355" w:rsidR="00664518" w:rsidRPr="00CE7814" w:rsidRDefault="00664518" w:rsidP="00664518"/>
    <w:p w14:paraId="47FE1429" w14:textId="79585264" w:rsidR="00664518" w:rsidRPr="00CE7814" w:rsidRDefault="00664518" w:rsidP="00664518"/>
    <w:p w14:paraId="4C5DBCF0" w14:textId="432631B5" w:rsidR="00664518" w:rsidRPr="00CE7814" w:rsidRDefault="00664518" w:rsidP="00664518"/>
    <w:p w14:paraId="2B4DC386" w14:textId="6152AC31" w:rsidR="00664518" w:rsidRPr="00CE7814" w:rsidRDefault="00664518" w:rsidP="00664518"/>
    <w:p w14:paraId="3BA4BCB3" w14:textId="39E80442" w:rsidR="00664518" w:rsidRPr="00CE7814" w:rsidRDefault="00664518" w:rsidP="00664518"/>
    <w:p w14:paraId="14F81AAA" w14:textId="0D23B890" w:rsidR="00664518" w:rsidRPr="00CE7814" w:rsidRDefault="00664518" w:rsidP="00664518"/>
    <w:p w14:paraId="2E6C26C2" w14:textId="0617AE08" w:rsidR="00664518" w:rsidRPr="00CE7814" w:rsidRDefault="00664518" w:rsidP="00664518"/>
    <w:p w14:paraId="557C1C4E" w14:textId="1556CD68" w:rsidR="00664518" w:rsidRPr="00CE7814" w:rsidRDefault="00664518" w:rsidP="00664518"/>
    <w:p w14:paraId="407AFA64" w14:textId="48E49FED" w:rsidR="00664518" w:rsidRPr="00CE7814" w:rsidRDefault="00664518" w:rsidP="00664518"/>
    <w:p w14:paraId="05D81986" w14:textId="4E57D5A9" w:rsidR="00664518" w:rsidRPr="00CE7814" w:rsidRDefault="00664518" w:rsidP="00664518"/>
    <w:p w14:paraId="1AACA623" w14:textId="6C6E5C36" w:rsidR="00664518" w:rsidRPr="00CE7814" w:rsidRDefault="00664518" w:rsidP="00664518"/>
    <w:p w14:paraId="60D4791A" w14:textId="5236D374" w:rsidR="00664518" w:rsidRPr="00CE7814" w:rsidRDefault="00664518" w:rsidP="00664518"/>
    <w:p w14:paraId="77333D60" w14:textId="596432CA" w:rsidR="00664518" w:rsidRPr="00CE7814" w:rsidRDefault="005B1338" w:rsidP="00664518">
      <w:r w:rsidRPr="00CE7814">
        <w:br w:type="page"/>
      </w:r>
    </w:p>
    <w:sdt>
      <w:sdtPr>
        <w:rPr>
          <w:rFonts w:ascii="Times New Roman" w:eastAsiaTheme="minorHAnsi" w:hAnsi="Times New Roman" w:cstheme="minorBidi"/>
          <w:color w:val="auto"/>
          <w:kern w:val="2"/>
          <w:sz w:val="24"/>
          <w:szCs w:val="22"/>
          <w:lang w:val="en-GB"/>
          <w14:ligatures w14:val="standardContextual"/>
        </w:rPr>
        <w:id w:val="-785814399"/>
        <w:docPartObj>
          <w:docPartGallery w:val="Table of Contents"/>
          <w:docPartUnique/>
        </w:docPartObj>
      </w:sdtPr>
      <w:sdtEndPr>
        <w:rPr>
          <w:b/>
          <w:bCs/>
          <w:noProof/>
        </w:rPr>
      </w:sdtEndPr>
      <w:sdtContent>
        <w:p w14:paraId="393782BD" w14:textId="0D8770CD" w:rsidR="00664518" w:rsidRPr="00023476" w:rsidRDefault="00664518">
          <w:pPr>
            <w:pStyle w:val="TOCHeading"/>
            <w:rPr>
              <w:rFonts w:ascii="Times New Roman" w:hAnsi="Times New Roman" w:cs="Times New Roman"/>
              <w:color w:val="auto"/>
              <w:lang w:val="fr-FR"/>
            </w:rPr>
          </w:pPr>
          <w:r w:rsidRPr="00023476">
            <w:rPr>
              <w:rFonts w:ascii="Times New Roman" w:hAnsi="Times New Roman" w:cs="Times New Roman"/>
              <w:color w:val="auto"/>
              <w:lang w:val="fr-FR"/>
            </w:rPr>
            <w:t>Contents</w:t>
          </w:r>
        </w:p>
        <w:p w14:paraId="0286415F" w14:textId="133F8FE0" w:rsidR="00DE7FEB" w:rsidRDefault="00664518">
          <w:pPr>
            <w:pStyle w:val="TOC1"/>
            <w:tabs>
              <w:tab w:val="right" w:leader="dot" w:pos="9350"/>
            </w:tabs>
            <w:rPr>
              <w:rFonts w:asciiTheme="minorHAnsi" w:eastAsiaTheme="minorEastAsia" w:hAnsiTheme="minorHAnsi"/>
              <w:noProof/>
              <w:sz w:val="22"/>
              <w:szCs w:val="28"/>
              <w:lang w:val="en-US" w:bidi="bn-BD"/>
            </w:rPr>
          </w:pPr>
          <w:r>
            <w:fldChar w:fldCharType="begin"/>
          </w:r>
          <w:r>
            <w:instrText xml:space="preserve"> TOC \o "1-3" \h \z \u </w:instrText>
          </w:r>
          <w:r>
            <w:fldChar w:fldCharType="separate"/>
          </w:r>
          <w:hyperlink w:anchor="_Toc161015083" w:history="1">
            <w:r w:rsidR="00DE7FEB" w:rsidRPr="00CF52AE">
              <w:rPr>
                <w:rStyle w:val="Hyperlink"/>
                <w:noProof/>
              </w:rPr>
              <w:t>Introduction</w:t>
            </w:r>
            <w:r w:rsidR="00DE7FEB">
              <w:rPr>
                <w:noProof/>
                <w:webHidden/>
              </w:rPr>
              <w:tab/>
            </w:r>
            <w:r w:rsidR="00DE7FEB">
              <w:rPr>
                <w:noProof/>
                <w:webHidden/>
              </w:rPr>
              <w:fldChar w:fldCharType="begin"/>
            </w:r>
            <w:r w:rsidR="00DE7FEB">
              <w:rPr>
                <w:noProof/>
                <w:webHidden/>
              </w:rPr>
              <w:instrText xml:space="preserve"> PAGEREF _Toc161015083 \h </w:instrText>
            </w:r>
            <w:r w:rsidR="00DE7FEB">
              <w:rPr>
                <w:noProof/>
                <w:webHidden/>
              </w:rPr>
            </w:r>
            <w:r w:rsidR="00DE7FEB">
              <w:rPr>
                <w:noProof/>
                <w:webHidden/>
              </w:rPr>
              <w:fldChar w:fldCharType="separate"/>
            </w:r>
            <w:r w:rsidR="00DE7FEB">
              <w:rPr>
                <w:noProof/>
                <w:webHidden/>
              </w:rPr>
              <w:t>3</w:t>
            </w:r>
            <w:r w:rsidR="00DE7FEB">
              <w:rPr>
                <w:noProof/>
                <w:webHidden/>
              </w:rPr>
              <w:fldChar w:fldCharType="end"/>
            </w:r>
          </w:hyperlink>
        </w:p>
        <w:p w14:paraId="73868BA3" w14:textId="12EB39A6" w:rsidR="00DE7FEB" w:rsidRDefault="00000000">
          <w:pPr>
            <w:pStyle w:val="TOC1"/>
            <w:tabs>
              <w:tab w:val="right" w:leader="dot" w:pos="9350"/>
            </w:tabs>
            <w:rPr>
              <w:rFonts w:asciiTheme="minorHAnsi" w:eastAsiaTheme="minorEastAsia" w:hAnsiTheme="minorHAnsi"/>
              <w:noProof/>
              <w:sz w:val="22"/>
              <w:szCs w:val="28"/>
              <w:lang w:val="en-US" w:bidi="bn-BD"/>
            </w:rPr>
          </w:pPr>
          <w:hyperlink w:anchor="_Toc161015084" w:history="1">
            <w:r w:rsidR="00DE7FEB" w:rsidRPr="00CF52AE">
              <w:rPr>
                <w:rStyle w:val="Hyperlink"/>
                <w:noProof/>
              </w:rPr>
              <w:t>MNCs and Foreign Exchange Risks</w:t>
            </w:r>
            <w:r w:rsidR="00DE7FEB">
              <w:rPr>
                <w:noProof/>
                <w:webHidden/>
              </w:rPr>
              <w:tab/>
            </w:r>
            <w:r w:rsidR="00DE7FEB">
              <w:rPr>
                <w:noProof/>
                <w:webHidden/>
              </w:rPr>
              <w:fldChar w:fldCharType="begin"/>
            </w:r>
            <w:r w:rsidR="00DE7FEB">
              <w:rPr>
                <w:noProof/>
                <w:webHidden/>
              </w:rPr>
              <w:instrText xml:space="preserve"> PAGEREF _Toc161015084 \h </w:instrText>
            </w:r>
            <w:r w:rsidR="00DE7FEB">
              <w:rPr>
                <w:noProof/>
                <w:webHidden/>
              </w:rPr>
            </w:r>
            <w:r w:rsidR="00DE7FEB">
              <w:rPr>
                <w:noProof/>
                <w:webHidden/>
              </w:rPr>
              <w:fldChar w:fldCharType="separate"/>
            </w:r>
            <w:r w:rsidR="00DE7FEB">
              <w:rPr>
                <w:noProof/>
                <w:webHidden/>
              </w:rPr>
              <w:t>3</w:t>
            </w:r>
            <w:r w:rsidR="00DE7FEB">
              <w:rPr>
                <w:noProof/>
                <w:webHidden/>
              </w:rPr>
              <w:fldChar w:fldCharType="end"/>
            </w:r>
          </w:hyperlink>
        </w:p>
        <w:p w14:paraId="0BA7D9EA" w14:textId="099367E7" w:rsidR="00DE7FEB" w:rsidRDefault="00000000">
          <w:pPr>
            <w:pStyle w:val="TOC2"/>
            <w:tabs>
              <w:tab w:val="right" w:leader="dot" w:pos="9350"/>
            </w:tabs>
            <w:rPr>
              <w:rFonts w:asciiTheme="minorHAnsi" w:eastAsiaTheme="minorEastAsia" w:hAnsiTheme="minorHAnsi"/>
              <w:noProof/>
              <w:sz w:val="22"/>
              <w:szCs w:val="28"/>
              <w:lang w:val="en-US" w:bidi="bn-BD"/>
            </w:rPr>
          </w:pPr>
          <w:hyperlink w:anchor="_Toc161015085" w:history="1">
            <w:r w:rsidR="00DE7FEB" w:rsidRPr="00CF52AE">
              <w:rPr>
                <w:rStyle w:val="Hyperlink"/>
                <w:noProof/>
                <w:lang w:val="en-US"/>
              </w:rPr>
              <w:t>Transaction Risk</w:t>
            </w:r>
            <w:r w:rsidR="00DE7FEB">
              <w:rPr>
                <w:noProof/>
                <w:webHidden/>
              </w:rPr>
              <w:tab/>
            </w:r>
            <w:r w:rsidR="00DE7FEB">
              <w:rPr>
                <w:noProof/>
                <w:webHidden/>
              </w:rPr>
              <w:fldChar w:fldCharType="begin"/>
            </w:r>
            <w:r w:rsidR="00DE7FEB">
              <w:rPr>
                <w:noProof/>
                <w:webHidden/>
              </w:rPr>
              <w:instrText xml:space="preserve"> PAGEREF _Toc161015085 \h </w:instrText>
            </w:r>
            <w:r w:rsidR="00DE7FEB">
              <w:rPr>
                <w:noProof/>
                <w:webHidden/>
              </w:rPr>
            </w:r>
            <w:r w:rsidR="00DE7FEB">
              <w:rPr>
                <w:noProof/>
                <w:webHidden/>
              </w:rPr>
              <w:fldChar w:fldCharType="separate"/>
            </w:r>
            <w:r w:rsidR="00DE7FEB">
              <w:rPr>
                <w:noProof/>
                <w:webHidden/>
              </w:rPr>
              <w:t>3</w:t>
            </w:r>
            <w:r w:rsidR="00DE7FEB">
              <w:rPr>
                <w:noProof/>
                <w:webHidden/>
              </w:rPr>
              <w:fldChar w:fldCharType="end"/>
            </w:r>
          </w:hyperlink>
        </w:p>
        <w:p w14:paraId="415FAD91" w14:textId="32C3C236" w:rsidR="00DE7FEB" w:rsidRDefault="00000000">
          <w:pPr>
            <w:pStyle w:val="TOC2"/>
            <w:tabs>
              <w:tab w:val="right" w:leader="dot" w:pos="9350"/>
            </w:tabs>
            <w:rPr>
              <w:rFonts w:asciiTheme="minorHAnsi" w:eastAsiaTheme="minorEastAsia" w:hAnsiTheme="minorHAnsi"/>
              <w:noProof/>
              <w:sz w:val="22"/>
              <w:szCs w:val="28"/>
              <w:lang w:val="en-US" w:bidi="bn-BD"/>
            </w:rPr>
          </w:pPr>
          <w:hyperlink w:anchor="_Toc161015086" w:history="1">
            <w:r w:rsidR="00DE7FEB" w:rsidRPr="00CF52AE">
              <w:rPr>
                <w:rStyle w:val="Hyperlink"/>
                <w:noProof/>
                <w:lang w:val="en-US"/>
              </w:rPr>
              <w:t>Translation Risk</w:t>
            </w:r>
            <w:r w:rsidR="00DE7FEB">
              <w:rPr>
                <w:noProof/>
                <w:webHidden/>
              </w:rPr>
              <w:tab/>
            </w:r>
            <w:r w:rsidR="00DE7FEB">
              <w:rPr>
                <w:noProof/>
                <w:webHidden/>
              </w:rPr>
              <w:fldChar w:fldCharType="begin"/>
            </w:r>
            <w:r w:rsidR="00DE7FEB">
              <w:rPr>
                <w:noProof/>
                <w:webHidden/>
              </w:rPr>
              <w:instrText xml:space="preserve"> PAGEREF _Toc161015086 \h </w:instrText>
            </w:r>
            <w:r w:rsidR="00DE7FEB">
              <w:rPr>
                <w:noProof/>
                <w:webHidden/>
              </w:rPr>
            </w:r>
            <w:r w:rsidR="00DE7FEB">
              <w:rPr>
                <w:noProof/>
                <w:webHidden/>
              </w:rPr>
              <w:fldChar w:fldCharType="separate"/>
            </w:r>
            <w:r w:rsidR="00DE7FEB">
              <w:rPr>
                <w:noProof/>
                <w:webHidden/>
              </w:rPr>
              <w:t>3</w:t>
            </w:r>
            <w:r w:rsidR="00DE7FEB">
              <w:rPr>
                <w:noProof/>
                <w:webHidden/>
              </w:rPr>
              <w:fldChar w:fldCharType="end"/>
            </w:r>
          </w:hyperlink>
        </w:p>
        <w:p w14:paraId="0E925910" w14:textId="3C71B449" w:rsidR="00DE7FEB" w:rsidRDefault="00000000">
          <w:pPr>
            <w:pStyle w:val="TOC2"/>
            <w:tabs>
              <w:tab w:val="right" w:leader="dot" w:pos="9350"/>
            </w:tabs>
            <w:rPr>
              <w:rFonts w:asciiTheme="minorHAnsi" w:eastAsiaTheme="minorEastAsia" w:hAnsiTheme="minorHAnsi"/>
              <w:noProof/>
              <w:sz w:val="22"/>
              <w:szCs w:val="28"/>
              <w:lang w:val="en-US" w:bidi="bn-BD"/>
            </w:rPr>
          </w:pPr>
          <w:hyperlink w:anchor="_Toc161015087" w:history="1">
            <w:r w:rsidR="00DE7FEB" w:rsidRPr="00CF52AE">
              <w:rPr>
                <w:rStyle w:val="Hyperlink"/>
                <w:noProof/>
                <w:lang w:val="en-US"/>
              </w:rPr>
              <w:t>Economic Risk</w:t>
            </w:r>
            <w:r w:rsidR="00DE7FEB">
              <w:rPr>
                <w:noProof/>
                <w:webHidden/>
              </w:rPr>
              <w:tab/>
            </w:r>
            <w:r w:rsidR="00DE7FEB">
              <w:rPr>
                <w:noProof/>
                <w:webHidden/>
              </w:rPr>
              <w:fldChar w:fldCharType="begin"/>
            </w:r>
            <w:r w:rsidR="00DE7FEB">
              <w:rPr>
                <w:noProof/>
                <w:webHidden/>
              </w:rPr>
              <w:instrText xml:space="preserve"> PAGEREF _Toc161015087 \h </w:instrText>
            </w:r>
            <w:r w:rsidR="00DE7FEB">
              <w:rPr>
                <w:noProof/>
                <w:webHidden/>
              </w:rPr>
            </w:r>
            <w:r w:rsidR="00DE7FEB">
              <w:rPr>
                <w:noProof/>
                <w:webHidden/>
              </w:rPr>
              <w:fldChar w:fldCharType="separate"/>
            </w:r>
            <w:r w:rsidR="00DE7FEB">
              <w:rPr>
                <w:noProof/>
                <w:webHidden/>
              </w:rPr>
              <w:t>4</w:t>
            </w:r>
            <w:r w:rsidR="00DE7FEB">
              <w:rPr>
                <w:noProof/>
                <w:webHidden/>
              </w:rPr>
              <w:fldChar w:fldCharType="end"/>
            </w:r>
          </w:hyperlink>
        </w:p>
        <w:p w14:paraId="1F6F75EF" w14:textId="1FE6C7F4" w:rsidR="00DE7FEB" w:rsidRDefault="00000000">
          <w:pPr>
            <w:pStyle w:val="TOC1"/>
            <w:tabs>
              <w:tab w:val="right" w:leader="dot" w:pos="9350"/>
            </w:tabs>
            <w:rPr>
              <w:rFonts w:asciiTheme="minorHAnsi" w:eastAsiaTheme="minorEastAsia" w:hAnsiTheme="minorHAnsi"/>
              <w:noProof/>
              <w:sz w:val="22"/>
              <w:szCs w:val="28"/>
              <w:lang w:val="en-US" w:bidi="bn-BD"/>
            </w:rPr>
          </w:pPr>
          <w:hyperlink w:anchor="_Toc161015088" w:history="1">
            <w:r w:rsidR="00DE7FEB" w:rsidRPr="00CF52AE">
              <w:rPr>
                <w:rStyle w:val="Hyperlink"/>
                <w:noProof/>
              </w:rPr>
              <w:t>International Financial Management Theories and Foreign Exchange Risk Management</w:t>
            </w:r>
            <w:r w:rsidR="00DE7FEB">
              <w:rPr>
                <w:noProof/>
                <w:webHidden/>
              </w:rPr>
              <w:tab/>
            </w:r>
            <w:r w:rsidR="00DE7FEB">
              <w:rPr>
                <w:noProof/>
                <w:webHidden/>
              </w:rPr>
              <w:fldChar w:fldCharType="begin"/>
            </w:r>
            <w:r w:rsidR="00DE7FEB">
              <w:rPr>
                <w:noProof/>
                <w:webHidden/>
              </w:rPr>
              <w:instrText xml:space="preserve"> PAGEREF _Toc161015088 \h </w:instrText>
            </w:r>
            <w:r w:rsidR="00DE7FEB">
              <w:rPr>
                <w:noProof/>
                <w:webHidden/>
              </w:rPr>
            </w:r>
            <w:r w:rsidR="00DE7FEB">
              <w:rPr>
                <w:noProof/>
                <w:webHidden/>
              </w:rPr>
              <w:fldChar w:fldCharType="separate"/>
            </w:r>
            <w:r w:rsidR="00DE7FEB">
              <w:rPr>
                <w:noProof/>
                <w:webHidden/>
              </w:rPr>
              <w:t>4</w:t>
            </w:r>
            <w:r w:rsidR="00DE7FEB">
              <w:rPr>
                <w:noProof/>
                <w:webHidden/>
              </w:rPr>
              <w:fldChar w:fldCharType="end"/>
            </w:r>
          </w:hyperlink>
        </w:p>
        <w:p w14:paraId="120C115E" w14:textId="3D65A78F" w:rsidR="00DE7FEB" w:rsidRDefault="00000000">
          <w:pPr>
            <w:pStyle w:val="TOC2"/>
            <w:tabs>
              <w:tab w:val="right" w:leader="dot" w:pos="9350"/>
            </w:tabs>
            <w:rPr>
              <w:rFonts w:asciiTheme="minorHAnsi" w:eastAsiaTheme="minorEastAsia" w:hAnsiTheme="minorHAnsi"/>
              <w:noProof/>
              <w:sz w:val="22"/>
              <w:szCs w:val="28"/>
              <w:lang w:val="en-US" w:bidi="bn-BD"/>
            </w:rPr>
          </w:pPr>
          <w:hyperlink w:anchor="_Toc161015089" w:history="1">
            <w:r w:rsidR="00DE7FEB" w:rsidRPr="00CF52AE">
              <w:rPr>
                <w:rStyle w:val="Hyperlink"/>
                <w:noProof/>
                <w:lang w:val="en-US"/>
              </w:rPr>
              <w:t>Interest Rate Parity (IRP) Theory</w:t>
            </w:r>
            <w:r w:rsidR="00DE7FEB">
              <w:rPr>
                <w:noProof/>
                <w:webHidden/>
              </w:rPr>
              <w:tab/>
            </w:r>
            <w:r w:rsidR="00DE7FEB">
              <w:rPr>
                <w:noProof/>
                <w:webHidden/>
              </w:rPr>
              <w:fldChar w:fldCharType="begin"/>
            </w:r>
            <w:r w:rsidR="00DE7FEB">
              <w:rPr>
                <w:noProof/>
                <w:webHidden/>
              </w:rPr>
              <w:instrText xml:space="preserve"> PAGEREF _Toc161015089 \h </w:instrText>
            </w:r>
            <w:r w:rsidR="00DE7FEB">
              <w:rPr>
                <w:noProof/>
                <w:webHidden/>
              </w:rPr>
            </w:r>
            <w:r w:rsidR="00DE7FEB">
              <w:rPr>
                <w:noProof/>
                <w:webHidden/>
              </w:rPr>
              <w:fldChar w:fldCharType="separate"/>
            </w:r>
            <w:r w:rsidR="00DE7FEB">
              <w:rPr>
                <w:noProof/>
                <w:webHidden/>
              </w:rPr>
              <w:t>4</w:t>
            </w:r>
            <w:r w:rsidR="00DE7FEB">
              <w:rPr>
                <w:noProof/>
                <w:webHidden/>
              </w:rPr>
              <w:fldChar w:fldCharType="end"/>
            </w:r>
          </w:hyperlink>
        </w:p>
        <w:p w14:paraId="7402F7D2" w14:textId="17630892" w:rsidR="00DE7FEB" w:rsidRDefault="00000000">
          <w:pPr>
            <w:pStyle w:val="TOC2"/>
            <w:tabs>
              <w:tab w:val="right" w:leader="dot" w:pos="9350"/>
            </w:tabs>
            <w:rPr>
              <w:rFonts w:asciiTheme="minorHAnsi" w:eastAsiaTheme="minorEastAsia" w:hAnsiTheme="minorHAnsi"/>
              <w:noProof/>
              <w:sz w:val="22"/>
              <w:szCs w:val="28"/>
              <w:lang w:val="en-US" w:bidi="bn-BD"/>
            </w:rPr>
          </w:pPr>
          <w:hyperlink w:anchor="_Toc161015090" w:history="1">
            <w:r w:rsidR="00DE7FEB" w:rsidRPr="00CF52AE">
              <w:rPr>
                <w:rStyle w:val="Hyperlink"/>
                <w:noProof/>
                <w:lang w:val="en-US"/>
              </w:rPr>
              <w:t>Purchasing Power Parity (PPP) Theory</w:t>
            </w:r>
            <w:r w:rsidR="00DE7FEB">
              <w:rPr>
                <w:noProof/>
                <w:webHidden/>
              </w:rPr>
              <w:tab/>
            </w:r>
            <w:r w:rsidR="00DE7FEB">
              <w:rPr>
                <w:noProof/>
                <w:webHidden/>
              </w:rPr>
              <w:fldChar w:fldCharType="begin"/>
            </w:r>
            <w:r w:rsidR="00DE7FEB">
              <w:rPr>
                <w:noProof/>
                <w:webHidden/>
              </w:rPr>
              <w:instrText xml:space="preserve"> PAGEREF _Toc161015090 \h </w:instrText>
            </w:r>
            <w:r w:rsidR="00DE7FEB">
              <w:rPr>
                <w:noProof/>
                <w:webHidden/>
              </w:rPr>
            </w:r>
            <w:r w:rsidR="00DE7FEB">
              <w:rPr>
                <w:noProof/>
                <w:webHidden/>
              </w:rPr>
              <w:fldChar w:fldCharType="separate"/>
            </w:r>
            <w:r w:rsidR="00DE7FEB">
              <w:rPr>
                <w:noProof/>
                <w:webHidden/>
              </w:rPr>
              <w:t>5</w:t>
            </w:r>
            <w:r w:rsidR="00DE7FEB">
              <w:rPr>
                <w:noProof/>
                <w:webHidden/>
              </w:rPr>
              <w:fldChar w:fldCharType="end"/>
            </w:r>
          </w:hyperlink>
        </w:p>
        <w:p w14:paraId="30EA27BB" w14:textId="269EBC60" w:rsidR="00DE7FEB" w:rsidRDefault="00000000">
          <w:pPr>
            <w:pStyle w:val="TOC2"/>
            <w:tabs>
              <w:tab w:val="right" w:leader="dot" w:pos="9350"/>
            </w:tabs>
            <w:rPr>
              <w:rFonts w:asciiTheme="minorHAnsi" w:eastAsiaTheme="minorEastAsia" w:hAnsiTheme="minorHAnsi"/>
              <w:noProof/>
              <w:sz w:val="22"/>
              <w:szCs w:val="28"/>
              <w:lang w:val="en-US" w:bidi="bn-BD"/>
            </w:rPr>
          </w:pPr>
          <w:hyperlink w:anchor="_Toc161015091" w:history="1">
            <w:r w:rsidR="00DE7FEB" w:rsidRPr="00CF52AE">
              <w:rPr>
                <w:rStyle w:val="Hyperlink"/>
                <w:noProof/>
                <w:lang w:val="en-US"/>
              </w:rPr>
              <w:t>Fisher Effect</w:t>
            </w:r>
            <w:r w:rsidR="00DE7FEB">
              <w:rPr>
                <w:noProof/>
                <w:webHidden/>
              </w:rPr>
              <w:tab/>
            </w:r>
            <w:r w:rsidR="00DE7FEB">
              <w:rPr>
                <w:noProof/>
                <w:webHidden/>
              </w:rPr>
              <w:fldChar w:fldCharType="begin"/>
            </w:r>
            <w:r w:rsidR="00DE7FEB">
              <w:rPr>
                <w:noProof/>
                <w:webHidden/>
              </w:rPr>
              <w:instrText xml:space="preserve"> PAGEREF _Toc161015091 \h </w:instrText>
            </w:r>
            <w:r w:rsidR="00DE7FEB">
              <w:rPr>
                <w:noProof/>
                <w:webHidden/>
              </w:rPr>
            </w:r>
            <w:r w:rsidR="00DE7FEB">
              <w:rPr>
                <w:noProof/>
                <w:webHidden/>
              </w:rPr>
              <w:fldChar w:fldCharType="separate"/>
            </w:r>
            <w:r w:rsidR="00DE7FEB">
              <w:rPr>
                <w:noProof/>
                <w:webHidden/>
              </w:rPr>
              <w:t>5</w:t>
            </w:r>
            <w:r w:rsidR="00DE7FEB">
              <w:rPr>
                <w:noProof/>
                <w:webHidden/>
              </w:rPr>
              <w:fldChar w:fldCharType="end"/>
            </w:r>
          </w:hyperlink>
        </w:p>
        <w:p w14:paraId="2202EEE7" w14:textId="6F89B9CC" w:rsidR="00DE7FEB" w:rsidRDefault="00000000">
          <w:pPr>
            <w:pStyle w:val="TOC1"/>
            <w:tabs>
              <w:tab w:val="right" w:leader="dot" w:pos="9350"/>
            </w:tabs>
            <w:rPr>
              <w:rFonts w:asciiTheme="minorHAnsi" w:eastAsiaTheme="minorEastAsia" w:hAnsiTheme="minorHAnsi"/>
              <w:noProof/>
              <w:sz w:val="22"/>
              <w:szCs w:val="28"/>
              <w:lang w:val="en-US" w:bidi="bn-BD"/>
            </w:rPr>
          </w:pPr>
          <w:hyperlink w:anchor="_Toc161015092" w:history="1">
            <w:r w:rsidR="00DE7FEB" w:rsidRPr="00CF52AE">
              <w:rPr>
                <w:rStyle w:val="Hyperlink"/>
                <w:noProof/>
              </w:rPr>
              <w:t>Foreign Exchange Risk Management Strategies</w:t>
            </w:r>
            <w:r w:rsidR="00DE7FEB">
              <w:rPr>
                <w:noProof/>
                <w:webHidden/>
              </w:rPr>
              <w:tab/>
            </w:r>
            <w:r w:rsidR="00DE7FEB">
              <w:rPr>
                <w:noProof/>
                <w:webHidden/>
              </w:rPr>
              <w:fldChar w:fldCharType="begin"/>
            </w:r>
            <w:r w:rsidR="00DE7FEB">
              <w:rPr>
                <w:noProof/>
                <w:webHidden/>
              </w:rPr>
              <w:instrText xml:space="preserve"> PAGEREF _Toc161015092 \h </w:instrText>
            </w:r>
            <w:r w:rsidR="00DE7FEB">
              <w:rPr>
                <w:noProof/>
                <w:webHidden/>
              </w:rPr>
            </w:r>
            <w:r w:rsidR="00DE7FEB">
              <w:rPr>
                <w:noProof/>
                <w:webHidden/>
              </w:rPr>
              <w:fldChar w:fldCharType="separate"/>
            </w:r>
            <w:r w:rsidR="00DE7FEB">
              <w:rPr>
                <w:noProof/>
                <w:webHidden/>
              </w:rPr>
              <w:t>5</w:t>
            </w:r>
            <w:r w:rsidR="00DE7FEB">
              <w:rPr>
                <w:noProof/>
                <w:webHidden/>
              </w:rPr>
              <w:fldChar w:fldCharType="end"/>
            </w:r>
          </w:hyperlink>
        </w:p>
        <w:p w14:paraId="6593CFB5" w14:textId="3BED30E1" w:rsidR="00DE7FEB" w:rsidRDefault="00000000">
          <w:pPr>
            <w:pStyle w:val="TOC2"/>
            <w:tabs>
              <w:tab w:val="right" w:leader="dot" w:pos="9350"/>
            </w:tabs>
            <w:rPr>
              <w:rFonts w:asciiTheme="minorHAnsi" w:eastAsiaTheme="minorEastAsia" w:hAnsiTheme="minorHAnsi"/>
              <w:noProof/>
              <w:sz w:val="22"/>
              <w:szCs w:val="28"/>
              <w:lang w:val="en-US" w:bidi="bn-BD"/>
            </w:rPr>
          </w:pPr>
          <w:hyperlink w:anchor="_Toc161015093" w:history="1">
            <w:r w:rsidR="00DE7FEB" w:rsidRPr="00CF52AE">
              <w:rPr>
                <w:rStyle w:val="Hyperlink"/>
                <w:noProof/>
                <w:lang w:val="en-US"/>
              </w:rPr>
              <w:t>Hedging</w:t>
            </w:r>
            <w:r w:rsidR="00DE7FEB">
              <w:rPr>
                <w:noProof/>
                <w:webHidden/>
              </w:rPr>
              <w:tab/>
            </w:r>
            <w:r w:rsidR="00DE7FEB">
              <w:rPr>
                <w:noProof/>
                <w:webHidden/>
              </w:rPr>
              <w:fldChar w:fldCharType="begin"/>
            </w:r>
            <w:r w:rsidR="00DE7FEB">
              <w:rPr>
                <w:noProof/>
                <w:webHidden/>
              </w:rPr>
              <w:instrText xml:space="preserve"> PAGEREF _Toc161015093 \h </w:instrText>
            </w:r>
            <w:r w:rsidR="00DE7FEB">
              <w:rPr>
                <w:noProof/>
                <w:webHidden/>
              </w:rPr>
            </w:r>
            <w:r w:rsidR="00DE7FEB">
              <w:rPr>
                <w:noProof/>
                <w:webHidden/>
              </w:rPr>
              <w:fldChar w:fldCharType="separate"/>
            </w:r>
            <w:r w:rsidR="00DE7FEB">
              <w:rPr>
                <w:noProof/>
                <w:webHidden/>
              </w:rPr>
              <w:t>5</w:t>
            </w:r>
            <w:r w:rsidR="00DE7FEB">
              <w:rPr>
                <w:noProof/>
                <w:webHidden/>
              </w:rPr>
              <w:fldChar w:fldCharType="end"/>
            </w:r>
          </w:hyperlink>
        </w:p>
        <w:p w14:paraId="72945101" w14:textId="120FB80A" w:rsidR="00DE7FEB" w:rsidRDefault="00000000">
          <w:pPr>
            <w:pStyle w:val="TOC2"/>
            <w:tabs>
              <w:tab w:val="right" w:leader="dot" w:pos="9350"/>
            </w:tabs>
            <w:rPr>
              <w:rFonts w:asciiTheme="minorHAnsi" w:eastAsiaTheme="minorEastAsia" w:hAnsiTheme="minorHAnsi"/>
              <w:noProof/>
              <w:sz w:val="22"/>
              <w:szCs w:val="28"/>
              <w:lang w:val="en-US" w:bidi="bn-BD"/>
            </w:rPr>
          </w:pPr>
          <w:hyperlink w:anchor="_Toc161015094" w:history="1">
            <w:r w:rsidR="00DE7FEB" w:rsidRPr="00CF52AE">
              <w:rPr>
                <w:rStyle w:val="Hyperlink"/>
                <w:noProof/>
              </w:rPr>
              <w:t>Currency portfolio diversification</w:t>
            </w:r>
            <w:r w:rsidR="00DE7FEB">
              <w:rPr>
                <w:noProof/>
                <w:webHidden/>
              </w:rPr>
              <w:tab/>
            </w:r>
            <w:r w:rsidR="00DE7FEB">
              <w:rPr>
                <w:noProof/>
                <w:webHidden/>
              </w:rPr>
              <w:fldChar w:fldCharType="begin"/>
            </w:r>
            <w:r w:rsidR="00DE7FEB">
              <w:rPr>
                <w:noProof/>
                <w:webHidden/>
              </w:rPr>
              <w:instrText xml:space="preserve"> PAGEREF _Toc161015094 \h </w:instrText>
            </w:r>
            <w:r w:rsidR="00DE7FEB">
              <w:rPr>
                <w:noProof/>
                <w:webHidden/>
              </w:rPr>
            </w:r>
            <w:r w:rsidR="00DE7FEB">
              <w:rPr>
                <w:noProof/>
                <w:webHidden/>
              </w:rPr>
              <w:fldChar w:fldCharType="separate"/>
            </w:r>
            <w:r w:rsidR="00DE7FEB">
              <w:rPr>
                <w:noProof/>
                <w:webHidden/>
              </w:rPr>
              <w:t>7</w:t>
            </w:r>
            <w:r w:rsidR="00DE7FEB">
              <w:rPr>
                <w:noProof/>
                <w:webHidden/>
              </w:rPr>
              <w:fldChar w:fldCharType="end"/>
            </w:r>
          </w:hyperlink>
        </w:p>
        <w:p w14:paraId="3EF4960A" w14:textId="44AF7EA8" w:rsidR="00DE7FEB" w:rsidRDefault="00000000">
          <w:pPr>
            <w:pStyle w:val="TOC1"/>
            <w:tabs>
              <w:tab w:val="right" w:leader="dot" w:pos="9350"/>
            </w:tabs>
            <w:rPr>
              <w:rFonts w:asciiTheme="minorHAnsi" w:eastAsiaTheme="minorEastAsia" w:hAnsiTheme="minorHAnsi"/>
              <w:noProof/>
              <w:sz w:val="22"/>
              <w:szCs w:val="28"/>
              <w:lang w:val="en-US" w:bidi="bn-BD"/>
            </w:rPr>
          </w:pPr>
          <w:hyperlink w:anchor="_Toc161015095" w:history="1">
            <w:r w:rsidR="00DE7FEB" w:rsidRPr="00CF52AE">
              <w:rPr>
                <w:rStyle w:val="Hyperlink"/>
                <w:noProof/>
              </w:rPr>
              <w:t>Conclusion</w:t>
            </w:r>
            <w:r w:rsidR="00DE7FEB">
              <w:rPr>
                <w:noProof/>
                <w:webHidden/>
              </w:rPr>
              <w:tab/>
            </w:r>
            <w:r w:rsidR="00DE7FEB">
              <w:rPr>
                <w:noProof/>
                <w:webHidden/>
              </w:rPr>
              <w:fldChar w:fldCharType="begin"/>
            </w:r>
            <w:r w:rsidR="00DE7FEB">
              <w:rPr>
                <w:noProof/>
                <w:webHidden/>
              </w:rPr>
              <w:instrText xml:space="preserve"> PAGEREF _Toc161015095 \h </w:instrText>
            </w:r>
            <w:r w:rsidR="00DE7FEB">
              <w:rPr>
                <w:noProof/>
                <w:webHidden/>
              </w:rPr>
            </w:r>
            <w:r w:rsidR="00DE7FEB">
              <w:rPr>
                <w:noProof/>
                <w:webHidden/>
              </w:rPr>
              <w:fldChar w:fldCharType="separate"/>
            </w:r>
            <w:r w:rsidR="00DE7FEB">
              <w:rPr>
                <w:noProof/>
                <w:webHidden/>
              </w:rPr>
              <w:t>7</w:t>
            </w:r>
            <w:r w:rsidR="00DE7FEB">
              <w:rPr>
                <w:noProof/>
                <w:webHidden/>
              </w:rPr>
              <w:fldChar w:fldCharType="end"/>
            </w:r>
          </w:hyperlink>
        </w:p>
        <w:p w14:paraId="482CCF14" w14:textId="538EF5FF" w:rsidR="00DE7FEB" w:rsidRDefault="00000000">
          <w:pPr>
            <w:pStyle w:val="TOC1"/>
            <w:tabs>
              <w:tab w:val="right" w:leader="dot" w:pos="9350"/>
            </w:tabs>
            <w:rPr>
              <w:rFonts w:asciiTheme="minorHAnsi" w:eastAsiaTheme="minorEastAsia" w:hAnsiTheme="minorHAnsi"/>
              <w:noProof/>
              <w:sz w:val="22"/>
              <w:szCs w:val="28"/>
              <w:lang w:val="en-US" w:bidi="bn-BD"/>
            </w:rPr>
          </w:pPr>
          <w:hyperlink w:anchor="_Toc161015096" w:history="1">
            <w:r w:rsidR="00DE7FEB" w:rsidRPr="00CF52AE">
              <w:rPr>
                <w:rStyle w:val="Hyperlink"/>
                <w:noProof/>
                <w:lang w:val="en-US"/>
              </w:rPr>
              <w:t>References</w:t>
            </w:r>
            <w:r w:rsidR="00DE7FEB">
              <w:rPr>
                <w:noProof/>
                <w:webHidden/>
              </w:rPr>
              <w:tab/>
            </w:r>
            <w:r w:rsidR="00DE7FEB">
              <w:rPr>
                <w:noProof/>
                <w:webHidden/>
              </w:rPr>
              <w:fldChar w:fldCharType="begin"/>
            </w:r>
            <w:r w:rsidR="00DE7FEB">
              <w:rPr>
                <w:noProof/>
                <w:webHidden/>
              </w:rPr>
              <w:instrText xml:space="preserve"> PAGEREF _Toc161015096 \h </w:instrText>
            </w:r>
            <w:r w:rsidR="00DE7FEB">
              <w:rPr>
                <w:noProof/>
                <w:webHidden/>
              </w:rPr>
            </w:r>
            <w:r w:rsidR="00DE7FEB">
              <w:rPr>
                <w:noProof/>
                <w:webHidden/>
              </w:rPr>
              <w:fldChar w:fldCharType="separate"/>
            </w:r>
            <w:r w:rsidR="00DE7FEB">
              <w:rPr>
                <w:noProof/>
                <w:webHidden/>
              </w:rPr>
              <w:t>9</w:t>
            </w:r>
            <w:r w:rsidR="00DE7FEB">
              <w:rPr>
                <w:noProof/>
                <w:webHidden/>
              </w:rPr>
              <w:fldChar w:fldCharType="end"/>
            </w:r>
          </w:hyperlink>
        </w:p>
        <w:p w14:paraId="219F563E" w14:textId="7A111D1C" w:rsidR="00664518" w:rsidRDefault="00664518">
          <w:r>
            <w:rPr>
              <w:b/>
              <w:bCs/>
              <w:noProof/>
            </w:rPr>
            <w:fldChar w:fldCharType="end"/>
          </w:r>
        </w:p>
      </w:sdtContent>
    </w:sdt>
    <w:p w14:paraId="0E451D61" w14:textId="53CA241A" w:rsidR="00664518" w:rsidRDefault="00664518" w:rsidP="00664518"/>
    <w:p w14:paraId="0CD7D22A" w14:textId="4EA64B21" w:rsidR="00664518" w:rsidRDefault="00664518" w:rsidP="00664518"/>
    <w:p w14:paraId="5C9D21D4" w14:textId="1327B0FD" w:rsidR="00664518" w:rsidRDefault="00664518" w:rsidP="00664518"/>
    <w:p w14:paraId="0347B823" w14:textId="716FC76A" w:rsidR="00664518" w:rsidRDefault="00664518" w:rsidP="00664518"/>
    <w:p w14:paraId="77FE316B" w14:textId="789B0614" w:rsidR="009903A1" w:rsidRPr="009903A1" w:rsidRDefault="009903A1" w:rsidP="009903A1">
      <w:pPr>
        <w:pStyle w:val="Heading1"/>
      </w:pPr>
      <w:bookmarkStart w:id="0" w:name="_Toc161015083"/>
      <w:r w:rsidRPr="009903A1">
        <w:lastRenderedPageBreak/>
        <w:t>Introduction</w:t>
      </w:r>
      <w:bookmarkEnd w:id="0"/>
    </w:p>
    <w:p w14:paraId="401D8BD0" w14:textId="059EEC3F" w:rsidR="009903A1" w:rsidRPr="009903A1" w:rsidRDefault="009903A1" w:rsidP="009903A1">
      <w:r w:rsidRPr="009903A1">
        <w:t xml:space="preserve">For multinational corporations (MNCs) </w:t>
      </w:r>
      <w:r w:rsidR="000533B5">
        <w:t>with</w:t>
      </w:r>
      <w:r w:rsidRPr="009903A1">
        <w:t xml:space="preserve"> global</w:t>
      </w:r>
      <w:r w:rsidR="000533B5">
        <w:t xml:space="preserve"> operations</w:t>
      </w:r>
      <w:r w:rsidRPr="009903A1">
        <w:t>, fluctuations in exchange rates indicate the depreciation of their currency value and pose risks to their cash flows and profitability</w:t>
      </w:r>
      <w:r w:rsidR="00592EAE">
        <w:t xml:space="preserve">. </w:t>
      </w:r>
      <w:r w:rsidRPr="009903A1">
        <w:t xml:space="preserve">In the case of MNCs dealing with foreign exchange risk, international </w:t>
      </w:r>
      <w:r w:rsidR="00725AB4">
        <w:t>f</w:t>
      </w:r>
      <w:r w:rsidR="006731C8">
        <w:t>inancial</w:t>
      </w:r>
      <w:r w:rsidRPr="009903A1">
        <w:t xml:space="preserve"> management is imperative to preserve their competitiveness and reach their goals. The MNCs frequently use a broad set of risk management </w:t>
      </w:r>
      <w:r w:rsidR="008B30EA" w:rsidRPr="009903A1">
        <w:t>strategies</w:t>
      </w:r>
      <w:r w:rsidR="008B30EA">
        <w:t xml:space="preserve"> </w:t>
      </w:r>
      <w:r w:rsidR="008B30EA" w:rsidRPr="009903A1">
        <w:t>to</w:t>
      </w:r>
      <w:r w:rsidRPr="009903A1">
        <w:t xml:space="preserve"> mitigate the risks eminent in the foreign currency market.</w:t>
      </w:r>
      <w:r w:rsidR="001774D5">
        <w:t xml:space="preserve"> </w:t>
      </w:r>
      <w:r w:rsidR="00E83475" w:rsidRPr="00E83475">
        <w:t>This repor</w:t>
      </w:r>
      <w:r w:rsidR="00B903B1">
        <w:t xml:space="preserve">t </w:t>
      </w:r>
      <w:r w:rsidR="00B903B1" w:rsidRPr="00B903B1">
        <w:t>will briefly describ</w:t>
      </w:r>
      <w:r w:rsidR="00B903B1">
        <w:t xml:space="preserve">e </w:t>
      </w:r>
      <w:r w:rsidR="008B30EA">
        <w:t>the foreign exchange risks, relevant</w:t>
      </w:r>
      <w:r w:rsidR="00B903B1" w:rsidRPr="00B903B1">
        <w:t xml:space="preserve"> </w:t>
      </w:r>
      <w:r w:rsidR="008B30EA">
        <w:t xml:space="preserve">IFM </w:t>
      </w:r>
      <w:r w:rsidR="00B903B1" w:rsidRPr="00B903B1">
        <w:t>theories</w:t>
      </w:r>
      <w:r w:rsidR="00B903B1">
        <w:t xml:space="preserve"> </w:t>
      </w:r>
      <w:r w:rsidR="00B903B1" w:rsidRPr="00B903B1">
        <w:t>and</w:t>
      </w:r>
      <w:r w:rsidR="00C20250">
        <w:t xml:space="preserve"> </w:t>
      </w:r>
      <w:r w:rsidR="00B903B1" w:rsidRPr="00B903B1">
        <w:t>strategies</w:t>
      </w:r>
      <w:r w:rsidR="00C20250">
        <w:t xml:space="preserve"> </w:t>
      </w:r>
      <w:r w:rsidR="00B903B1" w:rsidRPr="00B903B1">
        <w:t>by</w:t>
      </w:r>
      <w:r w:rsidR="004753B3" w:rsidRPr="004753B3">
        <w:t xml:space="preserve"> these companies to deal with foreign exchange risk</w:t>
      </w:r>
      <w:r w:rsidR="004753B3">
        <w:t xml:space="preserve">. </w:t>
      </w:r>
    </w:p>
    <w:p w14:paraId="26885E02" w14:textId="266BB4A9" w:rsidR="005840C2" w:rsidRDefault="005840C2" w:rsidP="0022255F">
      <w:pPr>
        <w:pStyle w:val="Heading1"/>
      </w:pPr>
      <w:bookmarkStart w:id="1" w:name="_Toc161015084"/>
      <w:r>
        <w:t>MNCs and Foreign Exchange Risks</w:t>
      </w:r>
      <w:bookmarkEnd w:id="1"/>
    </w:p>
    <w:p w14:paraId="79FE0D22" w14:textId="358CC216" w:rsidR="005840C2" w:rsidRPr="005840C2" w:rsidRDefault="005840C2" w:rsidP="005840C2">
      <w:pPr>
        <w:rPr>
          <w:lang w:val="en-US"/>
        </w:rPr>
      </w:pPr>
      <w:r w:rsidRPr="005840C2">
        <w:rPr>
          <w:lang w:val="en-US"/>
        </w:rPr>
        <w:t>Multinational corporations (MNCs) operating in the global market are exposed to various types of foreign exchange risks</w:t>
      </w:r>
      <w:r w:rsidR="009F6902">
        <w:rPr>
          <w:lang w:val="en-US"/>
        </w:rPr>
        <w:t xml:space="preserve"> </w:t>
      </w:r>
      <w:r w:rsidR="009F6902" w:rsidRPr="009F6902">
        <w:rPr>
          <w:lang w:val="en-US"/>
        </w:rPr>
        <w:t>(Shapiro, 2009)</w:t>
      </w:r>
      <w:r w:rsidR="00AF1CFE">
        <w:rPr>
          <w:lang w:val="en-US"/>
        </w:rPr>
        <w:t xml:space="preserve">. </w:t>
      </w:r>
      <w:r w:rsidR="00F81F64">
        <w:rPr>
          <w:lang w:val="en-US"/>
        </w:rPr>
        <w:t>This risk</w:t>
      </w:r>
      <w:r w:rsidR="00364AF6">
        <w:rPr>
          <w:lang w:val="en-US"/>
        </w:rPr>
        <w:t xml:space="preserve"> </w:t>
      </w:r>
      <w:r w:rsidRPr="005840C2">
        <w:rPr>
          <w:lang w:val="en-US"/>
        </w:rPr>
        <w:t xml:space="preserve">can </w:t>
      </w:r>
      <w:r w:rsidR="00364AF6">
        <w:rPr>
          <w:lang w:val="en-US"/>
        </w:rPr>
        <w:t>drastically hamper</w:t>
      </w:r>
      <w:r w:rsidRPr="005840C2">
        <w:rPr>
          <w:lang w:val="en-US"/>
        </w:rPr>
        <w:t xml:space="preserve"> </w:t>
      </w:r>
      <w:r w:rsidR="00364AF6">
        <w:rPr>
          <w:lang w:val="en-US"/>
        </w:rPr>
        <w:t xml:space="preserve">their </w:t>
      </w:r>
      <w:r w:rsidRPr="005840C2">
        <w:rPr>
          <w:lang w:val="en-US"/>
        </w:rPr>
        <w:t xml:space="preserve">financial performance. Foreign exchange </w:t>
      </w:r>
      <w:r w:rsidR="00AF1CFE">
        <w:rPr>
          <w:lang w:val="en-US"/>
        </w:rPr>
        <w:t xml:space="preserve">risks arise </w:t>
      </w:r>
      <w:r w:rsidR="00364AF6">
        <w:rPr>
          <w:lang w:val="en-US"/>
        </w:rPr>
        <w:t>from</w:t>
      </w:r>
      <w:r w:rsidRPr="005840C2">
        <w:rPr>
          <w:lang w:val="en-US"/>
        </w:rPr>
        <w:t xml:space="preserve"> currency exchange </w:t>
      </w:r>
      <w:r w:rsidR="00AF1CFE">
        <w:rPr>
          <w:lang w:val="en-US"/>
        </w:rPr>
        <w:t>rate</w:t>
      </w:r>
      <w:r w:rsidR="00AF1CFE" w:rsidRPr="00AF1CFE">
        <w:rPr>
          <w:lang w:val="en-US"/>
        </w:rPr>
        <w:t xml:space="preserve"> </w:t>
      </w:r>
      <w:r w:rsidR="00C42070" w:rsidRPr="005840C2">
        <w:rPr>
          <w:lang w:val="en-US"/>
        </w:rPr>
        <w:t>fluctuations,</w:t>
      </w:r>
      <w:r w:rsidR="00AF1CFE">
        <w:rPr>
          <w:lang w:val="en-US"/>
        </w:rPr>
        <w:t xml:space="preserve"> and the</w:t>
      </w:r>
      <w:r w:rsidR="00BE2EB4">
        <w:rPr>
          <w:lang w:val="en-US"/>
        </w:rPr>
        <w:t xml:space="preserve">y </w:t>
      </w:r>
      <w:r w:rsidRPr="005840C2">
        <w:rPr>
          <w:lang w:val="en-US"/>
        </w:rPr>
        <w:t xml:space="preserve">affect an MNC's </w:t>
      </w:r>
      <w:r w:rsidR="00E72CE0">
        <w:rPr>
          <w:lang w:val="en-US"/>
        </w:rPr>
        <w:t>financial aspect</w:t>
      </w:r>
      <w:r w:rsidRPr="005840C2">
        <w:rPr>
          <w:lang w:val="en-US"/>
        </w:rPr>
        <w:t xml:space="preserve"> denominated in foreign currencies</w:t>
      </w:r>
      <w:r w:rsidR="00B21C8E">
        <w:rPr>
          <w:lang w:val="en-US"/>
        </w:rPr>
        <w:t xml:space="preserve"> </w:t>
      </w:r>
      <w:r w:rsidR="00B21C8E" w:rsidRPr="00B21C8E">
        <w:rPr>
          <w:lang w:val="en-US"/>
        </w:rPr>
        <w:t>(Bekaert and Hodrick, 2012)</w:t>
      </w:r>
      <w:r w:rsidRPr="005840C2">
        <w:rPr>
          <w:lang w:val="en-US"/>
        </w:rPr>
        <w:t>.</w:t>
      </w:r>
      <w:r w:rsidR="00BE2EB4">
        <w:rPr>
          <w:lang w:val="en-US"/>
        </w:rPr>
        <w:t xml:space="preserve"> The primary </w:t>
      </w:r>
      <w:r w:rsidR="00C42070" w:rsidRPr="00C42070">
        <w:t>types of foreign exchange r</w:t>
      </w:r>
      <w:r w:rsidR="00C42070">
        <w:t xml:space="preserve">isk are </w:t>
      </w:r>
      <w:r w:rsidR="00C42070" w:rsidRPr="00C42070">
        <w:t>discussed below with suitable examples</w:t>
      </w:r>
      <w:r w:rsidRPr="005840C2">
        <w:rPr>
          <w:lang w:val="en-US"/>
        </w:rPr>
        <w:t>.</w:t>
      </w:r>
    </w:p>
    <w:p w14:paraId="451FF632" w14:textId="77777777" w:rsidR="00757E21" w:rsidRDefault="005840C2" w:rsidP="00757E21">
      <w:pPr>
        <w:pStyle w:val="Heading2"/>
        <w:rPr>
          <w:lang w:val="en-US"/>
        </w:rPr>
      </w:pPr>
      <w:bookmarkStart w:id="2" w:name="_Toc161015085"/>
      <w:r w:rsidRPr="00793752">
        <w:rPr>
          <w:lang w:val="en-US"/>
        </w:rPr>
        <w:t>Transaction Risk</w:t>
      </w:r>
      <w:bookmarkEnd w:id="2"/>
    </w:p>
    <w:p w14:paraId="02557525" w14:textId="0F82A49B" w:rsidR="007D7F04" w:rsidRDefault="00C42070" w:rsidP="00793752">
      <w:pPr>
        <w:rPr>
          <w:lang w:val="en-US"/>
        </w:rPr>
      </w:pPr>
      <w:r>
        <w:rPr>
          <w:lang w:val="en-US"/>
        </w:rPr>
        <w:t>It is</w:t>
      </w:r>
      <w:r w:rsidR="005840C2" w:rsidRPr="005840C2">
        <w:rPr>
          <w:lang w:val="en-US"/>
        </w:rPr>
        <w:t xml:space="preserve"> the risk </w:t>
      </w:r>
      <w:r w:rsidR="00E72CE0">
        <w:rPr>
          <w:lang w:val="en-US"/>
        </w:rPr>
        <w:t xml:space="preserve">with </w:t>
      </w:r>
      <w:r w:rsidR="005840C2" w:rsidRPr="005840C2">
        <w:rPr>
          <w:lang w:val="en-US"/>
        </w:rPr>
        <w:t>transactions in foreign currencies due to fluctuations in exchange rates between the transaction date and the settlement date</w:t>
      </w:r>
      <w:r w:rsidR="001305AF">
        <w:rPr>
          <w:lang w:val="en-US"/>
        </w:rPr>
        <w:t xml:space="preserve"> </w:t>
      </w:r>
      <w:r w:rsidR="001305AF" w:rsidRPr="001305AF">
        <w:rPr>
          <w:lang w:val="en-US"/>
        </w:rPr>
        <w:t>(Horcher, 2011)</w:t>
      </w:r>
      <w:r w:rsidR="005840C2" w:rsidRPr="005840C2">
        <w:rPr>
          <w:lang w:val="en-US"/>
        </w:rPr>
        <w:t xml:space="preserve">. For </w:t>
      </w:r>
      <w:r w:rsidR="0084701B">
        <w:rPr>
          <w:lang w:val="en-US"/>
        </w:rPr>
        <w:t>insta</w:t>
      </w:r>
      <w:r w:rsidR="0047555A">
        <w:rPr>
          <w:lang w:val="en-US"/>
        </w:rPr>
        <w:t>nce</w:t>
      </w:r>
      <w:r w:rsidR="005840C2" w:rsidRPr="005840C2">
        <w:rPr>
          <w:lang w:val="en-US"/>
        </w:rPr>
        <w:t xml:space="preserve">, if </w:t>
      </w:r>
      <w:r w:rsidR="0047555A">
        <w:rPr>
          <w:lang w:val="en-US"/>
        </w:rPr>
        <w:t xml:space="preserve">British Petroleum </w:t>
      </w:r>
      <w:r w:rsidR="005840C2" w:rsidRPr="005840C2">
        <w:rPr>
          <w:lang w:val="en-US"/>
        </w:rPr>
        <w:t xml:space="preserve">exports goods to the </w:t>
      </w:r>
      <w:r w:rsidR="0047555A">
        <w:rPr>
          <w:lang w:val="en-US"/>
        </w:rPr>
        <w:t>Europe</w:t>
      </w:r>
      <w:r w:rsidR="007F51F1">
        <w:rPr>
          <w:lang w:val="en-US"/>
        </w:rPr>
        <w:t xml:space="preserve">, it will </w:t>
      </w:r>
      <w:r w:rsidR="007F51F1" w:rsidRPr="005840C2">
        <w:rPr>
          <w:lang w:val="en-US"/>
        </w:rPr>
        <w:t>receive</w:t>
      </w:r>
      <w:r w:rsidR="005840C2" w:rsidRPr="005840C2">
        <w:rPr>
          <w:lang w:val="en-US"/>
        </w:rPr>
        <w:t xml:space="preserve"> payment in </w:t>
      </w:r>
      <w:r w:rsidR="0047555A">
        <w:rPr>
          <w:lang w:val="en-US"/>
        </w:rPr>
        <w:t>E</w:t>
      </w:r>
      <w:r w:rsidR="007F51F1">
        <w:rPr>
          <w:lang w:val="en-US"/>
        </w:rPr>
        <w:t xml:space="preserve">uro. At that time </w:t>
      </w:r>
      <w:r w:rsidR="005840C2" w:rsidRPr="005840C2">
        <w:rPr>
          <w:lang w:val="en-US"/>
        </w:rPr>
        <w:t xml:space="preserve">the </w:t>
      </w:r>
      <w:r w:rsidR="007F51F1" w:rsidRPr="005840C2">
        <w:rPr>
          <w:lang w:val="en-US"/>
        </w:rPr>
        <w:t xml:space="preserve">payment </w:t>
      </w:r>
      <w:r w:rsidR="005840C2" w:rsidRPr="005840C2">
        <w:rPr>
          <w:lang w:val="en-US"/>
        </w:rPr>
        <w:t xml:space="preserve">value in </w:t>
      </w:r>
      <w:r w:rsidR="007F51F1">
        <w:rPr>
          <w:lang w:val="en-US"/>
        </w:rPr>
        <w:t xml:space="preserve">GBP </w:t>
      </w:r>
      <w:r w:rsidR="005840C2" w:rsidRPr="005840C2">
        <w:rPr>
          <w:lang w:val="en-US"/>
        </w:rPr>
        <w:t xml:space="preserve">will </w:t>
      </w:r>
      <w:r w:rsidR="007F51F1">
        <w:rPr>
          <w:lang w:val="en-US"/>
        </w:rPr>
        <w:t>vary according to</w:t>
      </w:r>
      <w:r w:rsidR="005840C2" w:rsidRPr="005840C2">
        <w:rPr>
          <w:lang w:val="en-US"/>
        </w:rPr>
        <w:t xml:space="preserve"> the </w:t>
      </w:r>
      <w:r w:rsidR="007F51F1">
        <w:rPr>
          <w:lang w:val="en-US"/>
        </w:rPr>
        <w:t xml:space="preserve">inconsistent </w:t>
      </w:r>
      <w:r w:rsidR="005840C2" w:rsidRPr="005840C2">
        <w:rPr>
          <w:lang w:val="en-US"/>
        </w:rPr>
        <w:t>exchange rate at the time of settlement. If the pound appreciates against the dollar between the transaction date and the settlement date, the MNC will receive fewer pounds for the same amount of dollars, resulting in a loss.</w:t>
      </w:r>
      <w:r w:rsidR="00995E70">
        <w:rPr>
          <w:lang w:val="en-US"/>
        </w:rPr>
        <w:t xml:space="preserve"> </w:t>
      </w:r>
      <w:r w:rsidR="00D3334F">
        <w:rPr>
          <w:lang w:val="en-US"/>
        </w:rPr>
        <w:t xml:space="preserve"> </w:t>
      </w:r>
    </w:p>
    <w:p w14:paraId="52A9E42A" w14:textId="77777777" w:rsidR="00757E21" w:rsidRPr="00757E21" w:rsidRDefault="005840C2" w:rsidP="00757E21">
      <w:pPr>
        <w:pStyle w:val="Heading2"/>
        <w:rPr>
          <w:lang w:val="en-US"/>
        </w:rPr>
      </w:pPr>
      <w:bookmarkStart w:id="3" w:name="_Toc161015086"/>
      <w:r w:rsidRPr="005840C2">
        <w:rPr>
          <w:lang w:val="en-US"/>
        </w:rPr>
        <w:t>Translation Risk</w:t>
      </w:r>
      <w:bookmarkEnd w:id="3"/>
    </w:p>
    <w:p w14:paraId="0AAFEFBD" w14:textId="62FE5904" w:rsidR="00582EE1" w:rsidRPr="00793752" w:rsidRDefault="00111780" w:rsidP="00793752">
      <w:pPr>
        <w:rPr>
          <w:b/>
          <w:bCs/>
          <w:lang w:val="en-US"/>
        </w:rPr>
      </w:pPr>
      <w:r>
        <w:rPr>
          <w:lang w:val="en-US"/>
        </w:rPr>
        <w:t>W</w:t>
      </w:r>
      <w:r w:rsidR="005840C2" w:rsidRPr="005840C2">
        <w:rPr>
          <w:lang w:val="en-US"/>
        </w:rPr>
        <w:t>hen an MNC consolidates its foreign subsidiaries' financial statements</w:t>
      </w:r>
      <w:r w:rsidR="00694A30">
        <w:rPr>
          <w:lang w:val="en-US"/>
        </w:rPr>
        <w:t xml:space="preserve"> with</w:t>
      </w:r>
      <w:r w:rsidR="005840C2" w:rsidRPr="005840C2">
        <w:rPr>
          <w:lang w:val="en-US"/>
        </w:rPr>
        <w:t xml:space="preserve"> </w:t>
      </w:r>
      <w:r w:rsidR="00694A30">
        <w:rPr>
          <w:lang w:val="en-US"/>
        </w:rPr>
        <w:t>denominations</w:t>
      </w:r>
      <w:r w:rsidR="005840C2" w:rsidRPr="005840C2">
        <w:rPr>
          <w:lang w:val="en-US"/>
        </w:rPr>
        <w:t xml:space="preserve"> in different currencies into its parent company's reporting currency</w:t>
      </w:r>
      <w:r w:rsidR="00DF0A99">
        <w:rPr>
          <w:lang w:val="en-US"/>
        </w:rPr>
        <w:t>, it may be exposed to this risk</w:t>
      </w:r>
      <w:r w:rsidR="001305AF">
        <w:rPr>
          <w:lang w:val="en-US"/>
        </w:rPr>
        <w:t xml:space="preserve"> </w:t>
      </w:r>
      <w:r w:rsidR="001305AF" w:rsidRPr="001305AF">
        <w:rPr>
          <w:lang w:val="en-US"/>
        </w:rPr>
        <w:t>(Horcher, 2011)</w:t>
      </w:r>
      <w:r w:rsidR="005840C2" w:rsidRPr="005840C2">
        <w:rPr>
          <w:lang w:val="en-US"/>
        </w:rPr>
        <w:t xml:space="preserve">. </w:t>
      </w:r>
      <w:r w:rsidR="00DF0A99">
        <w:rPr>
          <w:lang w:val="en-US"/>
        </w:rPr>
        <w:t>Because f</w:t>
      </w:r>
      <w:r w:rsidR="005840C2" w:rsidRPr="005840C2">
        <w:rPr>
          <w:lang w:val="en-US"/>
        </w:rPr>
        <w:t xml:space="preserve">luctuations in exchange rates </w:t>
      </w:r>
      <w:r w:rsidR="00DF0A99">
        <w:rPr>
          <w:lang w:val="en-US"/>
        </w:rPr>
        <w:t xml:space="preserve">are consistent and they </w:t>
      </w:r>
      <w:r w:rsidR="005840C2" w:rsidRPr="005840C2">
        <w:rPr>
          <w:lang w:val="en-US"/>
        </w:rPr>
        <w:t>can lead to distortions in the reported financial result</w:t>
      </w:r>
      <w:r w:rsidR="00DF0A99">
        <w:rPr>
          <w:lang w:val="en-US"/>
        </w:rPr>
        <w:t xml:space="preserve">s. </w:t>
      </w:r>
      <w:r w:rsidR="005840C2" w:rsidRPr="005840C2">
        <w:rPr>
          <w:lang w:val="en-US"/>
        </w:rPr>
        <w:t>even if there are no underlying changes in the subsidiaries' operations or cash flows.</w:t>
      </w:r>
      <w:r w:rsidR="00582EE1">
        <w:rPr>
          <w:lang w:val="en-US"/>
        </w:rPr>
        <w:t xml:space="preserve"> </w:t>
      </w:r>
    </w:p>
    <w:p w14:paraId="66CBA521" w14:textId="77777777" w:rsidR="00757E21" w:rsidRPr="00757E21" w:rsidRDefault="005840C2" w:rsidP="00757E21">
      <w:pPr>
        <w:pStyle w:val="Heading2"/>
        <w:rPr>
          <w:lang w:val="en-US"/>
        </w:rPr>
      </w:pPr>
      <w:bookmarkStart w:id="4" w:name="_Toc161015087"/>
      <w:r w:rsidRPr="005840C2">
        <w:rPr>
          <w:lang w:val="en-US"/>
        </w:rPr>
        <w:lastRenderedPageBreak/>
        <w:t>Economic Risk</w:t>
      </w:r>
      <w:bookmarkEnd w:id="4"/>
    </w:p>
    <w:p w14:paraId="7AE10189" w14:textId="07B51604" w:rsidR="005840C2" w:rsidRPr="005840C2" w:rsidRDefault="00DF0A99" w:rsidP="00582EE1">
      <w:pPr>
        <w:rPr>
          <w:b/>
          <w:bCs/>
          <w:lang w:val="en-US"/>
        </w:rPr>
      </w:pPr>
      <w:r>
        <w:rPr>
          <w:lang w:val="en-US"/>
        </w:rPr>
        <w:t>It is</w:t>
      </w:r>
      <w:r w:rsidR="005840C2" w:rsidRPr="005840C2">
        <w:rPr>
          <w:lang w:val="en-US"/>
        </w:rPr>
        <w:t xml:space="preserve"> also known as forecasting risk</w:t>
      </w:r>
      <w:r>
        <w:rPr>
          <w:lang w:val="en-US"/>
        </w:rPr>
        <w:t xml:space="preserve">. It </w:t>
      </w:r>
      <w:r w:rsidR="00FB104A">
        <w:rPr>
          <w:lang w:val="en-US"/>
        </w:rPr>
        <w:t>implies that</w:t>
      </w:r>
      <w:r w:rsidR="005840C2" w:rsidRPr="005840C2">
        <w:rPr>
          <w:lang w:val="en-US"/>
        </w:rPr>
        <w:t xml:space="preserve"> the exchange rate fluctuations</w:t>
      </w:r>
      <w:r w:rsidR="00FB104A">
        <w:rPr>
          <w:lang w:val="en-US"/>
        </w:rPr>
        <w:t xml:space="preserve"> can impact</w:t>
      </w:r>
      <w:r w:rsidR="005840C2" w:rsidRPr="005840C2">
        <w:rPr>
          <w:lang w:val="en-US"/>
        </w:rPr>
        <w:t xml:space="preserve"> the </w:t>
      </w:r>
      <w:r w:rsidR="00FB104A">
        <w:rPr>
          <w:lang w:val="en-US"/>
        </w:rPr>
        <w:t>PV</w:t>
      </w:r>
      <w:r w:rsidR="005840C2" w:rsidRPr="005840C2">
        <w:rPr>
          <w:lang w:val="en-US"/>
        </w:rPr>
        <w:t xml:space="preserve"> of an MNC's cash flows</w:t>
      </w:r>
      <w:r w:rsidR="00FB104A">
        <w:rPr>
          <w:lang w:val="en-US"/>
        </w:rPr>
        <w:t xml:space="preserve"> in the future</w:t>
      </w:r>
      <w:r w:rsidR="000C1039">
        <w:rPr>
          <w:lang w:val="en-US"/>
        </w:rPr>
        <w:t xml:space="preserve"> </w:t>
      </w:r>
      <w:r w:rsidR="000C1039" w:rsidRPr="000C1039">
        <w:rPr>
          <w:lang w:val="en-US"/>
        </w:rPr>
        <w:t>(Horcher, 2011)</w:t>
      </w:r>
      <w:r w:rsidR="005840C2" w:rsidRPr="005840C2">
        <w:rPr>
          <w:lang w:val="en-US"/>
        </w:rPr>
        <w:t>. This risk can affect the MNC's competitiveness, market share, and long-term profitability in different markets.</w:t>
      </w:r>
    </w:p>
    <w:p w14:paraId="1973265F" w14:textId="67560362" w:rsidR="005840C2" w:rsidRPr="006E5E98" w:rsidRDefault="00E825DE" w:rsidP="005840C2">
      <w:pPr>
        <w:rPr>
          <w:lang w:val="en-US"/>
        </w:rPr>
      </w:pPr>
      <w:r>
        <w:t>There are many MNCs that face</w:t>
      </w:r>
      <w:r w:rsidRPr="00E825DE">
        <w:t xml:space="preserve"> difficulties due to </w:t>
      </w:r>
      <w:r>
        <w:t>these</w:t>
      </w:r>
      <w:r w:rsidRPr="00E825DE">
        <w:t xml:space="preserve"> risks</w:t>
      </w:r>
      <w:r>
        <w:t xml:space="preserve">. </w:t>
      </w:r>
      <w:r w:rsidR="00793752">
        <w:rPr>
          <w:lang w:val="en-US"/>
        </w:rPr>
        <w:t xml:space="preserve">For instance, </w:t>
      </w:r>
      <w:r w:rsidR="005840C2" w:rsidRPr="005840C2">
        <w:rPr>
          <w:lang w:val="en-US"/>
        </w:rPr>
        <w:t>GlaxoSmithKline</w:t>
      </w:r>
      <w:r w:rsidR="00D9483C">
        <w:rPr>
          <w:lang w:val="en-US"/>
        </w:rPr>
        <w:t xml:space="preserve"> reportedly</w:t>
      </w:r>
      <w:r w:rsidR="005840C2" w:rsidRPr="005840C2">
        <w:rPr>
          <w:lang w:val="en-US"/>
        </w:rPr>
        <w:t xml:space="preserve"> </w:t>
      </w:r>
      <w:r w:rsidR="00985B09" w:rsidRPr="00985B09">
        <w:t>closed operations</w:t>
      </w:r>
      <w:r w:rsidR="00582EE1">
        <w:t xml:space="preserve"> in </w:t>
      </w:r>
      <w:r w:rsidR="00582EE1" w:rsidRPr="00582EE1">
        <w:t>Nigeria</w:t>
      </w:r>
      <w:r w:rsidR="00582EE1">
        <w:t xml:space="preserve"> </w:t>
      </w:r>
      <w:r w:rsidR="005840C2" w:rsidRPr="005840C2">
        <w:rPr>
          <w:lang w:val="en-US"/>
        </w:rPr>
        <w:t xml:space="preserve">due to </w:t>
      </w:r>
      <w:r w:rsidR="00582EE1">
        <w:rPr>
          <w:lang w:val="en-US"/>
        </w:rPr>
        <w:t>unfavourable</w:t>
      </w:r>
      <w:r w:rsidR="005840C2" w:rsidRPr="005840C2">
        <w:rPr>
          <w:lang w:val="en-US"/>
        </w:rPr>
        <w:t xml:space="preserve"> exchange rate movements, particularly the weakness of emerging market currencies against the pound </w:t>
      </w:r>
      <w:r w:rsidR="00582EE1" w:rsidRPr="00582EE1">
        <w:rPr>
          <w:lang w:val="en-US"/>
        </w:rPr>
        <w:t>(Ohuocha, 2023)</w:t>
      </w:r>
      <w:r w:rsidR="00582EE1">
        <w:rPr>
          <w:lang w:val="en-US"/>
        </w:rPr>
        <w:t>.</w:t>
      </w:r>
      <w:r>
        <w:rPr>
          <w:lang w:val="en-US"/>
        </w:rPr>
        <w:t xml:space="preserve"> </w:t>
      </w:r>
      <w:r w:rsidR="002F1A10" w:rsidRPr="002F1A10">
        <w:t xml:space="preserve">Another British MNC Reckitt Benckiser </w:t>
      </w:r>
      <w:r w:rsidR="00D60B1D">
        <w:t>suffered</w:t>
      </w:r>
      <w:r w:rsidR="002F1A10" w:rsidRPr="002F1A10">
        <w:t xml:space="preserve"> </w:t>
      </w:r>
      <w:r w:rsidR="00252DA6">
        <w:t xml:space="preserve">a </w:t>
      </w:r>
      <w:r w:rsidR="002F1A10" w:rsidRPr="002F1A10">
        <w:t xml:space="preserve">loss in </w:t>
      </w:r>
      <w:r w:rsidR="00D60B1D" w:rsidRPr="00D60B1D">
        <w:t>Southeast Asia</w:t>
      </w:r>
      <w:r w:rsidR="00D60B1D">
        <w:t xml:space="preserve"> last year. </w:t>
      </w:r>
      <w:r w:rsidR="0012111F">
        <w:t>Particularly, i</w:t>
      </w:r>
      <w:r w:rsidR="00D60B1D">
        <w:t xml:space="preserve">n Bangladesh, </w:t>
      </w:r>
      <w:r w:rsidR="00D60B1D" w:rsidRPr="00D60B1D">
        <w:t>the company</w:t>
      </w:r>
      <w:r w:rsidR="00D60B1D">
        <w:t xml:space="preserve">’s </w:t>
      </w:r>
      <w:r w:rsidR="00C733C1">
        <w:t xml:space="preserve">profit </w:t>
      </w:r>
      <w:r w:rsidR="00252DA6" w:rsidRPr="00252DA6">
        <w:t xml:space="preserve">and </w:t>
      </w:r>
      <w:r w:rsidR="00252DA6">
        <w:t>earnings</w:t>
      </w:r>
      <w:r w:rsidR="00252DA6" w:rsidRPr="00252DA6">
        <w:t xml:space="preserve"> per share</w:t>
      </w:r>
      <w:r w:rsidR="00252DA6">
        <w:t xml:space="preserve"> </w:t>
      </w:r>
      <w:r w:rsidR="00D60B1D" w:rsidRPr="00D60B1D">
        <w:t>dec</w:t>
      </w:r>
      <w:r w:rsidR="0012111F">
        <w:t xml:space="preserve">reased </w:t>
      </w:r>
      <w:r w:rsidR="00D60B1D" w:rsidRPr="00D60B1D">
        <w:t>significantly</w:t>
      </w:r>
      <w:r w:rsidR="0012111F" w:rsidRPr="0012111F">
        <w:t xml:space="preserve"> due to the sharp decline of the native currency</w:t>
      </w:r>
      <w:r w:rsidR="0012111F">
        <w:t>’s value</w:t>
      </w:r>
      <w:r w:rsidR="0012111F" w:rsidRPr="0012111F">
        <w:t xml:space="preserve"> against</w:t>
      </w:r>
      <w:r w:rsidR="0012111F">
        <w:t xml:space="preserve"> the USD </w:t>
      </w:r>
      <w:r w:rsidR="0012111F" w:rsidRPr="0012111F">
        <w:t>(The Financial Express, 2023)</w:t>
      </w:r>
      <w:r w:rsidR="0012111F">
        <w:t>.</w:t>
      </w:r>
    </w:p>
    <w:p w14:paraId="74B52265" w14:textId="77777777" w:rsidR="00C27088" w:rsidRDefault="00C27088" w:rsidP="00C27088">
      <w:pPr>
        <w:pStyle w:val="Heading1"/>
      </w:pPr>
      <w:bookmarkStart w:id="5" w:name="_Toc161015088"/>
      <w:r>
        <w:t>International Financial Management Theories and</w:t>
      </w:r>
      <w:r w:rsidR="006E5E98">
        <w:t xml:space="preserve"> Foreign Exchange Risk Management</w:t>
      </w:r>
      <w:bookmarkEnd w:id="5"/>
    </w:p>
    <w:p w14:paraId="166FACAC" w14:textId="2C1F9346" w:rsidR="00C27088" w:rsidRDefault="00C27088" w:rsidP="00C27088">
      <w:pPr>
        <w:rPr>
          <w:lang w:val="en-US"/>
        </w:rPr>
      </w:pPr>
      <w:r w:rsidRPr="00C27088">
        <w:rPr>
          <w:lang w:val="en-US"/>
        </w:rPr>
        <w:t xml:space="preserve">Multinational corporations (MNCs) can employ various international financial management theories and strategies to mitigate foreign exchange risks. These theories provide </w:t>
      </w:r>
      <w:r w:rsidR="00FB104A">
        <w:rPr>
          <w:lang w:val="en-US"/>
        </w:rPr>
        <w:t>discuss</w:t>
      </w:r>
      <w:r w:rsidRPr="00C27088">
        <w:rPr>
          <w:lang w:val="en-US"/>
        </w:rPr>
        <w:t xml:space="preserve"> the dynamics of </w:t>
      </w:r>
      <w:r w:rsidR="00FB104A">
        <w:rPr>
          <w:lang w:val="en-US"/>
        </w:rPr>
        <w:t>relevant rates (</w:t>
      </w:r>
      <w:r w:rsidRPr="00C27088">
        <w:rPr>
          <w:lang w:val="en-US"/>
        </w:rPr>
        <w:t>exchange</w:t>
      </w:r>
      <w:r w:rsidR="00FB104A">
        <w:rPr>
          <w:lang w:val="en-US"/>
        </w:rPr>
        <w:t xml:space="preserve">, </w:t>
      </w:r>
      <w:r w:rsidRPr="00C27088">
        <w:rPr>
          <w:lang w:val="en-US"/>
        </w:rPr>
        <w:t>interest rates</w:t>
      </w:r>
      <w:r w:rsidR="00356B70">
        <w:rPr>
          <w:lang w:val="en-US"/>
        </w:rPr>
        <w:t>)</w:t>
      </w:r>
      <w:r w:rsidRPr="00C27088">
        <w:rPr>
          <w:lang w:val="en-US"/>
        </w:rPr>
        <w:t xml:space="preserve"> and inflation</w:t>
      </w:r>
      <w:r w:rsidR="00993B91">
        <w:rPr>
          <w:lang w:val="en-US"/>
        </w:rPr>
        <w:t xml:space="preserve"> and help MNCs </w:t>
      </w:r>
      <w:r w:rsidRPr="00C27088">
        <w:rPr>
          <w:lang w:val="en-US"/>
        </w:rPr>
        <w:t>form risk management strategies.</w:t>
      </w:r>
    </w:p>
    <w:p w14:paraId="0DE045A1" w14:textId="77777777" w:rsidR="00C27088" w:rsidRPr="00C27088" w:rsidRDefault="00C27088" w:rsidP="00C27088">
      <w:pPr>
        <w:pStyle w:val="Heading2"/>
        <w:rPr>
          <w:lang w:val="en-US"/>
        </w:rPr>
      </w:pPr>
      <w:bookmarkStart w:id="6" w:name="_Toc161015089"/>
      <w:r w:rsidRPr="00C27088">
        <w:rPr>
          <w:lang w:val="en-US"/>
        </w:rPr>
        <w:t>Interest Rate Parity (IRP) Theory</w:t>
      </w:r>
      <w:bookmarkEnd w:id="6"/>
    </w:p>
    <w:p w14:paraId="0333332C" w14:textId="7493614E" w:rsidR="00C27088" w:rsidRPr="00C27088" w:rsidRDefault="00D21E87" w:rsidP="00C27088">
      <w:pPr>
        <w:rPr>
          <w:lang w:val="en-US"/>
        </w:rPr>
      </w:pPr>
      <w:r>
        <w:rPr>
          <w:lang w:val="en-US"/>
        </w:rPr>
        <w:t>It implies</w:t>
      </w:r>
      <w:r w:rsidR="00C27088" w:rsidRPr="00C27088">
        <w:rPr>
          <w:lang w:val="en-US"/>
        </w:rPr>
        <w:t xml:space="preserve"> the interest rate differential between two countries should be equal to the percentage difference between the forward exchange rate and the spot exchange rate</w:t>
      </w:r>
      <w:r w:rsidR="00324387">
        <w:rPr>
          <w:lang w:val="en-US"/>
        </w:rPr>
        <w:t xml:space="preserve"> with an </w:t>
      </w:r>
      <w:r w:rsidR="00C27088" w:rsidRPr="00C27088">
        <w:rPr>
          <w:lang w:val="en-US"/>
        </w:rPr>
        <w:t>assum</w:t>
      </w:r>
      <w:r w:rsidR="00324387">
        <w:rPr>
          <w:lang w:val="en-US"/>
        </w:rPr>
        <w:t>ption of</w:t>
      </w:r>
      <w:r w:rsidR="00C27088" w:rsidRPr="00C27088">
        <w:rPr>
          <w:lang w:val="en-US"/>
        </w:rPr>
        <w:t xml:space="preserve"> no restrictions on capital flows</w:t>
      </w:r>
      <w:r>
        <w:rPr>
          <w:lang w:val="en-US"/>
        </w:rPr>
        <w:t xml:space="preserve"> </w:t>
      </w:r>
      <w:r w:rsidRPr="00D21E87">
        <w:rPr>
          <w:lang w:val="en-US"/>
        </w:rPr>
        <w:t>(Madura and Fox, 2023)</w:t>
      </w:r>
      <w:r w:rsidR="00C27088" w:rsidRPr="00C27088">
        <w:rPr>
          <w:lang w:val="en-US"/>
        </w:rPr>
        <w:t xml:space="preserve">. MNCs can </w:t>
      </w:r>
      <w:r w:rsidR="00324387">
        <w:rPr>
          <w:lang w:val="en-US"/>
        </w:rPr>
        <w:t>e</w:t>
      </w:r>
      <w:r w:rsidR="00C27088" w:rsidRPr="00C27088">
        <w:rPr>
          <w:lang w:val="en-US"/>
        </w:rPr>
        <w:t>valuate the potential for arbitrage opportunities: If the IRP condition is violated, MNCs can take advantage of the interest rate differential and the forward rate to earn riskless profits through covered interest arbitrage.</w:t>
      </w:r>
      <w:r w:rsidR="00621AC8">
        <w:rPr>
          <w:lang w:val="en-US"/>
        </w:rPr>
        <w:t xml:space="preserve"> Besides, using </w:t>
      </w:r>
      <w:r w:rsidR="00C27088" w:rsidRPr="00C27088">
        <w:rPr>
          <w:lang w:val="en-US"/>
        </w:rPr>
        <w:t>the IRP relationship, MNCs can estimate future exchange rates based on the interest rate differential and the current spot rate</w:t>
      </w:r>
      <w:r w:rsidR="00621AC8">
        <w:rPr>
          <w:lang w:val="en-US"/>
        </w:rPr>
        <w:t xml:space="preserve">. This will </w:t>
      </w:r>
      <w:r w:rsidR="00C27088" w:rsidRPr="00C27088">
        <w:rPr>
          <w:lang w:val="en-US"/>
        </w:rPr>
        <w:t xml:space="preserve">aid </w:t>
      </w:r>
      <w:r w:rsidR="00621AC8">
        <w:rPr>
          <w:lang w:val="en-US"/>
        </w:rPr>
        <w:t xml:space="preserve">the MNCs </w:t>
      </w:r>
      <w:r w:rsidR="00C27088" w:rsidRPr="00C27088">
        <w:rPr>
          <w:lang w:val="en-US"/>
        </w:rPr>
        <w:t>in hedging and risk management decisions.</w:t>
      </w:r>
      <w:r w:rsidR="000F482F">
        <w:rPr>
          <w:lang w:val="en-US"/>
        </w:rPr>
        <w:t xml:space="preserve"> </w:t>
      </w:r>
      <w:r w:rsidR="00C27088" w:rsidRPr="00C27088">
        <w:rPr>
          <w:lang w:val="en-US"/>
        </w:rPr>
        <w:t>However, the IRP theory assumes perfect capital mobility and ignores factors like transaction costs and country risk premiums</w:t>
      </w:r>
      <w:r w:rsidR="00DC3462">
        <w:rPr>
          <w:lang w:val="en-US"/>
        </w:rPr>
        <w:t xml:space="preserve"> </w:t>
      </w:r>
      <w:r w:rsidR="00DC3462" w:rsidRPr="00DC3462">
        <w:rPr>
          <w:lang w:val="en-US"/>
        </w:rPr>
        <w:t>(Zhang and Dou, 2010)</w:t>
      </w:r>
      <w:r w:rsidR="000F482F">
        <w:rPr>
          <w:lang w:val="en-US"/>
        </w:rPr>
        <w:t xml:space="preserve">. So, it has limited </w:t>
      </w:r>
      <w:r w:rsidR="00C27088" w:rsidRPr="00C27088">
        <w:rPr>
          <w:lang w:val="en-US"/>
        </w:rPr>
        <w:t>practical application.</w:t>
      </w:r>
    </w:p>
    <w:p w14:paraId="679A7581" w14:textId="77777777" w:rsidR="000F482F" w:rsidRDefault="00C27088" w:rsidP="000F482F">
      <w:pPr>
        <w:pStyle w:val="Heading2"/>
        <w:rPr>
          <w:lang w:val="en-US"/>
        </w:rPr>
      </w:pPr>
      <w:bookmarkStart w:id="7" w:name="_Toc161015090"/>
      <w:r w:rsidRPr="00C27088">
        <w:rPr>
          <w:lang w:val="en-US"/>
        </w:rPr>
        <w:lastRenderedPageBreak/>
        <w:t>Purchasing Power Parity (PPP) Theory</w:t>
      </w:r>
      <w:bookmarkEnd w:id="7"/>
    </w:p>
    <w:p w14:paraId="357617AB" w14:textId="6125499D" w:rsidR="00C27088" w:rsidRPr="00C27088" w:rsidRDefault="000A40F7" w:rsidP="00C27088">
      <w:pPr>
        <w:rPr>
          <w:lang w:val="en-US"/>
        </w:rPr>
      </w:pPr>
      <w:r>
        <w:rPr>
          <w:lang w:val="en-US"/>
        </w:rPr>
        <w:t>This theory</w:t>
      </w:r>
      <w:r w:rsidR="00C27088" w:rsidRPr="00C27088">
        <w:rPr>
          <w:lang w:val="en-US"/>
        </w:rPr>
        <w:t xml:space="preserve"> suggests that exchange rates should adjust to </w:t>
      </w:r>
      <w:r w:rsidR="00C27088" w:rsidRPr="00C27088">
        <w:t>equali</w:t>
      </w:r>
      <w:r w:rsidR="003B4E6B" w:rsidRPr="003A2984">
        <w:t>s</w:t>
      </w:r>
      <w:r w:rsidR="00C27088" w:rsidRPr="00C27088">
        <w:t>e</w:t>
      </w:r>
      <w:r w:rsidR="00C27088" w:rsidRPr="00C27088">
        <w:rPr>
          <w:lang w:val="en-US"/>
        </w:rPr>
        <w:t xml:space="preserve"> the purchasing power of different currencies</w:t>
      </w:r>
      <w:r>
        <w:rPr>
          <w:lang w:val="en-US"/>
        </w:rPr>
        <w:t xml:space="preserve"> </w:t>
      </w:r>
      <w:r w:rsidRPr="000A40F7">
        <w:rPr>
          <w:lang w:val="en-US"/>
        </w:rPr>
        <w:t>(Shapiro, 2009)</w:t>
      </w:r>
      <w:r w:rsidR="00C27088" w:rsidRPr="00C27088">
        <w:rPr>
          <w:lang w:val="en-US"/>
        </w:rPr>
        <w:t xml:space="preserve">. MNCs can </w:t>
      </w:r>
      <w:r w:rsidR="000F482F">
        <w:rPr>
          <w:lang w:val="en-US"/>
        </w:rPr>
        <w:t xml:space="preserve">assess </w:t>
      </w:r>
      <w:r w:rsidR="00C27088" w:rsidRPr="00C27088">
        <w:rPr>
          <w:lang w:val="en-US"/>
        </w:rPr>
        <w:t>the over- or undervaluation of currencies</w:t>
      </w:r>
      <w:r w:rsidR="000F482F">
        <w:rPr>
          <w:lang w:val="en-US"/>
        </w:rPr>
        <w:t xml:space="preserve"> </w:t>
      </w:r>
      <w:r w:rsidR="00210B4D">
        <w:rPr>
          <w:lang w:val="en-US"/>
        </w:rPr>
        <w:t>through</w:t>
      </w:r>
      <w:r w:rsidR="000F482F">
        <w:rPr>
          <w:lang w:val="en-US"/>
        </w:rPr>
        <w:t xml:space="preserve"> the </w:t>
      </w:r>
      <w:r w:rsidR="00C27088" w:rsidRPr="00C27088">
        <w:rPr>
          <w:lang w:val="en-US"/>
        </w:rPr>
        <w:t>compari</w:t>
      </w:r>
      <w:r w:rsidR="000F482F">
        <w:rPr>
          <w:lang w:val="en-US"/>
        </w:rPr>
        <w:t>son between</w:t>
      </w:r>
      <w:r w:rsidR="00C27088" w:rsidRPr="00C27088">
        <w:rPr>
          <w:lang w:val="en-US"/>
        </w:rPr>
        <w:t xml:space="preserve"> the actual exchange rate with th</w:t>
      </w:r>
      <w:r w:rsidR="00A27FD4">
        <w:rPr>
          <w:lang w:val="en-US"/>
        </w:rPr>
        <w:t>e theory’s one</w:t>
      </w:r>
      <w:r w:rsidR="000F482F">
        <w:rPr>
          <w:lang w:val="en-US"/>
        </w:rPr>
        <w:t xml:space="preserve">. </w:t>
      </w:r>
      <w:r w:rsidR="00EE5166">
        <w:rPr>
          <w:lang w:val="en-US"/>
        </w:rPr>
        <w:t xml:space="preserve">It will </w:t>
      </w:r>
      <w:r w:rsidR="00C27088" w:rsidRPr="00C27088">
        <w:rPr>
          <w:lang w:val="en-US"/>
        </w:rPr>
        <w:t xml:space="preserve">identify potential currency misalignments and adjust </w:t>
      </w:r>
      <w:r w:rsidR="00EE5166">
        <w:rPr>
          <w:lang w:val="en-US"/>
        </w:rPr>
        <w:t xml:space="preserve">MNCs’ </w:t>
      </w:r>
      <w:r w:rsidR="00C27088" w:rsidRPr="00C27088">
        <w:rPr>
          <w:lang w:val="en-US"/>
        </w:rPr>
        <w:t>pricing strategies accordingly.</w:t>
      </w:r>
      <w:r w:rsidR="00EE5166">
        <w:rPr>
          <w:lang w:val="en-US"/>
        </w:rPr>
        <w:t xml:space="preserve"> </w:t>
      </w:r>
      <w:r w:rsidR="00990DEB">
        <w:rPr>
          <w:lang w:val="en-US"/>
        </w:rPr>
        <w:t>However</w:t>
      </w:r>
      <w:r w:rsidR="009D5330" w:rsidRPr="009D5330">
        <w:rPr>
          <w:lang w:val="en-US"/>
        </w:rPr>
        <w:t xml:space="preserve">, it relies on the </w:t>
      </w:r>
      <w:r w:rsidR="00990DEB">
        <w:rPr>
          <w:lang w:val="en-US"/>
        </w:rPr>
        <w:t>assumption</w:t>
      </w:r>
      <w:r w:rsidR="009D5330" w:rsidRPr="009D5330">
        <w:rPr>
          <w:lang w:val="en-US"/>
        </w:rPr>
        <w:t xml:space="preserve"> that goods and services are 100 percent exchangeable. </w:t>
      </w:r>
      <w:r w:rsidR="00990DEB">
        <w:rPr>
          <w:lang w:val="en-US"/>
        </w:rPr>
        <w:t xml:space="preserve">It </w:t>
      </w:r>
      <w:r w:rsidR="00A7112E">
        <w:rPr>
          <w:lang w:val="en-US"/>
        </w:rPr>
        <w:t xml:space="preserve">is not practical with </w:t>
      </w:r>
      <w:r w:rsidR="009D5330" w:rsidRPr="009D5330">
        <w:rPr>
          <w:lang w:val="en-US"/>
        </w:rPr>
        <w:t xml:space="preserve">Trade </w:t>
      </w:r>
      <w:r w:rsidR="00A7112E">
        <w:rPr>
          <w:lang w:val="en-US"/>
        </w:rPr>
        <w:t>barriers,</w:t>
      </w:r>
      <w:r w:rsidR="009D5330" w:rsidRPr="009D5330">
        <w:rPr>
          <w:lang w:val="en-US"/>
        </w:rPr>
        <w:t xml:space="preserve"> transportation costs, and non-tradable products and services </w:t>
      </w:r>
      <w:r w:rsidR="00A7112E">
        <w:rPr>
          <w:lang w:val="en-US"/>
        </w:rPr>
        <w:t>in play</w:t>
      </w:r>
      <w:r w:rsidR="00C27088" w:rsidRPr="00C27088">
        <w:rPr>
          <w:lang w:val="en-US"/>
        </w:rPr>
        <w:t>.</w:t>
      </w:r>
    </w:p>
    <w:p w14:paraId="4DAC19ED" w14:textId="4F2A2301" w:rsidR="001F6D97" w:rsidRDefault="00C27088" w:rsidP="001F6D97">
      <w:pPr>
        <w:pStyle w:val="Heading2"/>
        <w:rPr>
          <w:lang w:val="en-US"/>
        </w:rPr>
      </w:pPr>
      <w:bookmarkStart w:id="8" w:name="_Toc161015091"/>
      <w:r w:rsidRPr="00C27088">
        <w:rPr>
          <w:lang w:val="en-US"/>
        </w:rPr>
        <w:t>Fisher Effect</w:t>
      </w:r>
      <w:bookmarkEnd w:id="8"/>
    </w:p>
    <w:p w14:paraId="3FAA5C2A" w14:textId="09B9C71C" w:rsidR="00C27088" w:rsidRPr="00942387" w:rsidRDefault="00C613B9" w:rsidP="00C27088">
      <w:pPr>
        <w:rPr>
          <w:lang w:val="en-US"/>
        </w:rPr>
      </w:pPr>
      <w:r w:rsidRPr="00C613B9">
        <w:rPr>
          <w:lang w:val="en-US"/>
        </w:rPr>
        <w:t xml:space="preserve">According to Titman et al. (2020) </w:t>
      </w:r>
      <w:r>
        <w:rPr>
          <w:lang w:val="en-US"/>
        </w:rPr>
        <w:t>this effect implies</w:t>
      </w:r>
      <w:r w:rsidRPr="00C613B9">
        <w:rPr>
          <w:lang w:val="en-US"/>
        </w:rPr>
        <w:t xml:space="preserve"> the</w:t>
      </w:r>
      <w:r>
        <w:rPr>
          <w:lang w:val="en-US"/>
        </w:rPr>
        <w:t xml:space="preserve"> relations</w:t>
      </w:r>
      <w:r w:rsidR="009D5330">
        <w:rPr>
          <w:lang w:val="en-US"/>
        </w:rPr>
        <w:t>hip between</w:t>
      </w:r>
      <w:r w:rsidRPr="00C613B9">
        <w:rPr>
          <w:lang w:val="en-US"/>
        </w:rPr>
        <w:t xml:space="preserve"> nominal interest rate, the real interest rate, and the expected inflation rate. But in doing so, MNCs with a global reach who could be dividing nominal interest rates into real interest rates and projected inflation may evaluate real returns. The actual figure of return on their investment made outside of their nation will be defined with this method. As stated by Titman et al. (2020) there is no doubt that multinational corporations have the ability to look into the effects of inflation on their cash flows through the Fisher effect and make a decision to charge different prices or hedge against risks. The fundamental problem is that the Fisher's effect holds the assumption that market participants have rational expectations about inflation in future time periods and it may not always be the case in the real world.</w:t>
      </w:r>
      <w:r w:rsidR="00722603">
        <w:rPr>
          <w:lang w:val="en-US"/>
        </w:rPr>
        <w:t xml:space="preserve"> </w:t>
      </w:r>
      <w:r w:rsidR="00A27FD4">
        <w:rPr>
          <w:lang w:val="en-US"/>
        </w:rPr>
        <w:t>Accor</w:t>
      </w:r>
      <w:r w:rsidR="00722603">
        <w:rPr>
          <w:lang w:val="en-US"/>
        </w:rPr>
        <w:t>ding to</w:t>
      </w:r>
      <w:r w:rsidRPr="00C613B9">
        <w:rPr>
          <w:lang w:val="en-US"/>
        </w:rPr>
        <w:t xml:space="preserve"> Hutson and Stevenson (2010), multinational companies will be able to reduce currency risks by setting up operations in most countries in the world or via the application of operational hedging methods. Another way for the multinational corporations to reduce the risk of their transactions and translations is for them to make use of the financial hedging mechanisms</w:t>
      </w:r>
      <w:r w:rsidR="00FB188F">
        <w:t>.</w:t>
      </w:r>
    </w:p>
    <w:p w14:paraId="66D20951" w14:textId="72B1A077" w:rsidR="009903A1" w:rsidRDefault="00942387" w:rsidP="00C27088">
      <w:pPr>
        <w:pStyle w:val="Heading1"/>
      </w:pPr>
      <w:bookmarkStart w:id="9" w:name="_Toc161015092"/>
      <w:r w:rsidRPr="00942387">
        <w:t>Foreign Exchange Risk Management Strateg</w:t>
      </w:r>
      <w:r>
        <w:t>ies</w:t>
      </w:r>
      <w:bookmarkEnd w:id="9"/>
    </w:p>
    <w:p w14:paraId="310DA5BE" w14:textId="77777777" w:rsidR="00C85CC6" w:rsidRDefault="00C85CC6" w:rsidP="00C85CC6">
      <w:pPr>
        <w:pStyle w:val="Heading2"/>
        <w:rPr>
          <w:lang w:val="en-US"/>
        </w:rPr>
      </w:pPr>
      <w:bookmarkStart w:id="10" w:name="_Toc161015093"/>
      <w:r w:rsidRPr="00C85CC6">
        <w:rPr>
          <w:lang w:val="en-US"/>
        </w:rPr>
        <w:t>Hedging</w:t>
      </w:r>
      <w:bookmarkEnd w:id="10"/>
      <w:r w:rsidRPr="00C85CC6">
        <w:rPr>
          <w:lang w:val="en-US"/>
        </w:rPr>
        <w:t xml:space="preserve"> </w:t>
      </w:r>
    </w:p>
    <w:p w14:paraId="74F43B03" w14:textId="0759F9E1" w:rsidR="00C85CC6" w:rsidRPr="00C85CC6" w:rsidRDefault="00C85CC6" w:rsidP="00C85CC6">
      <w:pPr>
        <w:rPr>
          <w:lang w:val="en-US"/>
        </w:rPr>
      </w:pPr>
      <w:r>
        <w:rPr>
          <w:lang w:val="en-US"/>
        </w:rPr>
        <w:t xml:space="preserve">It </w:t>
      </w:r>
      <w:r w:rsidRPr="00C85CC6">
        <w:rPr>
          <w:lang w:val="en-US"/>
        </w:rPr>
        <w:t>allows MNCs to mitigate or transfer their exposure to currency fluctuations</w:t>
      </w:r>
      <w:r w:rsidR="00E369B3">
        <w:rPr>
          <w:lang w:val="en-US"/>
        </w:rPr>
        <w:t xml:space="preserve"> and</w:t>
      </w:r>
      <w:r w:rsidRPr="00C85CC6">
        <w:rPr>
          <w:lang w:val="en-US"/>
        </w:rPr>
        <w:t xml:space="preserve"> protect their profitability and cash flows</w:t>
      </w:r>
      <w:r w:rsidR="00E369B3">
        <w:rPr>
          <w:lang w:val="en-US"/>
        </w:rPr>
        <w:t xml:space="preserve"> </w:t>
      </w:r>
      <w:r w:rsidR="00E369B3" w:rsidRPr="00E369B3">
        <w:rPr>
          <w:lang w:val="en-US"/>
        </w:rPr>
        <w:t>(Crabb, 2002)</w:t>
      </w:r>
      <w:r w:rsidRPr="00C85CC6">
        <w:rPr>
          <w:lang w:val="en-US"/>
        </w:rPr>
        <w:t>. Here is the evaluation of some common hedging techniques that MNCs use.</w:t>
      </w:r>
    </w:p>
    <w:p w14:paraId="2804D749" w14:textId="66803CBB" w:rsidR="00C85CC6" w:rsidRPr="00C85CC6" w:rsidRDefault="00C85CC6" w:rsidP="00FA6932">
      <w:pPr>
        <w:rPr>
          <w:lang w:val="en-US"/>
        </w:rPr>
      </w:pPr>
      <w:r w:rsidRPr="00C85CC6">
        <w:rPr>
          <w:b/>
          <w:bCs/>
          <w:lang w:val="en-US"/>
        </w:rPr>
        <w:lastRenderedPageBreak/>
        <w:t>Currency Forwards and Futures:</w:t>
      </w:r>
      <w:r>
        <w:rPr>
          <w:lang w:val="en-US"/>
        </w:rPr>
        <w:t xml:space="preserve"> </w:t>
      </w:r>
      <w:r w:rsidR="00D54C99" w:rsidRPr="00D54C99">
        <w:rPr>
          <w:lang w:val="en-US"/>
        </w:rPr>
        <w:t xml:space="preserve">MNCs can fix an exchange rate for a future date by using currency forwards and futures contracts (Alfaro et al., 2021). It can shield them from unfavourable changes in the exchange rate. For instance, an UK MNC </w:t>
      </w:r>
      <w:r w:rsidR="00D2154F">
        <w:rPr>
          <w:lang w:val="en-US"/>
        </w:rPr>
        <w:t>may sign such</w:t>
      </w:r>
      <w:r w:rsidR="00D54C99" w:rsidRPr="00D54C99">
        <w:rPr>
          <w:lang w:val="en-US"/>
        </w:rPr>
        <w:t xml:space="preserve"> contract to sell </w:t>
      </w:r>
      <w:r w:rsidR="00FB1E41">
        <w:rPr>
          <w:lang w:val="en-US"/>
        </w:rPr>
        <w:t>a particular foreign curren</w:t>
      </w:r>
      <w:r w:rsidR="0080628A">
        <w:rPr>
          <w:lang w:val="en-US"/>
        </w:rPr>
        <w:t>cy</w:t>
      </w:r>
      <w:r w:rsidR="00FB1E41">
        <w:rPr>
          <w:lang w:val="en-US"/>
        </w:rPr>
        <w:t xml:space="preserve"> </w:t>
      </w:r>
      <w:r w:rsidR="00D54C99" w:rsidRPr="00D54C99">
        <w:rPr>
          <w:lang w:val="en-US"/>
        </w:rPr>
        <w:t xml:space="preserve">at a fixed exchange rate if it anticipates receiving payment </w:t>
      </w:r>
      <w:r w:rsidR="00FB1E41">
        <w:rPr>
          <w:lang w:val="en-US"/>
        </w:rPr>
        <w:t>in that currency</w:t>
      </w:r>
      <w:r w:rsidR="00D54C99" w:rsidRPr="00D54C99">
        <w:rPr>
          <w:lang w:val="en-US"/>
        </w:rPr>
        <w:t xml:space="preserve"> in a year. That will remove the possibility of the euro falling in value relative to the pound. It provides assurance on future cash flows and facilitates financial planning and budgeting.</w:t>
      </w:r>
      <w:r w:rsidR="00D54C99">
        <w:rPr>
          <w:lang w:val="en-US"/>
        </w:rPr>
        <w:t xml:space="preserve"> </w:t>
      </w:r>
      <w:r w:rsidR="00FA6932">
        <w:rPr>
          <w:lang w:val="en-US"/>
        </w:rPr>
        <w:t>However, t</w:t>
      </w:r>
      <w:r w:rsidRPr="00C85CC6">
        <w:rPr>
          <w:lang w:val="en-US"/>
        </w:rPr>
        <w:t>hese contracts are inflexible, and the MNC is obligated to fulfil the contract regardless of market conditions</w:t>
      </w:r>
      <w:r w:rsidR="00F303DA">
        <w:rPr>
          <w:lang w:val="en-US"/>
        </w:rPr>
        <w:t xml:space="preserve"> </w:t>
      </w:r>
      <w:r w:rsidR="00F303DA" w:rsidRPr="00F303DA">
        <w:rPr>
          <w:lang w:val="en-US"/>
        </w:rPr>
        <w:t>(Opie and Riddiough, 2020)</w:t>
      </w:r>
      <w:r w:rsidRPr="00C85CC6">
        <w:rPr>
          <w:lang w:val="en-US"/>
        </w:rPr>
        <w:t>.</w:t>
      </w:r>
      <w:r w:rsidR="00FA6932">
        <w:rPr>
          <w:lang w:val="en-US"/>
        </w:rPr>
        <w:t xml:space="preserve"> Moreover, t</w:t>
      </w:r>
      <w:r w:rsidRPr="00C85CC6">
        <w:rPr>
          <w:lang w:val="en-US"/>
        </w:rPr>
        <w:t>hey only protect against transaction risk, not translation or economic risk.</w:t>
      </w:r>
    </w:p>
    <w:p w14:paraId="12871CF4" w14:textId="00F19744" w:rsidR="00C85CC6" w:rsidRPr="00C85CC6" w:rsidRDefault="00C85CC6" w:rsidP="00823AEC">
      <w:pPr>
        <w:rPr>
          <w:lang w:val="en-US"/>
        </w:rPr>
      </w:pPr>
      <w:r w:rsidRPr="00C85CC6">
        <w:rPr>
          <w:b/>
          <w:bCs/>
          <w:lang w:val="en-US"/>
        </w:rPr>
        <w:t>Currency Options:</w:t>
      </w:r>
      <w:r w:rsidRPr="00C85CC6">
        <w:rPr>
          <w:lang w:val="en-US"/>
        </w:rPr>
        <w:t xml:space="preserve"> </w:t>
      </w:r>
      <w:r w:rsidR="000D1CD0" w:rsidRPr="000D1CD0">
        <w:rPr>
          <w:lang w:val="en-US"/>
        </w:rPr>
        <w:t xml:space="preserve">Currency options give multinational corporations (MNCs) the opportunity, but not the responsibility, to buy or sell a currency at a fixed exchange rate on or before a </w:t>
      </w:r>
      <w:r w:rsidR="0080628A">
        <w:rPr>
          <w:lang w:val="en-US"/>
        </w:rPr>
        <w:t>specific</w:t>
      </w:r>
      <w:r w:rsidR="000D1CD0" w:rsidRPr="000D1CD0">
        <w:rPr>
          <w:lang w:val="en-US"/>
        </w:rPr>
        <w:t xml:space="preserve"> date (Opie and Riddiough, 2020). MNCs can profit from favourable currency movements while being protected from unfavourable ones by options. But because the MNC pays a premium up front, these are more expensive than forwards or futures. </w:t>
      </w:r>
    </w:p>
    <w:p w14:paraId="681BAC63" w14:textId="6EA26E41" w:rsidR="00C85CC6" w:rsidRPr="00C85CC6" w:rsidRDefault="00C85CC6" w:rsidP="003B4E6B">
      <w:pPr>
        <w:rPr>
          <w:lang w:val="en-US"/>
        </w:rPr>
      </w:pPr>
      <w:r w:rsidRPr="00C85CC6">
        <w:rPr>
          <w:b/>
          <w:bCs/>
          <w:lang w:val="en-US"/>
        </w:rPr>
        <w:t>Currency Swaps:</w:t>
      </w:r>
      <w:r w:rsidRPr="00C85CC6">
        <w:rPr>
          <w:lang w:val="en-US"/>
        </w:rPr>
        <w:t xml:space="preserve"> </w:t>
      </w:r>
      <w:r w:rsidR="003B1E92" w:rsidRPr="003B1E92">
        <w:rPr>
          <w:lang w:val="en-US"/>
        </w:rPr>
        <w:t>This procedure provides advantages for exchanging principle and interest payments in various currencies. This method effectively transfers their liabilities from one currency to another (Clark and Judge, 2009).</w:t>
      </w:r>
      <w:r w:rsidRPr="00C85CC6">
        <w:rPr>
          <w:lang w:val="en-US"/>
        </w:rPr>
        <w:t xml:space="preserve"> This is particularly effective against translation risk and aligns MNCs’ cash flows with their functional currency</w:t>
      </w:r>
      <w:r w:rsidR="003B4E6B">
        <w:rPr>
          <w:lang w:val="en-US"/>
        </w:rPr>
        <w:t xml:space="preserve">. However, they involve </w:t>
      </w:r>
      <w:r w:rsidRPr="00C85CC6">
        <w:rPr>
          <w:lang w:val="en-US"/>
        </w:rPr>
        <w:t>complex financial instruments and may require speciali</w:t>
      </w:r>
      <w:r w:rsidR="003B4E6B">
        <w:rPr>
          <w:lang w:val="en-US"/>
        </w:rPr>
        <w:t>s</w:t>
      </w:r>
      <w:r w:rsidRPr="00C85CC6">
        <w:rPr>
          <w:lang w:val="en-US"/>
        </w:rPr>
        <w:t>ed expertise to manage effectively.</w:t>
      </w:r>
    </w:p>
    <w:p w14:paraId="13E3E1BB" w14:textId="7A1DA7CB" w:rsidR="00C85CC6" w:rsidRDefault="00C85CC6" w:rsidP="00C85CC6">
      <w:pPr>
        <w:rPr>
          <w:lang w:val="en-US"/>
        </w:rPr>
      </w:pPr>
      <w:r w:rsidRPr="00C85CC6">
        <w:rPr>
          <w:lang w:val="en-US"/>
        </w:rPr>
        <w:t>Although hedging is effective, but it may not always be cost-effective or suitable for certain types of foreign exchange risk.</w:t>
      </w:r>
      <w:r w:rsidR="00E94945">
        <w:rPr>
          <w:lang w:val="en-US"/>
        </w:rPr>
        <w:t xml:space="preserve"> For instance,</w:t>
      </w:r>
      <w:r w:rsidR="00AE35D1">
        <w:rPr>
          <w:lang w:val="en-US"/>
        </w:rPr>
        <w:t xml:space="preserve"> in 2018</w:t>
      </w:r>
      <w:r w:rsidR="00E94945">
        <w:rPr>
          <w:lang w:val="en-US"/>
        </w:rPr>
        <w:t xml:space="preserve"> Unilever suffered </w:t>
      </w:r>
      <w:r w:rsidR="00054C21">
        <w:rPr>
          <w:lang w:val="en-US"/>
        </w:rPr>
        <w:t xml:space="preserve">a </w:t>
      </w:r>
      <w:r w:rsidR="00AE35D1" w:rsidRPr="00AE35D1">
        <w:rPr>
          <w:lang w:val="en-US"/>
        </w:rPr>
        <w:t>€4.7 billion</w:t>
      </w:r>
      <w:r w:rsidR="00AE35D1">
        <w:rPr>
          <w:lang w:val="en-US"/>
        </w:rPr>
        <w:t xml:space="preserve"> </w:t>
      </w:r>
      <w:r w:rsidR="00012C3C">
        <w:rPr>
          <w:lang w:val="en-US"/>
        </w:rPr>
        <w:t xml:space="preserve">translation </w:t>
      </w:r>
      <w:r w:rsidR="00AE35D1">
        <w:rPr>
          <w:lang w:val="en-US"/>
        </w:rPr>
        <w:t>loss in</w:t>
      </w:r>
      <w:r w:rsidR="00012C3C">
        <w:rPr>
          <w:lang w:val="en-US"/>
        </w:rPr>
        <w:t xml:space="preserve"> despite their </w:t>
      </w:r>
      <w:r w:rsidR="00012C3C" w:rsidRPr="00012C3C">
        <w:rPr>
          <w:lang w:val="en-US"/>
        </w:rPr>
        <w:t>€25 billion</w:t>
      </w:r>
      <w:r w:rsidR="00012C3C">
        <w:rPr>
          <w:lang w:val="en-US"/>
        </w:rPr>
        <w:t xml:space="preserve"> hedging</w:t>
      </w:r>
      <w:r w:rsidR="00CB00FB">
        <w:rPr>
          <w:lang w:val="en-US"/>
        </w:rPr>
        <w:t xml:space="preserve"> </w:t>
      </w:r>
      <w:r w:rsidR="00CB00FB" w:rsidRPr="00CB00FB">
        <w:rPr>
          <w:lang w:val="en-US"/>
        </w:rPr>
        <w:t>(Dunbar, 2018)</w:t>
      </w:r>
      <w:r w:rsidR="00CB00FB">
        <w:rPr>
          <w:lang w:val="en-US"/>
        </w:rPr>
        <w:t>.</w:t>
      </w:r>
      <w:r w:rsidR="00D74F45">
        <w:rPr>
          <w:lang w:val="en-US"/>
        </w:rPr>
        <w:t xml:space="preserve"> It also slashed </w:t>
      </w:r>
      <w:r w:rsidR="00565A84" w:rsidRPr="00565A84">
        <w:rPr>
          <w:lang w:val="en-US"/>
        </w:rPr>
        <w:t xml:space="preserve">euro-denominated turnover by </w:t>
      </w:r>
      <w:r w:rsidR="00565A84">
        <w:rPr>
          <w:lang w:val="en-US"/>
        </w:rPr>
        <w:t>nearly 9%.</w:t>
      </w:r>
      <w:r w:rsidR="00AE35D1">
        <w:rPr>
          <w:lang w:val="en-US"/>
        </w:rPr>
        <w:t xml:space="preserve"> </w:t>
      </w:r>
      <w:r w:rsidRPr="00C85CC6">
        <w:rPr>
          <w:lang w:val="en-US"/>
        </w:rPr>
        <w:t xml:space="preserve">MNCs therefore </w:t>
      </w:r>
      <w:r w:rsidR="00E369B3">
        <w:rPr>
          <w:lang w:val="en-US"/>
        </w:rPr>
        <w:t xml:space="preserve">should </w:t>
      </w:r>
      <w:r w:rsidRPr="00C85CC6">
        <w:rPr>
          <w:lang w:val="en-US"/>
        </w:rPr>
        <w:t>often adopt a comprehensive risk management approach that combines hedging with other strategies (operational hedging, diversification,</w:t>
      </w:r>
      <w:r w:rsidR="00D74F45">
        <w:rPr>
          <w:lang w:val="en-US"/>
        </w:rPr>
        <w:t xml:space="preserve"> </w:t>
      </w:r>
      <w:r w:rsidRPr="00C85CC6">
        <w:rPr>
          <w:lang w:val="en-US"/>
        </w:rPr>
        <w:t>cash flow management and exposures.</w:t>
      </w:r>
    </w:p>
    <w:p w14:paraId="6C6C938A" w14:textId="2BF27720" w:rsidR="00CB00FB" w:rsidRDefault="00CB00FB" w:rsidP="00C85CC6">
      <w:pPr>
        <w:rPr>
          <w:lang w:val="en-US"/>
        </w:rPr>
      </w:pPr>
      <w:r>
        <w:rPr>
          <w:noProof/>
          <w14:ligatures w14:val="none"/>
        </w:rPr>
        <w:lastRenderedPageBreak/>
        <w:drawing>
          <wp:inline distT="0" distB="0" distL="0" distR="0" wp14:anchorId="0FD0C56B" wp14:editId="1DF736CB">
            <wp:extent cx="5943600" cy="2675255"/>
            <wp:effectExtent l="0" t="0" r="0" b="0"/>
            <wp:docPr id="2088341937" name="Picture 1" descr="A graph of a graph showing the growth of a foreign exchan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341937" name="Picture 1" descr="A graph of a graph showing the growth of a foreign exchange&#10;&#10;Description automatically generated with medium confidence"/>
                    <pic:cNvPicPr/>
                  </pic:nvPicPr>
                  <pic:blipFill rotWithShape="1">
                    <a:blip r:embed="rId11"/>
                    <a:srcRect t="9651"/>
                    <a:stretch/>
                  </pic:blipFill>
                  <pic:spPr bwMode="auto">
                    <a:xfrm>
                      <a:off x="0" y="0"/>
                      <a:ext cx="5943600" cy="2675255"/>
                    </a:xfrm>
                    <a:prstGeom prst="rect">
                      <a:avLst/>
                    </a:prstGeom>
                    <a:ln>
                      <a:noFill/>
                    </a:ln>
                    <a:extLst>
                      <a:ext uri="{53640926-AAD7-44D8-BBD7-CCE9431645EC}">
                        <a14:shadowObscured xmlns:a14="http://schemas.microsoft.com/office/drawing/2010/main"/>
                      </a:ext>
                    </a:extLst>
                  </pic:spPr>
                </pic:pic>
              </a:graphicData>
            </a:graphic>
          </wp:inline>
        </w:drawing>
      </w:r>
    </w:p>
    <w:p w14:paraId="71D99A99" w14:textId="76E937B2" w:rsidR="00DC2FFD" w:rsidRPr="00C85CC6" w:rsidRDefault="00DC2FFD" w:rsidP="00D74F45">
      <w:pPr>
        <w:jc w:val="center"/>
        <w:rPr>
          <w:lang w:val="en-US"/>
        </w:rPr>
      </w:pPr>
      <w:r>
        <w:rPr>
          <w:lang w:val="en-US"/>
        </w:rPr>
        <w:t xml:space="preserve">Figure: </w:t>
      </w:r>
      <w:r w:rsidRPr="00DC2FFD">
        <w:t>Unilever foreign exchange hedging and trans</w:t>
      </w:r>
      <w:r w:rsidR="00D74F45">
        <w:t>lation</w:t>
      </w:r>
      <w:r w:rsidRPr="00DC2FFD">
        <w:t xml:space="preserve"> losses</w:t>
      </w:r>
      <w:r w:rsidR="00D74F45">
        <w:t xml:space="preserve"> </w:t>
      </w:r>
      <w:r w:rsidR="00D74F45" w:rsidRPr="00D74F45">
        <w:t>(Dunbar, 2018)</w:t>
      </w:r>
    </w:p>
    <w:p w14:paraId="26D356A6" w14:textId="77777777" w:rsidR="0026557D" w:rsidRDefault="0026557D" w:rsidP="0026557D">
      <w:pPr>
        <w:pStyle w:val="Heading2"/>
      </w:pPr>
      <w:bookmarkStart w:id="11" w:name="_Toc161015094"/>
      <w:r>
        <w:t>Currency portfolio diversification</w:t>
      </w:r>
      <w:bookmarkEnd w:id="11"/>
      <w:r>
        <w:t xml:space="preserve"> </w:t>
      </w:r>
    </w:p>
    <w:p w14:paraId="0ADF584A" w14:textId="0664365F" w:rsidR="0026557D" w:rsidRDefault="0026557D" w:rsidP="0026557D">
      <w:r>
        <w:t>MNCs use this strategy to mitigate foreign exchange risk by holding assets, liabilities, and cash flows in multiple currencies. This spreads out their exposure, reducing the impact of unfavourable movements in any single currency. Implementation involves diversifying asset holdings, liabilities, and operations, and naturally matching revenues and expenses across currencies.</w:t>
      </w:r>
    </w:p>
    <w:p w14:paraId="0B76616E" w14:textId="6220E5EF" w:rsidR="00E540AB" w:rsidRDefault="0026557D" w:rsidP="0026557D">
      <w:r>
        <w:t>The key advantages are risk reduction, flexibility, and potential cost-effectiveness compared to financial hedging. However, it can be complex to manage, and may face operational constraints, and currency correlations during crises can limit its effectiveness. MNCs should carefully assess their exposures, set diversification targets, and combine this strategy with other risk management techniques like hedging for a comprehensive approach.</w:t>
      </w:r>
      <w:r w:rsidR="007F2D1D">
        <w:br w:type="page"/>
      </w:r>
    </w:p>
    <w:p w14:paraId="23A60CB5" w14:textId="78C70092" w:rsidR="0022255F" w:rsidRDefault="0022255F" w:rsidP="0022255F">
      <w:pPr>
        <w:pStyle w:val="Heading1"/>
      </w:pPr>
      <w:bookmarkStart w:id="12" w:name="_Toc161015095"/>
      <w:r>
        <w:lastRenderedPageBreak/>
        <w:t>Conclusion</w:t>
      </w:r>
      <w:bookmarkEnd w:id="12"/>
    </w:p>
    <w:p w14:paraId="5D834B77" w14:textId="171CB075" w:rsidR="006D2126" w:rsidRDefault="00DA1DCF" w:rsidP="007A4BD3">
      <w:r>
        <w:t>Effective</w:t>
      </w:r>
      <w:r w:rsidRPr="00DA1DCF">
        <w:t xml:space="preserve"> foreign exchange risk</w:t>
      </w:r>
      <w:r>
        <w:t xml:space="preserve"> management </w:t>
      </w:r>
      <w:r w:rsidRPr="00DA1DCF">
        <w:t xml:space="preserve">is a crucial for </w:t>
      </w:r>
      <w:r w:rsidR="007F2D1D">
        <w:t>MNCs</w:t>
      </w:r>
      <w:r w:rsidRPr="00DA1DCF">
        <w:t xml:space="preserve"> </w:t>
      </w:r>
      <w:r w:rsidR="007F2D1D">
        <w:t xml:space="preserve">profitability and survival </w:t>
      </w:r>
      <w:r w:rsidRPr="00DA1DCF">
        <w:t xml:space="preserve">in the global financial environment. </w:t>
      </w:r>
      <w:r w:rsidR="00B468FD" w:rsidRPr="00B468FD">
        <w:t>IFM theories such as PPP (Purchasing Power Parity), IPR (Interest Rate Parity), and The Fisher Effect are</w:t>
      </w:r>
      <w:r w:rsidR="00B468FD">
        <w:t xml:space="preserve"> effective</w:t>
      </w:r>
      <w:r w:rsidR="00B468FD" w:rsidRPr="00B468FD">
        <w:t xml:space="preserve">. MNEs normally hedge their currency portfolio </w:t>
      </w:r>
      <w:r w:rsidR="00B468FD">
        <w:t>with</w:t>
      </w:r>
      <w:r w:rsidR="00B468FD" w:rsidRPr="00B468FD">
        <w:t xml:space="preserve"> a combination of diversified and hedged currency instruments. </w:t>
      </w:r>
      <w:r w:rsidR="00B468FD">
        <w:t>MNCs’ h</w:t>
      </w:r>
      <w:r w:rsidR="00B468FD" w:rsidRPr="00B468FD">
        <w:t>edging includ</w:t>
      </w:r>
      <w:r w:rsidR="00B468FD">
        <w:t>es</w:t>
      </w:r>
      <w:r w:rsidR="00B468FD" w:rsidRPr="00B468FD">
        <w:t xml:space="preserve"> forwards, futures, options, and swap contracts. </w:t>
      </w:r>
      <w:r w:rsidR="00B468FD">
        <w:t>On the other hand, d</w:t>
      </w:r>
      <w:r w:rsidR="00B468FD" w:rsidRPr="00B468FD">
        <w:t>iversification is a protection mechanism against the</w:t>
      </w:r>
      <w:r w:rsidR="00B468FD">
        <w:t xml:space="preserve"> unfavourable currency movement</w:t>
      </w:r>
      <w:r w:rsidR="00B468FD" w:rsidRPr="00B468FD">
        <w:t xml:space="preserve">. While hedging limits exposure to various markets and currencies. </w:t>
      </w:r>
      <w:r w:rsidR="00B468FD">
        <w:t xml:space="preserve">Additionally, </w:t>
      </w:r>
      <w:r w:rsidR="00B468FD" w:rsidRPr="00B468FD">
        <w:t>MNC</w:t>
      </w:r>
      <w:r w:rsidR="00B468FD">
        <w:t>s</w:t>
      </w:r>
      <w:r w:rsidR="00B468FD" w:rsidRPr="00B468FD">
        <w:t xml:space="preserve"> can assess </w:t>
      </w:r>
      <w:r w:rsidR="00B468FD">
        <w:t>their</w:t>
      </w:r>
      <w:r w:rsidR="00B468FD" w:rsidRPr="00B468FD">
        <w:t xml:space="preserve"> risk profile to show any distinctive risk characteristics</w:t>
      </w:r>
      <w:r w:rsidR="00B468FD">
        <w:t>. Overall MNCs must</w:t>
      </w:r>
      <w:r w:rsidR="00B468FD" w:rsidRPr="00B468FD">
        <w:t xml:space="preserve"> constantly review their strategies, change and adapt their operational approaches to the changing market conditions</w:t>
      </w:r>
      <w:r w:rsidRPr="00DA1DCF">
        <w:t xml:space="preserve">. </w:t>
      </w:r>
      <w:r w:rsidR="006D2126">
        <w:br w:type="page"/>
      </w:r>
    </w:p>
    <w:p w14:paraId="00466458" w14:textId="76FF1E5B" w:rsidR="006D2126" w:rsidRPr="006D2126" w:rsidRDefault="006D2126" w:rsidP="006D2126">
      <w:pPr>
        <w:pStyle w:val="Heading1"/>
        <w:rPr>
          <w:lang w:val="en-US"/>
        </w:rPr>
      </w:pPr>
      <w:bookmarkStart w:id="13" w:name="_Toc161015096"/>
      <w:r w:rsidRPr="006D2126">
        <w:rPr>
          <w:lang w:val="en-US"/>
        </w:rPr>
        <w:lastRenderedPageBreak/>
        <w:t>Reference</w:t>
      </w:r>
      <w:r>
        <w:rPr>
          <w:lang w:val="en-US"/>
        </w:rPr>
        <w:t>s</w:t>
      </w:r>
      <w:bookmarkEnd w:id="13"/>
    </w:p>
    <w:p w14:paraId="72F3F6BC" w14:textId="77777777" w:rsidR="006D2126" w:rsidRPr="006D2126" w:rsidRDefault="006D2126" w:rsidP="006D2126">
      <w:pPr>
        <w:rPr>
          <w:lang w:val="en-US"/>
        </w:rPr>
      </w:pPr>
      <w:r w:rsidRPr="006D2126">
        <w:rPr>
          <w:lang w:val="en-US"/>
        </w:rPr>
        <w:t>Alfaro, L., Calani Cadena, M. M. and Varela, L. (2021) ‘Currency hedging: Managing cash flow exposure’, </w:t>
      </w:r>
      <w:r w:rsidRPr="006D2126">
        <w:rPr>
          <w:i/>
          <w:iCs/>
          <w:lang w:val="en-US"/>
        </w:rPr>
        <w:t>SSRN Electronic Journal</w:t>
      </w:r>
      <w:r w:rsidRPr="006D2126">
        <w:rPr>
          <w:lang w:val="en-US"/>
        </w:rPr>
        <w:t>. doi: 10.2139/ssrn.3866343.</w:t>
      </w:r>
    </w:p>
    <w:p w14:paraId="144D7C31" w14:textId="77777777" w:rsidR="006D2126" w:rsidRPr="006D2126" w:rsidRDefault="006D2126" w:rsidP="006D2126">
      <w:pPr>
        <w:rPr>
          <w:lang w:val="en-US"/>
        </w:rPr>
      </w:pPr>
      <w:r w:rsidRPr="006D2126">
        <w:rPr>
          <w:lang w:val="en-US"/>
        </w:rPr>
        <w:t>Bekaert, G. J. and Hodrick, R. J. (2012) </w:t>
      </w:r>
      <w:r w:rsidRPr="006D2126">
        <w:rPr>
          <w:i/>
          <w:iCs/>
          <w:lang w:val="en-US"/>
        </w:rPr>
        <w:t>International financial management</w:t>
      </w:r>
      <w:r w:rsidRPr="006D2126">
        <w:rPr>
          <w:lang w:val="en-US"/>
        </w:rPr>
        <w:t>. 2nd edn. Upper Saddle River, NJ, USA: Pearson.</w:t>
      </w:r>
    </w:p>
    <w:p w14:paraId="7BA21ADF" w14:textId="77777777" w:rsidR="006D2126" w:rsidRPr="006D2126" w:rsidRDefault="006D2126" w:rsidP="006D2126">
      <w:pPr>
        <w:rPr>
          <w:lang w:val="en-US"/>
        </w:rPr>
      </w:pPr>
      <w:r w:rsidRPr="006D2126">
        <w:rPr>
          <w:lang w:val="en-US"/>
        </w:rPr>
        <w:t>Clark, E. and Judge, A. (2009) ‘Foreign currency derivatives versus foreign currency debt and the hedging premium’, </w:t>
      </w:r>
      <w:r w:rsidRPr="006D2126">
        <w:rPr>
          <w:i/>
          <w:iCs/>
          <w:lang w:val="en-US"/>
        </w:rPr>
        <w:t>European financial management</w:t>
      </w:r>
      <w:r w:rsidRPr="006D2126">
        <w:rPr>
          <w:lang w:val="en-US"/>
        </w:rPr>
        <w:t>, 15(3), pp. 606–642. doi: 10.1111/j.1468-036x.2007.00431.x.</w:t>
      </w:r>
    </w:p>
    <w:p w14:paraId="14EDCA43" w14:textId="77777777" w:rsidR="006D2126" w:rsidRPr="006D2126" w:rsidRDefault="006D2126" w:rsidP="006D2126">
      <w:pPr>
        <w:rPr>
          <w:lang w:val="en-US"/>
        </w:rPr>
      </w:pPr>
      <w:r w:rsidRPr="006D2126">
        <w:rPr>
          <w:lang w:val="en-US"/>
        </w:rPr>
        <w:t>Crabb, P. R. (2002) ‘Multinational corporations and hedging exchange rate exposure’, </w:t>
      </w:r>
      <w:r w:rsidRPr="006D2126">
        <w:rPr>
          <w:i/>
          <w:iCs/>
          <w:lang w:val="en-US"/>
        </w:rPr>
        <w:t>International review of economics &amp; finance</w:t>
      </w:r>
      <w:r w:rsidRPr="006D2126">
        <w:rPr>
          <w:lang w:val="en-US"/>
        </w:rPr>
        <w:t>, 11(3), pp. 299–314. doi: 10.1016/s1059-0560(02)00110-7.</w:t>
      </w:r>
    </w:p>
    <w:p w14:paraId="01751987" w14:textId="77777777" w:rsidR="006D2126" w:rsidRPr="006D2126" w:rsidRDefault="006D2126" w:rsidP="006D2126">
      <w:pPr>
        <w:rPr>
          <w:lang w:val="en-US"/>
        </w:rPr>
      </w:pPr>
      <w:r w:rsidRPr="006D2126">
        <w:rPr>
          <w:lang w:val="en-US"/>
        </w:rPr>
        <w:t>Dunbar, N. (2018) </w:t>
      </w:r>
      <w:r w:rsidRPr="006D2126">
        <w:rPr>
          <w:i/>
          <w:iCs/>
          <w:lang w:val="en-US"/>
        </w:rPr>
        <w:t>Unilever’s FX hedging surge failed to stem EM losses</w:t>
      </w:r>
      <w:r w:rsidRPr="006D2126">
        <w:rPr>
          <w:lang w:val="en-US"/>
        </w:rPr>
        <w:t>, </w:t>
      </w:r>
      <w:r w:rsidRPr="006D2126">
        <w:rPr>
          <w:i/>
          <w:iCs/>
          <w:lang w:val="en-US"/>
        </w:rPr>
        <w:t>EuroFinance | The global treasury community</w:t>
      </w:r>
      <w:r w:rsidRPr="006D2126">
        <w:rPr>
          <w:lang w:val="en-US"/>
        </w:rPr>
        <w:t>. Available at: https://www.eurofinance.com/news/unilevers-fx-hedging-surge-failed-to-stem-em-losses/ (Accessed: 10 March 2024).</w:t>
      </w:r>
    </w:p>
    <w:p w14:paraId="0460F177" w14:textId="77777777" w:rsidR="006D2126" w:rsidRPr="006D2126" w:rsidRDefault="006D2126" w:rsidP="006D2126">
      <w:pPr>
        <w:rPr>
          <w:lang w:val="en-US"/>
        </w:rPr>
      </w:pPr>
      <w:r w:rsidRPr="006D2126">
        <w:rPr>
          <w:lang w:val="en-US"/>
        </w:rPr>
        <w:t>Horcher, K. A. (2011) </w:t>
      </w:r>
      <w:r w:rsidRPr="006D2126">
        <w:rPr>
          <w:i/>
          <w:iCs/>
          <w:lang w:val="en-US"/>
        </w:rPr>
        <w:t>Essentials of financial risk management</w:t>
      </w:r>
      <w:r w:rsidRPr="006D2126">
        <w:rPr>
          <w:lang w:val="en-US"/>
        </w:rPr>
        <w:t>. 1st edn. Nashville, TN, USA: John Wiley &amp; Sons.</w:t>
      </w:r>
    </w:p>
    <w:p w14:paraId="161C1629" w14:textId="77777777" w:rsidR="006D2126" w:rsidRPr="006D2126" w:rsidRDefault="006D2126" w:rsidP="006D2126">
      <w:pPr>
        <w:rPr>
          <w:lang w:val="en-US"/>
        </w:rPr>
      </w:pPr>
      <w:r w:rsidRPr="006D2126">
        <w:rPr>
          <w:lang w:val="en-US"/>
        </w:rPr>
        <w:t>Hutson, E. and Stevenson, S. (2010) ‘Openness, hedging incentives and foreign exchange exposure: A firm-level multi-country study’, </w:t>
      </w:r>
      <w:r w:rsidRPr="006D2126">
        <w:rPr>
          <w:i/>
          <w:iCs/>
          <w:lang w:val="en-US"/>
        </w:rPr>
        <w:t>Journal of international business studies</w:t>
      </w:r>
      <w:r w:rsidRPr="006D2126">
        <w:rPr>
          <w:lang w:val="en-US"/>
        </w:rPr>
        <w:t>, 41(1), pp. 105–122. doi: 10.1057/jibs.2009.32.</w:t>
      </w:r>
    </w:p>
    <w:p w14:paraId="4E8ADD25" w14:textId="77777777" w:rsidR="006D2126" w:rsidRPr="006D2126" w:rsidRDefault="006D2126" w:rsidP="006D2126">
      <w:pPr>
        <w:rPr>
          <w:lang w:val="en-US"/>
        </w:rPr>
      </w:pPr>
      <w:r w:rsidRPr="006D2126">
        <w:rPr>
          <w:lang w:val="en-US"/>
        </w:rPr>
        <w:t>Madura, J. and Fox, R. (2023) </w:t>
      </w:r>
      <w:r w:rsidRPr="006D2126">
        <w:rPr>
          <w:i/>
          <w:iCs/>
          <w:lang w:val="en-US"/>
        </w:rPr>
        <w:t>International financial management</w:t>
      </w:r>
      <w:r w:rsidRPr="006D2126">
        <w:rPr>
          <w:lang w:val="en-US"/>
        </w:rPr>
        <w:t>. 5th edn. Andover: Cengage Learning EMEA.</w:t>
      </w:r>
    </w:p>
    <w:p w14:paraId="4052C27E" w14:textId="77777777" w:rsidR="006D2126" w:rsidRPr="006D2126" w:rsidRDefault="006D2126" w:rsidP="006D2126">
      <w:pPr>
        <w:rPr>
          <w:lang w:val="en-US"/>
        </w:rPr>
      </w:pPr>
      <w:r w:rsidRPr="006D2126">
        <w:rPr>
          <w:lang w:val="en-US"/>
        </w:rPr>
        <w:t>Ohuocha, C. (2023) </w:t>
      </w:r>
      <w:r w:rsidRPr="006D2126">
        <w:rPr>
          <w:i/>
          <w:iCs/>
          <w:lang w:val="en-US"/>
        </w:rPr>
        <w:t>GSK Nigeria calls an end to its business, to return cash</w:t>
      </w:r>
      <w:r w:rsidRPr="006D2126">
        <w:rPr>
          <w:lang w:val="en-US"/>
        </w:rPr>
        <w:t>, </w:t>
      </w:r>
      <w:r w:rsidRPr="006D2126">
        <w:rPr>
          <w:i/>
          <w:iCs/>
          <w:lang w:val="en-US"/>
        </w:rPr>
        <w:t>Reuters.com</w:t>
      </w:r>
      <w:r w:rsidRPr="006D2126">
        <w:rPr>
          <w:lang w:val="en-US"/>
        </w:rPr>
        <w:t>. Available at: https://www.reuters.com/business/healthcare-pharmaceuticals/gsk-nigeria-calls-an-end-its-business-return-cash-2023-08-03/ (Accessed: 10 March 2024).</w:t>
      </w:r>
    </w:p>
    <w:p w14:paraId="41FC36F6" w14:textId="77777777" w:rsidR="006D2126" w:rsidRPr="006D2126" w:rsidRDefault="006D2126" w:rsidP="006D2126">
      <w:pPr>
        <w:rPr>
          <w:lang w:val="en-US"/>
        </w:rPr>
      </w:pPr>
      <w:r w:rsidRPr="006D2126">
        <w:rPr>
          <w:lang w:val="en-US"/>
        </w:rPr>
        <w:lastRenderedPageBreak/>
        <w:t>Opie, W. and Riddiough, S. J. (2020) ‘Global currency hedging with common risk factors’, </w:t>
      </w:r>
      <w:r w:rsidRPr="006D2126">
        <w:rPr>
          <w:i/>
          <w:iCs/>
          <w:lang w:val="en-US"/>
        </w:rPr>
        <w:t>Journal of financial economics</w:t>
      </w:r>
      <w:r w:rsidRPr="006D2126">
        <w:rPr>
          <w:lang w:val="en-US"/>
        </w:rPr>
        <w:t>, 136(3), pp. 780–805. doi: 10.1016/j.jfineco.2019.12.001.</w:t>
      </w:r>
    </w:p>
    <w:p w14:paraId="03D55762" w14:textId="77777777" w:rsidR="006D2126" w:rsidRPr="006D2126" w:rsidRDefault="006D2126" w:rsidP="006D2126">
      <w:pPr>
        <w:rPr>
          <w:lang w:val="en-US"/>
        </w:rPr>
      </w:pPr>
      <w:r w:rsidRPr="006D2126">
        <w:rPr>
          <w:lang w:val="en-US"/>
        </w:rPr>
        <w:t>Shapiro, A. C. (2009) </w:t>
      </w:r>
      <w:r w:rsidRPr="006D2126">
        <w:rPr>
          <w:i/>
          <w:iCs/>
          <w:lang w:val="en-US"/>
        </w:rPr>
        <w:t>Multinational Financial Management</w:t>
      </w:r>
      <w:r w:rsidRPr="006D2126">
        <w:rPr>
          <w:lang w:val="en-US"/>
        </w:rPr>
        <w:t>. 9th edn. Hoboken, NJ, USA: Wiley-Blackwell.</w:t>
      </w:r>
    </w:p>
    <w:p w14:paraId="2A86002D" w14:textId="77777777" w:rsidR="006D2126" w:rsidRPr="006D2126" w:rsidRDefault="006D2126" w:rsidP="006D2126">
      <w:pPr>
        <w:rPr>
          <w:lang w:val="en-US"/>
        </w:rPr>
      </w:pPr>
      <w:r w:rsidRPr="006D2126">
        <w:rPr>
          <w:lang w:val="en-US"/>
        </w:rPr>
        <w:t>The Financial Express (2023) </w:t>
      </w:r>
      <w:r w:rsidRPr="006D2126">
        <w:rPr>
          <w:i/>
          <w:iCs/>
          <w:lang w:val="en-US"/>
        </w:rPr>
        <w:t>Reckitt Benckiser’s 2022 profit falls on declining demand for hygiene products</w:t>
      </w:r>
      <w:r w:rsidRPr="006D2126">
        <w:rPr>
          <w:lang w:val="en-US"/>
        </w:rPr>
        <w:t>, </w:t>
      </w:r>
      <w:r w:rsidRPr="006D2126">
        <w:rPr>
          <w:i/>
          <w:iCs/>
          <w:lang w:val="en-US"/>
        </w:rPr>
        <w:t>The Financial Express</w:t>
      </w:r>
      <w:r w:rsidRPr="006D2126">
        <w:rPr>
          <w:lang w:val="en-US"/>
        </w:rPr>
        <w:t>. Available at: https://thefinancialexpress.com.bd/stock/bangladesh/reckitt-benckisers-2022-profit-falls-on-declining-demand-for-hygiene-products-1676861318 (Accessed: 10 March 2024).</w:t>
      </w:r>
    </w:p>
    <w:p w14:paraId="71C19350" w14:textId="77777777" w:rsidR="006D2126" w:rsidRPr="006D2126" w:rsidRDefault="006D2126" w:rsidP="006D2126">
      <w:pPr>
        <w:rPr>
          <w:lang w:val="en-US"/>
        </w:rPr>
      </w:pPr>
      <w:r w:rsidRPr="006D2126">
        <w:rPr>
          <w:lang w:val="en-US"/>
        </w:rPr>
        <w:t>Titman, S., Keown, A. J. and Martin, J. D. (2020) </w:t>
      </w:r>
      <w:r w:rsidRPr="006D2126">
        <w:rPr>
          <w:i/>
          <w:iCs/>
          <w:lang w:val="en-US"/>
        </w:rPr>
        <w:t>Financial management: Principles and applications, global edition</w:t>
      </w:r>
      <w:r w:rsidRPr="006D2126">
        <w:rPr>
          <w:lang w:val="en-US"/>
        </w:rPr>
        <w:t>. 14th edn. London: Pearson Education.</w:t>
      </w:r>
    </w:p>
    <w:p w14:paraId="2A3D6384" w14:textId="77777777" w:rsidR="006D2126" w:rsidRPr="006D2126" w:rsidRDefault="006D2126" w:rsidP="006D2126">
      <w:pPr>
        <w:rPr>
          <w:lang w:val="en-US"/>
        </w:rPr>
      </w:pPr>
      <w:r w:rsidRPr="006D2126">
        <w:rPr>
          <w:lang w:val="en-US"/>
        </w:rPr>
        <w:t>Zhang, J. and Dou, Y. (2010) ‘The effectiveness of interest rate parity’, </w:t>
      </w:r>
      <w:r w:rsidRPr="006D2126">
        <w:rPr>
          <w:i/>
          <w:iCs/>
          <w:lang w:val="en-US"/>
        </w:rPr>
        <w:t>ANU Undergraduate Research Journal</w:t>
      </w:r>
      <w:r w:rsidRPr="006D2126">
        <w:rPr>
          <w:lang w:val="en-US"/>
        </w:rPr>
        <w:t>, 2. doi: 10.22459/aurj.02.2010.06.</w:t>
      </w:r>
    </w:p>
    <w:p w14:paraId="78EEF86D" w14:textId="77777777" w:rsidR="006D2126" w:rsidRPr="007A4BD3" w:rsidRDefault="006D2126" w:rsidP="007A4BD3"/>
    <w:sectPr w:rsidR="006D2126" w:rsidRPr="007A4BD3" w:rsidSect="00F83052">
      <w:footerReference w:type="default" r:id="rId12"/>
      <w:head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C85FC" w14:textId="77777777" w:rsidR="00F83052" w:rsidRDefault="00F83052" w:rsidP="00797580">
      <w:pPr>
        <w:spacing w:before="0" w:after="0" w:line="240" w:lineRule="auto"/>
      </w:pPr>
      <w:r>
        <w:separator/>
      </w:r>
    </w:p>
  </w:endnote>
  <w:endnote w:type="continuationSeparator" w:id="0">
    <w:p w14:paraId="39C739BE" w14:textId="77777777" w:rsidR="00F83052" w:rsidRDefault="00F83052" w:rsidP="0079758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493339"/>
      <w:docPartObj>
        <w:docPartGallery w:val="Page Numbers (Bottom of Page)"/>
        <w:docPartUnique/>
      </w:docPartObj>
    </w:sdtPr>
    <w:sdtEndPr>
      <w:rPr>
        <w:noProof/>
      </w:rPr>
    </w:sdtEndPr>
    <w:sdtContent>
      <w:p w14:paraId="0F9AD2E8" w14:textId="1C96CB84" w:rsidR="006D2126" w:rsidRDefault="006D21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1D3A62" w14:textId="77777777" w:rsidR="006D2126" w:rsidRDefault="006D2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956A0" w14:textId="77777777" w:rsidR="00F83052" w:rsidRDefault="00F83052" w:rsidP="00797580">
      <w:pPr>
        <w:spacing w:before="0" w:after="0" w:line="240" w:lineRule="auto"/>
      </w:pPr>
      <w:r>
        <w:separator/>
      </w:r>
    </w:p>
  </w:footnote>
  <w:footnote w:type="continuationSeparator" w:id="0">
    <w:p w14:paraId="5B72504C" w14:textId="77777777" w:rsidR="00F83052" w:rsidRDefault="00F83052" w:rsidP="0079758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81DF5" w14:textId="29FDCE67" w:rsidR="00AB188A" w:rsidRDefault="00AB188A">
    <w:pPr>
      <w:pStyle w:val="Header"/>
    </w:pPr>
    <w:r>
      <w:rPr>
        <w:noProof/>
        <w14:ligatures w14:val="none"/>
      </w:rPr>
      <w:drawing>
        <wp:inline distT="0" distB="0" distL="0" distR="0" wp14:anchorId="08E4210F" wp14:editId="32D4F58C">
          <wp:extent cx="5715000" cy="176022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15000" cy="176022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01E73"/>
    <w:multiLevelType w:val="multilevel"/>
    <w:tmpl w:val="CE04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117149"/>
    <w:multiLevelType w:val="multilevel"/>
    <w:tmpl w:val="79123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D9737C"/>
    <w:multiLevelType w:val="multilevel"/>
    <w:tmpl w:val="72D6E2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F46333"/>
    <w:multiLevelType w:val="multilevel"/>
    <w:tmpl w:val="DEFCEE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001038"/>
    <w:multiLevelType w:val="multilevel"/>
    <w:tmpl w:val="CAB2A2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3E16D7"/>
    <w:multiLevelType w:val="multilevel"/>
    <w:tmpl w:val="D04C984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6" w15:restartNumberingAfterBreak="0">
    <w:nsid w:val="32716611"/>
    <w:multiLevelType w:val="multilevel"/>
    <w:tmpl w:val="E898D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FE259B"/>
    <w:multiLevelType w:val="multilevel"/>
    <w:tmpl w:val="D9E4B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702318"/>
    <w:multiLevelType w:val="multilevel"/>
    <w:tmpl w:val="0A76C4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432EF0"/>
    <w:multiLevelType w:val="multilevel"/>
    <w:tmpl w:val="F5D0E90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55F032B5"/>
    <w:multiLevelType w:val="multilevel"/>
    <w:tmpl w:val="11B82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BC94772"/>
    <w:multiLevelType w:val="multilevel"/>
    <w:tmpl w:val="38C68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73757808">
    <w:abstractNumId w:val="9"/>
  </w:num>
  <w:num w:numId="2" w16cid:durableId="1023362143">
    <w:abstractNumId w:val="4"/>
  </w:num>
  <w:num w:numId="3" w16cid:durableId="117652445">
    <w:abstractNumId w:val="2"/>
  </w:num>
  <w:num w:numId="4" w16cid:durableId="1536234134">
    <w:abstractNumId w:val="1"/>
  </w:num>
  <w:num w:numId="5" w16cid:durableId="2066878158">
    <w:abstractNumId w:val="8"/>
  </w:num>
  <w:num w:numId="6" w16cid:durableId="2070377311">
    <w:abstractNumId w:val="3"/>
  </w:num>
  <w:num w:numId="7" w16cid:durableId="845167057">
    <w:abstractNumId w:val="5"/>
  </w:num>
  <w:num w:numId="8" w16cid:durableId="36200737">
    <w:abstractNumId w:val="7"/>
  </w:num>
  <w:num w:numId="9" w16cid:durableId="1009261582">
    <w:abstractNumId w:val="6"/>
  </w:num>
  <w:num w:numId="10" w16cid:durableId="2052027685">
    <w:abstractNumId w:val="11"/>
  </w:num>
  <w:num w:numId="11" w16cid:durableId="776022422">
    <w:abstractNumId w:val="10"/>
  </w:num>
  <w:num w:numId="12" w16cid:durableId="1768192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518"/>
    <w:rsid w:val="00012C3C"/>
    <w:rsid w:val="00017CAC"/>
    <w:rsid w:val="00020DD1"/>
    <w:rsid w:val="00023476"/>
    <w:rsid w:val="00025200"/>
    <w:rsid w:val="00031647"/>
    <w:rsid w:val="000419A0"/>
    <w:rsid w:val="00043925"/>
    <w:rsid w:val="000533B5"/>
    <w:rsid w:val="00054C21"/>
    <w:rsid w:val="0005726C"/>
    <w:rsid w:val="0006436B"/>
    <w:rsid w:val="00065217"/>
    <w:rsid w:val="00066294"/>
    <w:rsid w:val="0009492C"/>
    <w:rsid w:val="000A40F7"/>
    <w:rsid w:val="000A4508"/>
    <w:rsid w:val="000C1039"/>
    <w:rsid w:val="000D1CD0"/>
    <w:rsid w:val="000F482F"/>
    <w:rsid w:val="00111780"/>
    <w:rsid w:val="0012111F"/>
    <w:rsid w:val="001305AF"/>
    <w:rsid w:val="00134BF4"/>
    <w:rsid w:val="00175FDA"/>
    <w:rsid w:val="001774D5"/>
    <w:rsid w:val="001964DA"/>
    <w:rsid w:val="001A135C"/>
    <w:rsid w:val="001B68AA"/>
    <w:rsid w:val="001D640D"/>
    <w:rsid w:val="001D75DB"/>
    <w:rsid w:val="001F09BD"/>
    <w:rsid w:val="001F45BA"/>
    <w:rsid w:val="001F6D97"/>
    <w:rsid w:val="00210B4D"/>
    <w:rsid w:val="00217BED"/>
    <w:rsid w:val="002201FA"/>
    <w:rsid w:val="0022255F"/>
    <w:rsid w:val="00222C20"/>
    <w:rsid w:val="00223AC0"/>
    <w:rsid w:val="00252DA6"/>
    <w:rsid w:val="00265504"/>
    <w:rsid w:val="0026557D"/>
    <w:rsid w:val="002B494F"/>
    <w:rsid w:val="002F16C9"/>
    <w:rsid w:val="002F1A10"/>
    <w:rsid w:val="002F7C27"/>
    <w:rsid w:val="00307324"/>
    <w:rsid w:val="00313696"/>
    <w:rsid w:val="00324387"/>
    <w:rsid w:val="00331F79"/>
    <w:rsid w:val="00342A3A"/>
    <w:rsid w:val="003455D8"/>
    <w:rsid w:val="00353F82"/>
    <w:rsid w:val="00356B70"/>
    <w:rsid w:val="00364AF6"/>
    <w:rsid w:val="00380811"/>
    <w:rsid w:val="003A2984"/>
    <w:rsid w:val="003B1E92"/>
    <w:rsid w:val="003B4E6B"/>
    <w:rsid w:val="003D01BA"/>
    <w:rsid w:val="003F425D"/>
    <w:rsid w:val="0043672F"/>
    <w:rsid w:val="00453769"/>
    <w:rsid w:val="004753B3"/>
    <w:rsid w:val="0047555A"/>
    <w:rsid w:val="00495732"/>
    <w:rsid w:val="004A02D9"/>
    <w:rsid w:val="004B391F"/>
    <w:rsid w:val="004B7868"/>
    <w:rsid w:val="004C70C5"/>
    <w:rsid w:val="00502250"/>
    <w:rsid w:val="00565A84"/>
    <w:rsid w:val="00582EE1"/>
    <w:rsid w:val="005840C2"/>
    <w:rsid w:val="00592EAE"/>
    <w:rsid w:val="005B1338"/>
    <w:rsid w:val="00605283"/>
    <w:rsid w:val="00621AC8"/>
    <w:rsid w:val="00644DB1"/>
    <w:rsid w:val="00664518"/>
    <w:rsid w:val="006731C8"/>
    <w:rsid w:val="00675523"/>
    <w:rsid w:val="00690E78"/>
    <w:rsid w:val="00694A30"/>
    <w:rsid w:val="006D2126"/>
    <w:rsid w:val="006E5E98"/>
    <w:rsid w:val="006F6B61"/>
    <w:rsid w:val="0071692F"/>
    <w:rsid w:val="00722313"/>
    <w:rsid w:val="00722603"/>
    <w:rsid w:val="00725AB4"/>
    <w:rsid w:val="00744043"/>
    <w:rsid w:val="00757E21"/>
    <w:rsid w:val="00764AF2"/>
    <w:rsid w:val="007823C1"/>
    <w:rsid w:val="00791B65"/>
    <w:rsid w:val="00793752"/>
    <w:rsid w:val="00797580"/>
    <w:rsid w:val="007A4BD3"/>
    <w:rsid w:val="007D7F04"/>
    <w:rsid w:val="007E0282"/>
    <w:rsid w:val="007F2D1D"/>
    <w:rsid w:val="007F51F1"/>
    <w:rsid w:val="0080628A"/>
    <w:rsid w:val="00807AF1"/>
    <w:rsid w:val="0081655F"/>
    <w:rsid w:val="00823AEC"/>
    <w:rsid w:val="0083631B"/>
    <w:rsid w:val="0084701B"/>
    <w:rsid w:val="00847DE1"/>
    <w:rsid w:val="00862167"/>
    <w:rsid w:val="0088137E"/>
    <w:rsid w:val="008818D1"/>
    <w:rsid w:val="00883243"/>
    <w:rsid w:val="008B30EA"/>
    <w:rsid w:val="008B65AB"/>
    <w:rsid w:val="008F29F0"/>
    <w:rsid w:val="008F7AF6"/>
    <w:rsid w:val="00927384"/>
    <w:rsid w:val="00934169"/>
    <w:rsid w:val="00942387"/>
    <w:rsid w:val="00950A0C"/>
    <w:rsid w:val="00957D47"/>
    <w:rsid w:val="00964B16"/>
    <w:rsid w:val="00980419"/>
    <w:rsid w:val="00985B09"/>
    <w:rsid w:val="009903A1"/>
    <w:rsid w:val="00990DEB"/>
    <w:rsid w:val="00993B91"/>
    <w:rsid w:val="00995E70"/>
    <w:rsid w:val="009A691B"/>
    <w:rsid w:val="009D5330"/>
    <w:rsid w:val="009F6902"/>
    <w:rsid w:val="00A27FD4"/>
    <w:rsid w:val="00A7112E"/>
    <w:rsid w:val="00A74EC5"/>
    <w:rsid w:val="00AB188A"/>
    <w:rsid w:val="00AE35D1"/>
    <w:rsid w:val="00AF1CFE"/>
    <w:rsid w:val="00B21C8E"/>
    <w:rsid w:val="00B468FD"/>
    <w:rsid w:val="00B62436"/>
    <w:rsid w:val="00B903B1"/>
    <w:rsid w:val="00BE2EB4"/>
    <w:rsid w:val="00BF5201"/>
    <w:rsid w:val="00C20250"/>
    <w:rsid w:val="00C27088"/>
    <w:rsid w:val="00C42070"/>
    <w:rsid w:val="00C613B9"/>
    <w:rsid w:val="00C67161"/>
    <w:rsid w:val="00C733C1"/>
    <w:rsid w:val="00C85CC6"/>
    <w:rsid w:val="00CB00FB"/>
    <w:rsid w:val="00CB6A5B"/>
    <w:rsid w:val="00CE7814"/>
    <w:rsid w:val="00CF0EA8"/>
    <w:rsid w:val="00D2154F"/>
    <w:rsid w:val="00D21E87"/>
    <w:rsid w:val="00D3262E"/>
    <w:rsid w:val="00D3334F"/>
    <w:rsid w:val="00D40BC3"/>
    <w:rsid w:val="00D54C99"/>
    <w:rsid w:val="00D60B1D"/>
    <w:rsid w:val="00D74F45"/>
    <w:rsid w:val="00D9483C"/>
    <w:rsid w:val="00DA1DCF"/>
    <w:rsid w:val="00DA78DB"/>
    <w:rsid w:val="00DC2FFD"/>
    <w:rsid w:val="00DC3462"/>
    <w:rsid w:val="00DE7FEB"/>
    <w:rsid w:val="00DF0A99"/>
    <w:rsid w:val="00DF6C17"/>
    <w:rsid w:val="00E369B3"/>
    <w:rsid w:val="00E46E54"/>
    <w:rsid w:val="00E540AB"/>
    <w:rsid w:val="00E72CE0"/>
    <w:rsid w:val="00E825DE"/>
    <w:rsid w:val="00E83475"/>
    <w:rsid w:val="00E92EA9"/>
    <w:rsid w:val="00E94945"/>
    <w:rsid w:val="00EE5166"/>
    <w:rsid w:val="00EF0A45"/>
    <w:rsid w:val="00F2292B"/>
    <w:rsid w:val="00F303DA"/>
    <w:rsid w:val="00F60E08"/>
    <w:rsid w:val="00F74FC5"/>
    <w:rsid w:val="00F81F64"/>
    <w:rsid w:val="00F83052"/>
    <w:rsid w:val="00F924A9"/>
    <w:rsid w:val="00FA6932"/>
    <w:rsid w:val="00FB104A"/>
    <w:rsid w:val="00FB188F"/>
    <w:rsid w:val="00FB1E41"/>
    <w:rsid w:val="00FB5864"/>
    <w:rsid w:val="00FB5A80"/>
    <w:rsid w:val="00FC7D0E"/>
    <w:rsid w:val="00FD54E3"/>
    <w:rsid w:val="00FD725F"/>
    <w:rsid w:val="00FF2D94"/>
    <w:rsid w:val="00FF7F9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2283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24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169"/>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175FDA"/>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31647"/>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34169"/>
    <w:pPr>
      <w:keepNext/>
      <w:keepLines/>
      <w:spacing w:before="40" w:after="0"/>
      <w:outlineLvl w:val="2"/>
    </w:pPr>
    <w:rPr>
      <w:rFonts w:eastAsiaTheme="majorEastAsia" w:cstheme="majorBidi"/>
      <w:b/>
      <w:kern w:val="0"/>
      <w:sz w:val="26"/>
      <w:szCs w:val="24"/>
      <w:lang w:val="en-US"/>
      <w14:ligatures w14:val="none"/>
    </w:rPr>
  </w:style>
  <w:style w:type="paragraph" w:styleId="Heading4">
    <w:name w:val="heading 4"/>
    <w:basedOn w:val="Normal"/>
    <w:next w:val="Normal"/>
    <w:link w:val="Heading4Char"/>
    <w:uiPriority w:val="9"/>
    <w:unhideWhenUsed/>
    <w:qFormat/>
    <w:rsid w:val="00927384"/>
    <w:pPr>
      <w:keepNext/>
      <w:keepLines/>
      <w:spacing w:before="40" w:after="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FD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31647"/>
    <w:rPr>
      <w:rFonts w:ascii="Times New Roman" w:eastAsiaTheme="majorEastAsia" w:hAnsi="Times New Roman" w:cstheme="majorBidi"/>
      <w:b/>
      <w:kern w:val="2"/>
      <w:sz w:val="26"/>
      <w:szCs w:val="26"/>
      <w:lang w:val="en-GB"/>
      <w14:ligatures w14:val="standardContextual"/>
    </w:rPr>
  </w:style>
  <w:style w:type="paragraph" w:styleId="Title">
    <w:name w:val="Title"/>
    <w:basedOn w:val="Normal"/>
    <w:next w:val="Normal"/>
    <w:link w:val="TitleChar"/>
    <w:uiPriority w:val="10"/>
    <w:qFormat/>
    <w:rsid w:val="00FF7F9D"/>
    <w:pPr>
      <w:spacing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FF7F9D"/>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934169"/>
    <w:rPr>
      <w:rFonts w:ascii="Times New Roman" w:eastAsiaTheme="majorEastAsia" w:hAnsi="Times New Roman" w:cstheme="majorBidi"/>
      <w:b/>
      <w:sz w:val="26"/>
      <w:szCs w:val="24"/>
    </w:rPr>
  </w:style>
  <w:style w:type="paragraph" w:styleId="NoSpacing">
    <w:name w:val="No Spacing"/>
    <w:uiPriority w:val="1"/>
    <w:qFormat/>
    <w:rsid w:val="00957D47"/>
    <w:pPr>
      <w:spacing w:after="0" w:line="240" w:lineRule="auto"/>
    </w:pPr>
    <w:rPr>
      <w:rFonts w:ascii="Times New Roman" w:hAnsi="Times New Roman"/>
      <w:b/>
      <w:sz w:val="24"/>
    </w:rPr>
  </w:style>
  <w:style w:type="character" w:customStyle="1" w:styleId="Heading4Char">
    <w:name w:val="Heading 4 Char"/>
    <w:basedOn w:val="DefaultParagraphFont"/>
    <w:link w:val="Heading4"/>
    <w:uiPriority w:val="9"/>
    <w:rsid w:val="00927384"/>
    <w:rPr>
      <w:rFonts w:ascii="Times New Roman" w:eastAsiaTheme="majorEastAsia" w:hAnsi="Times New Roman" w:cstheme="majorBidi"/>
      <w:iCs/>
      <w:kern w:val="2"/>
      <w:sz w:val="24"/>
      <w:lang w:val="en-GB"/>
      <w14:ligatures w14:val="standardContextual"/>
    </w:rPr>
  </w:style>
  <w:style w:type="paragraph" w:styleId="Quote">
    <w:name w:val="Quote"/>
    <w:basedOn w:val="Normal"/>
    <w:next w:val="Normal"/>
    <w:link w:val="QuoteChar"/>
    <w:uiPriority w:val="29"/>
    <w:qFormat/>
    <w:rsid w:val="0066451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64518"/>
    <w:rPr>
      <w:rFonts w:ascii="Times New Roman" w:hAnsi="Times New Roman"/>
      <w:i/>
      <w:iCs/>
      <w:color w:val="404040" w:themeColor="text1" w:themeTint="BF"/>
      <w:kern w:val="2"/>
      <w:sz w:val="24"/>
      <w:lang w:val="en-GB"/>
      <w14:ligatures w14:val="standardContextual"/>
    </w:rPr>
  </w:style>
  <w:style w:type="paragraph" w:styleId="TOCHeading">
    <w:name w:val="TOC Heading"/>
    <w:basedOn w:val="Heading1"/>
    <w:next w:val="Normal"/>
    <w:uiPriority w:val="39"/>
    <w:unhideWhenUsed/>
    <w:qFormat/>
    <w:rsid w:val="00664518"/>
    <w:pPr>
      <w:spacing w:after="0"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3455D8"/>
    <w:pPr>
      <w:spacing w:after="100"/>
    </w:pPr>
  </w:style>
  <w:style w:type="character" w:styleId="Hyperlink">
    <w:name w:val="Hyperlink"/>
    <w:basedOn w:val="DefaultParagraphFont"/>
    <w:uiPriority w:val="99"/>
    <w:unhideWhenUsed/>
    <w:rsid w:val="003455D8"/>
    <w:rPr>
      <w:color w:val="0563C1" w:themeColor="hyperlink"/>
      <w:u w:val="single"/>
    </w:rPr>
  </w:style>
  <w:style w:type="paragraph" w:styleId="Bibliography">
    <w:name w:val="Bibliography"/>
    <w:basedOn w:val="Normal"/>
    <w:next w:val="Normal"/>
    <w:uiPriority w:val="37"/>
    <w:unhideWhenUsed/>
    <w:rsid w:val="00764AF2"/>
  </w:style>
  <w:style w:type="paragraph" w:styleId="TOC2">
    <w:name w:val="toc 2"/>
    <w:basedOn w:val="Normal"/>
    <w:next w:val="Normal"/>
    <w:autoRedefine/>
    <w:uiPriority w:val="39"/>
    <w:unhideWhenUsed/>
    <w:rsid w:val="0043672F"/>
    <w:pPr>
      <w:spacing w:after="100"/>
      <w:ind w:left="240"/>
    </w:pPr>
  </w:style>
  <w:style w:type="paragraph" w:styleId="Header">
    <w:name w:val="header"/>
    <w:basedOn w:val="Normal"/>
    <w:link w:val="HeaderChar"/>
    <w:uiPriority w:val="99"/>
    <w:unhideWhenUsed/>
    <w:rsid w:val="0079758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97580"/>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79758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97580"/>
    <w:rPr>
      <w:rFonts w:ascii="Times New Roman" w:hAnsi="Times New Roman"/>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68132">
      <w:bodyDiv w:val="1"/>
      <w:marLeft w:val="0"/>
      <w:marRight w:val="0"/>
      <w:marTop w:val="0"/>
      <w:marBottom w:val="0"/>
      <w:divBdr>
        <w:top w:val="none" w:sz="0" w:space="0" w:color="auto"/>
        <w:left w:val="none" w:sz="0" w:space="0" w:color="auto"/>
        <w:bottom w:val="none" w:sz="0" w:space="0" w:color="auto"/>
        <w:right w:val="none" w:sz="0" w:space="0" w:color="auto"/>
      </w:divBdr>
    </w:div>
    <w:div w:id="70584595">
      <w:bodyDiv w:val="1"/>
      <w:marLeft w:val="0"/>
      <w:marRight w:val="0"/>
      <w:marTop w:val="0"/>
      <w:marBottom w:val="0"/>
      <w:divBdr>
        <w:top w:val="none" w:sz="0" w:space="0" w:color="auto"/>
        <w:left w:val="none" w:sz="0" w:space="0" w:color="auto"/>
        <w:bottom w:val="none" w:sz="0" w:space="0" w:color="auto"/>
        <w:right w:val="none" w:sz="0" w:space="0" w:color="auto"/>
      </w:divBdr>
    </w:div>
    <w:div w:id="140079400">
      <w:bodyDiv w:val="1"/>
      <w:marLeft w:val="0"/>
      <w:marRight w:val="0"/>
      <w:marTop w:val="0"/>
      <w:marBottom w:val="0"/>
      <w:divBdr>
        <w:top w:val="none" w:sz="0" w:space="0" w:color="auto"/>
        <w:left w:val="none" w:sz="0" w:space="0" w:color="auto"/>
        <w:bottom w:val="none" w:sz="0" w:space="0" w:color="auto"/>
        <w:right w:val="none" w:sz="0" w:space="0" w:color="auto"/>
      </w:divBdr>
    </w:div>
    <w:div w:id="150143204">
      <w:bodyDiv w:val="1"/>
      <w:marLeft w:val="0"/>
      <w:marRight w:val="0"/>
      <w:marTop w:val="0"/>
      <w:marBottom w:val="0"/>
      <w:divBdr>
        <w:top w:val="none" w:sz="0" w:space="0" w:color="auto"/>
        <w:left w:val="none" w:sz="0" w:space="0" w:color="auto"/>
        <w:bottom w:val="none" w:sz="0" w:space="0" w:color="auto"/>
        <w:right w:val="none" w:sz="0" w:space="0" w:color="auto"/>
      </w:divBdr>
    </w:div>
    <w:div w:id="206064970">
      <w:bodyDiv w:val="1"/>
      <w:marLeft w:val="0"/>
      <w:marRight w:val="0"/>
      <w:marTop w:val="0"/>
      <w:marBottom w:val="0"/>
      <w:divBdr>
        <w:top w:val="none" w:sz="0" w:space="0" w:color="auto"/>
        <w:left w:val="none" w:sz="0" w:space="0" w:color="auto"/>
        <w:bottom w:val="none" w:sz="0" w:space="0" w:color="auto"/>
        <w:right w:val="none" w:sz="0" w:space="0" w:color="auto"/>
      </w:divBdr>
    </w:div>
    <w:div w:id="243538719">
      <w:bodyDiv w:val="1"/>
      <w:marLeft w:val="0"/>
      <w:marRight w:val="0"/>
      <w:marTop w:val="0"/>
      <w:marBottom w:val="0"/>
      <w:divBdr>
        <w:top w:val="none" w:sz="0" w:space="0" w:color="auto"/>
        <w:left w:val="none" w:sz="0" w:space="0" w:color="auto"/>
        <w:bottom w:val="none" w:sz="0" w:space="0" w:color="auto"/>
        <w:right w:val="none" w:sz="0" w:space="0" w:color="auto"/>
      </w:divBdr>
    </w:div>
    <w:div w:id="361134035">
      <w:bodyDiv w:val="1"/>
      <w:marLeft w:val="0"/>
      <w:marRight w:val="0"/>
      <w:marTop w:val="0"/>
      <w:marBottom w:val="0"/>
      <w:divBdr>
        <w:top w:val="none" w:sz="0" w:space="0" w:color="auto"/>
        <w:left w:val="none" w:sz="0" w:space="0" w:color="auto"/>
        <w:bottom w:val="none" w:sz="0" w:space="0" w:color="auto"/>
        <w:right w:val="none" w:sz="0" w:space="0" w:color="auto"/>
      </w:divBdr>
    </w:div>
    <w:div w:id="382874247">
      <w:bodyDiv w:val="1"/>
      <w:marLeft w:val="0"/>
      <w:marRight w:val="0"/>
      <w:marTop w:val="0"/>
      <w:marBottom w:val="0"/>
      <w:divBdr>
        <w:top w:val="none" w:sz="0" w:space="0" w:color="auto"/>
        <w:left w:val="none" w:sz="0" w:space="0" w:color="auto"/>
        <w:bottom w:val="none" w:sz="0" w:space="0" w:color="auto"/>
        <w:right w:val="none" w:sz="0" w:space="0" w:color="auto"/>
      </w:divBdr>
    </w:div>
    <w:div w:id="399449643">
      <w:bodyDiv w:val="1"/>
      <w:marLeft w:val="0"/>
      <w:marRight w:val="0"/>
      <w:marTop w:val="0"/>
      <w:marBottom w:val="0"/>
      <w:divBdr>
        <w:top w:val="none" w:sz="0" w:space="0" w:color="auto"/>
        <w:left w:val="none" w:sz="0" w:space="0" w:color="auto"/>
        <w:bottom w:val="none" w:sz="0" w:space="0" w:color="auto"/>
        <w:right w:val="none" w:sz="0" w:space="0" w:color="auto"/>
      </w:divBdr>
    </w:div>
    <w:div w:id="404644627">
      <w:bodyDiv w:val="1"/>
      <w:marLeft w:val="0"/>
      <w:marRight w:val="0"/>
      <w:marTop w:val="0"/>
      <w:marBottom w:val="0"/>
      <w:divBdr>
        <w:top w:val="none" w:sz="0" w:space="0" w:color="auto"/>
        <w:left w:val="none" w:sz="0" w:space="0" w:color="auto"/>
        <w:bottom w:val="none" w:sz="0" w:space="0" w:color="auto"/>
        <w:right w:val="none" w:sz="0" w:space="0" w:color="auto"/>
      </w:divBdr>
    </w:div>
    <w:div w:id="599799305">
      <w:bodyDiv w:val="1"/>
      <w:marLeft w:val="0"/>
      <w:marRight w:val="0"/>
      <w:marTop w:val="0"/>
      <w:marBottom w:val="0"/>
      <w:divBdr>
        <w:top w:val="none" w:sz="0" w:space="0" w:color="auto"/>
        <w:left w:val="none" w:sz="0" w:space="0" w:color="auto"/>
        <w:bottom w:val="none" w:sz="0" w:space="0" w:color="auto"/>
        <w:right w:val="none" w:sz="0" w:space="0" w:color="auto"/>
      </w:divBdr>
    </w:div>
    <w:div w:id="668600995">
      <w:bodyDiv w:val="1"/>
      <w:marLeft w:val="0"/>
      <w:marRight w:val="0"/>
      <w:marTop w:val="0"/>
      <w:marBottom w:val="0"/>
      <w:divBdr>
        <w:top w:val="none" w:sz="0" w:space="0" w:color="auto"/>
        <w:left w:val="none" w:sz="0" w:space="0" w:color="auto"/>
        <w:bottom w:val="none" w:sz="0" w:space="0" w:color="auto"/>
        <w:right w:val="none" w:sz="0" w:space="0" w:color="auto"/>
      </w:divBdr>
    </w:div>
    <w:div w:id="673218366">
      <w:bodyDiv w:val="1"/>
      <w:marLeft w:val="0"/>
      <w:marRight w:val="0"/>
      <w:marTop w:val="0"/>
      <w:marBottom w:val="0"/>
      <w:divBdr>
        <w:top w:val="none" w:sz="0" w:space="0" w:color="auto"/>
        <w:left w:val="none" w:sz="0" w:space="0" w:color="auto"/>
        <w:bottom w:val="none" w:sz="0" w:space="0" w:color="auto"/>
        <w:right w:val="none" w:sz="0" w:space="0" w:color="auto"/>
      </w:divBdr>
    </w:div>
    <w:div w:id="676035367">
      <w:bodyDiv w:val="1"/>
      <w:marLeft w:val="0"/>
      <w:marRight w:val="0"/>
      <w:marTop w:val="0"/>
      <w:marBottom w:val="0"/>
      <w:divBdr>
        <w:top w:val="none" w:sz="0" w:space="0" w:color="auto"/>
        <w:left w:val="none" w:sz="0" w:space="0" w:color="auto"/>
        <w:bottom w:val="none" w:sz="0" w:space="0" w:color="auto"/>
        <w:right w:val="none" w:sz="0" w:space="0" w:color="auto"/>
      </w:divBdr>
    </w:div>
    <w:div w:id="701518109">
      <w:bodyDiv w:val="1"/>
      <w:marLeft w:val="0"/>
      <w:marRight w:val="0"/>
      <w:marTop w:val="0"/>
      <w:marBottom w:val="0"/>
      <w:divBdr>
        <w:top w:val="none" w:sz="0" w:space="0" w:color="auto"/>
        <w:left w:val="none" w:sz="0" w:space="0" w:color="auto"/>
        <w:bottom w:val="none" w:sz="0" w:space="0" w:color="auto"/>
        <w:right w:val="none" w:sz="0" w:space="0" w:color="auto"/>
      </w:divBdr>
    </w:div>
    <w:div w:id="805704500">
      <w:bodyDiv w:val="1"/>
      <w:marLeft w:val="0"/>
      <w:marRight w:val="0"/>
      <w:marTop w:val="0"/>
      <w:marBottom w:val="0"/>
      <w:divBdr>
        <w:top w:val="none" w:sz="0" w:space="0" w:color="auto"/>
        <w:left w:val="none" w:sz="0" w:space="0" w:color="auto"/>
        <w:bottom w:val="none" w:sz="0" w:space="0" w:color="auto"/>
        <w:right w:val="none" w:sz="0" w:space="0" w:color="auto"/>
      </w:divBdr>
    </w:div>
    <w:div w:id="892230611">
      <w:bodyDiv w:val="1"/>
      <w:marLeft w:val="0"/>
      <w:marRight w:val="0"/>
      <w:marTop w:val="0"/>
      <w:marBottom w:val="0"/>
      <w:divBdr>
        <w:top w:val="none" w:sz="0" w:space="0" w:color="auto"/>
        <w:left w:val="none" w:sz="0" w:space="0" w:color="auto"/>
        <w:bottom w:val="none" w:sz="0" w:space="0" w:color="auto"/>
        <w:right w:val="none" w:sz="0" w:space="0" w:color="auto"/>
      </w:divBdr>
    </w:div>
    <w:div w:id="979305338">
      <w:bodyDiv w:val="1"/>
      <w:marLeft w:val="0"/>
      <w:marRight w:val="0"/>
      <w:marTop w:val="0"/>
      <w:marBottom w:val="0"/>
      <w:divBdr>
        <w:top w:val="none" w:sz="0" w:space="0" w:color="auto"/>
        <w:left w:val="none" w:sz="0" w:space="0" w:color="auto"/>
        <w:bottom w:val="none" w:sz="0" w:space="0" w:color="auto"/>
        <w:right w:val="none" w:sz="0" w:space="0" w:color="auto"/>
      </w:divBdr>
    </w:div>
    <w:div w:id="982192925">
      <w:bodyDiv w:val="1"/>
      <w:marLeft w:val="0"/>
      <w:marRight w:val="0"/>
      <w:marTop w:val="0"/>
      <w:marBottom w:val="0"/>
      <w:divBdr>
        <w:top w:val="none" w:sz="0" w:space="0" w:color="auto"/>
        <w:left w:val="none" w:sz="0" w:space="0" w:color="auto"/>
        <w:bottom w:val="none" w:sz="0" w:space="0" w:color="auto"/>
        <w:right w:val="none" w:sz="0" w:space="0" w:color="auto"/>
      </w:divBdr>
    </w:div>
    <w:div w:id="1020395671">
      <w:bodyDiv w:val="1"/>
      <w:marLeft w:val="0"/>
      <w:marRight w:val="0"/>
      <w:marTop w:val="0"/>
      <w:marBottom w:val="0"/>
      <w:divBdr>
        <w:top w:val="none" w:sz="0" w:space="0" w:color="auto"/>
        <w:left w:val="none" w:sz="0" w:space="0" w:color="auto"/>
        <w:bottom w:val="none" w:sz="0" w:space="0" w:color="auto"/>
        <w:right w:val="none" w:sz="0" w:space="0" w:color="auto"/>
      </w:divBdr>
    </w:div>
    <w:div w:id="1068041317">
      <w:bodyDiv w:val="1"/>
      <w:marLeft w:val="0"/>
      <w:marRight w:val="0"/>
      <w:marTop w:val="0"/>
      <w:marBottom w:val="0"/>
      <w:divBdr>
        <w:top w:val="none" w:sz="0" w:space="0" w:color="auto"/>
        <w:left w:val="none" w:sz="0" w:space="0" w:color="auto"/>
        <w:bottom w:val="none" w:sz="0" w:space="0" w:color="auto"/>
        <w:right w:val="none" w:sz="0" w:space="0" w:color="auto"/>
      </w:divBdr>
    </w:div>
    <w:div w:id="1081366298">
      <w:bodyDiv w:val="1"/>
      <w:marLeft w:val="0"/>
      <w:marRight w:val="0"/>
      <w:marTop w:val="0"/>
      <w:marBottom w:val="0"/>
      <w:divBdr>
        <w:top w:val="none" w:sz="0" w:space="0" w:color="auto"/>
        <w:left w:val="none" w:sz="0" w:space="0" w:color="auto"/>
        <w:bottom w:val="none" w:sz="0" w:space="0" w:color="auto"/>
        <w:right w:val="none" w:sz="0" w:space="0" w:color="auto"/>
      </w:divBdr>
    </w:div>
    <w:div w:id="1084645107">
      <w:bodyDiv w:val="1"/>
      <w:marLeft w:val="0"/>
      <w:marRight w:val="0"/>
      <w:marTop w:val="0"/>
      <w:marBottom w:val="0"/>
      <w:divBdr>
        <w:top w:val="none" w:sz="0" w:space="0" w:color="auto"/>
        <w:left w:val="none" w:sz="0" w:space="0" w:color="auto"/>
        <w:bottom w:val="none" w:sz="0" w:space="0" w:color="auto"/>
        <w:right w:val="none" w:sz="0" w:space="0" w:color="auto"/>
      </w:divBdr>
    </w:div>
    <w:div w:id="1149327723">
      <w:bodyDiv w:val="1"/>
      <w:marLeft w:val="0"/>
      <w:marRight w:val="0"/>
      <w:marTop w:val="0"/>
      <w:marBottom w:val="0"/>
      <w:divBdr>
        <w:top w:val="none" w:sz="0" w:space="0" w:color="auto"/>
        <w:left w:val="none" w:sz="0" w:space="0" w:color="auto"/>
        <w:bottom w:val="none" w:sz="0" w:space="0" w:color="auto"/>
        <w:right w:val="none" w:sz="0" w:space="0" w:color="auto"/>
      </w:divBdr>
    </w:div>
    <w:div w:id="1339313095">
      <w:bodyDiv w:val="1"/>
      <w:marLeft w:val="0"/>
      <w:marRight w:val="0"/>
      <w:marTop w:val="0"/>
      <w:marBottom w:val="0"/>
      <w:divBdr>
        <w:top w:val="none" w:sz="0" w:space="0" w:color="auto"/>
        <w:left w:val="none" w:sz="0" w:space="0" w:color="auto"/>
        <w:bottom w:val="none" w:sz="0" w:space="0" w:color="auto"/>
        <w:right w:val="none" w:sz="0" w:space="0" w:color="auto"/>
      </w:divBdr>
    </w:div>
    <w:div w:id="1375350818">
      <w:bodyDiv w:val="1"/>
      <w:marLeft w:val="0"/>
      <w:marRight w:val="0"/>
      <w:marTop w:val="0"/>
      <w:marBottom w:val="0"/>
      <w:divBdr>
        <w:top w:val="none" w:sz="0" w:space="0" w:color="auto"/>
        <w:left w:val="none" w:sz="0" w:space="0" w:color="auto"/>
        <w:bottom w:val="none" w:sz="0" w:space="0" w:color="auto"/>
        <w:right w:val="none" w:sz="0" w:space="0" w:color="auto"/>
      </w:divBdr>
    </w:div>
    <w:div w:id="1378621797">
      <w:bodyDiv w:val="1"/>
      <w:marLeft w:val="0"/>
      <w:marRight w:val="0"/>
      <w:marTop w:val="0"/>
      <w:marBottom w:val="0"/>
      <w:divBdr>
        <w:top w:val="none" w:sz="0" w:space="0" w:color="auto"/>
        <w:left w:val="none" w:sz="0" w:space="0" w:color="auto"/>
        <w:bottom w:val="none" w:sz="0" w:space="0" w:color="auto"/>
        <w:right w:val="none" w:sz="0" w:space="0" w:color="auto"/>
      </w:divBdr>
    </w:div>
    <w:div w:id="1424378588">
      <w:bodyDiv w:val="1"/>
      <w:marLeft w:val="0"/>
      <w:marRight w:val="0"/>
      <w:marTop w:val="0"/>
      <w:marBottom w:val="0"/>
      <w:divBdr>
        <w:top w:val="none" w:sz="0" w:space="0" w:color="auto"/>
        <w:left w:val="none" w:sz="0" w:space="0" w:color="auto"/>
        <w:bottom w:val="none" w:sz="0" w:space="0" w:color="auto"/>
        <w:right w:val="none" w:sz="0" w:space="0" w:color="auto"/>
      </w:divBdr>
    </w:div>
    <w:div w:id="1438137568">
      <w:bodyDiv w:val="1"/>
      <w:marLeft w:val="0"/>
      <w:marRight w:val="0"/>
      <w:marTop w:val="0"/>
      <w:marBottom w:val="0"/>
      <w:divBdr>
        <w:top w:val="none" w:sz="0" w:space="0" w:color="auto"/>
        <w:left w:val="none" w:sz="0" w:space="0" w:color="auto"/>
        <w:bottom w:val="none" w:sz="0" w:space="0" w:color="auto"/>
        <w:right w:val="none" w:sz="0" w:space="0" w:color="auto"/>
      </w:divBdr>
    </w:div>
    <w:div w:id="1454132635">
      <w:bodyDiv w:val="1"/>
      <w:marLeft w:val="0"/>
      <w:marRight w:val="0"/>
      <w:marTop w:val="0"/>
      <w:marBottom w:val="0"/>
      <w:divBdr>
        <w:top w:val="none" w:sz="0" w:space="0" w:color="auto"/>
        <w:left w:val="none" w:sz="0" w:space="0" w:color="auto"/>
        <w:bottom w:val="none" w:sz="0" w:space="0" w:color="auto"/>
        <w:right w:val="none" w:sz="0" w:space="0" w:color="auto"/>
      </w:divBdr>
    </w:div>
    <w:div w:id="1481851797">
      <w:bodyDiv w:val="1"/>
      <w:marLeft w:val="0"/>
      <w:marRight w:val="0"/>
      <w:marTop w:val="0"/>
      <w:marBottom w:val="0"/>
      <w:divBdr>
        <w:top w:val="none" w:sz="0" w:space="0" w:color="auto"/>
        <w:left w:val="none" w:sz="0" w:space="0" w:color="auto"/>
        <w:bottom w:val="none" w:sz="0" w:space="0" w:color="auto"/>
        <w:right w:val="none" w:sz="0" w:space="0" w:color="auto"/>
      </w:divBdr>
      <w:divsChild>
        <w:div w:id="509418388">
          <w:marLeft w:val="0"/>
          <w:marRight w:val="0"/>
          <w:marTop w:val="0"/>
          <w:marBottom w:val="0"/>
          <w:divBdr>
            <w:top w:val="single" w:sz="6" w:space="0" w:color="auto"/>
            <w:left w:val="single" w:sz="6" w:space="0" w:color="auto"/>
            <w:bottom w:val="single" w:sz="6" w:space="0" w:color="auto"/>
            <w:right w:val="single" w:sz="6" w:space="0" w:color="auto"/>
          </w:divBdr>
        </w:div>
      </w:divsChild>
    </w:div>
    <w:div w:id="1490173168">
      <w:bodyDiv w:val="1"/>
      <w:marLeft w:val="0"/>
      <w:marRight w:val="0"/>
      <w:marTop w:val="0"/>
      <w:marBottom w:val="0"/>
      <w:divBdr>
        <w:top w:val="none" w:sz="0" w:space="0" w:color="auto"/>
        <w:left w:val="none" w:sz="0" w:space="0" w:color="auto"/>
        <w:bottom w:val="none" w:sz="0" w:space="0" w:color="auto"/>
        <w:right w:val="none" w:sz="0" w:space="0" w:color="auto"/>
      </w:divBdr>
      <w:divsChild>
        <w:div w:id="205721380">
          <w:marLeft w:val="0"/>
          <w:marRight w:val="0"/>
          <w:marTop w:val="0"/>
          <w:marBottom w:val="0"/>
          <w:divBdr>
            <w:top w:val="none" w:sz="0" w:space="0" w:color="auto"/>
            <w:left w:val="none" w:sz="0" w:space="0" w:color="auto"/>
            <w:bottom w:val="none" w:sz="0" w:space="0" w:color="auto"/>
            <w:right w:val="none" w:sz="0" w:space="0" w:color="auto"/>
          </w:divBdr>
          <w:divsChild>
            <w:div w:id="2129665249">
              <w:marLeft w:val="0"/>
              <w:marRight w:val="0"/>
              <w:marTop w:val="0"/>
              <w:marBottom w:val="0"/>
              <w:divBdr>
                <w:top w:val="none" w:sz="0" w:space="0" w:color="auto"/>
                <w:left w:val="none" w:sz="0" w:space="0" w:color="auto"/>
                <w:bottom w:val="none" w:sz="0" w:space="0" w:color="auto"/>
                <w:right w:val="none" w:sz="0" w:space="0" w:color="auto"/>
              </w:divBdr>
            </w:div>
            <w:div w:id="1949313795">
              <w:marLeft w:val="0"/>
              <w:marRight w:val="0"/>
              <w:marTop w:val="0"/>
              <w:marBottom w:val="0"/>
              <w:divBdr>
                <w:top w:val="none" w:sz="0" w:space="0" w:color="auto"/>
                <w:left w:val="none" w:sz="0" w:space="0" w:color="auto"/>
                <w:bottom w:val="none" w:sz="0" w:space="0" w:color="auto"/>
                <w:right w:val="none" w:sz="0" w:space="0" w:color="auto"/>
              </w:divBdr>
            </w:div>
            <w:div w:id="648636737">
              <w:marLeft w:val="0"/>
              <w:marRight w:val="0"/>
              <w:marTop w:val="0"/>
              <w:marBottom w:val="0"/>
              <w:divBdr>
                <w:top w:val="none" w:sz="0" w:space="0" w:color="auto"/>
                <w:left w:val="none" w:sz="0" w:space="0" w:color="auto"/>
                <w:bottom w:val="none" w:sz="0" w:space="0" w:color="auto"/>
                <w:right w:val="none" w:sz="0" w:space="0" w:color="auto"/>
              </w:divBdr>
            </w:div>
            <w:div w:id="2123107840">
              <w:marLeft w:val="0"/>
              <w:marRight w:val="0"/>
              <w:marTop w:val="0"/>
              <w:marBottom w:val="0"/>
              <w:divBdr>
                <w:top w:val="none" w:sz="0" w:space="0" w:color="auto"/>
                <w:left w:val="none" w:sz="0" w:space="0" w:color="auto"/>
                <w:bottom w:val="none" w:sz="0" w:space="0" w:color="auto"/>
                <w:right w:val="none" w:sz="0" w:space="0" w:color="auto"/>
              </w:divBdr>
            </w:div>
            <w:div w:id="845049349">
              <w:marLeft w:val="0"/>
              <w:marRight w:val="0"/>
              <w:marTop w:val="0"/>
              <w:marBottom w:val="0"/>
              <w:divBdr>
                <w:top w:val="none" w:sz="0" w:space="0" w:color="auto"/>
                <w:left w:val="none" w:sz="0" w:space="0" w:color="auto"/>
                <w:bottom w:val="none" w:sz="0" w:space="0" w:color="auto"/>
                <w:right w:val="none" w:sz="0" w:space="0" w:color="auto"/>
              </w:divBdr>
            </w:div>
            <w:div w:id="1746485922">
              <w:marLeft w:val="0"/>
              <w:marRight w:val="0"/>
              <w:marTop w:val="0"/>
              <w:marBottom w:val="0"/>
              <w:divBdr>
                <w:top w:val="none" w:sz="0" w:space="0" w:color="auto"/>
                <w:left w:val="none" w:sz="0" w:space="0" w:color="auto"/>
                <w:bottom w:val="none" w:sz="0" w:space="0" w:color="auto"/>
                <w:right w:val="none" w:sz="0" w:space="0" w:color="auto"/>
              </w:divBdr>
            </w:div>
            <w:div w:id="1481847520">
              <w:marLeft w:val="0"/>
              <w:marRight w:val="0"/>
              <w:marTop w:val="0"/>
              <w:marBottom w:val="0"/>
              <w:divBdr>
                <w:top w:val="none" w:sz="0" w:space="0" w:color="auto"/>
                <w:left w:val="none" w:sz="0" w:space="0" w:color="auto"/>
                <w:bottom w:val="none" w:sz="0" w:space="0" w:color="auto"/>
                <w:right w:val="none" w:sz="0" w:space="0" w:color="auto"/>
              </w:divBdr>
            </w:div>
            <w:div w:id="1356466370">
              <w:marLeft w:val="0"/>
              <w:marRight w:val="0"/>
              <w:marTop w:val="0"/>
              <w:marBottom w:val="0"/>
              <w:divBdr>
                <w:top w:val="none" w:sz="0" w:space="0" w:color="auto"/>
                <w:left w:val="none" w:sz="0" w:space="0" w:color="auto"/>
                <w:bottom w:val="none" w:sz="0" w:space="0" w:color="auto"/>
                <w:right w:val="none" w:sz="0" w:space="0" w:color="auto"/>
              </w:divBdr>
            </w:div>
            <w:div w:id="14045483">
              <w:marLeft w:val="0"/>
              <w:marRight w:val="0"/>
              <w:marTop w:val="0"/>
              <w:marBottom w:val="0"/>
              <w:divBdr>
                <w:top w:val="none" w:sz="0" w:space="0" w:color="auto"/>
                <w:left w:val="none" w:sz="0" w:space="0" w:color="auto"/>
                <w:bottom w:val="none" w:sz="0" w:space="0" w:color="auto"/>
                <w:right w:val="none" w:sz="0" w:space="0" w:color="auto"/>
              </w:divBdr>
            </w:div>
            <w:div w:id="182475939">
              <w:marLeft w:val="0"/>
              <w:marRight w:val="0"/>
              <w:marTop w:val="0"/>
              <w:marBottom w:val="0"/>
              <w:divBdr>
                <w:top w:val="none" w:sz="0" w:space="0" w:color="auto"/>
                <w:left w:val="none" w:sz="0" w:space="0" w:color="auto"/>
                <w:bottom w:val="none" w:sz="0" w:space="0" w:color="auto"/>
                <w:right w:val="none" w:sz="0" w:space="0" w:color="auto"/>
              </w:divBdr>
            </w:div>
            <w:div w:id="34740401">
              <w:marLeft w:val="0"/>
              <w:marRight w:val="0"/>
              <w:marTop w:val="0"/>
              <w:marBottom w:val="0"/>
              <w:divBdr>
                <w:top w:val="none" w:sz="0" w:space="0" w:color="auto"/>
                <w:left w:val="none" w:sz="0" w:space="0" w:color="auto"/>
                <w:bottom w:val="none" w:sz="0" w:space="0" w:color="auto"/>
                <w:right w:val="none" w:sz="0" w:space="0" w:color="auto"/>
              </w:divBdr>
            </w:div>
            <w:div w:id="1451431374">
              <w:marLeft w:val="0"/>
              <w:marRight w:val="0"/>
              <w:marTop w:val="0"/>
              <w:marBottom w:val="0"/>
              <w:divBdr>
                <w:top w:val="none" w:sz="0" w:space="0" w:color="auto"/>
                <w:left w:val="none" w:sz="0" w:space="0" w:color="auto"/>
                <w:bottom w:val="none" w:sz="0" w:space="0" w:color="auto"/>
                <w:right w:val="none" w:sz="0" w:space="0" w:color="auto"/>
              </w:divBdr>
            </w:div>
            <w:div w:id="30901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249667">
      <w:bodyDiv w:val="1"/>
      <w:marLeft w:val="0"/>
      <w:marRight w:val="0"/>
      <w:marTop w:val="0"/>
      <w:marBottom w:val="0"/>
      <w:divBdr>
        <w:top w:val="none" w:sz="0" w:space="0" w:color="auto"/>
        <w:left w:val="none" w:sz="0" w:space="0" w:color="auto"/>
        <w:bottom w:val="none" w:sz="0" w:space="0" w:color="auto"/>
        <w:right w:val="none" w:sz="0" w:space="0" w:color="auto"/>
      </w:divBdr>
    </w:div>
    <w:div w:id="1586719084">
      <w:bodyDiv w:val="1"/>
      <w:marLeft w:val="0"/>
      <w:marRight w:val="0"/>
      <w:marTop w:val="0"/>
      <w:marBottom w:val="0"/>
      <w:divBdr>
        <w:top w:val="none" w:sz="0" w:space="0" w:color="auto"/>
        <w:left w:val="none" w:sz="0" w:space="0" w:color="auto"/>
        <w:bottom w:val="none" w:sz="0" w:space="0" w:color="auto"/>
        <w:right w:val="none" w:sz="0" w:space="0" w:color="auto"/>
      </w:divBdr>
    </w:div>
    <w:div w:id="1600328817">
      <w:bodyDiv w:val="1"/>
      <w:marLeft w:val="0"/>
      <w:marRight w:val="0"/>
      <w:marTop w:val="0"/>
      <w:marBottom w:val="0"/>
      <w:divBdr>
        <w:top w:val="none" w:sz="0" w:space="0" w:color="auto"/>
        <w:left w:val="none" w:sz="0" w:space="0" w:color="auto"/>
        <w:bottom w:val="none" w:sz="0" w:space="0" w:color="auto"/>
        <w:right w:val="none" w:sz="0" w:space="0" w:color="auto"/>
      </w:divBdr>
    </w:div>
    <w:div w:id="1634751357">
      <w:bodyDiv w:val="1"/>
      <w:marLeft w:val="0"/>
      <w:marRight w:val="0"/>
      <w:marTop w:val="0"/>
      <w:marBottom w:val="0"/>
      <w:divBdr>
        <w:top w:val="none" w:sz="0" w:space="0" w:color="auto"/>
        <w:left w:val="none" w:sz="0" w:space="0" w:color="auto"/>
        <w:bottom w:val="none" w:sz="0" w:space="0" w:color="auto"/>
        <w:right w:val="none" w:sz="0" w:space="0" w:color="auto"/>
      </w:divBdr>
      <w:divsChild>
        <w:div w:id="1131436681">
          <w:marLeft w:val="0"/>
          <w:marRight w:val="0"/>
          <w:marTop w:val="0"/>
          <w:marBottom w:val="0"/>
          <w:divBdr>
            <w:top w:val="single" w:sz="6" w:space="0" w:color="auto"/>
            <w:left w:val="single" w:sz="6" w:space="0" w:color="auto"/>
            <w:bottom w:val="single" w:sz="6" w:space="0" w:color="auto"/>
            <w:right w:val="single" w:sz="6" w:space="0" w:color="auto"/>
          </w:divBdr>
        </w:div>
      </w:divsChild>
    </w:div>
    <w:div w:id="1644506411">
      <w:bodyDiv w:val="1"/>
      <w:marLeft w:val="0"/>
      <w:marRight w:val="0"/>
      <w:marTop w:val="0"/>
      <w:marBottom w:val="0"/>
      <w:divBdr>
        <w:top w:val="none" w:sz="0" w:space="0" w:color="auto"/>
        <w:left w:val="none" w:sz="0" w:space="0" w:color="auto"/>
        <w:bottom w:val="none" w:sz="0" w:space="0" w:color="auto"/>
        <w:right w:val="none" w:sz="0" w:space="0" w:color="auto"/>
      </w:divBdr>
    </w:div>
    <w:div w:id="1710758766">
      <w:bodyDiv w:val="1"/>
      <w:marLeft w:val="0"/>
      <w:marRight w:val="0"/>
      <w:marTop w:val="0"/>
      <w:marBottom w:val="0"/>
      <w:divBdr>
        <w:top w:val="none" w:sz="0" w:space="0" w:color="auto"/>
        <w:left w:val="none" w:sz="0" w:space="0" w:color="auto"/>
        <w:bottom w:val="none" w:sz="0" w:space="0" w:color="auto"/>
        <w:right w:val="none" w:sz="0" w:space="0" w:color="auto"/>
      </w:divBdr>
    </w:div>
    <w:div w:id="1759641955">
      <w:bodyDiv w:val="1"/>
      <w:marLeft w:val="0"/>
      <w:marRight w:val="0"/>
      <w:marTop w:val="0"/>
      <w:marBottom w:val="0"/>
      <w:divBdr>
        <w:top w:val="none" w:sz="0" w:space="0" w:color="auto"/>
        <w:left w:val="none" w:sz="0" w:space="0" w:color="auto"/>
        <w:bottom w:val="none" w:sz="0" w:space="0" w:color="auto"/>
        <w:right w:val="none" w:sz="0" w:space="0" w:color="auto"/>
      </w:divBdr>
      <w:divsChild>
        <w:div w:id="799416954">
          <w:marLeft w:val="0"/>
          <w:marRight w:val="0"/>
          <w:marTop w:val="0"/>
          <w:marBottom w:val="0"/>
          <w:divBdr>
            <w:top w:val="single" w:sz="6" w:space="0" w:color="auto"/>
            <w:left w:val="single" w:sz="6" w:space="0" w:color="auto"/>
            <w:bottom w:val="single" w:sz="6" w:space="0" w:color="auto"/>
            <w:right w:val="single" w:sz="6" w:space="0" w:color="auto"/>
          </w:divBdr>
        </w:div>
      </w:divsChild>
    </w:div>
    <w:div w:id="1761946233">
      <w:bodyDiv w:val="1"/>
      <w:marLeft w:val="0"/>
      <w:marRight w:val="0"/>
      <w:marTop w:val="0"/>
      <w:marBottom w:val="0"/>
      <w:divBdr>
        <w:top w:val="none" w:sz="0" w:space="0" w:color="auto"/>
        <w:left w:val="none" w:sz="0" w:space="0" w:color="auto"/>
        <w:bottom w:val="none" w:sz="0" w:space="0" w:color="auto"/>
        <w:right w:val="none" w:sz="0" w:space="0" w:color="auto"/>
      </w:divBdr>
    </w:div>
    <w:div w:id="1810587049">
      <w:bodyDiv w:val="1"/>
      <w:marLeft w:val="0"/>
      <w:marRight w:val="0"/>
      <w:marTop w:val="0"/>
      <w:marBottom w:val="0"/>
      <w:divBdr>
        <w:top w:val="none" w:sz="0" w:space="0" w:color="auto"/>
        <w:left w:val="none" w:sz="0" w:space="0" w:color="auto"/>
        <w:bottom w:val="none" w:sz="0" w:space="0" w:color="auto"/>
        <w:right w:val="none" w:sz="0" w:space="0" w:color="auto"/>
      </w:divBdr>
      <w:divsChild>
        <w:div w:id="1244989970">
          <w:marLeft w:val="0"/>
          <w:marRight w:val="0"/>
          <w:marTop w:val="0"/>
          <w:marBottom w:val="0"/>
          <w:divBdr>
            <w:top w:val="none" w:sz="0" w:space="0" w:color="auto"/>
            <w:left w:val="none" w:sz="0" w:space="0" w:color="auto"/>
            <w:bottom w:val="none" w:sz="0" w:space="0" w:color="auto"/>
            <w:right w:val="none" w:sz="0" w:space="0" w:color="auto"/>
          </w:divBdr>
          <w:divsChild>
            <w:div w:id="1367632233">
              <w:marLeft w:val="0"/>
              <w:marRight w:val="0"/>
              <w:marTop w:val="0"/>
              <w:marBottom w:val="0"/>
              <w:divBdr>
                <w:top w:val="none" w:sz="0" w:space="0" w:color="auto"/>
                <w:left w:val="none" w:sz="0" w:space="0" w:color="auto"/>
                <w:bottom w:val="none" w:sz="0" w:space="0" w:color="auto"/>
                <w:right w:val="none" w:sz="0" w:space="0" w:color="auto"/>
              </w:divBdr>
            </w:div>
            <w:div w:id="309680189">
              <w:marLeft w:val="0"/>
              <w:marRight w:val="0"/>
              <w:marTop w:val="0"/>
              <w:marBottom w:val="0"/>
              <w:divBdr>
                <w:top w:val="none" w:sz="0" w:space="0" w:color="auto"/>
                <w:left w:val="none" w:sz="0" w:space="0" w:color="auto"/>
                <w:bottom w:val="none" w:sz="0" w:space="0" w:color="auto"/>
                <w:right w:val="none" w:sz="0" w:space="0" w:color="auto"/>
              </w:divBdr>
            </w:div>
            <w:div w:id="762266992">
              <w:marLeft w:val="0"/>
              <w:marRight w:val="0"/>
              <w:marTop w:val="0"/>
              <w:marBottom w:val="0"/>
              <w:divBdr>
                <w:top w:val="none" w:sz="0" w:space="0" w:color="auto"/>
                <w:left w:val="none" w:sz="0" w:space="0" w:color="auto"/>
                <w:bottom w:val="none" w:sz="0" w:space="0" w:color="auto"/>
                <w:right w:val="none" w:sz="0" w:space="0" w:color="auto"/>
              </w:divBdr>
            </w:div>
            <w:div w:id="1901675853">
              <w:marLeft w:val="0"/>
              <w:marRight w:val="0"/>
              <w:marTop w:val="0"/>
              <w:marBottom w:val="0"/>
              <w:divBdr>
                <w:top w:val="none" w:sz="0" w:space="0" w:color="auto"/>
                <w:left w:val="none" w:sz="0" w:space="0" w:color="auto"/>
                <w:bottom w:val="none" w:sz="0" w:space="0" w:color="auto"/>
                <w:right w:val="none" w:sz="0" w:space="0" w:color="auto"/>
              </w:divBdr>
            </w:div>
            <w:div w:id="640036437">
              <w:marLeft w:val="0"/>
              <w:marRight w:val="0"/>
              <w:marTop w:val="0"/>
              <w:marBottom w:val="0"/>
              <w:divBdr>
                <w:top w:val="none" w:sz="0" w:space="0" w:color="auto"/>
                <w:left w:val="none" w:sz="0" w:space="0" w:color="auto"/>
                <w:bottom w:val="none" w:sz="0" w:space="0" w:color="auto"/>
                <w:right w:val="none" w:sz="0" w:space="0" w:color="auto"/>
              </w:divBdr>
            </w:div>
            <w:div w:id="28800702">
              <w:marLeft w:val="0"/>
              <w:marRight w:val="0"/>
              <w:marTop w:val="0"/>
              <w:marBottom w:val="0"/>
              <w:divBdr>
                <w:top w:val="none" w:sz="0" w:space="0" w:color="auto"/>
                <w:left w:val="none" w:sz="0" w:space="0" w:color="auto"/>
                <w:bottom w:val="none" w:sz="0" w:space="0" w:color="auto"/>
                <w:right w:val="none" w:sz="0" w:space="0" w:color="auto"/>
              </w:divBdr>
            </w:div>
            <w:div w:id="2062363306">
              <w:marLeft w:val="0"/>
              <w:marRight w:val="0"/>
              <w:marTop w:val="0"/>
              <w:marBottom w:val="0"/>
              <w:divBdr>
                <w:top w:val="none" w:sz="0" w:space="0" w:color="auto"/>
                <w:left w:val="none" w:sz="0" w:space="0" w:color="auto"/>
                <w:bottom w:val="none" w:sz="0" w:space="0" w:color="auto"/>
                <w:right w:val="none" w:sz="0" w:space="0" w:color="auto"/>
              </w:divBdr>
            </w:div>
            <w:div w:id="1462576625">
              <w:marLeft w:val="0"/>
              <w:marRight w:val="0"/>
              <w:marTop w:val="0"/>
              <w:marBottom w:val="0"/>
              <w:divBdr>
                <w:top w:val="none" w:sz="0" w:space="0" w:color="auto"/>
                <w:left w:val="none" w:sz="0" w:space="0" w:color="auto"/>
                <w:bottom w:val="none" w:sz="0" w:space="0" w:color="auto"/>
                <w:right w:val="none" w:sz="0" w:space="0" w:color="auto"/>
              </w:divBdr>
            </w:div>
            <w:div w:id="627391811">
              <w:marLeft w:val="0"/>
              <w:marRight w:val="0"/>
              <w:marTop w:val="0"/>
              <w:marBottom w:val="0"/>
              <w:divBdr>
                <w:top w:val="none" w:sz="0" w:space="0" w:color="auto"/>
                <w:left w:val="none" w:sz="0" w:space="0" w:color="auto"/>
                <w:bottom w:val="none" w:sz="0" w:space="0" w:color="auto"/>
                <w:right w:val="none" w:sz="0" w:space="0" w:color="auto"/>
              </w:divBdr>
            </w:div>
            <w:div w:id="1544563242">
              <w:marLeft w:val="0"/>
              <w:marRight w:val="0"/>
              <w:marTop w:val="0"/>
              <w:marBottom w:val="0"/>
              <w:divBdr>
                <w:top w:val="none" w:sz="0" w:space="0" w:color="auto"/>
                <w:left w:val="none" w:sz="0" w:space="0" w:color="auto"/>
                <w:bottom w:val="none" w:sz="0" w:space="0" w:color="auto"/>
                <w:right w:val="none" w:sz="0" w:space="0" w:color="auto"/>
              </w:divBdr>
            </w:div>
            <w:div w:id="754285925">
              <w:marLeft w:val="0"/>
              <w:marRight w:val="0"/>
              <w:marTop w:val="0"/>
              <w:marBottom w:val="0"/>
              <w:divBdr>
                <w:top w:val="none" w:sz="0" w:space="0" w:color="auto"/>
                <w:left w:val="none" w:sz="0" w:space="0" w:color="auto"/>
                <w:bottom w:val="none" w:sz="0" w:space="0" w:color="auto"/>
                <w:right w:val="none" w:sz="0" w:space="0" w:color="auto"/>
              </w:divBdr>
            </w:div>
            <w:div w:id="1002973006">
              <w:marLeft w:val="0"/>
              <w:marRight w:val="0"/>
              <w:marTop w:val="0"/>
              <w:marBottom w:val="0"/>
              <w:divBdr>
                <w:top w:val="none" w:sz="0" w:space="0" w:color="auto"/>
                <w:left w:val="none" w:sz="0" w:space="0" w:color="auto"/>
                <w:bottom w:val="none" w:sz="0" w:space="0" w:color="auto"/>
                <w:right w:val="none" w:sz="0" w:space="0" w:color="auto"/>
              </w:divBdr>
            </w:div>
            <w:div w:id="166816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140014">
      <w:bodyDiv w:val="1"/>
      <w:marLeft w:val="0"/>
      <w:marRight w:val="0"/>
      <w:marTop w:val="0"/>
      <w:marBottom w:val="0"/>
      <w:divBdr>
        <w:top w:val="none" w:sz="0" w:space="0" w:color="auto"/>
        <w:left w:val="none" w:sz="0" w:space="0" w:color="auto"/>
        <w:bottom w:val="none" w:sz="0" w:space="0" w:color="auto"/>
        <w:right w:val="none" w:sz="0" w:space="0" w:color="auto"/>
      </w:divBdr>
      <w:divsChild>
        <w:div w:id="1843348523">
          <w:marLeft w:val="0"/>
          <w:marRight w:val="0"/>
          <w:marTop w:val="0"/>
          <w:marBottom w:val="0"/>
          <w:divBdr>
            <w:top w:val="single" w:sz="6" w:space="0" w:color="auto"/>
            <w:left w:val="single" w:sz="6" w:space="0" w:color="auto"/>
            <w:bottom w:val="single" w:sz="6" w:space="0" w:color="auto"/>
            <w:right w:val="single" w:sz="6" w:space="0" w:color="auto"/>
          </w:divBdr>
        </w:div>
      </w:divsChild>
    </w:div>
    <w:div w:id="1986006290">
      <w:bodyDiv w:val="1"/>
      <w:marLeft w:val="0"/>
      <w:marRight w:val="0"/>
      <w:marTop w:val="0"/>
      <w:marBottom w:val="0"/>
      <w:divBdr>
        <w:top w:val="none" w:sz="0" w:space="0" w:color="auto"/>
        <w:left w:val="none" w:sz="0" w:space="0" w:color="auto"/>
        <w:bottom w:val="none" w:sz="0" w:space="0" w:color="auto"/>
        <w:right w:val="none" w:sz="0" w:space="0" w:color="auto"/>
      </w:divBdr>
    </w:div>
    <w:div w:id="2007396461">
      <w:bodyDiv w:val="1"/>
      <w:marLeft w:val="0"/>
      <w:marRight w:val="0"/>
      <w:marTop w:val="0"/>
      <w:marBottom w:val="0"/>
      <w:divBdr>
        <w:top w:val="none" w:sz="0" w:space="0" w:color="auto"/>
        <w:left w:val="none" w:sz="0" w:space="0" w:color="auto"/>
        <w:bottom w:val="none" w:sz="0" w:space="0" w:color="auto"/>
        <w:right w:val="none" w:sz="0" w:space="0" w:color="auto"/>
      </w:divBdr>
    </w:div>
    <w:div w:id="2044552023">
      <w:bodyDiv w:val="1"/>
      <w:marLeft w:val="0"/>
      <w:marRight w:val="0"/>
      <w:marTop w:val="0"/>
      <w:marBottom w:val="0"/>
      <w:divBdr>
        <w:top w:val="none" w:sz="0" w:space="0" w:color="auto"/>
        <w:left w:val="none" w:sz="0" w:space="0" w:color="auto"/>
        <w:bottom w:val="none" w:sz="0" w:space="0" w:color="auto"/>
        <w:right w:val="none" w:sz="0" w:space="0" w:color="auto"/>
      </w:divBdr>
    </w:div>
    <w:div w:id="2050063090">
      <w:bodyDiv w:val="1"/>
      <w:marLeft w:val="0"/>
      <w:marRight w:val="0"/>
      <w:marTop w:val="0"/>
      <w:marBottom w:val="0"/>
      <w:divBdr>
        <w:top w:val="none" w:sz="0" w:space="0" w:color="auto"/>
        <w:left w:val="none" w:sz="0" w:space="0" w:color="auto"/>
        <w:bottom w:val="none" w:sz="0" w:space="0" w:color="auto"/>
        <w:right w:val="none" w:sz="0" w:space="0" w:color="auto"/>
      </w:divBdr>
    </w:div>
    <w:div w:id="2050912415">
      <w:bodyDiv w:val="1"/>
      <w:marLeft w:val="0"/>
      <w:marRight w:val="0"/>
      <w:marTop w:val="0"/>
      <w:marBottom w:val="0"/>
      <w:divBdr>
        <w:top w:val="none" w:sz="0" w:space="0" w:color="auto"/>
        <w:left w:val="none" w:sz="0" w:space="0" w:color="auto"/>
        <w:bottom w:val="none" w:sz="0" w:space="0" w:color="auto"/>
        <w:right w:val="none" w:sz="0" w:space="0" w:color="auto"/>
      </w:divBdr>
      <w:divsChild>
        <w:div w:id="1381438457">
          <w:marLeft w:val="0"/>
          <w:marRight w:val="0"/>
          <w:marTop w:val="0"/>
          <w:marBottom w:val="0"/>
          <w:divBdr>
            <w:top w:val="single" w:sz="6" w:space="0" w:color="auto"/>
            <w:left w:val="single" w:sz="6" w:space="0" w:color="auto"/>
            <w:bottom w:val="single" w:sz="6" w:space="0" w:color="auto"/>
            <w:right w:val="single" w:sz="6" w:space="0" w:color="auto"/>
          </w:divBdr>
        </w:div>
      </w:divsChild>
    </w:div>
    <w:div w:id="2089377817">
      <w:bodyDiv w:val="1"/>
      <w:marLeft w:val="0"/>
      <w:marRight w:val="0"/>
      <w:marTop w:val="0"/>
      <w:marBottom w:val="0"/>
      <w:divBdr>
        <w:top w:val="none" w:sz="0" w:space="0" w:color="auto"/>
        <w:left w:val="none" w:sz="0" w:space="0" w:color="auto"/>
        <w:bottom w:val="none" w:sz="0" w:space="0" w:color="auto"/>
        <w:right w:val="none" w:sz="0" w:space="0" w:color="auto"/>
      </w:divBdr>
    </w:div>
    <w:div w:id="2118673922">
      <w:bodyDiv w:val="1"/>
      <w:marLeft w:val="0"/>
      <w:marRight w:val="0"/>
      <w:marTop w:val="0"/>
      <w:marBottom w:val="0"/>
      <w:divBdr>
        <w:top w:val="none" w:sz="0" w:space="0" w:color="auto"/>
        <w:left w:val="none" w:sz="0" w:space="0" w:color="auto"/>
        <w:bottom w:val="none" w:sz="0" w:space="0" w:color="auto"/>
        <w:right w:val="none" w:sz="0" w:space="0" w:color="auto"/>
      </w:divBdr>
    </w:div>
    <w:div w:id="2135101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Mad11</b:Tag>
    <b:SourceType>Book</b:SourceType>
    <b:Guid>{D61AF0AA-A405-45CD-9C13-7D3FDD0FE3EB}</b:Guid>
    <b:Author>
      <b:Author>
        <b:NameList>
          <b:Person>
            <b:Last>Madura</b:Last>
            <b:First>Jeff</b:First>
          </b:Person>
          <b:Person>
            <b:Last>Fox</b:Last>
            <b:First>Roland,</b:First>
          </b:Person>
        </b:NameList>
      </b:Author>
    </b:Author>
    <b:Title>International Financial Management</b:Title>
    <b:Year>2011</b:Year>
    <b:Publisher>Cengage Learning EMEA</b:Publisher>
    <b:Edition>2nd</b:Edition>
    <b:RefOrder>6</b:RefOrder>
  </b:Source>
  <b:Source>
    <b:Tag>Bek12</b:Tag>
    <b:SourceType>Book</b:SourceType>
    <b:Guid>{73DE7B2B-1319-4D77-9654-45C0585541BE}</b:Guid>
    <b:Author>
      <b:Author>
        <b:NameList>
          <b:Person>
            <b:Last>Bekaert</b:Last>
            <b:First>G</b:First>
          </b:Person>
          <b:Person>
            <b:Last>Hodrick</b:Last>
            <b:First>R,</b:First>
          </b:Person>
        </b:NameList>
      </b:Author>
    </b:Author>
    <b:Title>International Financial Management</b:Title>
    <b:Year>2012</b:Year>
    <b:Publisher>Pearson Education</b:Publisher>
    <b:Edition>2nd</b:Edition>
    <b:RefOrder>7</b:RefOrder>
  </b:Source>
  <b:Source>
    <b:Tag>Sha10</b:Tag>
    <b:SourceType>Book</b:SourceType>
    <b:Guid>{CF21A684-4893-4276-A156-02192C563805}</b:Guid>
    <b:Author>
      <b:Author>
        <b:NameList>
          <b:Person>
            <b:Last>Shapiro</b:Last>
            <b:First>Alan</b:First>
            <b:Middle>C.</b:Middle>
          </b:Person>
        </b:NameList>
      </b:Author>
    </b:Author>
    <b:Title>Multinational Financial Management</b:Title>
    <b:Year>2010</b:Year>
    <b:Publisher> John </b:Publisher>
    <b:Edition>9th</b:Edition>
    <b:RefOrder>8</b:RefOrder>
  </b:Source>
  <b:Source>
    <b:Tag>Eun12</b:Tag>
    <b:SourceType>Book</b:SourceType>
    <b:Guid>{E058ABDF-C886-4A64-A612-69B595058DE0}</b:Guid>
    <b:Author>
      <b:Author>
        <b:NameList>
          <b:Person>
            <b:Last>Eun</b:Last>
            <b:First>C.</b:First>
            <b:Middle>S.</b:Middle>
          </b:Person>
          <b:Person>
            <b:Last>Resnick</b:Last>
            <b:First>B.G.</b:First>
          </b:Person>
          <b:Person>
            <b:Last>Sabherwal</b:Last>
            <b:First>S.</b:First>
          </b:Person>
        </b:NameList>
      </b:Author>
    </b:Author>
    <b:Title>International Finance: Global edition</b:Title>
    <b:Year>2012</b:Year>
    <b:Publisher>McGraw-Hill</b:Publisher>
    <b:Edition>6th</b:Edition>
    <b:RefOrder>2</b:RefOrder>
  </b:Source>
  <b:Source>
    <b:Tag>Buc11</b:Tag>
    <b:SourceType>Book</b:SourceType>
    <b:Guid>{6596A75A-F966-418A-91C1-D4AD6ABC84C5}</b:Guid>
    <b:Author>
      <b:Author>
        <b:NameList>
          <b:Person>
            <b:Last>Buckley</b:Last>
            <b:First>A.</b:First>
          </b:Person>
        </b:NameList>
      </b:Author>
    </b:Author>
    <b:Title>Financial Crisis: Causes, Context and Consequences</b:Title>
    <b:Year>2011</b:Year>
    <b:Publisher> Pearson Education</b:Publisher>
    <b:Edition>1st</b:Edition>
    <b:RefOrder>9</b:RefOrder>
  </b:Source>
  <b:Source>
    <b:Tag>Sti021</b:Tag>
    <b:SourceType>Book</b:SourceType>
    <b:Guid>{6909C159-8C43-4CEA-8688-C332532F39CA}</b:Guid>
    <b:Author>
      <b:Author>
        <b:NameList>
          <b:Person>
            <b:Last>Stiglitz</b:Last>
            <b:First>Joseph</b:First>
            <b:Middle>E.</b:Middle>
          </b:Person>
        </b:NameList>
      </b:Author>
    </b:Author>
    <b:Title>Globalization and Its Discontents</b:Title>
    <b:Year>2002</b:Year>
    <b:City>New York</b:City>
    <b:Publisher>W.W. Norton and Company </b:Publisher>
    <b:RefOrder>3</b:RefOrder>
  </b:Source>
  <b:Source>
    <b:Tag>Blo23</b:Tag>
    <b:SourceType>InternetSite</b:SourceType>
    <b:Guid>{B1A6FE75-911B-40D5-BAB2-418F363FE31F}</b:Guid>
    <b:Author>
      <b:Author>
        <b:Corporate>Bloomberg</b:Corporate>
      </b:Author>
    </b:Author>
    <b:Title>International Management Group - company profile and news</b:Title>
    <b:Year>2023</b:Year>
    <b:YearAccessed>2024</b:YearAccessed>
    <b:MonthAccessed>March</b:MonthAccessed>
    <b:DayAccessed>10</b:DayAccessed>
    <b:URL>https://www.bloomberg.com/profile/company/7533004Z:AU</b:URL>
    <b:RefOrder>4</b:RefOrder>
  </b:Source>
  <b:Source>
    <b:Tag>Bel22</b:Tag>
    <b:SourceType>JournalArticle</b:SourceType>
    <b:Guid>{0EA1F421-910B-4AB9-A1AE-7CD15559AC5A}</b:Guid>
    <b:Author>
      <b:Author>
        <b:NameList>
          <b:Person>
            <b:Last>Belias</b:Last>
            <b:First>D.</b:First>
          </b:Person>
          <b:Person>
            <b:Last>Trihas</b:Last>
            <b:First>N.</b:First>
          </b:Person>
        </b:NameList>
      </b:Author>
    </b:Author>
    <b:Title>Human Resource Training of Front Office Employees and Change Management in Hospitality Sector during Crisis</b:Title>
    <b:Year>2022</b:Year>
    <b:JournalName>Proceedings of the 4th International Conference on Finance, Economics, Management and IT Business</b:JournalName>
    <b:RefOrder>10</b:RefOrder>
  </b:Source>
  <b:Source>
    <b:Tag>Fin21</b:Tag>
    <b:SourceType>Book</b:SourceType>
    <b:Guid>{5873E731-D0DF-4465-88A1-ED1F97D91425}</b:Guid>
    <b:Author>
      <b:Author>
        <b:Corporate>Financial Times</b:Corporate>
      </b:Author>
    </b:Author>
    <b:Title>UK economy in 2021: the impact of Covid-19</b:Title>
    <b:Year>2021</b:Year>
    <b:RefOrder>1</b:RefOrder>
  </b:Source>
  <b:Source>
    <b:Tag>Cas16</b:Tag>
    <b:SourceType>Book</b:SourceType>
    <b:Guid>{6F6EC6A8-3B9D-41DC-A7E4-D449B895414E}</b:Guid>
    <b:Author>
      <b:Author>
        <b:NameList>
          <b:Person>
            <b:Last>Cascio</b:Last>
            <b:First>W.</b:First>
            <b:Middle>F.</b:Middle>
          </b:Person>
          <b:Person>
            <b:Last>Boudreau</b:Last>
            <b:First>J.</b:First>
            <b:Middle>W.</b:Middle>
          </b:Person>
        </b:NameList>
      </b:Author>
    </b:Author>
    <b:Title>Investing in People: Financial Impact of Human Resource Initiatives</b:Title>
    <b:Year>2016</b:Year>
    <b:City>London</b:City>
    <b:Publisher>Pearson</b:Publisher>
    <b:Edition>3rd </b:Edition>
    <b:RefOrder>11</b:RefOrder>
  </b:Source>
  <b:Source>
    <b:Tag>Des22</b:Tag>
    <b:SourceType>JournalArticle</b:SourceType>
    <b:Guid>{9004315D-AC95-47D5-90B3-771C7FBB04B0}</b:Guid>
    <b:Author>
      <b:Author>
        <b:NameList>
          <b:Person>
            <b:Last>Desai</b:Last>
            <b:First>M.</b:First>
          </b:Person>
          <b:Person>
            <b:Last>Roberts</b:Last>
            <b:First>M.</b:First>
            <b:Middle>J.</b:Middle>
          </b:Person>
        </b:NameList>
      </b:Author>
    </b:Author>
    <b:Title>ESG Credit Ratings and the Pricing of Corporate Debt. </b:Title>
    <b:Year>2022</b:Year>
    <b:JournalName>The Review of Financial Studies</b:JournalName>
    <b:Pages>1377–1428</b:Pages>
    <b:Volume>3</b:Volume>
    <b:Issue>36</b:Issue>
    <b:RefOrder>5</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26de0a64-be4f-48c3-b853-562ac6a1eac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4B94C392476BF4D9DA6B1FFC91AB88A" ma:contentTypeVersion="18" ma:contentTypeDescription="Create a new document." ma:contentTypeScope="" ma:versionID="e3130930c0eed5662914f6265e03f5f5">
  <xsd:schema xmlns:xsd="http://www.w3.org/2001/XMLSchema" xmlns:xs="http://www.w3.org/2001/XMLSchema" xmlns:p="http://schemas.microsoft.com/office/2006/metadata/properties" xmlns:ns3="26de0a64-be4f-48c3-b853-562ac6a1eace" xmlns:ns4="fa822d1a-278a-404b-8165-92da9e2f7f29" targetNamespace="http://schemas.microsoft.com/office/2006/metadata/properties" ma:root="true" ma:fieldsID="c4b5d484fcc804e003c4f96a9c8f16e9" ns3:_="" ns4:_="">
    <xsd:import namespace="26de0a64-be4f-48c3-b853-562ac6a1eace"/>
    <xsd:import namespace="fa822d1a-278a-404b-8165-92da9e2f7f2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bjectDetectorVersions" minOccurs="0"/>
                <xsd:element ref="ns3:MediaLengthInSeconds" minOccurs="0"/>
                <xsd:element ref="ns3:MediaServiceSystemTags"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de0a64-be4f-48c3-b853-562ac6a1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a822d1a-278a-404b-8165-92da9e2f7f2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06A71D-0717-4843-8061-EC83725F577F}">
  <ds:schemaRefs>
    <ds:schemaRef ds:uri="http://schemas.openxmlformats.org/officeDocument/2006/bibliography"/>
  </ds:schemaRefs>
</ds:datastoreItem>
</file>

<file path=customXml/itemProps2.xml><?xml version="1.0" encoding="utf-8"?>
<ds:datastoreItem xmlns:ds="http://schemas.openxmlformats.org/officeDocument/2006/customXml" ds:itemID="{11C5EE6A-3109-41E0-B79D-6C06C9D35CE0}">
  <ds:schemaRefs>
    <ds:schemaRef ds:uri="http://schemas.microsoft.com/office/2006/metadata/properties"/>
    <ds:schemaRef ds:uri="http://schemas.microsoft.com/office/infopath/2007/PartnerControls"/>
    <ds:schemaRef ds:uri="26de0a64-be4f-48c3-b853-562ac6a1eace"/>
  </ds:schemaRefs>
</ds:datastoreItem>
</file>

<file path=customXml/itemProps3.xml><?xml version="1.0" encoding="utf-8"?>
<ds:datastoreItem xmlns:ds="http://schemas.openxmlformats.org/officeDocument/2006/customXml" ds:itemID="{23739713-7FC1-4D6D-809A-AAD90447C74D}">
  <ds:schemaRefs>
    <ds:schemaRef ds:uri="http://schemas.microsoft.com/sharepoint/v3/contenttype/forms"/>
  </ds:schemaRefs>
</ds:datastoreItem>
</file>

<file path=customXml/itemProps4.xml><?xml version="1.0" encoding="utf-8"?>
<ds:datastoreItem xmlns:ds="http://schemas.openxmlformats.org/officeDocument/2006/customXml" ds:itemID="{CA7E4DEF-8632-43B7-A664-3737885B0C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de0a64-be4f-48c3-b853-562ac6a1eace"/>
    <ds:schemaRef ds:uri="fa822d1a-278a-404b-8165-92da9e2f7f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2154</Words>
  <Characters>12280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2024-03-10T20:04:00Z</dcterms:created>
  <dcterms:modified xsi:type="dcterms:W3CDTF">2024-03-25T00:15:00Z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956495fb28f459c15a5a12fbcd61178eba52095bb6dbbc709fd01c5a9b7d8cf5</vt:lpwstr>
  </property>
  <property fmtid="{D5CDD505-2E9C-101B-9397-08002B2CF9AE}" pid="3" name="ContentTypeId">
    <vt:lpwstr>0x010100D4B94C392476BF4D9DA6B1FFC91AB88A</vt:lpwstr>
  </property>
</Properties>
</file>