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0D8C" w:rsidRDefault="008D30A2" w:rsidP="00FB7004">
      <w:pPr>
        <w:pStyle w:val="awTB00chTitle"/>
        <w:keepNext/>
        <w:spacing w:before="720" w:after="0"/>
      </w:pPr>
      <w:r>
        <w:rPr>
          <w:sz w:val="44"/>
        </w:rPr>
        <w:t>Chapter 14</w:t>
      </w:r>
      <w:r>
        <w:rPr>
          <w:sz w:val="32"/>
        </w:rPr>
        <w:br/>
      </w:r>
      <w:r>
        <w:t>Multinational Tax Management</w:t>
      </w:r>
    </w:p>
    <w:p w:rsidR="0052316B" w:rsidRPr="0052316B" w:rsidRDefault="0052316B" w:rsidP="0052316B">
      <w:pPr>
        <w:pStyle w:val="awTB02question"/>
        <w:tabs>
          <w:tab w:val="clear" w:pos="547"/>
        </w:tabs>
        <w:ind w:firstLine="0"/>
      </w:pPr>
    </w:p>
    <w:p w:rsidR="0052316B" w:rsidRPr="0090254E" w:rsidRDefault="0052316B" w:rsidP="00696806">
      <w:pPr>
        <w:spacing w:after="120"/>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Identify the differences between tax systems employed by government around</w:t>
      </w:r>
      <w:r>
        <w:rPr>
          <w:rFonts w:ascii="Times" w:eastAsia="Calibri" w:hAnsi="Times" w:cs="Times"/>
          <w:sz w:val="24"/>
          <w:szCs w:val="24"/>
        </w:rPr>
        <w:t xml:space="preserve"> </w:t>
      </w:r>
      <w:r w:rsidRPr="0052316B">
        <w:rPr>
          <w:rFonts w:ascii="Times" w:eastAsia="Calibri" w:hAnsi="Times" w:cs="Times"/>
          <w:sz w:val="24"/>
          <w:szCs w:val="24"/>
        </w:rPr>
        <w:t>the globe</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Compare corporate income and withholding tax rates used across countries and the</w:t>
      </w:r>
      <w:r>
        <w:rPr>
          <w:rFonts w:ascii="Times" w:eastAsia="Calibri" w:hAnsi="Times" w:cs="Times"/>
          <w:sz w:val="24"/>
          <w:szCs w:val="24"/>
        </w:rPr>
        <w:t xml:space="preserve"> </w:t>
      </w:r>
      <w:r w:rsidRPr="0052316B">
        <w:rPr>
          <w:rFonts w:ascii="Times" w:eastAsia="Calibri" w:hAnsi="Times" w:cs="Times"/>
          <w:sz w:val="24"/>
          <w:szCs w:val="24"/>
        </w:rPr>
        <w:t>way tax treaties affect MNEs</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Explain how value-added taxes are levied by some countries today</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Explain the use of transfer pricing to manage corporate tax burdens</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Compare tax liabilities of domestic and foreign source income for U.S.-based firms</w:t>
      </w:r>
    </w:p>
    <w:p w:rsidR="0052316B" w:rsidRPr="0052316B"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Examine how U.S.-based multinationals manage their foreign tax credits and deficits</w:t>
      </w:r>
      <w:r>
        <w:rPr>
          <w:rFonts w:ascii="Times" w:eastAsia="Calibri" w:hAnsi="Times" w:cs="Times"/>
          <w:sz w:val="24"/>
          <w:szCs w:val="24"/>
        </w:rPr>
        <w:t xml:space="preserve"> </w:t>
      </w:r>
      <w:r w:rsidRPr="0052316B">
        <w:rPr>
          <w:rFonts w:ascii="Times" w:eastAsia="Calibri" w:hAnsi="Times" w:cs="Times"/>
          <w:sz w:val="24"/>
          <w:szCs w:val="24"/>
        </w:rPr>
        <w:t>to minimize global taxes</w:t>
      </w:r>
    </w:p>
    <w:p w:rsidR="0052316B" w:rsidRPr="00A9163D" w:rsidRDefault="0052316B" w:rsidP="0052316B">
      <w:pPr>
        <w:numPr>
          <w:ilvl w:val="0"/>
          <w:numId w:val="26"/>
        </w:numPr>
        <w:spacing w:after="160" w:line="259" w:lineRule="auto"/>
        <w:contextualSpacing/>
        <w:rPr>
          <w:rFonts w:ascii="Times" w:eastAsia="Calibri" w:hAnsi="Times" w:cs="Times"/>
          <w:sz w:val="24"/>
          <w:szCs w:val="24"/>
        </w:rPr>
      </w:pPr>
      <w:r w:rsidRPr="0052316B">
        <w:rPr>
          <w:rFonts w:ascii="Times" w:eastAsia="Calibri" w:hAnsi="Times" w:cs="Times"/>
          <w:sz w:val="24"/>
          <w:szCs w:val="24"/>
        </w:rPr>
        <w:t>Explain the use of transfer pricing to manage corporate tax burdens</w:t>
      </w:r>
    </w:p>
    <w:p w:rsidR="0052316B" w:rsidRPr="0090254E" w:rsidRDefault="0052316B" w:rsidP="005120CF">
      <w:pPr>
        <w:spacing w:before="480"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52316B" w:rsidRDefault="0052316B" w:rsidP="005120CF">
      <w:pPr>
        <w:pStyle w:val="OutlineI"/>
      </w:pPr>
      <w:r>
        <w:t>Tax Principles</w:t>
      </w:r>
    </w:p>
    <w:p w:rsidR="0052316B" w:rsidRDefault="0052316B" w:rsidP="005120CF">
      <w:pPr>
        <w:pStyle w:val="OutlineA"/>
      </w:pPr>
      <w:r>
        <w:t>Tax Morality</w:t>
      </w:r>
    </w:p>
    <w:p w:rsidR="0052316B" w:rsidRDefault="0052316B" w:rsidP="005120CF">
      <w:pPr>
        <w:pStyle w:val="OutlineA"/>
      </w:pPr>
      <w:r>
        <w:t>Tax Neutrality</w:t>
      </w:r>
    </w:p>
    <w:p w:rsidR="0052316B" w:rsidRDefault="0052316B" w:rsidP="005120CF">
      <w:pPr>
        <w:pStyle w:val="OutlineA"/>
      </w:pPr>
      <w:r>
        <w:t>National Tax Environments</w:t>
      </w:r>
    </w:p>
    <w:p w:rsidR="0052316B" w:rsidRDefault="0052316B" w:rsidP="005120CF">
      <w:pPr>
        <w:pStyle w:val="Outlline1"/>
      </w:pPr>
      <w:r>
        <w:t>Worldwide Approach</w:t>
      </w:r>
    </w:p>
    <w:p w:rsidR="0052316B" w:rsidRDefault="0052316B" w:rsidP="005120CF">
      <w:pPr>
        <w:pStyle w:val="Outlline1"/>
      </w:pPr>
      <w:r>
        <w:t>Territorial Approach</w:t>
      </w:r>
    </w:p>
    <w:p w:rsidR="0052316B" w:rsidRDefault="0052316B" w:rsidP="005120CF">
      <w:pPr>
        <w:pStyle w:val="Outlline1"/>
      </w:pPr>
      <w:r>
        <w:t>Tax Deferral</w:t>
      </w:r>
    </w:p>
    <w:p w:rsidR="0052316B" w:rsidRDefault="0052316B" w:rsidP="005120CF">
      <w:pPr>
        <w:pStyle w:val="OutlineA"/>
      </w:pPr>
      <w:r>
        <w:t>Tax Treaties</w:t>
      </w:r>
    </w:p>
    <w:p w:rsidR="0052316B" w:rsidRDefault="0052316B" w:rsidP="005120CF">
      <w:pPr>
        <w:pStyle w:val="OutlineA"/>
      </w:pPr>
      <w:r>
        <w:t>Tax Types</w:t>
      </w:r>
    </w:p>
    <w:p w:rsidR="0052316B" w:rsidRDefault="0052316B" w:rsidP="005120CF">
      <w:pPr>
        <w:pStyle w:val="Outlline1"/>
        <w:numPr>
          <w:ilvl w:val="0"/>
          <w:numId w:val="32"/>
        </w:numPr>
      </w:pPr>
      <w:r>
        <w:t>Income Tax</w:t>
      </w:r>
    </w:p>
    <w:p w:rsidR="0052316B" w:rsidRDefault="0052316B" w:rsidP="005120CF">
      <w:pPr>
        <w:pStyle w:val="Outlline1"/>
      </w:pPr>
      <w:r>
        <w:t>Withholding Tax</w:t>
      </w:r>
    </w:p>
    <w:p w:rsidR="0052316B" w:rsidRDefault="0052316B" w:rsidP="005120CF">
      <w:pPr>
        <w:pStyle w:val="Outlline1"/>
      </w:pPr>
      <w:r>
        <w:t>Value-Added Tax</w:t>
      </w:r>
    </w:p>
    <w:p w:rsidR="0052316B" w:rsidRDefault="0052316B" w:rsidP="005120CF">
      <w:pPr>
        <w:pStyle w:val="Outlline1"/>
      </w:pPr>
      <w:r>
        <w:t>Other National Taxes</w:t>
      </w:r>
    </w:p>
    <w:p w:rsidR="0052316B" w:rsidRDefault="0052316B" w:rsidP="005120CF">
      <w:pPr>
        <w:pStyle w:val="Outlline1"/>
      </w:pPr>
      <w:r>
        <w:t>Foreign Tax Credits</w:t>
      </w:r>
    </w:p>
    <w:p w:rsidR="0052316B" w:rsidRDefault="0052316B" w:rsidP="005120CF">
      <w:pPr>
        <w:pStyle w:val="OutlineI"/>
      </w:pPr>
      <w:r>
        <w:t>Transfer Pricing</w:t>
      </w:r>
    </w:p>
    <w:p w:rsidR="0052316B" w:rsidRPr="0052316B" w:rsidRDefault="0052316B" w:rsidP="005120CF">
      <w:pPr>
        <w:pStyle w:val="Outlline1"/>
        <w:numPr>
          <w:ilvl w:val="0"/>
          <w:numId w:val="33"/>
        </w:numPr>
      </w:pPr>
      <w:r w:rsidRPr="0052316B">
        <w:t>Fund Positioning Effect</w:t>
      </w:r>
    </w:p>
    <w:p w:rsidR="0052316B" w:rsidRDefault="0052316B" w:rsidP="005120CF">
      <w:pPr>
        <w:pStyle w:val="OutlineA"/>
        <w:numPr>
          <w:ilvl w:val="0"/>
          <w:numId w:val="34"/>
        </w:numPr>
      </w:pPr>
      <w:r>
        <w:t>Income Tax Effect</w:t>
      </w:r>
    </w:p>
    <w:p w:rsidR="0052316B" w:rsidRDefault="0052316B" w:rsidP="005120CF">
      <w:pPr>
        <w:pStyle w:val="OutlineA"/>
      </w:pPr>
      <w:r>
        <w:t>Managerial Incentives and Evaluation</w:t>
      </w:r>
    </w:p>
    <w:p w:rsidR="0052316B" w:rsidRPr="0052316B" w:rsidRDefault="0052316B" w:rsidP="005120CF">
      <w:pPr>
        <w:pStyle w:val="OutlineA"/>
      </w:pPr>
      <w:r>
        <w:t>Effect on Joint-Venture Partners</w:t>
      </w:r>
    </w:p>
    <w:p w:rsidR="0052316B" w:rsidRDefault="0052316B" w:rsidP="005120CF">
      <w:pPr>
        <w:pStyle w:val="OutlineI"/>
      </w:pPr>
      <w:r>
        <w:t>Tax Management at Trident</w:t>
      </w:r>
    </w:p>
    <w:p w:rsidR="0052316B" w:rsidRPr="0052316B" w:rsidRDefault="0052316B" w:rsidP="005120CF">
      <w:pPr>
        <w:pStyle w:val="OutlineI"/>
      </w:pPr>
      <w:r>
        <w:t>Tax-Haven Subsidiaries and International Offshore Financial Centers</w:t>
      </w:r>
    </w:p>
    <w:p w:rsidR="00C40D8C" w:rsidRDefault="008D30A2" w:rsidP="005120CF">
      <w:pPr>
        <w:pStyle w:val="awTB01questionHead"/>
        <w:numPr>
          <w:ilvl w:val="0"/>
          <w:numId w:val="0"/>
        </w:numPr>
        <w:spacing w:before="480"/>
      </w:pPr>
      <w:r>
        <w:rPr>
          <w:szCs w:val="28"/>
        </w:rPr>
        <w:lastRenderedPageBreak/>
        <w:sym w:font="Wingdings" w:char="F06E"/>
      </w:r>
      <w:r>
        <w:rPr>
          <w:rFonts w:cs="Helvetica"/>
        </w:rPr>
        <w:t> </w:t>
      </w:r>
      <w:r>
        <w:t>Questions</w:t>
      </w:r>
    </w:p>
    <w:p w:rsidR="00C40D8C" w:rsidRDefault="008D30A2">
      <w:pPr>
        <w:pStyle w:val="MCQList1"/>
        <w:spacing w:before="0"/>
        <w:ind w:left="446" w:hanging="446"/>
      </w:pPr>
      <w:r>
        <w:tab/>
        <w:t>1.</w:t>
      </w:r>
      <w:r>
        <w:tab/>
      </w:r>
      <w:r>
        <w:rPr>
          <w:b/>
        </w:rPr>
        <w:t>Tax Morality</w:t>
      </w:r>
    </w:p>
    <w:p w:rsidR="00C40D8C" w:rsidRDefault="008D30A2" w:rsidP="005120CF">
      <w:pPr>
        <w:pStyle w:val="MCQList2"/>
        <w:keepNext/>
        <w:rPr>
          <w:bCs/>
        </w:rPr>
      </w:pPr>
      <w:r>
        <w:t>a.</w:t>
      </w:r>
      <w:r>
        <w:tab/>
      </w:r>
      <w:r>
        <w:rPr>
          <w:bCs/>
          <w:iCs/>
        </w:rPr>
        <w:t xml:space="preserve">What is meant by the term </w:t>
      </w:r>
      <w:r>
        <w:rPr>
          <w:bCs/>
        </w:rPr>
        <w:t>“</w:t>
      </w:r>
      <w:r>
        <w:rPr>
          <w:bCs/>
          <w:iCs/>
        </w:rPr>
        <w:t>tax morality</w:t>
      </w:r>
      <w:r>
        <w:rPr>
          <w:bCs/>
          <w:spacing w:val="20"/>
        </w:rPr>
        <w:t>?</w:t>
      </w:r>
      <w:r>
        <w:rPr>
          <w:bCs/>
        </w:rPr>
        <w:t xml:space="preserve">” </w:t>
      </w:r>
    </w:p>
    <w:p w:rsidR="00C40D8C" w:rsidRDefault="008D30A2" w:rsidP="005120CF">
      <w:pPr>
        <w:pStyle w:val="MCQAnswerBL"/>
      </w:pPr>
      <w:r>
        <w:tab/>
        <w:t xml:space="preserve">Morality is defined by the </w:t>
      </w:r>
      <w:r>
        <w:rPr>
          <w:i/>
          <w:iCs/>
        </w:rPr>
        <w:t>Random House Dictionary</w:t>
      </w:r>
      <w:r>
        <w:t xml:space="preserve"> (2011) as “conformity to the rules of right conduct.” “Tax morality” can thus be defined as conformity to the tax rules. The multinational enterprise (MNE) faces not only a morass of foreign taxes but also an ethical or moral question. In </w:t>
      </w:r>
      <w:r w:rsidRPr="005120CF">
        <w:t>many</w:t>
      </w:r>
      <w:r>
        <w:t xml:space="preserve"> countries, taxpayers do not voluntarily comply with the tax laws. Smaller domestic firms and individuals are the chief violators. The MNE must decide whether to follow a practice of full disclosure to tax authorities or adopt the philosophy, “When in Rome, do as the Romans do.” Given the local prominence of most foreign subsidiaries and the political sensitivity of their position, most MNEs follow the full-disclosure practice. Some firms, however, believe that their competitive position would be eroded if they did not avoid taxes to the same extent as their domestic competitors. There is obviously no prescriptive answer to the problem</w:t>
      </w:r>
      <w:r w:rsidR="00696806">
        <w:t xml:space="preserve"> because</w:t>
      </w:r>
      <w:r>
        <w:t xml:space="preserve"> business ethics are partly a function of cultural heritage and historical development.</w:t>
      </w:r>
    </w:p>
    <w:p w:rsidR="00C40D8C" w:rsidRDefault="008D30A2">
      <w:pPr>
        <w:pStyle w:val="MCQList2"/>
      </w:pPr>
      <w:r>
        <w:t>b.</w:t>
      </w:r>
      <w:r>
        <w:tab/>
      </w:r>
      <w:r>
        <w:rPr>
          <w:bCs/>
          <w:iCs/>
        </w:rPr>
        <w:t xml:space="preserve">Your company has a subsidiary in Russia, where tax evasion is a fine art. Discuss whether you </w:t>
      </w:r>
      <w:r>
        <w:rPr>
          <w:bCs/>
          <w:iCs/>
          <w:spacing w:val="-2"/>
        </w:rPr>
        <w:t>should comply fully with Russian tax laws or should violate the laws as do your local competitors</w:t>
      </w:r>
      <w:r>
        <w:rPr>
          <w:bCs/>
          <w:spacing w:val="-2"/>
        </w:rPr>
        <w:t>.</w:t>
      </w:r>
    </w:p>
    <w:p w:rsidR="00C40D8C" w:rsidRDefault="008D30A2" w:rsidP="005120CF">
      <w:pPr>
        <w:pStyle w:val="MCQAnswerBL"/>
      </w:pPr>
      <w:r>
        <w:tab/>
        <w:t xml:space="preserve">There is not just one “correct” answer. The firm must decide if full disclosure is in the firm’s best interest or if they will be at a competitive disadvantage unless they avoid taxes to the same extent as their Russian competitors. </w:t>
      </w:r>
    </w:p>
    <w:p w:rsidR="00C40D8C" w:rsidRDefault="008D30A2">
      <w:pPr>
        <w:pStyle w:val="MCQList1"/>
      </w:pPr>
      <w:r>
        <w:tab/>
        <w:t>2.</w:t>
      </w:r>
      <w:r>
        <w:tab/>
      </w:r>
      <w:r>
        <w:rPr>
          <w:b/>
        </w:rPr>
        <w:t>Tax Neutrality</w:t>
      </w:r>
    </w:p>
    <w:p w:rsidR="00C40D8C" w:rsidRDefault="008D30A2">
      <w:pPr>
        <w:pStyle w:val="MCQList2"/>
        <w:rPr>
          <w:b/>
        </w:rPr>
      </w:pPr>
      <w:r>
        <w:t>a.</w:t>
      </w:r>
      <w:r>
        <w:tab/>
      </w:r>
      <w:r>
        <w:rPr>
          <w:bCs/>
          <w:iCs/>
        </w:rPr>
        <w:t xml:space="preserve">Define the term </w:t>
      </w:r>
      <w:r>
        <w:rPr>
          <w:bCs/>
        </w:rPr>
        <w:t>“</w:t>
      </w:r>
      <w:r>
        <w:rPr>
          <w:bCs/>
          <w:iCs/>
        </w:rPr>
        <w:t>tax neutrality.</w:t>
      </w:r>
      <w:r>
        <w:rPr>
          <w:bCs/>
        </w:rPr>
        <w:t>”</w:t>
      </w:r>
      <w:r>
        <w:rPr>
          <w:b/>
        </w:rPr>
        <w:t xml:space="preserve"> </w:t>
      </w:r>
    </w:p>
    <w:p w:rsidR="00C40D8C" w:rsidRDefault="008D30A2" w:rsidP="005120CF">
      <w:pPr>
        <w:pStyle w:val="MCQAnswerBL"/>
      </w:pPr>
      <w:r>
        <w:rPr>
          <w:b/>
        </w:rPr>
        <w:tab/>
      </w:r>
      <w:r>
        <w:t xml:space="preserve">When a government decides to levy a tax, it must consider not only the potential revenue from the tax, or how efficiently it can be collected, but also the </w:t>
      </w:r>
      <w:r>
        <w:rPr>
          <w:spacing w:val="-4"/>
        </w:rPr>
        <w:t xml:space="preserve">effect the proposed tax can have on private economic behavior. </w:t>
      </w:r>
      <w:r>
        <w:rPr>
          <w:i/>
          <w:spacing w:val="-4"/>
        </w:rPr>
        <w:t>Tax neutrality</w:t>
      </w:r>
      <w:r>
        <w:rPr>
          <w:spacing w:val="-4"/>
        </w:rPr>
        <w:t xml:space="preserve"> implies that the tax does not affect how a firm does business. For example, the U.S. government’s</w:t>
      </w:r>
      <w:r>
        <w:t xml:space="preserve"> policy on taxation of foreign-source income does not have as a single objective the raising of revenue. </w:t>
      </w:r>
    </w:p>
    <w:p w:rsidR="00C40D8C" w:rsidRDefault="008D30A2">
      <w:pPr>
        <w:pStyle w:val="MCQList2"/>
        <w:rPr>
          <w:b/>
        </w:rPr>
      </w:pPr>
      <w:r>
        <w:t>b.</w:t>
      </w:r>
      <w:r>
        <w:tab/>
      </w:r>
      <w:r>
        <w:rPr>
          <w:bCs/>
          <w:iCs/>
        </w:rPr>
        <w:t xml:space="preserve">What is the difference between </w:t>
      </w:r>
      <w:r w:rsidRPr="00696806">
        <w:rPr>
          <w:bCs/>
          <w:iCs/>
        </w:rPr>
        <w:t>domestic neutrality</w:t>
      </w:r>
      <w:r>
        <w:rPr>
          <w:bCs/>
          <w:iCs/>
        </w:rPr>
        <w:t xml:space="preserve"> and </w:t>
      </w:r>
      <w:r w:rsidRPr="00696806">
        <w:rPr>
          <w:bCs/>
          <w:iCs/>
        </w:rPr>
        <w:t>foreign neutrality</w:t>
      </w:r>
      <w:r>
        <w:rPr>
          <w:bCs/>
        </w:rPr>
        <w:t>?</w:t>
      </w:r>
      <w:r>
        <w:rPr>
          <w:b/>
        </w:rPr>
        <w:t xml:space="preserve"> </w:t>
      </w:r>
    </w:p>
    <w:p w:rsidR="00C40D8C" w:rsidRDefault="008D30A2" w:rsidP="005120CF">
      <w:pPr>
        <w:pStyle w:val="MCQAnswerBL"/>
      </w:pPr>
      <w:r>
        <w:rPr>
          <w:b/>
        </w:rPr>
        <w:tab/>
      </w:r>
      <w:r>
        <w:t xml:space="preserve">One way to view neutrality is to require that the burden of taxation on each dollar, euro, pound, or yen of profit earned in home country operations by an MNE be equal to the burden of taxation on each currency equivalent of profit earned by the same firm in its foreign operations. This is called </w:t>
      </w:r>
      <w:r>
        <w:rPr>
          <w:i/>
        </w:rPr>
        <w:t>domestic neutrality</w:t>
      </w:r>
      <w:r>
        <w:t xml:space="preserve">. A second way to view neutrality is to require that the tax burden on each foreign subsidiary of the firm be equal to the tax burden on its competitors in the same country. This is called </w:t>
      </w:r>
      <w:r>
        <w:rPr>
          <w:i/>
        </w:rPr>
        <w:t>foreign neutrality</w:t>
      </w:r>
      <w:r>
        <w:t xml:space="preserve">. The latter policy </w:t>
      </w:r>
      <w:proofErr w:type="gramStart"/>
      <w:r>
        <w:t>is often supported</w:t>
      </w:r>
      <w:proofErr w:type="gramEnd"/>
      <w:r>
        <w:t xml:space="preserve"> by MNEs because it focuses more on the competitiveness of the individual firm in individual country markets.</w:t>
      </w:r>
    </w:p>
    <w:p w:rsidR="00C40D8C" w:rsidRDefault="008D30A2">
      <w:pPr>
        <w:pStyle w:val="MCQList2"/>
        <w:rPr>
          <w:iCs/>
        </w:rPr>
      </w:pPr>
      <w:r>
        <w:t>c.</w:t>
      </w:r>
      <w:r>
        <w:tab/>
        <w:t>What are a country’s objectives when determining tax policy on foreign source income?</w:t>
      </w:r>
    </w:p>
    <w:p w:rsidR="00C40D8C" w:rsidRDefault="008D30A2" w:rsidP="005120CF">
      <w:pPr>
        <w:pStyle w:val="MCQAnswerBL"/>
      </w:pPr>
      <w:r>
        <w:rPr>
          <w:bCs/>
          <w:i/>
          <w:iCs/>
        </w:rPr>
        <w:tab/>
      </w:r>
      <w:r>
        <w:t xml:space="preserve">The ideal tax should not only raise revenue efficiently but also have as few negative effects on economic behavior as possible. Some theorists argue that the ideal tax should be completely </w:t>
      </w:r>
      <w:r>
        <w:rPr>
          <w:i/>
        </w:rPr>
        <w:t>neutral</w:t>
      </w:r>
      <w:r>
        <w:t xml:space="preserve"> in its effect on private decisions and completely </w:t>
      </w:r>
      <w:r>
        <w:rPr>
          <w:i/>
        </w:rPr>
        <w:t>equitable</w:t>
      </w:r>
      <w:r>
        <w:t xml:space="preserve"> among taxpayers. However, other theorists claim that national policy objectives such as balance of payments or investment in developing countries should be encouraged through an active </w:t>
      </w:r>
      <w:r>
        <w:rPr>
          <w:i/>
        </w:rPr>
        <w:t>tax incentive policy</w:t>
      </w:r>
      <w:r>
        <w:t>. Most tax systems compromise between these two viewpoints.</w:t>
      </w:r>
    </w:p>
    <w:p w:rsidR="00C40D8C" w:rsidRDefault="008D30A2">
      <w:pPr>
        <w:pStyle w:val="MCQList1"/>
        <w:rPr>
          <w:b/>
        </w:rPr>
      </w:pPr>
      <w:r>
        <w:tab/>
      </w:r>
      <w:proofErr w:type="gramStart"/>
      <w:r>
        <w:t>3.</w:t>
      </w:r>
      <w:r>
        <w:rPr>
          <w:bCs/>
        </w:rPr>
        <w:tab/>
      </w:r>
      <w:r>
        <w:rPr>
          <w:b/>
        </w:rPr>
        <w:t>Worldwide versus Territorial Approach.</w:t>
      </w:r>
      <w:proofErr w:type="gramEnd"/>
      <w:r>
        <w:rPr>
          <w:bCs/>
        </w:rPr>
        <w:t xml:space="preserve"> </w:t>
      </w:r>
      <w:r>
        <w:t xml:space="preserve">Nations typically structure their tax systems along one of two basic approaches: the </w:t>
      </w:r>
      <w:r w:rsidRPr="00696806">
        <w:t>worldwide approach</w:t>
      </w:r>
      <w:r>
        <w:t xml:space="preserve"> or the </w:t>
      </w:r>
      <w:r w:rsidRPr="00696806">
        <w:t>territorial approach</w:t>
      </w:r>
      <w:r>
        <w:t xml:space="preserve">. Explain </w:t>
      </w:r>
      <w:proofErr w:type="gramStart"/>
      <w:r>
        <w:t>these two approaches and how they differ from each other</w:t>
      </w:r>
      <w:proofErr w:type="gramEnd"/>
      <w:r>
        <w:t>.</w:t>
      </w:r>
    </w:p>
    <w:p w:rsidR="00C40D8C" w:rsidRDefault="008D30A2" w:rsidP="005120CF">
      <w:pPr>
        <w:pStyle w:val="MCQAnswer"/>
        <w:keepLines w:val="0"/>
        <w:ind w:firstLine="0"/>
      </w:pPr>
      <w:r>
        <w:t xml:space="preserve">The </w:t>
      </w:r>
      <w:r>
        <w:rPr>
          <w:i/>
        </w:rPr>
        <w:t>worldwide approach</w:t>
      </w:r>
      <w:r>
        <w:t xml:space="preserve">, also referred to as the </w:t>
      </w:r>
      <w:r>
        <w:rPr>
          <w:i/>
        </w:rPr>
        <w:t>residential</w:t>
      </w:r>
      <w:r>
        <w:t xml:space="preserve"> or </w:t>
      </w:r>
      <w:r>
        <w:rPr>
          <w:i/>
        </w:rPr>
        <w:t>national approach</w:t>
      </w:r>
      <w:r>
        <w:t xml:space="preserve">, levies taxes on the income earned by firms that are incorporated in the host country, regardless of where the income was earned (domestically or abroad). An MNE earning income both at home and abroad would therefore find its worldwide income taxed by its home country tax authorities. For example, a country like the United States taxes the income earned by firms based in the United States regardless of whether the income earned by the firm is domestic or </w:t>
      </w:r>
      <w:r>
        <w:lastRenderedPageBreak/>
        <w:t>foreign in origin. In the case of the United States, ordinary foreign-sourced income is taxed only as remitted to the parent firm. As with all questions of tax, however, numerous conditions and exceptions exist. The primary problem is that this approach does not address the income earned by foreign firms operating within the United States. Countries like the United States then apply the principle of territorial taxation to foreign firms within their legal jurisdiction, taxing all income earned by foreign firms in their borders as well.</w:t>
      </w:r>
    </w:p>
    <w:p w:rsidR="00C40D8C" w:rsidRDefault="008D30A2" w:rsidP="005120CF">
      <w:pPr>
        <w:pStyle w:val="MCQAnswer"/>
      </w:pPr>
      <w:r>
        <w:t xml:space="preserve">The </w:t>
      </w:r>
      <w:r>
        <w:rPr>
          <w:i/>
        </w:rPr>
        <w:t>territorial approach</w:t>
      </w:r>
      <w:r>
        <w:t xml:space="preserve">, also termed the </w:t>
      </w:r>
      <w:r>
        <w:rPr>
          <w:i/>
        </w:rPr>
        <w:t>source approach</w:t>
      </w:r>
      <w:r>
        <w:t xml:space="preserve">, focuses on the income earned by firms within the legal jurisdiction of the host country, not on the country of firm incorporation. Countries like Germany that follow the territorial approach apply taxes equally to foreign or domestic firms on income earned within the country, but in principle not on income earned outside the country. The territorial approach, like the worldwide approach, results in a major gap in coverage if resident firms earn income outside the country but </w:t>
      </w:r>
      <w:proofErr w:type="gramStart"/>
      <w:r>
        <w:t>are not taxed</w:t>
      </w:r>
      <w:proofErr w:type="gramEnd"/>
      <w:r>
        <w:t xml:space="preserve"> by the country in which the profits are earned. In this case, tax authorities extend tax coverage to income earned abroad if it </w:t>
      </w:r>
      <w:proofErr w:type="gramStart"/>
      <w:r>
        <w:t>is not currently covered</w:t>
      </w:r>
      <w:proofErr w:type="gramEnd"/>
      <w:r>
        <w:t xml:space="preserve"> by foreign tax jurisdictions. Once again, a mix of the two tax approaches is necessary for full coverage of income.</w:t>
      </w:r>
    </w:p>
    <w:p w:rsidR="00C40D8C" w:rsidRDefault="008D30A2">
      <w:pPr>
        <w:pStyle w:val="MCQList1"/>
      </w:pPr>
      <w:r>
        <w:tab/>
      </w:r>
      <w:proofErr w:type="gramStart"/>
      <w:r>
        <w:t>4.</w:t>
      </w:r>
      <w:r>
        <w:tab/>
      </w:r>
      <w:r>
        <w:rPr>
          <w:b/>
        </w:rPr>
        <w:t>Tax Deferral</w:t>
      </w:r>
      <w:r w:rsidR="00696806">
        <w:rPr>
          <w:b/>
        </w:rPr>
        <w:t>.</w:t>
      </w:r>
      <w:proofErr w:type="gramEnd"/>
      <w:r w:rsidR="00696806">
        <w:rPr>
          <w:b/>
        </w:rPr>
        <w:t xml:space="preserve"> </w:t>
      </w:r>
      <w:r w:rsidR="00696806" w:rsidRPr="00696806">
        <w:t>Answer the following questions.</w:t>
      </w:r>
    </w:p>
    <w:p w:rsidR="00C40D8C" w:rsidRDefault="008D30A2">
      <w:pPr>
        <w:pStyle w:val="MCQList2"/>
        <w:rPr>
          <w:bCs/>
          <w:i/>
          <w:iCs/>
        </w:rPr>
      </w:pPr>
      <w:r>
        <w:t>a.</w:t>
      </w:r>
      <w:r>
        <w:tab/>
      </w:r>
      <w:r>
        <w:rPr>
          <w:bCs/>
          <w:iCs/>
        </w:rPr>
        <w:t xml:space="preserve">What </w:t>
      </w:r>
      <w:proofErr w:type="gramStart"/>
      <w:r>
        <w:rPr>
          <w:bCs/>
          <w:iCs/>
        </w:rPr>
        <w:t>is meant</w:t>
      </w:r>
      <w:proofErr w:type="gramEnd"/>
      <w:r>
        <w:rPr>
          <w:bCs/>
          <w:iCs/>
        </w:rPr>
        <w:t xml:space="preserve"> by the term </w:t>
      </w:r>
      <w:r>
        <w:rPr>
          <w:bCs/>
        </w:rPr>
        <w:t>“</w:t>
      </w:r>
      <w:r>
        <w:rPr>
          <w:bCs/>
          <w:iCs/>
        </w:rPr>
        <w:t>tax deferra</w:t>
      </w:r>
      <w:r>
        <w:rPr>
          <w:bCs/>
          <w:iCs/>
          <w:spacing w:val="20"/>
        </w:rPr>
        <w:t>l</w:t>
      </w:r>
      <w:r>
        <w:rPr>
          <w:bCs/>
          <w:spacing w:val="20"/>
        </w:rPr>
        <w:t>?</w:t>
      </w:r>
      <w:r>
        <w:rPr>
          <w:bCs/>
        </w:rPr>
        <w:t>”</w:t>
      </w:r>
      <w:r>
        <w:rPr>
          <w:bCs/>
          <w:iCs/>
        </w:rPr>
        <w:t xml:space="preserve"> </w:t>
      </w:r>
    </w:p>
    <w:p w:rsidR="00C40D8C" w:rsidRDefault="008D30A2" w:rsidP="005120CF">
      <w:pPr>
        <w:pStyle w:val="MCQAnswerBL"/>
        <w:rPr>
          <w:spacing w:val="-4"/>
        </w:rPr>
      </w:pPr>
      <w:r>
        <w:rPr>
          <w:bCs/>
          <w:i/>
          <w:iCs/>
        </w:rPr>
        <w:tab/>
      </w:r>
      <w:r>
        <w:t xml:space="preserve">If the worldwide approach to international taxation were followed to the letter, it would end the </w:t>
      </w:r>
      <w:r>
        <w:rPr>
          <w:i/>
        </w:rPr>
        <w:t>tax-deferral</w:t>
      </w:r>
      <w:r>
        <w:t xml:space="preserve"> privilege for many MNEs. Foreign subsidiaries of MNEs pay host country corporate income taxes, but many parent countries defer </w:t>
      </w:r>
      <w:r>
        <w:rPr>
          <w:spacing w:val="-4"/>
        </w:rPr>
        <w:t xml:space="preserve">claiming additional income taxes on that foreign-source income </w:t>
      </w:r>
      <w:r>
        <w:rPr>
          <w:i/>
          <w:spacing w:val="-4"/>
        </w:rPr>
        <w:t xml:space="preserve">until it </w:t>
      </w:r>
      <w:proofErr w:type="gramStart"/>
      <w:r>
        <w:rPr>
          <w:i/>
          <w:spacing w:val="-4"/>
        </w:rPr>
        <w:t>is remitted</w:t>
      </w:r>
      <w:proofErr w:type="gramEnd"/>
      <w:r>
        <w:rPr>
          <w:i/>
          <w:spacing w:val="-4"/>
        </w:rPr>
        <w:t xml:space="preserve"> to the parent firm</w:t>
      </w:r>
      <w:r>
        <w:rPr>
          <w:spacing w:val="-4"/>
        </w:rPr>
        <w:t>.</w:t>
      </w:r>
    </w:p>
    <w:p w:rsidR="00C40D8C" w:rsidRDefault="008D30A2">
      <w:pPr>
        <w:pStyle w:val="MCQList2"/>
        <w:rPr>
          <w:bCs/>
        </w:rPr>
      </w:pPr>
      <w:r>
        <w:t>b.</w:t>
      </w:r>
      <w:r>
        <w:tab/>
      </w:r>
      <w:r>
        <w:rPr>
          <w:bCs/>
          <w:iCs/>
        </w:rPr>
        <w:t>Why do countries allow tax deferral on foreign-source income</w:t>
      </w:r>
      <w:r>
        <w:rPr>
          <w:bCs/>
        </w:rPr>
        <w:t xml:space="preserve">? </w:t>
      </w:r>
    </w:p>
    <w:p w:rsidR="00C40D8C" w:rsidRDefault="008D30A2" w:rsidP="005120CF">
      <w:pPr>
        <w:pStyle w:val="MCQAnswerBL"/>
      </w:pPr>
      <w:r>
        <w:rPr>
          <w:bCs/>
        </w:rPr>
        <w:tab/>
        <w:t xml:space="preserve">As an </w:t>
      </w:r>
      <w:r>
        <w:t>example, U.S. corporate income taxes on some types of foreign-source income of U.S.-owned subsidiaries incorporated abroad are deferred until the earnings are remitted to the U.S. parent. The idea is that since the income has not come back to the United States, it should not be taxed. However, the ability to defer corporate income taxes is highly restricted and has been the subject of many tax law changes in the past three decades.</w:t>
      </w:r>
    </w:p>
    <w:p w:rsidR="00C40D8C" w:rsidRDefault="008D30A2">
      <w:pPr>
        <w:pStyle w:val="MCQList1"/>
        <w:spacing w:before="0"/>
        <w:ind w:left="446" w:hanging="446"/>
        <w:rPr>
          <w:b/>
          <w:bCs/>
        </w:rPr>
      </w:pPr>
      <w:r>
        <w:tab/>
      </w:r>
      <w:proofErr w:type="gramStart"/>
      <w:r>
        <w:t>5.</w:t>
      </w:r>
      <w:r>
        <w:tab/>
      </w:r>
      <w:r>
        <w:rPr>
          <w:b/>
          <w:bCs/>
        </w:rPr>
        <w:t>Tax Treaties</w:t>
      </w:r>
      <w:r w:rsidR="00696806">
        <w:rPr>
          <w:b/>
          <w:bCs/>
        </w:rPr>
        <w:t>.</w:t>
      </w:r>
      <w:proofErr w:type="gramEnd"/>
      <w:r w:rsidR="00696806">
        <w:rPr>
          <w:b/>
          <w:bCs/>
        </w:rPr>
        <w:t xml:space="preserve"> </w:t>
      </w:r>
      <w:r w:rsidR="00696806" w:rsidRPr="00696806">
        <w:rPr>
          <w:bCs/>
        </w:rPr>
        <w:t>Answer the following questions.</w:t>
      </w:r>
    </w:p>
    <w:p w:rsidR="00C40D8C" w:rsidRDefault="008D30A2">
      <w:pPr>
        <w:pStyle w:val="MCQList2"/>
        <w:rPr>
          <w:bCs/>
        </w:rPr>
      </w:pPr>
      <w:r>
        <w:t>a.</w:t>
      </w:r>
      <w:r>
        <w:tab/>
      </w:r>
      <w:r>
        <w:rPr>
          <w:bCs/>
          <w:iCs/>
        </w:rPr>
        <w:t>What is a bilateral tax treaty</w:t>
      </w:r>
      <w:r>
        <w:rPr>
          <w:bCs/>
        </w:rPr>
        <w:t xml:space="preserve">? </w:t>
      </w:r>
    </w:p>
    <w:p w:rsidR="00C40D8C" w:rsidRDefault="008D30A2" w:rsidP="005120CF">
      <w:pPr>
        <w:pStyle w:val="MCQAnswerBL"/>
      </w:pPr>
      <w:r>
        <w:rPr>
          <w:bCs/>
        </w:rPr>
        <w:tab/>
        <w:t xml:space="preserve">A bilateral tax treaty is an agreement by two countries that addresses the issue of double taxation. </w:t>
      </w:r>
      <w:r>
        <w:t>A network of bilateral tax treaties, many of which are modeled after one proposed by the Organization for Economic Cooperation and Development (OECD), provides a means of reducing double taxation.</w:t>
      </w:r>
    </w:p>
    <w:p w:rsidR="00C40D8C" w:rsidRDefault="008D30A2">
      <w:pPr>
        <w:pStyle w:val="MCQList2"/>
        <w:rPr>
          <w:bCs/>
        </w:rPr>
      </w:pPr>
      <w:r>
        <w:t>b.</w:t>
      </w:r>
      <w:r>
        <w:tab/>
      </w:r>
      <w:r>
        <w:rPr>
          <w:bCs/>
          <w:iCs/>
        </w:rPr>
        <w:t>What is the purpose of a bilateral tax treaty</w:t>
      </w:r>
      <w:r>
        <w:rPr>
          <w:bCs/>
        </w:rPr>
        <w:t xml:space="preserve">? </w:t>
      </w:r>
    </w:p>
    <w:p w:rsidR="00C40D8C" w:rsidRDefault="008D30A2" w:rsidP="005120CF">
      <w:pPr>
        <w:pStyle w:val="MCQAnswerBL"/>
      </w:pPr>
      <w:r>
        <w:rPr>
          <w:bCs/>
        </w:rPr>
        <w:tab/>
      </w:r>
      <w:r>
        <w:t xml:space="preserve">Tax treaties normally define whether taxes are to be imposed on income earned in one country by the nationals of another, and if so, how. Tax treaties are bilateral, with the two signatories specifying what rates are applicable to which types of income between </w:t>
      </w:r>
      <w:proofErr w:type="gramStart"/>
      <w:r>
        <w:t>themselves</w:t>
      </w:r>
      <w:proofErr w:type="gramEnd"/>
      <w:r>
        <w:t xml:space="preserve"> alone. </w:t>
      </w:r>
    </w:p>
    <w:p w:rsidR="00C40D8C" w:rsidRDefault="008D30A2">
      <w:pPr>
        <w:pStyle w:val="MCQList2"/>
        <w:rPr>
          <w:bCs/>
        </w:rPr>
      </w:pPr>
      <w:r>
        <w:t>c.</w:t>
      </w:r>
      <w:r>
        <w:tab/>
      </w:r>
      <w:r>
        <w:rPr>
          <w:bCs/>
          <w:iCs/>
        </w:rPr>
        <w:t>What policies do most tax treaties cover</w:t>
      </w:r>
      <w:r>
        <w:rPr>
          <w:bCs/>
        </w:rPr>
        <w:t xml:space="preserve">? </w:t>
      </w:r>
    </w:p>
    <w:p w:rsidR="00C40D8C" w:rsidRDefault="008D30A2" w:rsidP="005120CF">
      <w:pPr>
        <w:pStyle w:val="MCQAnswerBL"/>
      </w:pPr>
      <w:r>
        <w:rPr>
          <w:bCs/>
        </w:rPr>
        <w:tab/>
      </w:r>
      <w:r>
        <w:t xml:space="preserve">Tax treaties define what </w:t>
      </w:r>
      <w:proofErr w:type="gramStart"/>
      <w:r>
        <w:t>is a “permanent establishment”</w:t>
      </w:r>
      <w:proofErr w:type="gramEnd"/>
      <w:r>
        <w:t xml:space="preserve"> and what constitutes a limited presence for tax purposes. Tax treaties typically result in reduced withholding tax rates between the two signatory countries, the negotiation of the treaty itself serving as a forum for opening and expanding business relationships between the two countries. </w:t>
      </w:r>
    </w:p>
    <w:p w:rsidR="00C40D8C" w:rsidRDefault="008D30A2">
      <w:pPr>
        <w:pStyle w:val="MCQList1"/>
        <w:rPr>
          <w:b/>
        </w:rPr>
      </w:pPr>
      <w:r>
        <w:tab/>
      </w:r>
      <w:proofErr w:type="gramStart"/>
      <w:r>
        <w:t>6.</w:t>
      </w:r>
      <w:r>
        <w:tab/>
      </w:r>
      <w:r>
        <w:rPr>
          <w:b/>
        </w:rPr>
        <w:t>Tax Types.</w:t>
      </w:r>
      <w:proofErr w:type="gramEnd"/>
      <w:r>
        <w:rPr>
          <w:b/>
        </w:rPr>
        <w:t xml:space="preserve"> </w:t>
      </w:r>
      <w:r>
        <w:t xml:space="preserve">Taxes are classified </w:t>
      </w:r>
      <w:proofErr w:type="gramStart"/>
      <w:r>
        <w:t>on the basis of</w:t>
      </w:r>
      <w:proofErr w:type="gramEnd"/>
      <w:r>
        <w:t xml:space="preserve"> whether they are applied directly to income, called </w:t>
      </w:r>
      <w:r w:rsidRPr="00696806">
        <w:t>direct</w:t>
      </w:r>
      <w:r>
        <w:t xml:space="preserve"> taxes, or to some other measurable performance characteristic of the firm, called </w:t>
      </w:r>
      <w:r w:rsidRPr="00696806">
        <w:t>indirect</w:t>
      </w:r>
      <w:r>
        <w:t xml:space="preserve"> taxes. Identify each of the following as a “direct tax,” an “indirect tax,” or something else</w:t>
      </w:r>
      <w:r w:rsidR="00696806">
        <w:t>:</w:t>
      </w:r>
    </w:p>
    <w:p w:rsidR="00C40D8C" w:rsidRDefault="008D30A2">
      <w:pPr>
        <w:pStyle w:val="MCQList2"/>
      </w:pPr>
      <w:r>
        <w:t>a.</w:t>
      </w:r>
      <w:r>
        <w:tab/>
        <w:t>Corporate income tax paid by a Japanese subsidiary on its operating income</w:t>
      </w:r>
    </w:p>
    <w:p w:rsidR="00C40D8C" w:rsidRDefault="008D30A2" w:rsidP="005120CF">
      <w:pPr>
        <w:pStyle w:val="MCQAnswerBL"/>
      </w:pPr>
      <w:r>
        <w:sym w:font="Symbol" w:char="F0B7"/>
      </w:r>
      <w:r>
        <w:tab/>
        <w:t>Direct tax</w:t>
      </w:r>
    </w:p>
    <w:p w:rsidR="00C40D8C" w:rsidRDefault="008D30A2" w:rsidP="00696806">
      <w:pPr>
        <w:pStyle w:val="MCQList2"/>
        <w:keepNext/>
      </w:pPr>
      <w:r>
        <w:lastRenderedPageBreak/>
        <w:t>b.</w:t>
      </w:r>
      <w:r>
        <w:tab/>
        <w:t>Royalties paid to Saudi Arabia for oil extracted and shipped to world markets</w:t>
      </w:r>
    </w:p>
    <w:p w:rsidR="00C40D8C" w:rsidRDefault="008D30A2" w:rsidP="005120CF">
      <w:pPr>
        <w:pStyle w:val="MCQAnswerBL"/>
      </w:pPr>
      <w:r>
        <w:sym w:font="Symbol" w:char="F0B7"/>
      </w:r>
      <w:r>
        <w:tab/>
        <w:t>Royalties are technically not a tax but are much like a direct tax</w:t>
      </w:r>
      <w:r w:rsidR="00696806">
        <w:t>.</w:t>
      </w:r>
    </w:p>
    <w:p w:rsidR="00C40D8C" w:rsidRDefault="008D30A2">
      <w:pPr>
        <w:pStyle w:val="MCQList2"/>
      </w:pPr>
      <w:r>
        <w:t>c.</w:t>
      </w:r>
      <w:r>
        <w:tab/>
        <w:t xml:space="preserve">Interest received by a U.S. parent on bank deposits held in London </w:t>
      </w:r>
    </w:p>
    <w:p w:rsidR="00C40D8C" w:rsidRDefault="008D30A2" w:rsidP="005120CF">
      <w:pPr>
        <w:pStyle w:val="MCQAnswerBL"/>
      </w:pPr>
      <w:r>
        <w:sym w:font="Symbol" w:char="F0B7"/>
      </w:r>
      <w:r>
        <w:tab/>
        <w:t>Interest received is not a tax, but any tax on such interest would be a direct tax</w:t>
      </w:r>
      <w:r w:rsidR="00696806">
        <w:t>.</w:t>
      </w:r>
    </w:p>
    <w:p w:rsidR="00C40D8C" w:rsidRDefault="008D30A2">
      <w:pPr>
        <w:pStyle w:val="MCQList2"/>
      </w:pPr>
      <w:r>
        <w:t>d.</w:t>
      </w:r>
      <w:r>
        <w:tab/>
        <w:t xml:space="preserve">Interest received </w:t>
      </w:r>
      <w:proofErr w:type="gramStart"/>
      <w:r>
        <w:t>by a U.S. parent on a loan to a subsidiary in Mexico</w:t>
      </w:r>
      <w:proofErr w:type="gramEnd"/>
    </w:p>
    <w:p w:rsidR="00C40D8C" w:rsidRDefault="008D30A2" w:rsidP="005120CF">
      <w:pPr>
        <w:pStyle w:val="MCQAnswerBL"/>
      </w:pPr>
      <w:r>
        <w:sym w:font="Symbol" w:char="F0B7"/>
      </w:r>
      <w:r>
        <w:tab/>
        <w:t>Interest received is not a tax, but any tax on such interest would be a direct tax</w:t>
      </w:r>
      <w:r w:rsidR="00696806">
        <w:t>.</w:t>
      </w:r>
    </w:p>
    <w:p w:rsidR="00C40D8C" w:rsidRDefault="008D30A2">
      <w:pPr>
        <w:pStyle w:val="MCQList2"/>
      </w:pPr>
      <w:r>
        <w:t>e.</w:t>
      </w:r>
      <w:r>
        <w:tab/>
        <w:t>Principal repayment received by a U.S. parent from Belgium on a loan to a wholly owned subsidiary in Belgium</w:t>
      </w:r>
    </w:p>
    <w:p w:rsidR="00C40D8C" w:rsidRDefault="008D30A2" w:rsidP="005120CF">
      <w:pPr>
        <w:pStyle w:val="MCQAnswerBL"/>
      </w:pPr>
      <w:r>
        <w:sym w:font="Symbol" w:char="F0B7"/>
      </w:r>
      <w:r>
        <w:tab/>
        <w:t>Principal repayment is not a tax</w:t>
      </w:r>
      <w:r w:rsidR="00696806">
        <w:t>.</w:t>
      </w:r>
    </w:p>
    <w:p w:rsidR="00C40D8C" w:rsidRDefault="008D30A2">
      <w:pPr>
        <w:pStyle w:val="MCQList2"/>
      </w:pPr>
      <w:r>
        <w:t>f.</w:t>
      </w:r>
      <w:r>
        <w:tab/>
        <w:t>Excise tax paid on cigarettes manufactured and sold within the United States</w:t>
      </w:r>
    </w:p>
    <w:p w:rsidR="00C40D8C" w:rsidRDefault="008D30A2" w:rsidP="005120CF">
      <w:pPr>
        <w:pStyle w:val="MCQAnswerBL"/>
      </w:pPr>
      <w:r>
        <w:sym w:font="Symbol" w:char="F0B7"/>
      </w:r>
      <w:r>
        <w:tab/>
        <w:t>Indirect tax</w:t>
      </w:r>
    </w:p>
    <w:p w:rsidR="00C40D8C" w:rsidRDefault="008D30A2">
      <w:pPr>
        <w:pStyle w:val="MCQList2"/>
      </w:pPr>
      <w:r>
        <w:t>g.</w:t>
      </w:r>
      <w:r>
        <w:tab/>
        <w:t>Property taxes paid on the corporate headquarters building in Seattle</w:t>
      </w:r>
    </w:p>
    <w:p w:rsidR="00C40D8C" w:rsidRDefault="008D30A2" w:rsidP="005120CF">
      <w:pPr>
        <w:pStyle w:val="MCQAnswerBL"/>
      </w:pPr>
      <w:r>
        <w:sym w:font="Symbol" w:char="F0B7"/>
      </w:r>
      <w:r>
        <w:tab/>
        <w:t>Indirect tax</w:t>
      </w:r>
    </w:p>
    <w:p w:rsidR="00C40D8C" w:rsidRDefault="008D30A2">
      <w:pPr>
        <w:pStyle w:val="MCQList2"/>
      </w:pPr>
      <w:r>
        <w:t>h.</w:t>
      </w:r>
      <w:r>
        <w:tab/>
        <w:t>A direct contribution to the International Committee of the Red Cross for refugee relief</w:t>
      </w:r>
    </w:p>
    <w:p w:rsidR="00C40D8C" w:rsidRDefault="008D30A2" w:rsidP="005120CF">
      <w:pPr>
        <w:pStyle w:val="MCQAnswerBL"/>
      </w:pPr>
      <w:r>
        <w:sym w:font="Symbol" w:char="F0B7"/>
      </w:r>
      <w:r>
        <w:tab/>
        <w:t>A contribution is not a tax</w:t>
      </w:r>
      <w:r w:rsidR="00696806">
        <w:t>.</w:t>
      </w:r>
    </w:p>
    <w:p w:rsidR="00C40D8C" w:rsidRDefault="008D30A2">
      <w:pPr>
        <w:pStyle w:val="MCQList2"/>
        <w:numPr>
          <w:ilvl w:val="0"/>
          <w:numId w:val="18"/>
        </w:numPr>
      </w:pPr>
      <w:r>
        <w:t>Deferred income tax, shown as a deduction on the U.S. parent’s consolidated income tax</w:t>
      </w:r>
    </w:p>
    <w:p w:rsidR="00C40D8C" w:rsidRDefault="008D30A2" w:rsidP="005120CF">
      <w:pPr>
        <w:pStyle w:val="MCQAnswerBL"/>
      </w:pPr>
      <w:r>
        <w:sym w:font="Symbol" w:char="F0B7"/>
      </w:r>
      <w:r>
        <w:tab/>
        <w:t>Direct tax</w:t>
      </w:r>
    </w:p>
    <w:p w:rsidR="00C40D8C" w:rsidRDefault="008D30A2">
      <w:pPr>
        <w:pStyle w:val="MCQList2"/>
      </w:pPr>
      <w:r>
        <w:t>j.</w:t>
      </w:r>
      <w:r>
        <w:tab/>
        <w:t>Withholding taxes withheld by Germany on dividends paid to a United Kingdom parent corporation</w:t>
      </w:r>
    </w:p>
    <w:p w:rsidR="00CC2E45" w:rsidRDefault="008D30A2" w:rsidP="005120CF">
      <w:pPr>
        <w:pStyle w:val="MCQAnswerBL"/>
      </w:pPr>
      <w:r>
        <w:sym w:font="Symbol" w:char="F0B7"/>
      </w:r>
      <w:r>
        <w:tab/>
        <w:t>Direct tax</w:t>
      </w:r>
    </w:p>
    <w:p w:rsidR="00C40D8C" w:rsidRDefault="008D30A2" w:rsidP="00696806">
      <w:pPr>
        <w:pStyle w:val="BLFSub"/>
        <w:spacing w:before="200"/>
        <w:ind w:left="450" w:hanging="450"/>
      </w:pPr>
      <w:proofErr w:type="gramStart"/>
      <w:r>
        <w:t>7.</w:t>
      </w:r>
      <w:r>
        <w:tab/>
      </w:r>
      <w:r>
        <w:rPr>
          <w:b/>
        </w:rPr>
        <w:t>Foreign Tax Credit.</w:t>
      </w:r>
      <w:proofErr w:type="gramEnd"/>
      <w:r>
        <w:rPr>
          <w:b/>
        </w:rPr>
        <w:t xml:space="preserve"> </w:t>
      </w:r>
      <w:r>
        <w:t>What is a foreign tax credit? Why do countries give credit for taxes paid on foreign source income?</w:t>
      </w:r>
    </w:p>
    <w:p w:rsidR="00CC2E45" w:rsidRDefault="00CC2E45" w:rsidP="005120CF">
      <w:pPr>
        <w:pStyle w:val="MCQAnswer"/>
      </w:pPr>
      <w:r>
        <w:t xml:space="preserve">To prevent double taxation of the same income, most countries grant a </w:t>
      </w:r>
      <w:r>
        <w:rPr>
          <w:i/>
        </w:rPr>
        <w:t>foreign tax credit</w:t>
      </w:r>
      <w:r>
        <w:t xml:space="preserve"> for income taxes paid to the host country. Countries differ on how they calculate the foreign tax credit and what kinds of limitations they place on the total amount claimed. Normally, foreign tax credits are also available for withholding taxes paid to other countries on dividends, royalties, interest, and other income remitted to the parent. The value-added tax and other sales taxes are not eligible for a foreign tax credit but are typically deductible from pretax income as an expense.</w:t>
      </w:r>
    </w:p>
    <w:p w:rsidR="00CC2E45" w:rsidRDefault="00CC2E45" w:rsidP="005120CF">
      <w:pPr>
        <w:pStyle w:val="MCQAnswer"/>
      </w:pPr>
      <w:r>
        <w:t xml:space="preserve">A </w:t>
      </w:r>
      <w:r>
        <w:rPr>
          <w:i/>
        </w:rPr>
        <w:t>tax credit</w:t>
      </w:r>
      <w:r>
        <w:t xml:space="preserve"> is a direct reduction of taxes that would otherwise be due and payable. It differs from a </w:t>
      </w:r>
      <w:r>
        <w:rPr>
          <w:i/>
        </w:rPr>
        <w:t>deductible expense</w:t>
      </w:r>
      <w:r>
        <w:t xml:space="preserve">, which is an expense the taxpayer uses to reduce taxable income before the tax rate is applied. A $100 tax credit reduces taxes payable by the full $100, whereas a $100 deductible expense reduces taxable income by $100 and taxes payable by $100 </w:t>
      </w:r>
      <w:r>
        <w:rPr>
          <w:szCs w:val="22"/>
        </w:rPr>
        <w:sym w:font="Symbol" w:char="F0B4"/>
      </w:r>
      <w:r>
        <w:t xml:space="preserve"> </w:t>
      </w:r>
      <w:r>
        <w:rPr>
          <w:i/>
        </w:rPr>
        <w:t>t</w:t>
      </w:r>
      <w:r>
        <w:t xml:space="preserve">, where </w:t>
      </w:r>
      <w:r>
        <w:rPr>
          <w:i/>
          <w:iCs/>
        </w:rPr>
        <w:t>t</w:t>
      </w:r>
      <w:r>
        <w:t xml:space="preserve"> is the tax rate. Tax credits are more valuable on a dollar-for-dollar basis than are deductible expenses.</w:t>
      </w:r>
    </w:p>
    <w:p w:rsidR="00C40D8C" w:rsidRDefault="008D30A2" w:rsidP="00CC2E45">
      <w:pPr>
        <w:pStyle w:val="MCQList1"/>
        <w:spacing w:before="120"/>
        <w:ind w:left="446" w:hanging="446"/>
      </w:pPr>
      <w:r>
        <w:tab/>
      </w:r>
      <w:proofErr w:type="gramStart"/>
      <w:r w:rsidR="00CC2E45">
        <w:t>8</w:t>
      </w:r>
      <w:r>
        <w:t>.</w:t>
      </w:r>
      <w:r>
        <w:tab/>
      </w:r>
      <w:r>
        <w:rPr>
          <w:b/>
          <w:bCs/>
        </w:rPr>
        <w:t>Value-Added Tax</w:t>
      </w:r>
      <w:r w:rsidR="00567840">
        <w:rPr>
          <w:b/>
          <w:bCs/>
        </w:rPr>
        <w:t>.</w:t>
      </w:r>
      <w:proofErr w:type="gramEnd"/>
      <w:r w:rsidR="00567840">
        <w:rPr>
          <w:b/>
          <w:bCs/>
        </w:rPr>
        <w:t xml:space="preserve"> </w:t>
      </w:r>
      <w:r w:rsidR="00567840" w:rsidRPr="00567840">
        <w:rPr>
          <w:bCs/>
        </w:rPr>
        <w:t>Answer the following questions.</w:t>
      </w:r>
    </w:p>
    <w:p w:rsidR="00C40D8C" w:rsidRDefault="008D30A2">
      <w:pPr>
        <w:pStyle w:val="MCQList2"/>
      </w:pPr>
      <w:r>
        <w:t>a.</w:t>
      </w:r>
      <w:r>
        <w:tab/>
      </w:r>
      <w:r>
        <w:rPr>
          <w:bCs/>
          <w:iCs/>
        </w:rPr>
        <w:t>What is a value-added tax</w:t>
      </w:r>
      <w:r>
        <w:rPr>
          <w:bCs/>
        </w:rPr>
        <w:t>?</w:t>
      </w:r>
      <w:r>
        <w:t xml:space="preserve"> </w:t>
      </w:r>
    </w:p>
    <w:p w:rsidR="00C40D8C" w:rsidRDefault="008D30A2" w:rsidP="005120CF">
      <w:pPr>
        <w:pStyle w:val="MCQAnswerBL"/>
      </w:pPr>
      <w:r>
        <w:tab/>
        <w:t>The value-added tax is a type of national sales tax collected at each stage of production or sale of consumption goods in proportion to the value added during that stage. In general, production goods such as plant and equipment have not been subject to the value-added tax.</w:t>
      </w:r>
    </w:p>
    <w:p w:rsidR="00C40D8C" w:rsidRDefault="00CC2E45" w:rsidP="00567840">
      <w:pPr>
        <w:pStyle w:val="MCQList2"/>
        <w:spacing w:before="120"/>
        <w:rPr>
          <w:bCs/>
        </w:rPr>
      </w:pPr>
      <w:r>
        <w:t>b</w:t>
      </w:r>
      <w:r w:rsidR="008D30A2">
        <w:t>.</w:t>
      </w:r>
      <w:r w:rsidR="008D30A2">
        <w:tab/>
      </w:r>
      <w:r w:rsidR="008D30A2">
        <w:rPr>
          <w:bCs/>
          <w:iCs/>
        </w:rPr>
        <w:t xml:space="preserve">Although the value-added tax </w:t>
      </w:r>
      <w:proofErr w:type="gramStart"/>
      <w:r w:rsidR="008D30A2">
        <w:rPr>
          <w:bCs/>
          <w:iCs/>
        </w:rPr>
        <w:t>has been proposed</w:t>
      </w:r>
      <w:proofErr w:type="gramEnd"/>
      <w:r w:rsidR="008D30A2">
        <w:rPr>
          <w:bCs/>
          <w:iCs/>
        </w:rPr>
        <w:t xml:space="preserve"> numerous times, the United States has never adopted one. Why do you think the United States is so negative on it when the value-added tax is widely used outside the United States?</w:t>
      </w:r>
      <w:r w:rsidR="008D30A2">
        <w:rPr>
          <w:bCs/>
        </w:rPr>
        <w:t xml:space="preserve"> </w:t>
      </w:r>
    </w:p>
    <w:p w:rsidR="00C40D8C" w:rsidRDefault="008D30A2" w:rsidP="005120CF">
      <w:pPr>
        <w:pStyle w:val="MCQAnswerBL"/>
      </w:pPr>
      <w:r>
        <w:tab/>
        <w:t xml:space="preserve">Many voters see the value-added tax as just another sales tax that is more comprehensive than the various state sales taxes it would replace. Some states have no sales tax at all so this would increase the taxes paid in </w:t>
      </w:r>
      <w:r>
        <w:lastRenderedPageBreak/>
        <w:t>those states. Overall, U.S. voters have been negative toward any new or increased tax. The sentiment now is toward reduced taxes, especially income-based taxes.</w:t>
      </w:r>
    </w:p>
    <w:p w:rsidR="00C40D8C" w:rsidRDefault="00CC2E45">
      <w:pPr>
        <w:pStyle w:val="MCQList1"/>
        <w:rPr>
          <w:b/>
        </w:rPr>
      </w:pPr>
      <w:r>
        <w:tab/>
      </w:r>
      <w:proofErr w:type="gramStart"/>
      <w:r>
        <w:t>9</w:t>
      </w:r>
      <w:r w:rsidR="008D30A2">
        <w:t>.</w:t>
      </w:r>
      <w:r>
        <w:tab/>
      </w:r>
      <w:r w:rsidR="008D30A2">
        <w:rPr>
          <w:b/>
        </w:rPr>
        <w:t>Transfer Pricing Motivation.</w:t>
      </w:r>
      <w:proofErr w:type="gramEnd"/>
      <w:r w:rsidR="008D30A2">
        <w:rPr>
          <w:b/>
        </w:rPr>
        <w:t xml:space="preserve"> </w:t>
      </w:r>
      <w:r w:rsidR="008D30A2">
        <w:t>What is a transfer price and can a government regulate it? What difficulties and motives does a parent multinational firm face in setting transfer prices?</w:t>
      </w:r>
    </w:p>
    <w:p w:rsidR="00C40D8C" w:rsidRDefault="008D30A2" w:rsidP="005120CF">
      <w:pPr>
        <w:pStyle w:val="MCQAnswer"/>
      </w:pPr>
      <w:r>
        <w:t xml:space="preserve">A </w:t>
      </w:r>
      <w:r>
        <w:rPr>
          <w:i/>
        </w:rPr>
        <w:t>transfer price</w:t>
      </w:r>
      <w:r>
        <w:t xml:space="preserve"> is the price of goods, services, and technology transferred to a foreign subsidiary from an affiliated company and is the first and foremost method of transferring funds out of a foreign subsidiary. These costs enter directly into the cost of goods sold component of the subsidiary’s income statement. This is a particularly sensitive problem for MNEs. Even purely domestic firms find it difficult to reach agreement on the best method for setting prices on transactions between related units. In the multinational case, managers must balance conflicting considerations. These include fund positioning and income taxes.</w:t>
      </w:r>
    </w:p>
    <w:p w:rsidR="00C40D8C" w:rsidRDefault="008D30A2" w:rsidP="005120CF">
      <w:pPr>
        <w:pStyle w:val="MCQAnswerBL"/>
      </w:pPr>
      <w:r>
        <w:rPr>
          <w:rFonts w:ascii="Symbol" w:hAnsi="Symbol"/>
        </w:rPr>
        <w:sym w:font="Symbol" w:char="F0B7"/>
      </w:r>
      <w:r>
        <w:tab/>
      </w:r>
      <w:proofErr w:type="gramStart"/>
      <w:r w:rsidRPr="00567840">
        <w:rPr>
          <w:i/>
        </w:rPr>
        <w:t>Fund Positioning Effect.</w:t>
      </w:r>
      <w:proofErr w:type="gramEnd"/>
      <w:r>
        <w:t xml:space="preserve"> A parent wishing to transfer funds out of a particular country can charge higher prices on goods sold to its subsidiary in that country—to the degree that government regulations allow. A foreign subsidiary can be financed by the reverse technique, a lowering of transfer prices. Payment by the subsidiary for imports from its parent or sister subsidiary transfers funds out of the subsidiary. A higher transfer price permits funds to be accumulated in the selling country. Transfer pricing may also be used to transfer funds between sister subsidiaries. Multiple sourcing of component parts on a worldwide basis allows switching between suppliers from within the corporate family to function as a device to transfer funds.</w:t>
      </w:r>
    </w:p>
    <w:p w:rsidR="00C40D8C" w:rsidRDefault="008D30A2" w:rsidP="005120CF">
      <w:pPr>
        <w:pStyle w:val="MCQAnswerBL"/>
      </w:pPr>
      <w:r>
        <w:rPr>
          <w:rFonts w:ascii="Symbol" w:hAnsi="Symbol"/>
        </w:rPr>
        <w:sym w:font="Symbol" w:char="F0B7"/>
      </w:r>
      <w:r>
        <w:tab/>
      </w:r>
      <w:proofErr w:type="gramStart"/>
      <w:r w:rsidRPr="00567840">
        <w:rPr>
          <w:i/>
        </w:rPr>
        <w:t>Income Tax Effect.</w:t>
      </w:r>
      <w:proofErr w:type="gramEnd"/>
      <w:r>
        <w:t xml:space="preserve"> A major consideration in setting a transfer price is the income tax effect. Worldwide corporate profits </w:t>
      </w:r>
      <w:proofErr w:type="gramStart"/>
      <w:r>
        <w:t>may be influenced</w:t>
      </w:r>
      <w:proofErr w:type="gramEnd"/>
      <w:r>
        <w:t xml:space="preserve"> by setting transfer prices to minimize taxable income in a country with a high income tax rate and maximize income in a country with a low income tax rate. A parent wishing to reduce the taxable profits of a subsidiary in a high-tax environment may set transfer prices at a higher rate to increase the costs of the subsidiary</w:t>
      </w:r>
      <w:r w:rsidR="00567840">
        <w:t>,</w:t>
      </w:r>
      <w:r>
        <w:t xml:space="preserve"> thereby reducing taxable income.</w:t>
      </w:r>
    </w:p>
    <w:p w:rsidR="00C40D8C" w:rsidRDefault="008D30A2" w:rsidP="005120CF">
      <w:pPr>
        <w:pStyle w:val="MCQAnswer"/>
      </w:pPr>
      <w:r>
        <w:t xml:space="preserve">Section 482 of the U.S. Internal Revenue Code is typical of laws circumscribing freedom to set transfer prices. Under this authority, the IRS can reallocate gross income, deductions, credits, or allowances between related corporations in order to prevent tax evasion or to reflect more clearly a proper allocation of income. Under these guidelines, the burden of proof is on the taxpaying firm to show that the IRS has been arbitrary or unreasonable in reallocating income. This “guilty until proved innocent” approach means that MNEs must keep good documentation of the logic and costs behind their transfer prices. </w:t>
      </w:r>
    </w:p>
    <w:p w:rsidR="00C40D8C" w:rsidRDefault="0019164B">
      <w:pPr>
        <w:pStyle w:val="MCQList1"/>
        <w:keepNext w:val="0"/>
        <w:keepLines w:val="0"/>
      </w:pPr>
      <w:r>
        <w:t>10</w:t>
      </w:r>
      <w:r w:rsidR="008D30A2">
        <w:t>.</w:t>
      </w:r>
      <w:r w:rsidR="008D30A2">
        <w:tab/>
      </w:r>
      <w:r w:rsidR="008D30A2">
        <w:rPr>
          <w:b/>
        </w:rPr>
        <w:t xml:space="preserve">Sister Subsidiaries. </w:t>
      </w:r>
      <w:r w:rsidR="008D30A2">
        <w:t xml:space="preserve">Subsidiary Alpha in Country Able faces a 40% income tax rate. Subsidiary Beta in Country Baker faces only a 20% income tax rate. Presently, each subsidiary imports from the other an amount of goods and services exactly equal in monetary value to what each exports to the other. This method of balancing </w:t>
      </w:r>
      <w:proofErr w:type="spellStart"/>
      <w:r w:rsidR="008D30A2">
        <w:t>intracompany</w:t>
      </w:r>
      <w:proofErr w:type="spellEnd"/>
      <w:r w:rsidR="008D30A2">
        <w:t xml:space="preserve"> trade was imposed by a management keen to reduce all costs, including the costs (spread between bid and ask) of foreign exchange transactions. Both subsidiaries are profitable, and both could purchase all components domestically at approximately the same prices as they are paying to their foreign sister subsidiary. Does this seem like an optimal situation?</w:t>
      </w:r>
    </w:p>
    <w:p w:rsidR="00C40D8C" w:rsidRDefault="008D30A2" w:rsidP="005120CF">
      <w:pPr>
        <w:pStyle w:val="MCQAnswer"/>
      </w:pPr>
      <w:r>
        <w:t xml:space="preserve">Each subsidiary can produce the currently traded items at approximately the same price as is being paid for the import–export transactions. Hence, the only gain must come from either the avoidance of foreign exchange costs (as intended by the present firm) or from the tax effect. The foreign exchange spread is probably minimal. The tax effect suggests that the worldwide firm would be better off if income </w:t>
      </w:r>
      <w:proofErr w:type="gramStart"/>
      <w:r>
        <w:t>were transferred</w:t>
      </w:r>
      <w:proofErr w:type="gramEnd"/>
      <w:r>
        <w:t xml:space="preserve"> from Country Able to Country Baker.</w:t>
      </w:r>
    </w:p>
    <w:p w:rsidR="00C40D8C" w:rsidRDefault="008D30A2" w:rsidP="005120CF">
      <w:pPr>
        <w:pStyle w:val="MCQAnswer"/>
        <w:rPr>
          <w:bCs/>
        </w:rPr>
      </w:pPr>
      <w:r>
        <w:t xml:space="preserve">Income </w:t>
      </w:r>
      <w:proofErr w:type="gramStart"/>
      <w:r>
        <w:t>could be transferred</w:t>
      </w:r>
      <w:proofErr w:type="gramEnd"/>
      <w:r>
        <w:t xml:space="preserve"> from Country Able to Country Baker by having Beta, Inc., continue to manufacture and ship to Alpha, Inc. The profit on this transaction </w:t>
      </w:r>
      <w:proofErr w:type="gramStart"/>
      <w:r>
        <w:t>would be taxed</w:t>
      </w:r>
      <w:proofErr w:type="gramEnd"/>
      <w:r>
        <w:t xml:space="preserve"> at only 20%, whereas if Alpha, Inc. makes the goods and includes the same implied markup in its international costing, Alpha, Inc. will pay more income taxes. </w:t>
      </w:r>
    </w:p>
    <w:p w:rsidR="00C40D8C" w:rsidRDefault="008D30A2">
      <w:pPr>
        <w:pStyle w:val="MCQList1"/>
        <w:ind w:left="446" w:hanging="446"/>
      </w:pPr>
      <w:r>
        <w:lastRenderedPageBreak/>
        <w:t>1</w:t>
      </w:r>
      <w:r w:rsidR="0019164B">
        <w:t>1</w:t>
      </w:r>
      <w:r>
        <w:t>.</w:t>
      </w:r>
      <w:r>
        <w:tab/>
      </w:r>
      <w:r>
        <w:rPr>
          <w:b/>
        </w:rPr>
        <w:t xml:space="preserve">Correct Pricing. </w:t>
      </w:r>
      <w:r>
        <w:t xml:space="preserve">Section 482 of the U.S. Internal Revenue Code specifies use of a “correct” transfer </w:t>
      </w:r>
      <w:r>
        <w:rPr>
          <w:spacing w:val="-2"/>
        </w:rPr>
        <w:t>price, and the burden of proof that the transfer price is “correct” lies with the company. What guidelines</w:t>
      </w:r>
      <w:r>
        <w:t xml:space="preserve"> exist for determining the proper transfer price?</w:t>
      </w:r>
    </w:p>
    <w:p w:rsidR="0019164B" w:rsidRDefault="008D30A2" w:rsidP="005120CF">
      <w:pPr>
        <w:pStyle w:val="MCQAnswer"/>
      </w:pPr>
      <w:r>
        <w:t xml:space="preserve">The “correct </w:t>
      </w:r>
      <w:bookmarkStart w:id="0" w:name="_GoBack"/>
      <w:bookmarkEnd w:id="0"/>
      <w:r>
        <w:t xml:space="preserve">price” according to the guidelines is the one that reflects an arm’s length price, that is, a sale of the same goods or service to a comparable unrelated customer. IRS regulations provide three methods to establish arm’s length prices: </w:t>
      </w:r>
      <w:r>
        <w:rPr>
          <w:i/>
        </w:rPr>
        <w:t>comparable uncontrolled prices</w:t>
      </w:r>
      <w:r>
        <w:t xml:space="preserve">, </w:t>
      </w:r>
      <w:r>
        <w:rPr>
          <w:i/>
        </w:rPr>
        <w:t>resale prices</w:t>
      </w:r>
      <w:r>
        <w:t xml:space="preserve">, and </w:t>
      </w:r>
      <w:r>
        <w:rPr>
          <w:i/>
        </w:rPr>
        <w:t>cost-plus calculations</w:t>
      </w:r>
      <w:r>
        <w:t>. All three of these methods are recommended for use in member countries by the Organization for Economic Cooperation and Development (OECD) Committee on Fiscal Affairs. In some cases, combinations of these three methods are used.</w:t>
      </w:r>
    </w:p>
    <w:p w:rsidR="0019164B" w:rsidRDefault="008D30A2" w:rsidP="0019164B">
      <w:pPr>
        <w:pStyle w:val="MCQList1"/>
        <w:spacing w:before="120"/>
        <w:ind w:left="446" w:hanging="446"/>
      </w:pPr>
      <w:r>
        <w:tab/>
      </w:r>
      <w:proofErr w:type="gramStart"/>
      <w:r>
        <w:t>1</w:t>
      </w:r>
      <w:r w:rsidR="0019164B">
        <w:t>2</w:t>
      </w:r>
      <w:r>
        <w:t>.</w:t>
      </w:r>
      <w:r>
        <w:tab/>
      </w:r>
      <w:r>
        <w:rPr>
          <w:b/>
        </w:rPr>
        <w:t>Tax Treaties.</w:t>
      </w:r>
      <w:proofErr w:type="gramEnd"/>
      <w:r>
        <w:rPr>
          <w:b/>
        </w:rPr>
        <w:t xml:space="preserve"> </w:t>
      </w:r>
      <w:r w:rsidR="0019164B">
        <w:t>How do tax treaties affect the operations and structure of MNEs?</w:t>
      </w:r>
      <w:r>
        <w:tab/>
      </w:r>
      <w:r>
        <w:tab/>
      </w:r>
    </w:p>
    <w:p w:rsidR="0019164B" w:rsidRDefault="008D30A2" w:rsidP="005120CF">
      <w:pPr>
        <w:pStyle w:val="MCQAnswer"/>
      </w:pPr>
      <w:proofErr w:type="gramStart"/>
      <w:r>
        <w:rPr>
          <w:spacing w:val="-1"/>
          <w:szCs w:val="22"/>
        </w:rPr>
        <w:t xml:space="preserve">A network of bilateral tax treaties, many of which are modeled after one proposed by the </w:t>
      </w:r>
      <w:r>
        <w:t>OECD, provides a means of reducing double taxation.</w:t>
      </w:r>
      <w:proofErr w:type="gramEnd"/>
      <w:r>
        <w:t xml:space="preserve"> Tax treaties normally define whether taxes are to be imposed on income earned in one country by the </w:t>
      </w:r>
      <w:r>
        <w:rPr>
          <w:spacing w:val="-1"/>
          <w:szCs w:val="22"/>
        </w:rPr>
        <w:t>nationals of another, and if so, how. Tax treaties are bilateral, with the two signatories specifying what</w:t>
      </w:r>
      <w:r>
        <w:t xml:space="preserve"> rates are applicable to which types of income between them alone.</w:t>
      </w:r>
    </w:p>
    <w:p w:rsidR="0019164B" w:rsidRDefault="008D30A2" w:rsidP="005120CF">
      <w:pPr>
        <w:pStyle w:val="MCQAnswer"/>
      </w:pPr>
      <w:r>
        <w:t xml:space="preserve">The individual bilateral tax jurisdictions as specified through tax treaties are particularly important for firms that are primarily exporting to another country rather than doing business there through a “permanent establishment.” The latter would be the case for manufacturing operations. A firm that only exports would not want any of its other worldwide income taxed by the importing country. Tax treaties define what </w:t>
      </w:r>
      <w:proofErr w:type="gramStart"/>
      <w:r>
        <w:t>is a “permanent establishment”</w:t>
      </w:r>
      <w:proofErr w:type="gramEnd"/>
      <w:r>
        <w:t xml:space="preserve"> and what constitutes a limited presence for tax purposes.</w:t>
      </w:r>
    </w:p>
    <w:p w:rsidR="001410E8" w:rsidRDefault="0019164B" w:rsidP="005120CF">
      <w:pPr>
        <w:pStyle w:val="MCQAnswer"/>
      </w:pPr>
      <w:r>
        <w:rPr>
          <w:spacing w:val="-1"/>
          <w:szCs w:val="22"/>
        </w:rPr>
        <w:t>Tax treaties also typically result in reduced withholding tax rates between the two signatory countries, the negotiation of the treaty itself serving as a forum for opening and expanding business relationships</w:t>
      </w:r>
      <w:r>
        <w:t xml:space="preserve"> between the two countries. This practice is important to both MNEs operating through foreign subsidiaries and individual portfolio investors simply receiving income in the form of dividends, interest, or royalties.</w:t>
      </w:r>
    </w:p>
    <w:p w:rsidR="001410E8" w:rsidRDefault="008D30A2" w:rsidP="001410E8">
      <w:pPr>
        <w:pStyle w:val="MCQList1"/>
        <w:keepNext w:val="0"/>
        <w:keepLines w:val="0"/>
        <w:spacing w:before="120"/>
        <w:ind w:left="446" w:hanging="446"/>
      </w:pPr>
      <w:proofErr w:type="gramStart"/>
      <w:r>
        <w:t>1</w:t>
      </w:r>
      <w:r w:rsidR="0019164B">
        <w:t>3</w:t>
      </w:r>
      <w:r>
        <w:t>.</w:t>
      </w:r>
      <w:r>
        <w:tab/>
      </w:r>
      <w:r>
        <w:rPr>
          <w:b/>
        </w:rPr>
        <w:t>Passive.</w:t>
      </w:r>
      <w:proofErr w:type="gramEnd"/>
      <w:r>
        <w:rPr>
          <w:b/>
        </w:rPr>
        <w:t xml:space="preserve"> </w:t>
      </w:r>
      <w:r>
        <w:t>Why do the U.S. tax authorities tax passive income generated offshore differently from active income?</w:t>
      </w:r>
    </w:p>
    <w:p w:rsidR="00C40D8C" w:rsidRDefault="008D30A2" w:rsidP="005120CF">
      <w:pPr>
        <w:pStyle w:val="MCQAnswer"/>
      </w:pPr>
      <w:r>
        <w:t xml:space="preserve">Passive income (dividends, interest, royalties) earned by a resident of one country within the tax jurisdiction of a second country are normally subject to a withholding tax in the second country. The reason for the institution of withholding taxes is actually quite simple: governments recognize that most international investors will not file a tax return in each country in which they invest, and the government therefore wishes to assure that a minimum tax payment </w:t>
      </w:r>
      <w:proofErr w:type="gramStart"/>
      <w:r>
        <w:t>is received</w:t>
      </w:r>
      <w:proofErr w:type="gramEnd"/>
      <w:r>
        <w:t>. As the term “withholding” implies, the taxes are withheld by the corporation from the payment made to the investor, and the taxes withheld are then turned over to government authorities. Withholding taxes are a major subject of bilateral tax treaties and generally range between 0% and 25%.</w:t>
      </w:r>
    </w:p>
    <w:p w:rsidR="008D30A2" w:rsidRDefault="008D30A2">
      <w:pPr>
        <w:pStyle w:val="MCQList1"/>
        <w:spacing w:before="120"/>
        <w:ind w:left="446" w:hanging="446"/>
      </w:pPr>
    </w:p>
    <w:sectPr w:rsidR="008D30A2" w:rsidSect="00696806">
      <w:headerReference w:type="even" r:id="rId8"/>
      <w:headerReference w:type="default" r:id="rId9"/>
      <w:footerReference w:type="even" r:id="rId10"/>
      <w:footerReference w:type="default" r:id="rId11"/>
      <w:footerReference w:type="first" r:id="rId12"/>
      <w:pgSz w:w="12240" w:h="15840" w:code="1"/>
      <w:pgMar w:top="1008" w:right="1008" w:bottom="1008" w:left="1800" w:header="1008" w:footer="720" w:gutter="0"/>
      <w:pgNumType w:start="87"/>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346F" w:rsidRDefault="0052346F">
      <w:r>
        <w:separator/>
      </w:r>
    </w:p>
  </w:endnote>
  <w:endnote w:type="continuationSeparator" w:id="0">
    <w:p w:rsidR="0052346F" w:rsidRDefault="005234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Narrow">
    <w:panose1 w:val="020B0506020202030204"/>
    <w:charset w:val="00"/>
    <w:family w:val="swiss"/>
    <w:pitch w:val="variable"/>
    <w:sig w:usb0="00000287" w:usb1="00000800" w:usb2="00000000" w:usb3="00000000" w:csb0="0000009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0D8C" w:rsidRDefault="008D30A2">
    <w:pPr>
      <w:pStyle w:val="Footer"/>
      <w:pBdr>
        <w:top w:val="single" w:sz="4" w:space="1" w:color="auto"/>
      </w:pBdr>
      <w:spacing w:before="360"/>
      <w:jc w:val="center"/>
      <w:rPr>
        <w:rFonts w:ascii="Times" w:hAnsi="Times"/>
        <w:sz w:val="18"/>
      </w:rPr>
    </w:pPr>
    <w:r>
      <w:rPr>
        <w:rFonts w:ascii="Times" w:hAnsi="Times"/>
        <w:sz w:val="18"/>
      </w:rPr>
      <w:t>© 201</w:t>
    </w:r>
    <w:r w:rsidR="00266849">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0D8C" w:rsidRDefault="008D30A2">
    <w:pPr>
      <w:pStyle w:val="Footer"/>
      <w:pBdr>
        <w:top w:val="single" w:sz="4" w:space="1" w:color="auto"/>
      </w:pBdr>
      <w:spacing w:before="360"/>
      <w:jc w:val="center"/>
      <w:rPr>
        <w:rFonts w:ascii="Times" w:hAnsi="Times"/>
        <w:sz w:val="18"/>
      </w:rPr>
    </w:pPr>
    <w:r>
      <w:rPr>
        <w:rFonts w:ascii="Times" w:hAnsi="Times"/>
        <w:sz w:val="18"/>
      </w:rPr>
      <w:t>© 201</w:t>
    </w:r>
    <w:r w:rsidR="00266849">
      <w:rPr>
        <w:rFonts w:ascii="Times" w:hAnsi="Times"/>
        <w:sz w:val="18"/>
      </w:rPr>
      <w:t>5</w:t>
    </w:r>
    <w:r>
      <w:rPr>
        <w:rFonts w:ascii="Times" w:hAnsi="Times"/>
        <w:sz w:val="18"/>
      </w:rPr>
      <w:t xml:space="preserve"> Pearson Education, Inc.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0D8C" w:rsidRDefault="008D30A2">
    <w:pPr>
      <w:pStyle w:val="Footer"/>
      <w:pBdr>
        <w:top w:val="single" w:sz="4" w:space="1" w:color="auto"/>
      </w:pBdr>
      <w:spacing w:before="360"/>
      <w:jc w:val="center"/>
      <w:rPr>
        <w:rFonts w:ascii="Times" w:hAnsi="Times"/>
        <w:sz w:val="18"/>
      </w:rPr>
    </w:pPr>
    <w:r>
      <w:rPr>
        <w:rFonts w:ascii="Times" w:hAnsi="Times"/>
        <w:sz w:val="18"/>
      </w:rPr>
      <w:t>© 201</w:t>
    </w:r>
    <w:r w:rsidR="00266849">
      <w:rPr>
        <w:rFonts w:ascii="Times" w:hAnsi="Times"/>
        <w:sz w:val="18"/>
      </w:rPr>
      <w:t>5</w:t>
    </w:r>
    <w:r>
      <w:rPr>
        <w:rFonts w:ascii="Times" w:hAnsi="Times"/>
        <w:sz w:val="18"/>
      </w:rPr>
      <w:t xml:space="preserve"> Pearson Education, Inc.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346F" w:rsidRDefault="0052346F">
      <w:r>
        <w:separator/>
      </w:r>
    </w:p>
  </w:footnote>
  <w:footnote w:type="continuationSeparator" w:id="0">
    <w:p w:rsidR="0052346F" w:rsidRDefault="0052346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0D8C" w:rsidRDefault="008D30A2">
    <w:pPr>
      <w:pStyle w:val="VersoHeader"/>
    </w:pPr>
    <w:r>
      <w:rPr>
        <w:rStyle w:val="PageNumber"/>
      </w:rPr>
      <w:fldChar w:fldCharType="begin"/>
    </w:r>
    <w:r>
      <w:rPr>
        <w:rStyle w:val="PageNumber"/>
      </w:rPr>
      <w:instrText xml:space="preserve"> PAGE </w:instrText>
    </w:r>
    <w:r>
      <w:rPr>
        <w:rStyle w:val="PageNumber"/>
      </w:rPr>
      <w:fldChar w:fldCharType="separate"/>
    </w:r>
    <w:r w:rsidR="00FB7004">
      <w:rPr>
        <w:rStyle w:val="PageNumber"/>
        <w:noProof/>
      </w:rPr>
      <w:t>92</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1410E8">
      <w:t>if</w:t>
    </w:r>
    <w:r>
      <w:t>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0D8C" w:rsidRDefault="008D30A2">
    <w:pPr>
      <w:pStyle w:val="RectoHeader"/>
    </w:pPr>
    <w:r>
      <w:t>Chapter 14</w:t>
    </w:r>
    <w:r>
      <w:t> </w:t>
    </w:r>
    <w:r>
      <w:t>Multinational Tax Management</w:t>
    </w:r>
    <w:r>
      <w:t> </w:t>
    </w:r>
    <w:r>
      <w:t> </w:t>
    </w:r>
    <w:r>
      <w:rPr>
        <w:rStyle w:val="PageNumber"/>
      </w:rPr>
      <w:fldChar w:fldCharType="begin"/>
    </w:r>
    <w:r>
      <w:rPr>
        <w:rStyle w:val="PageNumber"/>
      </w:rPr>
      <w:instrText xml:space="preserve"> PAGE </w:instrText>
    </w:r>
    <w:r>
      <w:rPr>
        <w:rStyle w:val="PageNumber"/>
      </w:rPr>
      <w:fldChar w:fldCharType="separate"/>
    </w:r>
    <w:r w:rsidR="00FB7004">
      <w:rPr>
        <w:rStyle w:val="PageNumber"/>
      </w:rPr>
      <w:t>91</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A7EA3024"/>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C22CA6E8"/>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982C268"/>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2BA0FFD6"/>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915A97E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E2FA29F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367468E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BEFC7050"/>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C9BEF944"/>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2">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3">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22201AD"/>
    <w:multiLevelType w:val="hybridMultilevel"/>
    <w:tmpl w:val="B2C23F44"/>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4AF5968"/>
    <w:multiLevelType w:val="hybridMultilevel"/>
    <w:tmpl w:val="744CFD7C"/>
    <w:lvl w:ilvl="0" w:tplc="04090019">
      <w:start w:val="1"/>
      <w:numFmt w:val="lowerLetter"/>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nsid w:val="38AD73D5"/>
    <w:multiLevelType w:val="hybridMultilevel"/>
    <w:tmpl w:val="0C4AC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A005C3A"/>
    <w:multiLevelType w:val="hybridMultilevel"/>
    <w:tmpl w:val="EB805308"/>
    <w:lvl w:ilvl="0" w:tplc="04090001">
      <w:start w:val="1"/>
      <w:numFmt w:val="bullet"/>
      <w:lvlText w:val=""/>
      <w:lvlJc w:val="left"/>
      <w:pPr>
        <w:ind w:left="1185" w:hanging="360"/>
      </w:pPr>
      <w:rPr>
        <w:rFonts w:ascii="Symbol" w:hAnsi="Symbol" w:hint="default"/>
      </w:rPr>
    </w:lvl>
    <w:lvl w:ilvl="1" w:tplc="04090003" w:tentative="1">
      <w:start w:val="1"/>
      <w:numFmt w:val="bullet"/>
      <w:lvlText w:val="o"/>
      <w:lvlJc w:val="left"/>
      <w:pPr>
        <w:ind w:left="1905" w:hanging="360"/>
      </w:pPr>
      <w:rPr>
        <w:rFonts w:ascii="Courier New" w:hAnsi="Courier New" w:hint="default"/>
      </w:rPr>
    </w:lvl>
    <w:lvl w:ilvl="2" w:tplc="04090005" w:tentative="1">
      <w:start w:val="1"/>
      <w:numFmt w:val="bullet"/>
      <w:lvlText w:val=""/>
      <w:lvlJc w:val="left"/>
      <w:pPr>
        <w:ind w:left="2625" w:hanging="360"/>
      </w:pPr>
      <w:rPr>
        <w:rFonts w:ascii="Wingdings" w:hAnsi="Wingdings" w:hint="default"/>
      </w:rPr>
    </w:lvl>
    <w:lvl w:ilvl="3" w:tplc="04090001" w:tentative="1">
      <w:start w:val="1"/>
      <w:numFmt w:val="bullet"/>
      <w:lvlText w:val=""/>
      <w:lvlJc w:val="left"/>
      <w:pPr>
        <w:ind w:left="3345" w:hanging="360"/>
      </w:pPr>
      <w:rPr>
        <w:rFonts w:ascii="Symbol" w:hAnsi="Symbol" w:hint="default"/>
      </w:rPr>
    </w:lvl>
    <w:lvl w:ilvl="4" w:tplc="04090003" w:tentative="1">
      <w:start w:val="1"/>
      <w:numFmt w:val="bullet"/>
      <w:lvlText w:val="o"/>
      <w:lvlJc w:val="left"/>
      <w:pPr>
        <w:ind w:left="4065" w:hanging="360"/>
      </w:pPr>
      <w:rPr>
        <w:rFonts w:ascii="Courier New" w:hAnsi="Courier New" w:hint="default"/>
      </w:rPr>
    </w:lvl>
    <w:lvl w:ilvl="5" w:tplc="04090005" w:tentative="1">
      <w:start w:val="1"/>
      <w:numFmt w:val="bullet"/>
      <w:lvlText w:val=""/>
      <w:lvlJc w:val="left"/>
      <w:pPr>
        <w:ind w:left="4785" w:hanging="360"/>
      </w:pPr>
      <w:rPr>
        <w:rFonts w:ascii="Wingdings" w:hAnsi="Wingdings" w:hint="default"/>
      </w:rPr>
    </w:lvl>
    <w:lvl w:ilvl="6" w:tplc="04090001" w:tentative="1">
      <w:start w:val="1"/>
      <w:numFmt w:val="bullet"/>
      <w:lvlText w:val=""/>
      <w:lvlJc w:val="left"/>
      <w:pPr>
        <w:ind w:left="5505" w:hanging="360"/>
      </w:pPr>
      <w:rPr>
        <w:rFonts w:ascii="Symbol" w:hAnsi="Symbol" w:hint="default"/>
      </w:rPr>
    </w:lvl>
    <w:lvl w:ilvl="7" w:tplc="04090003" w:tentative="1">
      <w:start w:val="1"/>
      <w:numFmt w:val="bullet"/>
      <w:lvlText w:val="o"/>
      <w:lvlJc w:val="left"/>
      <w:pPr>
        <w:ind w:left="6225" w:hanging="360"/>
      </w:pPr>
      <w:rPr>
        <w:rFonts w:ascii="Courier New" w:hAnsi="Courier New" w:hint="default"/>
      </w:rPr>
    </w:lvl>
    <w:lvl w:ilvl="8" w:tplc="04090005" w:tentative="1">
      <w:start w:val="1"/>
      <w:numFmt w:val="bullet"/>
      <w:lvlText w:val=""/>
      <w:lvlJc w:val="left"/>
      <w:pPr>
        <w:ind w:left="6945" w:hanging="360"/>
      </w:pPr>
      <w:rPr>
        <w:rFonts w:ascii="Wingdings" w:hAnsi="Wingdings" w:hint="default"/>
      </w:rPr>
    </w:lvl>
  </w:abstractNum>
  <w:abstractNum w:abstractNumId="18">
    <w:nsid w:val="3E417FFE"/>
    <w:multiLevelType w:val="hybridMultilevel"/>
    <w:tmpl w:val="851AA270"/>
    <w:lvl w:ilvl="0" w:tplc="04090001">
      <w:start w:val="1"/>
      <w:numFmt w:val="bullet"/>
      <w:lvlText w:val=""/>
      <w:lvlJc w:val="left"/>
      <w:pPr>
        <w:ind w:left="1544" w:hanging="360"/>
      </w:pPr>
      <w:rPr>
        <w:rFonts w:ascii="Symbol" w:hAnsi="Symbol" w:hint="default"/>
      </w:rPr>
    </w:lvl>
    <w:lvl w:ilvl="1" w:tplc="04090003">
      <w:start w:val="1"/>
      <w:numFmt w:val="bullet"/>
      <w:lvlText w:val="o"/>
      <w:lvlJc w:val="left"/>
      <w:pPr>
        <w:ind w:left="2264" w:hanging="360"/>
      </w:pPr>
      <w:rPr>
        <w:rFonts w:ascii="Courier New" w:hAnsi="Courier New" w:hint="default"/>
      </w:rPr>
    </w:lvl>
    <w:lvl w:ilvl="2" w:tplc="04090005" w:tentative="1">
      <w:start w:val="1"/>
      <w:numFmt w:val="bullet"/>
      <w:lvlText w:val=""/>
      <w:lvlJc w:val="left"/>
      <w:pPr>
        <w:ind w:left="2984" w:hanging="360"/>
      </w:pPr>
      <w:rPr>
        <w:rFonts w:ascii="Wingdings" w:hAnsi="Wingdings" w:hint="default"/>
      </w:rPr>
    </w:lvl>
    <w:lvl w:ilvl="3" w:tplc="04090001" w:tentative="1">
      <w:start w:val="1"/>
      <w:numFmt w:val="bullet"/>
      <w:lvlText w:val=""/>
      <w:lvlJc w:val="left"/>
      <w:pPr>
        <w:ind w:left="3704" w:hanging="360"/>
      </w:pPr>
      <w:rPr>
        <w:rFonts w:ascii="Symbol" w:hAnsi="Symbol" w:hint="default"/>
      </w:rPr>
    </w:lvl>
    <w:lvl w:ilvl="4" w:tplc="04090003" w:tentative="1">
      <w:start w:val="1"/>
      <w:numFmt w:val="bullet"/>
      <w:lvlText w:val="o"/>
      <w:lvlJc w:val="left"/>
      <w:pPr>
        <w:ind w:left="4424" w:hanging="360"/>
      </w:pPr>
      <w:rPr>
        <w:rFonts w:ascii="Courier New" w:hAnsi="Courier New" w:hint="default"/>
      </w:rPr>
    </w:lvl>
    <w:lvl w:ilvl="5" w:tplc="04090005" w:tentative="1">
      <w:start w:val="1"/>
      <w:numFmt w:val="bullet"/>
      <w:lvlText w:val=""/>
      <w:lvlJc w:val="left"/>
      <w:pPr>
        <w:ind w:left="5144" w:hanging="360"/>
      </w:pPr>
      <w:rPr>
        <w:rFonts w:ascii="Wingdings" w:hAnsi="Wingdings" w:hint="default"/>
      </w:rPr>
    </w:lvl>
    <w:lvl w:ilvl="6" w:tplc="04090001" w:tentative="1">
      <w:start w:val="1"/>
      <w:numFmt w:val="bullet"/>
      <w:lvlText w:val=""/>
      <w:lvlJc w:val="left"/>
      <w:pPr>
        <w:ind w:left="5864" w:hanging="360"/>
      </w:pPr>
      <w:rPr>
        <w:rFonts w:ascii="Symbol" w:hAnsi="Symbol" w:hint="default"/>
      </w:rPr>
    </w:lvl>
    <w:lvl w:ilvl="7" w:tplc="04090003" w:tentative="1">
      <w:start w:val="1"/>
      <w:numFmt w:val="bullet"/>
      <w:lvlText w:val="o"/>
      <w:lvlJc w:val="left"/>
      <w:pPr>
        <w:ind w:left="6584" w:hanging="360"/>
      </w:pPr>
      <w:rPr>
        <w:rFonts w:ascii="Courier New" w:hAnsi="Courier New" w:hint="default"/>
      </w:rPr>
    </w:lvl>
    <w:lvl w:ilvl="8" w:tplc="04090005" w:tentative="1">
      <w:start w:val="1"/>
      <w:numFmt w:val="bullet"/>
      <w:lvlText w:val=""/>
      <w:lvlJc w:val="left"/>
      <w:pPr>
        <w:ind w:left="7304" w:hanging="360"/>
      </w:pPr>
      <w:rPr>
        <w:rFonts w:ascii="Wingdings" w:hAnsi="Wingdings" w:hint="default"/>
      </w:rPr>
    </w:lvl>
  </w:abstractNum>
  <w:abstractNum w:abstractNumId="19">
    <w:nsid w:val="4FE7095B"/>
    <w:multiLevelType w:val="hybridMultilevel"/>
    <w:tmpl w:val="E5023A76"/>
    <w:lvl w:ilvl="0" w:tplc="324043F0">
      <w:start w:val="1"/>
      <w:numFmt w:val="lowerLetter"/>
      <w:lvlText w:val="%1."/>
      <w:lvlJc w:val="left"/>
      <w:pPr>
        <w:ind w:left="810" w:hanging="360"/>
      </w:pPr>
      <w:rPr>
        <w:rFonts w:cs="Times New Roman" w:hint="default"/>
      </w:rPr>
    </w:lvl>
    <w:lvl w:ilvl="1" w:tplc="04090019" w:tentative="1">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abstractNum w:abstractNumId="20">
    <w:nsid w:val="6A55172E"/>
    <w:multiLevelType w:val="multilevel"/>
    <w:tmpl w:val="1136A33C"/>
    <w:lvl w:ilvl="0">
      <w:start w:val="1"/>
      <w:numFmt w:val="none"/>
      <w:suff w:val="nothing"/>
      <w:lvlText w:val="%1"/>
      <w:lvlJc w:val="left"/>
      <w:rPr>
        <w:rFonts w:cs="Times New Roman" w:hint="default"/>
      </w:rPr>
    </w:lvl>
    <w:lvl w:ilvl="1">
      <w:start w:val="1"/>
      <w:numFmt w:val="decimal"/>
      <w:lvlText w:val="%2."/>
      <w:lvlJc w:val="left"/>
      <w:pPr>
        <w:tabs>
          <w:tab w:val="num" w:pos="547"/>
        </w:tabs>
        <w:ind w:left="547" w:hanging="547"/>
      </w:pPr>
      <w:rPr>
        <w:rFonts w:cs="Times New Roman" w:hint="default"/>
      </w:rPr>
    </w:lvl>
    <w:lvl w:ilvl="2">
      <w:start w:val="1"/>
      <w:numFmt w:val="lowerLette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color w:val="00000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21">
    <w:nsid w:val="6F1671E9"/>
    <w:multiLevelType w:val="hybridMultilevel"/>
    <w:tmpl w:val="A3EAD36E"/>
    <w:lvl w:ilvl="0" w:tplc="4CF857CC">
      <w:start w:val="1"/>
      <w:numFmt w:val="lowerRoman"/>
      <w:lvlText w:val="%1."/>
      <w:lvlJc w:val="left"/>
      <w:pPr>
        <w:ind w:left="1170" w:hanging="720"/>
      </w:pPr>
      <w:rPr>
        <w:rFonts w:cs="Times New Roman" w:hint="default"/>
      </w:rPr>
    </w:lvl>
    <w:lvl w:ilvl="1" w:tplc="04090019">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abstractNum w:abstractNumId="22">
    <w:nsid w:val="70803C3A"/>
    <w:multiLevelType w:val="multilevel"/>
    <w:tmpl w:val="AFB09CF2"/>
    <w:lvl w:ilvl="0">
      <w:start w:val="1"/>
      <w:numFmt w:val="decimal"/>
      <w:pStyle w:val="awTB01questionHead"/>
      <w:lvlText w:val="%1."/>
      <w:lvlJc w:val="left"/>
      <w:pPr>
        <w:tabs>
          <w:tab w:val="num" w:pos="360"/>
        </w:tabs>
      </w:pPr>
      <w:rPr>
        <w:rFonts w:cs="Times New Roman" w:hint="default"/>
      </w:rPr>
    </w:lvl>
    <w:lvl w:ilvl="1">
      <w:start w:val="1"/>
      <w:numFmt w:val="lowerLetter"/>
      <w:pStyle w:val="MCA"/>
      <w:lvlText w:val="%2)"/>
      <w:lvlJc w:val="left"/>
      <w:pPr>
        <w:tabs>
          <w:tab w:val="num" w:pos="1080"/>
        </w:tabs>
        <w:ind w:left="720"/>
      </w:pPr>
      <w:rPr>
        <w:rFonts w:cs="Times New Roman" w:hint="default"/>
      </w:rPr>
    </w:lvl>
    <w:lvl w:ilvl="2">
      <w:start w:val="1"/>
      <w:numFmt w:val="decimal"/>
      <w:pStyle w:val="awTB03distractor"/>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3">
    <w:nsid w:val="764914F0"/>
    <w:multiLevelType w:val="hybridMultilevel"/>
    <w:tmpl w:val="C22CBB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nsid w:val="78B167D5"/>
    <w:multiLevelType w:val="hybridMultilevel"/>
    <w:tmpl w:val="25325564"/>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25">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26">
    <w:nsid w:val="7A6B3CC4"/>
    <w:multiLevelType w:val="hybridMultilevel"/>
    <w:tmpl w:val="B3EE3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9"/>
  </w:num>
  <w:num w:numId="4">
    <w:abstractNumId w:val="22"/>
  </w:num>
  <w:num w:numId="5">
    <w:abstractNumId w:val="9"/>
  </w:num>
  <w:num w:numId="6">
    <w:abstractNumId w:val="20"/>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10"/>
  </w:num>
  <w:num w:numId="17">
    <w:abstractNumId w:val="20"/>
  </w:num>
  <w:num w:numId="18">
    <w:abstractNumId w:val="21"/>
  </w:num>
  <w:num w:numId="19">
    <w:abstractNumId w:val="24"/>
  </w:num>
  <w:num w:numId="20">
    <w:abstractNumId w:val="19"/>
  </w:num>
  <w:num w:numId="21">
    <w:abstractNumId w:val="18"/>
  </w:num>
  <w:num w:numId="22">
    <w:abstractNumId w:val="17"/>
  </w:num>
  <w:num w:numId="23">
    <w:abstractNumId w:val="26"/>
  </w:num>
  <w:num w:numId="24">
    <w:abstractNumId w:val="16"/>
  </w:num>
  <w:num w:numId="25">
    <w:abstractNumId w:val="23"/>
  </w:num>
  <w:num w:numId="26">
    <w:abstractNumId w:val="13"/>
  </w:num>
  <w:num w:numId="27">
    <w:abstractNumId w:val="14"/>
  </w:num>
  <w:num w:numId="28">
    <w:abstractNumId w:val="15"/>
  </w:num>
  <w:num w:numId="29">
    <w:abstractNumId w:val="11"/>
  </w:num>
  <w:num w:numId="30">
    <w:abstractNumId w:val="12"/>
  </w:num>
  <w:num w:numId="31">
    <w:abstractNumId w:val="25"/>
  </w:num>
  <w:num w:numId="32">
    <w:abstractNumId w:val="12"/>
    <w:lvlOverride w:ilvl="0">
      <w:startOverride w:val="1"/>
    </w:lvlOverride>
  </w:num>
  <w:num w:numId="33">
    <w:abstractNumId w:val="12"/>
    <w:lvlOverride w:ilvl="0">
      <w:startOverride w:val="1"/>
    </w:lvlOverride>
  </w:num>
  <w:num w:numId="34">
    <w:abstractNumId w:val="1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6"/>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24"/>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057D12"/>
    <w:rsid w:val="00057D12"/>
    <w:rsid w:val="001410E8"/>
    <w:rsid w:val="0019164B"/>
    <w:rsid w:val="00266849"/>
    <w:rsid w:val="005120CF"/>
    <w:rsid w:val="0052316B"/>
    <w:rsid w:val="0052346F"/>
    <w:rsid w:val="00567840"/>
    <w:rsid w:val="00696806"/>
    <w:rsid w:val="006B2675"/>
    <w:rsid w:val="008D30A2"/>
    <w:rsid w:val="00966997"/>
    <w:rsid w:val="00C40D8C"/>
    <w:rsid w:val="00CC2E45"/>
    <w:rsid w:val="00F349A3"/>
    <w:rsid w:val="00FB7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4"/>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 w:val="num" w:pos="108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 w:val="num" w:pos="907"/>
      </w:tabs>
      <w:spacing w:after="40"/>
      <w:ind w:left="907" w:hanging="360"/>
      <w:outlineLvl w:val="2"/>
    </w:pPr>
    <w:rPr>
      <w:rFonts w:ascii="Times" w:hAnsi="Times"/>
      <w:sz w:val="22"/>
    </w:rPr>
  </w:style>
  <w:style w:type="paragraph" w:customStyle="1" w:styleId="awTB01questionHead">
    <w:name w:val="awTB_01_questionHead"/>
    <w:basedOn w:val="Normal"/>
    <w:pPr>
      <w:keepNext/>
      <w:keepLines/>
      <w:numPr>
        <w:numId w:val="4"/>
      </w:numPr>
      <w:tabs>
        <w:tab w:val="clear"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60"/>
      <w:ind w:left="720" w:hanging="274"/>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BLFSub">
    <w:name w:val="BLF_Sub"/>
    <w:basedOn w:val="BLF"/>
    <w:pPr>
      <w:spacing w:before="0" w:after="40"/>
      <w:ind w:left="1138" w:hanging="317"/>
    </w:pPr>
  </w:style>
  <w:style w:type="paragraph" w:styleId="ListParagraph">
    <w:name w:val="List Paragraph"/>
    <w:basedOn w:val="Normal"/>
    <w:uiPriority w:val="34"/>
    <w:qFormat/>
    <w:rsid w:val="0052316B"/>
    <w:pPr>
      <w:ind w:left="720"/>
      <w:contextualSpacing/>
    </w:pPr>
  </w:style>
  <w:style w:type="paragraph" w:customStyle="1" w:styleId="OutlineI">
    <w:name w:val="Outline_I"/>
    <w:basedOn w:val="Normal"/>
    <w:qFormat/>
    <w:rsid w:val="005120CF"/>
    <w:pPr>
      <w:numPr>
        <w:numId w:val="31"/>
      </w:numPr>
      <w:spacing w:before="60"/>
      <w:ind w:left="1170"/>
    </w:pPr>
    <w:rPr>
      <w:rFonts w:ascii="Times" w:eastAsiaTheme="minorHAnsi" w:hAnsi="Times" w:cs="Times"/>
      <w:sz w:val="22"/>
      <w:szCs w:val="24"/>
    </w:rPr>
  </w:style>
  <w:style w:type="paragraph" w:customStyle="1" w:styleId="OutlineA">
    <w:name w:val="Outline_A"/>
    <w:basedOn w:val="Normal"/>
    <w:qFormat/>
    <w:rsid w:val="005120CF"/>
    <w:pPr>
      <w:numPr>
        <w:numId w:val="29"/>
      </w:numPr>
      <w:spacing w:before="60"/>
      <w:ind w:left="1526"/>
    </w:pPr>
    <w:rPr>
      <w:rFonts w:ascii="Times" w:eastAsiaTheme="minorHAnsi" w:hAnsi="Times" w:cs="Times"/>
      <w:sz w:val="22"/>
      <w:szCs w:val="24"/>
    </w:rPr>
  </w:style>
  <w:style w:type="paragraph" w:customStyle="1" w:styleId="Outlline1">
    <w:name w:val="Outlline_1"/>
    <w:basedOn w:val="Normal"/>
    <w:qFormat/>
    <w:rsid w:val="005120CF"/>
    <w:pPr>
      <w:numPr>
        <w:numId w:val="30"/>
      </w:numPr>
      <w:spacing w:before="60"/>
    </w:pPr>
    <w:rPr>
      <w:rFonts w:ascii="Times" w:eastAsiaTheme="minorHAnsi" w:hAnsi="Times" w:cs="Times"/>
      <w:sz w:val="22"/>
      <w:szCs w:val="24"/>
    </w:rPr>
  </w:style>
  <w:style w:type="paragraph" w:customStyle="1" w:styleId="MCQAnswer">
    <w:name w:val="MCQ_Answer"/>
    <w:basedOn w:val="Normal"/>
    <w:qFormat/>
    <w:rsid w:val="005120CF"/>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5120CF"/>
    <w:pPr>
      <w:spacing w:after="60"/>
      <w:ind w:left="810" w:hanging="364"/>
    </w:pPr>
    <w:rPr>
      <w:rFonts w:ascii="Arial Narrow" w:hAnsi="Arial Narrow"/>
      <w:spacing w:val="-2"/>
      <w:sz w:val="22"/>
      <w:szCs w:val="22"/>
    </w:rPr>
  </w:style>
  <w:style w:type="paragraph" w:customStyle="1" w:styleId="LearningObjectives">
    <w:name w:val="LearningObjectives"/>
    <w:basedOn w:val="Normal"/>
    <w:qFormat/>
    <w:rsid w:val="005120CF"/>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4"/>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 w:val="num" w:pos="108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 w:val="num" w:pos="907"/>
      </w:tabs>
      <w:spacing w:after="40"/>
      <w:ind w:left="907" w:hanging="360"/>
      <w:outlineLvl w:val="2"/>
    </w:pPr>
    <w:rPr>
      <w:rFonts w:ascii="Times" w:hAnsi="Times"/>
      <w:sz w:val="22"/>
    </w:rPr>
  </w:style>
  <w:style w:type="paragraph" w:customStyle="1" w:styleId="awTB01questionHead">
    <w:name w:val="awTB_01_questionHead"/>
    <w:basedOn w:val="Normal"/>
    <w:pPr>
      <w:keepNext/>
      <w:keepLines/>
      <w:numPr>
        <w:numId w:val="4"/>
      </w:numPr>
      <w:tabs>
        <w:tab w:val="clear" w:pos="360"/>
      </w:tabs>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60"/>
      <w:ind w:left="720" w:hanging="274"/>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BLFSub">
    <w:name w:val="BLF_Sub"/>
    <w:basedOn w:val="BLF"/>
    <w:pPr>
      <w:spacing w:before="0" w:after="40"/>
      <w:ind w:left="1138" w:hanging="317"/>
    </w:pPr>
  </w:style>
  <w:style w:type="paragraph" w:styleId="ListParagraph">
    <w:name w:val="List Paragraph"/>
    <w:basedOn w:val="Normal"/>
    <w:uiPriority w:val="34"/>
    <w:qFormat/>
    <w:rsid w:val="0052316B"/>
    <w:pPr>
      <w:ind w:left="720"/>
      <w:contextualSpacing/>
    </w:pPr>
  </w:style>
  <w:style w:type="paragraph" w:customStyle="1" w:styleId="OutlineI">
    <w:name w:val="Outline_I"/>
    <w:basedOn w:val="Normal"/>
    <w:qFormat/>
    <w:rsid w:val="005120CF"/>
    <w:pPr>
      <w:numPr>
        <w:numId w:val="31"/>
      </w:numPr>
      <w:spacing w:before="60"/>
      <w:ind w:left="1170"/>
    </w:pPr>
    <w:rPr>
      <w:rFonts w:ascii="Times" w:eastAsiaTheme="minorHAnsi" w:hAnsi="Times" w:cs="Times"/>
      <w:sz w:val="22"/>
      <w:szCs w:val="24"/>
    </w:rPr>
  </w:style>
  <w:style w:type="paragraph" w:customStyle="1" w:styleId="OutlineA">
    <w:name w:val="Outline_A"/>
    <w:basedOn w:val="Normal"/>
    <w:qFormat/>
    <w:rsid w:val="005120CF"/>
    <w:pPr>
      <w:numPr>
        <w:numId w:val="29"/>
      </w:numPr>
      <w:spacing w:before="60"/>
      <w:ind w:left="1526"/>
    </w:pPr>
    <w:rPr>
      <w:rFonts w:ascii="Times" w:eastAsiaTheme="minorHAnsi" w:hAnsi="Times" w:cs="Times"/>
      <w:sz w:val="22"/>
      <w:szCs w:val="24"/>
    </w:rPr>
  </w:style>
  <w:style w:type="paragraph" w:customStyle="1" w:styleId="Outlline1">
    <w:name w:val="Outlline_1"/>
    <w:basedOn w:val="Normal"/>
    <w:qFormat/>
    <w:rsid w:val="005120CF"/>
    <w:pPr>
      <w:numPr>
        <w:numId w:val="30"/>
      </w:numPr>
      <w:spacing w:before="60"/>
    </w:pPr>
    <w:rPr>
      <w:rFonts w:ascii="Times" w:eastAsiaTheme="minorHAnsi" w:hAnsi="Times" w:cs="Times"/>
      <w:sz w:val="22"/>
      <w:szCs w:val="24"/>
    </w:rPr>
  </w:style>
  <w:style w:type="paragraph" w:customStyle="1" w:styleId="MCQAnswer">
    <w:name w:val="MCQ_Answer"/>
    <w:basedOn w:val="Normal"/>
    <w:qFormat/>
    <w:rsid w:val="005120CF"/>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5120CF"/>
    <w:pPr>
      <w:spacing w:after="60"/>
      <w:ind w:left="810" w:hanging="364"/>
    </w:pPr>
    <w:rPr>
      <w:rFonts w:ascii="Arial Narrow" w:hAnsi="Arial Narrow"/>
      <w:spacing w:val="-2"/>
      <w:sz w:val="22"/>
      <w:szCs w:val="22"/>
    </w:rPr>
  </w:style>
  <w:style w:type="paragraph" w:customStyle="1" w:styleId="LearningObjectives">
    <w:name w:val="LearningObjectives"/>
    <w:basedOn w:val="Normal"/>
    <w:qFormat/>
    <w:rsid w:val="005120CF"/>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6</Pages>
  <Words>3203</Words>
  <Characters>16543</Characters>
  <Application>Microsoft Office Word</Application>
  <DocSecurity>0</DocSecurity>
  <Lines>137</Lines>
  <Paragraphs>39</Paragraphs>
  <ScaleCrop>false</ScaleCrop>
  <HeadingPairs>
    <vt:vector size="2" baseType="variant">
      <vt:variant>
        <vt:lpstr>Title</vt:lpstr>
      </vt:variant>
      <vt:variant>
        <vt:i4>1</vt:i4>
      </vt:variant>
    </vt:vector>
  </HeadingPairs>
  <TitlesOfParts>
    <vt:vector size="1" baseType="lpstr">
      <vt:lpstr>M21_MOFF9242_03_IM_C21</vt:lpstr>
    </vt:vector>
  </TitlesOfParts>
  <Company>ITC</Company>
  <LinksUpToDate>false</LinksUpToDate>
  <CharactersWithSpaces>19707</CharactersWithSpaces>
  <SharedDoc>false</SharedDoc>
  <HLinks>
    <vt:vector size="6" baseType="variant">
      <vt:variant>
        <vt:i4>1114178</vt:i4>
      </vt:variant>
      <vt:variant>
        <vt:i4>22841</vt:i4>
      </vt:variant>
      <vt:variant>
        <vt:i4>1025</vt:i4>
      </vt:variant>
      <vt:variant>
        <vt:i4>1</vt:i4>
      </vt:variant>
      <vt:variant>
        <vt:lpwstr>..\ART\TIFF\Exhibit_14x07.tif</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M21_MOFF9242_03_IM_C21</dc:title>
  <dc:subject/>
  <dc:creator>Administrator</dc:creator>
  <cp:keywords/>
  <dc:description/>
  <cp:lastModifiedBy>Sheryl Nelson</cp:lastModifiedBy>
  <cp:revision>11</cp:revision>
  <cp:lastPrinted>2011-09-16T19:15:00Z</cp:lastPrinted>
  <dcterms:created xsi:type="dcterms:W3CDTF">2014-07-15T17:30:00Z</dcterms:created>
  <dcterms:modified xsi:type="dcterms:W3CDTF">2014-09-29T15:33:00Z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